
<file path=[Content_Types].xml><?xml version="1.0" encoding="utf-8"?>
<Types xmlns="http://schemas.openxmlformats.org/package/2006/content-types">
  <Default Extension="xml" ContentType="application/xml"/>
  <Default Extension="wmf" ContentType="image/x-w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5" Type="http://schemas.openxmlformats.org/officeDocument/2006/relationships/officeDocument" Target="word/document.xml"/><Relationship Id="rId1" Type="http://schemas.openxmlformats.org/package/2006/relationships/metadata/thumbnail" Target="docProps/thumbnail.wmf"/><Relationship Id="rId3" Type="http://schemas.openxmlformats.org/package/2006/relationships/metadata/core-properties" Target="docProps/core.xml"/><Relationship Id="rId2"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5A45A61">
      <w:pPr>
        <w:pStyle w:val="2"/>
        <w:spacing w:before="0" w:after="0" w:line="480" w:lineRule="auto"/>
        <w:jc w:val="center"/>
        <w:rPr>
          <w:rFonts w:eastAsiaTheme="minorHAnsi"/>
          <w:color w:val="FFFFFF" w:themeColor="background1"/>
          <w14:textFill>
            <w14:solidFill>
              <w14:schemeClr w14:val="bg1"/>
            </w14:solidFill>
          </w14:textFill>
        </w:rPr>
      </w:pPr>
      <w:bookmarkStart w:id="0" w:name="_Toc215132335"/>
      <w:r>
        <w:rPr>
          <w:rFonts w:eastAsiaTheme="minorHAnsi"/>
          <w:color w:val="FFFFFF" w:themeColor="background1"/>
          <w14:textFill>
            <w14:solidFill>
              <w14:schemeClr w14:val="bg1"/>
            </w14:solidFill>
          </w14:textFill>
        </w:rPr>
        <w:t>TITLE PAGE</w:t>
      </w:r>
      <w:bookmarkEnd w:id="0"/>
    </w:p>
    <w:p w14:paraId="416E47C3">
      <w:pPr>
        <w:pStyle w:val="49"/>
        <w:jc w:val="center"/>
        <w:rPr>
          <w:rFonts w:cs="Times New Roman" w:eastAsiaTheme="minorHAnsi"/>
          <w:b w:val="0"/>
          <w:sz w:val="24"/>
          <w:szCs w:val="24"/>
        </w:rPr>
      </w:pPr>
      <w:r>
        <w:rPr>
          <w:rFonts w:cs="Times New Roman" w:eastAsiaTheme="minorHAnsi"/>
          <w:sz w:val="24"/>
          <w:szCs w:val="24"/>
        </w:rPr>
        <w:t xml:space="preserve">ANTIBACTERIAL AND PHYTOCHEMICAL PROPERTIES OF METHANOL ROOTS EXTRACT OF </w:t>
      </w:r>
      <w:r>
        <w:rPr>
          <w:rFonts w:cs="Times New Roman" w:eastAsiaTheme="minorHAnsi"/>
          <w:i/>
          <w:sz w:val="24"/>
          <w:szCs w:val="24"/>
        </w:rPr>
        <w:t>Boscia angustifolia</w:t>
      </w:r>
    </w:p>
    <w:p w14:paraId="7AA54DCF">
      <w:pPr>
        <w:spacing w:line="278" w:lineRule="auto"/>
        <w:jc w:val="center"/>
        <w:rPr>
          <w:rFonts w:ascii="Times New Roman" w:hAnsi="Times New Roman" w:cs="Times New Roman"/>
          <w:color w:val="000000" w:themeColor="text1"/>
          <w:sz w:val="24"/>
          <w:szCs w:val="24"/>
          <w14:textFill>
            <w14:solidFill>
              <w14:schemeClr w14:val="tx1"/>
            </w14:solidFill>
          </w14:textFill>
        </w:rPr>
      </w:pPr>
    </w:p>
    <w:p w14:paraId="75DE6461">
      <w:pPr>
        <w:spacing w:line="278" w:lineRule="auto"/>
        <w:jc w:val="center"/>
        <w:rPr>
          <w:rFonts w:ascii="Times New Roman" w:hAnsi="Times New Roman" w:cs="Times New Roman"/>
          <w:b/>
          <w:color w:val="000000" w:themeColor="text1"/>
          <w:sz w:val="24"/>
          <w:szCs w:val="24"/>
          <w14:textFill>
            <w14:solidFill>
              <w14:schemeClr w14:val="tx1"/>
            </w14:solidFill>
          </w14:textFill>
        </w:rPr>
      </w:pPr>
    </w:p>
    <w:p w14:paraId="286B114C">
      <w:pPr>
        <w:spacing w:line="278" w:lineRule="auto"/>
        <w:jc w:val="center"/>
        <w:rPr>
          <w:rFonts w:ascii="Times New Roman" w:hAnsi="Times New Roman" w:cs="Times New Roman"/>
          <w:b/>
          <w:color w:val="000000" w:themeColor="text1"/>
          <w:sz w:val="24"/>
          <w:szCs w:val="24"/>
          <w14:textFill>
            <w14:solidFill>
              <w14:schemeClr w14:val="tx1"/>
            </w14:solidFill>
          </w14:textFill>
        </w:rPr>
      </w:pPr>
    </w:p>
    <w:p w14:paraId="0016A565">
      <w:pPr>
        <w:spacing w:line="278" w:lineRule="auto"/>
        <w:jc w:val="center"/>
        <w:rPr>
          <w:rFonts w:ascii="Times New Roman" w:hAnsi="Times New Roman" w:cs="Times New Roman"/>
          <w:b/>
          <w:color w:val="000000" w:themeColor="text1"/>
          <w:sz w:val="24"/>
          <w:szCs w:val="24"/>
          <w14:textFill>
            <w14:solidFill>
              <w14:schemeClr w14:val="tx1"/>
            </w14:solidFill>
          </w14:textFill>
        </w:rPr>
      </w:pPr>
      <w:r>
        <w:rPr>
          <w:rFonts w:ascii="Times New Roman" w:hAnsi="Times New Roman" w:cs="Times New Roman"/>
          <w:b/>
          <w:color w:val="000000" w:themeColor="text1"/>
          <w:sz w:val="24"/>
          <w:szCs w:val="24"/>
          <w14:textFill>
            <w14:solidFill>
              <w14:schemeClr w14:val="tx1"/>
            </w14:solidFill>
          </w14:textFill>
        </w:rPr>
        <w:t>A</w:t>
      </w:r>
    </w:p>
    <w:p w14:paraId="50775680">
      <w:pPr>
        <w:spacing w:line="278" w:lineRule="auto"/>
        <w:jc w:val="center"/>
        <w:rPr>
          <w:rFonts w:ascii="Times New Roman" w:hAnsi="Times New Roman" w:cs="Times New Roman"/>
          <w:b/>
          <w:color w:val="000000" w:themeColor="text1"/>
          <w:sz w:val="24"/>
          <w:szCs w:val="24"/>
          <w14:textFill>
            <w14:solidFill>
              <w14:schemeClr w14:val="tx1"/>
            </w14:solidFill>
          </w14:textFill>
        </w:rPr>
      </w:pPr>
    </w:p>
    <w:p w14:paraId="4B9A25D1">
      <w:pPr>
        <w:spacing w:line="278" w:lineRule="auto"/>
        <w:jc w:val="center"/>
        <w:rPr>
          <w:rFonts w:ascii="Times New Roman" w:hAnsi="Times New Roman" w:cs="Times New Roman"/>
          <w:b/>
          <w:color w:val="000000" w:themeColor="text1"/>
          <w:sz w:val="24"/>
          <w:szCs w:val="24"/>
          <w14:textFill>
            <w14:solidFill>
              <w14:schemeClr w14:val="tx1"/>
            </w14:solidFill>
          </w14:textFill>
        </w:rPr>
      </w:pPr>
      <w:r>
        <w:rPr>
          <w:rFonts w:ascii="Times New Roman" w:hAnsi="Times New Roman" w:cs="Times New Roman"/>
          <w:b/>
          <w:color w:val="000000" w:themeColor="text1"/>
          <w:sz w:val="24"/>
          <w:szCs w:val="24"/>
          <w14:textFill>
            <w14:solidFill>
              <w14:schemeClr w14:val="tx1"/>
            </w14:solidFill>
          </w14:textFill>
        </w:rPr>
        <w:t>PROJECT REPORT</w:t>
      </w:r>
    </w:p>
    <w:p w14:paraId="6473AA1E">
      <w:pPr>
        <w:spacing w:line="278" w:lineRule="auto"/>
        <w:jc w:val="center"/>
        <w:rPr>
          <w:rFonts w:ascii="Times New Roman" w:hAnsi="Times New Roman" w:cs="Times New Roman"/>
          <w:b/>
          <w:color w:val="000000" w:themeColor="text1"/>
          <w:sz w:val="24"/>
          <w:szCs w:val="24"/>
          <w14:textFill>
            <w14:solidFill>
              <w14:schemeClr w14:val="tx1"/>
            </w14:solidFill>
          </w14:textFill>
        </w:rPr>
      </w:pPr>
    </w:p>
    <w:p w14:paraId="009226BB">
      <w:pPr>
        <w:spacing w:line="278" w:lineRule="auto"/>
        <w:jc w:val="center"/>
        <w:rPr>
          <w:rFonts w:ascii="Times New Roman" w:hAnsi="Times New Roman" w:cs="Times New Roman"/>
          <w:b/>
          <w:color w:val="000000" w:themeColor="text1"/>
          <w:sz w:val="24"/>
          <w:szCs w:val="24"/>
          <w14:textFill>
            <w14:solidFill>
              <w14:schemeClr w14:val="tx1"/>
            </w14:solidFill>
          </w14:textFill>
        </w:rPr>
      </w:pPr>
    </w:p>
    <w:p w14:paraId="4344BC31">
      <w:pPr>
        <w:spacing w:line="278" w:lineRule="auto"/>
        <w:jc w:val="center"/>
        <w:rPr>
          <w:rFonts w:ascii="Times New Roman" w:hAnsi="Times New Roman" w:cs="Times New Roman"/>
          <w:b/>
          <w:color w:val="000000" w:themeColor="text1"/>
          <w:sz w:val="24"/>
          <w:szCs w:val="24"/>
          <w14:textFill>
            <w14:solidFill>
              <w14:schemeClr w14:val="tx1"/>
            </w14:solidFill>
          </w14:textFill>
        </w:rPr>
      </w:pPr>
      <w:r>
        <w:rPr>
          <w:rFonts w:ascii="Times New Roman" w:hAnsi="Times New Roman" w:cs="Times New Roman"/>
          <w:b/>
          <w:color w:val="000000" w:themeColor="text1"/>
          <w:sz w:val="24"/>
          <w:szCs w:val="24"/>
          <w14:textFill>
            <w14:solidFill>
              <w14:schemeClr w14:val="tx1"/>
            </w14:solidFill>
          </w14:textFill>
        </w:rPr>
        <w:t>SUBMITTED TO THE</w:t>
      </w:r>
    </w:p>
    <w:p w14:paraId="3908C35A">
      <w:pPr>
        <w:spacing w:line="278" w:lineRule="auto"/>
        <w:jc w:val="center"/>
        <w:rPr>
          <w:rFonts w:ascii="Times New Roman" w:hAnsi="Times New Roman" w:cs="Times New Roman"/>
          <w:b/>
          <w:color w:val="000000" w:themeColor="text1"/>
          <w:sz w:val="24"/>
          <w:szCs w:val="24"/>
          <w14:textFill>
            <w14:solidFill>
              <w14:schemeClr w14:val="tx1"/>
            </w14:solidFill>
          </w14:textFill>
        </w:rPr>
      </w:pPr>
    </w:p>
    <w:p w14:paraId="60B3C593">
      <w:pPr>
        <w:spacing w:line="278" w:lineRule="auto"/>
        <w:jc w:val="center"/>
        <w:rPr>
          <w:rFonts w:ascii="Times New Roman" w:hAnsi="Times New Roman" w:cs="Times New Roman"/>
          <w:b/>
          <w:color w:val="000000" w:themeColor="text1"/>
          <w:sz w:val="24"/>
          <w:szCs w:val="24"/>
          <w14:textFill>
            <w14:solidFill>
              <w14:schemeClr w14:val="tx1"/>
            </w14:solidFill>
          </w14:textFill>
        </w:rPr>
      </w:pPr>
      <w:r>
        <w:rPr>
          <w:rFonts w:hint="default" w:ascii="Times New Roman" w:hAnsi="Times New Roman" w:cs="Times New Roman"/>
          <w:b/>
          <w:color w:val="000000" w:themeColor="text1"/>
          <w:sz w:val="24"/>
          <w:szCs w:val="24"/>
          <w:lang w:val="en-US"/>
          <w14:textFill>
            <w14:solidFill>
              <w14:schemeClr w14:val="tx1"/>
            </w14:solidFill>
          </w14:textFill>
        </w:rPr>
        <w:t>D</w:t>
      </w:r>
      <w:r>
        <w:rPr>
          <w:rFonts w:ascii="Times New Roman" w:hAnsi="Times New Roman" w:cs="Times New Roman"/>
          <w:b/>
          <w:color w:val="000000" w:themeColor="text1"/>
          <w:sz w:val="24"/>
          <w:szCs w:val="24"/>
          <w14:textFill>
            <w14:solidFill>
              <w14:schemeClr w14:val="tx1"/>
            </w14:solidFill>
          </w14:textFill>
        </w:rPr>
        <w:t>EPARTMENT OF BIOCHEMISTRY AND MOLECULAR BIOLOGY, USUMANU DDANFODIYO UNIVERSITY, SOKOTO, NIGERIA</w:t>
      </w:r>
    </w:p>
    <w:p w14:paraId="2B09E0D6">
      <w:pPr>
        <w:spacing w:line="278" w:lineRule="auto"/>
        <w:jc w:val="center"/>
        <w:rPr>
          <w:rFonts w:ascii="Times New Roman" w:hAnsi="Times New Roman" w:cs="Times New Roman"/>
          <w:b/>
          <w:color w:val="000000" w:themeColor="text1"/>
          <w:sz w:val="24"/>
          <w:szCs w:val="24"/>
          <w14:textFill>
            <w14:solidFill>
              <w14:schemeClr w14:val="tx1"/>
            </w14:solidFill>
          </w14:textFill>
        </w:rPr>
      </w:pPr>
    </w:p>
    <w:p w14:paraId="66F42451">
      <w:pPr>
        <w:spacing w:line="278" w:lineRule="auto"/>
        <w:jc w:val="center"/>
        <w:rPr>
          <w:rFonts w:ascii="Times New Roman" w:hAnsi="Times New Roman" w:cs="Times New Roman"/>
          <w:b/>
          <w:color w:val="000000" w:themeColor="text1"/>
          <w:sz w:val="24"/>
          <w:szCs w:val="24"/>
          <w14:textFill>
            <w14:solidFill>
              <w14:schemeClr w14:val="tx1"/>
            </w14:solidFill>
          </w14:textFill>
        </w:rPr>
      </w:pPr>
      <w:r>
        <w:rPr>
          <w:rFonts w:hint="default" w:ascii="Times New Roman" w:hAnsi="Times New Roman" w:cs="Times New Roman"/>
          <w:b/>
          <w:color w:val="000000" w:themeColor="text1"/>
          <w:sz w:val="24"/>
          <w:szCs w:val="24"/>
          <w:lang w:val="en-US"/>
          <w14:textFill>
            <w14:solidFill>
              <w14:schemeClr w14:val="tx1"/>
            </w14:solidFill>
          </w14:textFill>
        </w:rPr>
        <w:t>I</w:t>
      </w:r>
      <w:r>
        <w:rPr>
          <w:rFonts w:ascii="Times New Roman" w:hAnsi="Times New Roman" w:cs="Times New Roman"/>
          <w:b/>
          <w:color w:val="000000" w:themeColor="text1"/>
          <w:sz w:val="24"/>
          <w:szCs w:val="24"/>
          <w14:textFill>
            <w14:solidFill>
              <w14:schemeClr w14:val="tx1"/>
            </w14:solidFill>
          </w14:textFill>
        </w:rPr>
        <w:t>N PARTIAL FULFILMENT OF THE REQUIREMENTS FOR THE AWARD OF IBACHELOR OF SCIENCE (B.Sc HONS) DEGREE IN BIOCHEMISTRY</w:t>
      </w:r>
    </w:p>
    <w:p w14:paraId="194AD75A">
      <w:pPr>
        <w:spacing w:line="278" w:lineRule="auto"/>
        <w:jc w:val="center"/>
        <w:rPr>
          <w:rFonts w:ascii="Times New Roman" w:hAnsi="Times New Roman" w:cs="Times New Roman"/>
          <w:b/>
          <w:color w:val="000000" w:themeColor="text1"/>
          <w:sz w:val="24"/>
          <w:szCs w:val="24"/>
          <w14:textFill>
            <w14:solidFill>
              <w14:schemeClr w14:val="tx1"/>
            </w14:solidFill>
          </w14:textFill>
        </w:rPr>
      </w:pPr>
    </w:p>
    <w:p w14:paraId="5D201FEC">
      <w:pPr>
        <w:spacing w:line="278" w:lineRule="auto"/>
        <w:jc w:val="center"/>
        <w:rPr>
          <w:rFonts w:ascii="Times New Roman" w:hAnsi="Times New Roman" w:cs="Times New Roman"/>
          <w:b/>
          <w:color w:val="000000" w:themeColor="text1"/>
          <w:sz w:val="24"/>
          <w:szCs w:val="24"/>
          <w14:textFill>
            <w14:solidFill>
              <w14:schemeClr w14:val="tx1"/>
            </w14:solidFill>
          </w14:textFill>
        </w:rPr>
      </w:pPr>
    </w:p>
    <w:p w14:paraId="36296933">
      <w:pPr>
        <w:spacing w:line="278" w:lineRule="auto"/>
        <w:jc w:val="center"/>
        <w:rPr>
          <w:rFonts w:ascii="Times New Roman" w:hAnsi="Times New Roman" w:cs="Times New Roman"/>
          <w:b/>
          <w:color w:val="000000" w:themeColor="text1"/>
          <w:sz w:val="24"/>
          <w:szCs w:val="24"/>
          <w14:textFill>
            <w14:solidFill>
              <w14:schemeClr w14:val="tx1"/>
            </w14:solidFill>
          </w14:textFill>
        </w:rPr>
      </w:pPr>
      <w:r>
        <w:rPr>
          <w:rFonts w:ascii="Times New Roman" w:hAnsi="Times New Roman" w:cs="Times New Roman"/>
          <w:b/>
          <w:color w:val="000000" w:themeColor="text1"/>
          <w:sz w:val="24"/>
          <w:szCs w:val="24"/>
          <w14:textFill>
            <w14:solidFill>
              <w14:schemeClr w14:val="tx1"/>
            </w14:solidFill>
          </w14:textFill>
        </w:rPr>
        <w:t>BY</w:t>
      </w:r>
    </w:p>
    <w:p w14:paraId="6D0C442C">
      <w:pPr>
        <w:spacing w:line="278" w:lineRule="auto"/>
        <w:jc w:val="center"/>
        <w:rPr>
          <w:rFonts w:ascii="Times New Roman" w:hAnsi="Times New Roman" w:cs="Times New Roman"/>
          <w:b/>
          <w:color w:val="000000" w:themeColor="text1"/>
          <w:sz w:val="24"/>
          <w:szCs w:val="24"/>
          <w14:textFill>
            <w14:solidFill>
              <w14:schemeClr w14:val="tx1"/>
            </w14:solidFill>
          </w14:textFill>
        </w:rPr>
      </w:pPr>
    </w:p>
    <w:p w14:paraId="3B511281">
      <w:pPr>
        <w:spacing w:line="278" w:lineRule="auto"/>
        <w:jc w:val="center"/>
        <w:rPr>
          <w:rFonts w:ascii="Times New Roman" w:hAnsi="Times New Roman" w:cs="Times New Roman"/>
          <w:b/>
          <w:color w:val="000000" w:themeColor="text1"/>
          <w:sz w:val="24"/>
          <w:szCs w:val="24"/>
          <w14:textFill>
            <w14:solidFill>
              <w14:schemeClr w14:val="tx1"/>
            </w14:solidFill>
          </w14:textFill>
        </w:rPr>
      </w:pPr>
      <w:r>
        <w:rPr>
          <w:rFonts w:ascii="Times New Roman" w:hAnsi="Times New Roman" w:cs="Times New Roman"/>
          <w:b/>
          <w:color w:val="000000" w:themeColor="text1"/>
          <w:sz w:val="24"/>
          <w:szCs w:val="24"/>
          <w14:textFill>
            <w14:solidFill>
              <w14:schemeClr w14:val="tx1"/>
            </w14:solidFill>
          </w14:textFill>
        </w:rPr>
        <w:t>JONATHAN FAVOUR KINANG</w:t>
      </w:r>
    </w:p>
    <w:p w14:paraId="3772C86A">
      <w:pPr>
        <w:spacing w:line="278" w:lineRule="auto"/>
        <w:jc w:val="center"/>
        <w:rPr>
          <w:rFonts w:ascii="Times New Roman" w:hAnsi="Times New Roman" w:cs="Times New Roman"/>
          <w:b/>
          <w:color w:val="000000" w:themeColor="text1"/>
          <w:sz w:val="24"/>
          <w:szCs w:val="24"/>
          <w14:textFill>
            <w14:solidFill>
              <w14:schemeClr w14:val="tx1"/>
            </w14:solidFill>
          </w14:textFill>
        </w:rPr>
      </w:pPr>
      <w:r>
        <w:rPr>
          <w:rFonts w:ascii="Times New Roman" w:hAnsi="Times New Roman" w:cs="Times New Roman"/>
          <w:b/>
          <w:color w:val="000000" w:themeColor="text1"/>
          <w:sz w:val="24"/>
          <w:szCs w:val="24"/>
          <w14:textFill>
            <w14:solidFill>
              <w14:schemeClr w14:val="tx1"/>
            </w14:solidFill>
          </w14:textFill>
        </w:rPr>
        <w:t>(ADM NO: 2010304057)</w:t>
      </w:r>
    </w:p>
    <w:p w14:paraId="3508F539">
      <w:pPr>
        <w:spacing w:line="278" w:lineRule="auto"/>
        <w:jc w:val="center"/>
        <w:rPr>
          <w:rFonts w:ascii="Times New Roman" w:hAnsi="Times New Roman" w:cs="Times New Roman"/>
          <w:b/>
          <w:color w:val="000000" w:themeColor="text1"/>
          <w:sz w:val="24"/>
          <w:szCs w:val="24"/>
          <w14:textFill>
            <w14:solidFill>
              <w14:schemeClr w14:val="tx1"/>
            </w14:solidFill>
          </w14:textFill>
        </w:rPr>
      </w:pPr>
    </w:p>
    <w:p w14:paraId="1E6CD738">
      <w:pPr>
        <w:spacing w:line="278" w:lineRule="auto"/>
        <w:jc w:val="center"/>
        <w:rPr>
          <w:rFonts w:ascii="Times New Roman" w:hAnsi="Times New Roman" w:cs="Times New Roman"/>
          <w:b/>
          <w:color w:val="000000" w:themeColor="text1"/>
          <w:sz w:val="24"/>
          <w:szCs w:val="24"/>
          <w14:textFill>
            <w14:solidFill>
              <w14:schemeClr w14:val="tx1"/>
            </w14:solidFill>
          </w14:textFill>
        </w:rPr>
      </w:pPr>
    </w:p>
    <w:p w14:paraId="39EE19C8">
      <w:pPr>
        <w:spacing w:line="278" w:lineRule="auto"/>
        <w:jc w:val="center"/>
        <w:rPr>
          <w:rFonts w:ascii="Times New Roman" w:hAnsi="Times New Roman" w:cs="Times New Roman"/>
          <w:b/>
          <w:color w:val="000000" w:themeColor="text1"/>
          <w:sz w:val="24"/>
          <w:szCs w:val="24"/>
          <w14:textFill>
            <w14:solidFill>
              <w14:schemeClr w14:val="tx1"/>
            </w14:solidFill>
          </w14:textFill>
        </w:rPr>
      </w:pPr>
    </w:p>
    <w:p w14:paraId="01DCAC6E">
      <w:pPr>
        <w:spacing w:line="278" w:lineRule="auto"/>
        <w:jc w:val="center"/>
        <w:rPr>
          <w:rFonts w:ascii="Times New Roman" w:hAnsi="Times New Roman" w:cs="Times New Roman"/>
          <w:b/>
          <w:color w:val="000000" w:themeColor="text1"/>
          <w:sz w:val="24"/>
          <w:szCs w:val="24"/>
          <w14:textFill>
            <w14:solidFill>
              <w14:schemeClr w14:val="tx1"/>
            </w14:solidFill>
          </w14:textFill>
        </w:rPr>
      </w:pPr>
      <w:r>
        <w:rPr>
          <w:rFonts w:ascii="Times New Roman" w:hAnsi="Times New Roman" w:cs="Times New Roman"/>
          <w:b/>
          <w:color w:val="000000" w:themeColor="text1"/>
          <w:sz w:val="24"/>
          <w:szCs w:val="24"/>
          <w14:textFill>
            <w14:solidFill>
              <w14:schemeClr w14:val="tx1"/>
            </w14:solidFill>
          </w14:textFill>
        </w:rPr>
        <w:t>DECEMBER, 2025</w:t>
      </w:r>
    </w:p>
    <w:p w14:paraId="1B5BE4BD">
      <w:pPr>
        <w:pStyle w:val="2"/>
        <w:spacing w:after="0" w:line="480" w:lineRule="auto"/>
        <w:jc w:val="center"/>
        <w:rPr>
          <w:rFonts w:cs="Times New Roman"/>
          <w:szCs w:val="24"/>
        </w:rPr>
      </w:pPr>
      <w:r>
        <w:br w:type="page"/>
      </w:r>
      <w:bookmarkStart w:id="1" w:name="_Toc215132336"/>
      <w:r>
        <w:rPr>
          <w:rFonts w:cs="Times New Roman"/>
          <w:szCs w:val="24"/>
        </w:rPr>
        <w:t>CERTIFICATION</w:t>
      </w:r>
      <w:bookmarkEnd w:id="1"/>
    </w:p>
    <w:p w14:paraId="16ACDF18">
      <w:pPr>
        <w:tabs>
          <w:tab w:val="left" w:pos="4002"/>
        </w:tabs>
        <w:spacing w:line="278" w:lineRule="auto"/>
        <w:jc w:val="both"/>
        <w:rPr>
          <w:rFonts w:ascii="Times New Roman" w:hAnsi="Times New Roman" w:cs="Times New Roman"/>
          <w:sz w:val="24"/>
          <w:szCs w:val="24"/>
        </w:rPr>
      </w:pPr>
      <w:r>
        <w:rPr>
          <w:rFonts w:ascii="Times New Roman" w:hAnsi="Times New Roman" w:cs="Times New Roman"/>
          <w:sz w:val="24"/>
          <w:szCs w:val="24"/>
        </w:rPr>
        <w:t>This is to certify that this research work reported here was conducted by JONATHAN, favour kinang (2010304057) and has been approved as meeting part of the requirements for the award of the Bachelor of Science (BSc) degree in Biochemistry of the Usmanu Danfodiyo University Sokoto.</w:t>
      </w:r>
    </w:p>
    <w:p w14:paraId="61AD2905">
      <w:pPr>
        <w:tabs>
          <w:tab w:val="left" w:pos="4002"/>
        </w:tabs>
        <w:spacing w:line="278" w:lineRule="auto"/>
        <w:jc w:val="both"/>
      </w:pPr>
    </w:p>
    <w:p w14:paraId="4B0B8DA4">
      <w:pPr>
        <w:tabs>
          <w:tab w:val="left" w:pos="4002"/>
        </w:tabs>
        <w:spacing w:line="278" w:lineRule="auto"/>
        <w:jc w:val="both"/>
      </w:pPr>
    </w:p>
    <w:p w14:paraId="1545AAD7">
      <w:pPr>
        <w:tabs>
          <w:tab w:val="left" w:pos="4002"/>
        </w:tabs>
        <w:spacing w:line="278" w:lineRule="auto"/>
        <w:jc w:val="both"/>
      </w:pPr>
    </w:p>
    <w:p w14:paraId="2CB7C0EA">
      <w:pPr>
        <w:tabs>
          <w:tab w:val="left" w:pos="4002"/>
        </w:tabs>
        <w:spacing w:line="278" w:lineRule="auto"/>
        <w:jc w:val="both"/>
      </w:pPr>
    </w:p>
    <w:p w14:paraId="584B39E3">
      <w:pPr>
        <w:tabs>
          <w:tab w:val="left" w:pos="4002"/>
        </w:tabs>
        <w:spacing w:line="278" w:lineRule="auto"/>
        <w:jc w:val="both"/>
        <w:rPr>
          <w:rFonts w:ascii="Times New Roman" w:hAnsi="Times New Roman" w:cs="Times New Roman"/>
          <w:sz w:val="24"/>
          <w:szCs w:val="24"/>
        </w:rPr>
      </w:pPr>
      <w:r>
        <w:rPr>
          <w:rFonts w:ascii="Times New Roman" w:hAnsi="Times New Roman" w:cs="Times New Roman"/>
          <w:sz w:val="24"/>
          <w:szCs w:val="24"/>
        </w:rPr>
        <w:t>_________________________                                                                        __________________________</w:t>
      </w:r>
    </w:p>
    <w:p w14:paraId="243E1DA6">
      <w:pPr>
        <w:tabs>
          <w:tab w:val="left" w:pos="7768"/>
        </w:tabs>
        <w:spacing w:line="278" w:lineRule="auto"/>
        <w:jc w:val="both"/>
        <w:rPr>
          <w:rFonts w:ascii="Times New Roman" w:hAnsi="Times New Roman" w:cs="Times New Roman"/>
          <w:sz w:val="24"/>
          <w:szCs w:val="24"/>
        </w:rPr>
      </w:pPr>
      <w:r>
        <w:rPr>
          <w:rFonts w:ascii="Times New Roman" w:hAnsi="Times New Roman" w:cs="Times New Roman"/>
          <w:sz w:val="24"/>
          <w:szCs w:val="24"/>
        </w:rPr>
        <w:t>Prof. A. A. Turaki                                                                                                              Date</w:t>
      </w:r>
    </w:p>
    <w:p w14:paraId="2641FB5A">
      <w:pPr>
        <w:tabs>
          <w:tab w:val="left" w:pos="7768"/>
        </w:tabs>
        <w:spacing w:line="278" w:lineRule="auto"/>
        <w:jc w:val="both"/>
        <w:rPr>
          <w:rFonts w:ascii="Times New Roman" w:hAnsi="Times New Roman" w:cs="Times New Roman"/>
          <w:sz w:val="24"/>
          <w:szCs w:val="24"/>
        </w:rPr>
      </w:pPr>
      <w:r>
        <w:rPr>
          <w:rFonts w:ascii="Times New Roman" w:hAnsi="Times New Roman" w:cs="Times New Roman"/>
          <w:sz w:val="24"/>
          <w:szCs w:val="24"/>
        </w:rPr>
        <w:t>(External Examiner)</w:t>
      </w:r>
    </w:p>
    <w:p w14:paraId="4B2BC62E">
      <w:pPr>
        <w:tabs>
          <w:tab w:val="left" w:pos="7768"/>
        </w:tabs>
        <w:spacing w:line="278" w:lineRule="auto"/>
        <w:jc w:val="both"/>
        <w:rPr>
          <w:rFonts w:ascii="Times New Roman" w:hAnsi="Times New Roman" w:cs="Times New Roman"/>
          <w:sz w:val="24"/>
          <w:szCs w:val="24"/>
        </w:rPr>
      </w:pPr>
    </w:p>
    <w:p w14:paraId="695EB623">
      <w:pPr>
        <w:tabs>
          <w:tab w:val="left" w:pos="7768"/>
        </w:tabs>
        <w:spacing w:line="278" w:lineRule="auto"/>
        <w:jc w:val="both"/>
        <w:rPr>
          <w:rFonts w:ascii="Times New Roman" w:hAnsi="Times New Roman" w:cs="Times New Roman"/>
          <w:sz w:val="24"/>
          <w:szCs w:val="24"/>
        </w:rPr>
      </w:pPr>
    </w:p>
    <w:p w14:paraId="717E5E57">
      <w:pPr>
        <w:tabs>
          <w:tab w:val="left" w:pos="7768"/>
        </w:tabs>
        <w:spacing w:line="278" w:lineRule="auto"/>
        <w:jc w:val="both"/>
        <w:rPr>
          <w:rFonts w:ascii="Times New Roman" w:hAnsi="Times New Roman" w:cs="Times New Roman"/>
          <w:sz w:val="24"/>
          <w:szCs w:val="24"/>
        </w:rPr>
      </w:pPr>
    </w:p>
    <w:p w14:paraId="17F61297">
      <w:pPr>
        <w:tabs>
          <w:tab w:val="left" w:pos="7768"/>
        </w:tabs>
        <w:spacing w:line="278" w:lineRule="auto"/>
        <w:jc w:val="both"/>
        <w:rPr>
          <w:rFonts w:ascii="Times New Roman" w:hAnsi="Times New Roman" w:cs="Times New Roman"/>
          <w:sz w:val="24"/>
          <w:szCs w:val="24"/>
        </w:rPr>
      </w:pPr>
      <w:r>
        <w:rPr>
          <w:rFonts w:ascii="Times New Roman" w:hAnsi="Times New Roman" w:cs="Times New Roman"/>
          <w:sz w:val="24"/>
          <w:szCs w:val="24"/>
        </w:rPr>
        <w:t>_________________________                                                                       _________________________</w:t>
      </w:r>
    </w:p>
    <w:p w14:paraId="3F011A70">
      <w:pPr>
        <w:tabs>
          <w:tab w:val="left" w:pos="7768"/>
        </w:tabs>
        <w:spacing w:line="278" w:lineRule="auto"/>
        <w:jc w:val="both"/>
        <w:rPr>
          <w:rFonts w:ascii="Times New Roman" w:hAnsi="Times New Roman" w:cs="Times New Roman"/>
          <w:sz w:val="24"/>
          <w:szCs w:val="24"/>
        </w:rPr>
      </w:pPr>
      <w:r>
        <w:rPr>
          <w:rFonts w:ascii="Times New Roman" w:hAnsi="Times New Roman" w:cs="Times New Roman"/>
          <w:sz w:val="24"/>
          <w:szCs w:val="24"/>
        </w:rPr>
        <w:t>Prof. S. W. Hassan                                                                                                              Date</w:t>
      </w:r>
    </w:p>
    <w:p w14:paraId="2E2C4F0F">
      <w:pPr>
        <w:tabs>
          <w:tab w:val="left" w:pos="7768"/>
        </w:tabs>
        <w:spacing w:line="278" w:lineRule="auto"/>
        <w:jc w:val="both"/>
        <w:rPr>
          <w:rFonts w:ascii="Times New Roman" w:hAnsi="Times New Roman" w:cs="Times New Roman"/>
          <w:sz w:val="24"/>
          <w:szCs w:val="24"/>
        </w:rPr>
      </w:pPr>
      <w:r>
        <w:rPr>
          <w:rFonts w:ascii="Times New Roman" w:hAnsi="Times New Roman" w:cs="Times New Roman"/>
          <w:sz w:val="24"/>
          <w:szCs w:val="24"/>
        </w:rPr>
        <w:t xml:space="preserve">(Supervisor) </w:t>
      </w:r>
    </w:p>
    <w:p w14:paraId="075F8379">
      <w:pPr>
        <w:tabs>
          <w:tab w:val="left" w:pos="7768"/>
        </w:tabs>
        <w:spacing w:line="278" w:lineRule="auto"/>
        <w:jc w:val="both"/>
        <w:rPr>
          <w:rFonts w:ascii="Times New Roman" w:hAnsi="Times New Roman" w:cs="Times New Roman"/>
          <w:sz w:val="24"/>
          <w:szCs w:val="24"/>
        </w:rPr>
      </w:pPr>
    </w:p>
    <w:p w14:paraId="76435BB9">
      <w:pPr>
        <w:tabs>
          <w:tab w:val="left" w:pos="7768"/>
        </w:tabs>
        <w:spacing w:line="278" w:lineRule="auto"/>
        <w:jc w:val="both"/>
        <w:rPr>
          <w:rFonts w:ascii="Times New Roman" w:hAnsi="Times New Roman" w:cs="Times New Roman"/>
          <w:sz w:val="24"/>
          <w:szCs w:val="24"/>
        </w:rPr>
      </w:pPr>
    </w:p>
    <w:p w14:paraId="1122ACD7">
      <w:pPr>
        <w:tabs>
          <w:tab w:val="left" w:pos="7768"/>
        </w:tabs>
        <w:spacing w:line="278" w:lineRule="auto"/>
        <w:jc w:val="both"/>
        <w:rPr>
          <w:rFonts w:ascii="Times New Roman" w:hAnsi="Times New Roman" w:cs="Times New Roman"/>
          <w:sz w:val="24"/>
          <w:szCs w:val="24"/>
        </w:rPr>
      </w:pPr>
    </w:p>
    <w:p w14:paraId="7A4D657B">
      <w:pPr>
        <w:tabs>
          <w:tab w:val="left" w:pos="7768"/>
        </w:tabs>
        <w:spacing w:line="278" w:lineRule="auto"/>
        <w:jc w:val="both"/>
        <w:rPr>
          <w:rFonts w:ascii="Times New Roman" w:hAnsi="Times New Roman" w:cs="Times New Roman"/>
          <w:sz w:val="24"/>
          <w:szCs w:val="24"/>
        </w:rPr>
      </w:pPr>
      <w:r>
        <w:rPr>
          <w:rFonts w:ascii="Times New Roman" w:hAnsi="Times New Roman" w:cs="Times New Roman"/>
          <w:sz w:val="24"/>
          <w:szCs w:val="24"/>
        </w:rPr>
        <w:t>__________________________                                                                    _________________________</w:t>
      </w:r>
    </w:p>
    <w:p w14:paraId="46C594F9">
      <w:pPr>
        <w:tabs>
          <w:tab w:val="left" w:pos="7768"/>
        </w:tabs>
        <w:spacing w:line="278" w:lineRule="auto"/>
        <w:jc w:val="both"/>
        <w:rPr>
          <w:rFonts w:ascii="Times New Roman" w:hAnsi="Times New Roman" w:cs="Times New Roman"/>
          <w:sz w:val="24"/>
          <w:szCs w:val="24"/>
        </w:rPr>
      </w:pPr>
      <w:r>
        <w:rPr>
          <w:rFonts w:ascii="Times New Roman" w:hAnsi="Times New Roman" w:cs="Times New Roman"/>
          <w:sz w:val="24"/>
          <w:szCs w:val="24"/>
        </w:rPr>
        <w:t>Dr. A. Lawal                                                                                                                        Date</w:t>
      </w:r>
    </w:p>
    <w:p w14:paraId="55A65CF7">
      <w:pPr>
        <w:tabs>
          <w:tab w:val="left" w:pos="7768"/>
        </w:tabs>
        <w:spacing w:line="278" w:lineRule="auto"/>
        <w:jc w:val="both"/>
        <w:rPr>
          <w:rFonts w:ascii="Times New Roman" w:hAnsi="Times New Roman" w:cs="Times New Roman"/>
          <w:sz w:val="24"/>
          <w:szCs w:val="24"/>
        </w:rPr>
      </w:pPr>
      <w:r>
        <w:rPr>
          <w:rFonts w:ascii="Times New Roman" w:hAnsi="Times New Roman" w:cs="Times New Roman"/>
          <w:sz w:val="24"/>
          <w:szCs w:val="24"/>
        </w:rPr>
        <w:t>(Head of Department)</w:t>
      </w:r>
    </w:p>
    <w:p w14:paraId="4F6B0765">
      <w:pPr>
        <w:tabs>
          <w:tab w:val="left" w:pos="4002"/>
        </w:tabs>
        <w:spacing w:line="278" w:lineRule="auto"/>
        <w:rPr>
          <w:rFonts w:ascii="Times New Roman" w:hAnsi="Times New Roman" w:eastAsiaTheme="majorEastAsia" w:cstheme="majorBidi"/>
          <w:b/>
          <w:color w:val="000000" w:themeColor="text1"/>
          <w:sz w:val="24"/>
          <w:szCs w:val="40"/>
          <w14:textFill>
            <w14:solidFill>
              <w14:schemeClr w14:val="tx1"/>
            </w14:solidFill>
          </w14:textFill>
        </w:rPr>
      </w:pPr>
      <w:r>
        <w:rPr>
          <w:rFonts w:ascii="Times New Roman" w:hAnsi="Times New Roman" w:cs="Times New Roman"/>
          <w:sz w:val="24"/>
          <w:szCs w:val="24"/>
        </w:rPr>
        <w:br w:type="page"/>
      </w:r>
      <w:r>
        <w:tab/>
      </w:r>
    </w:p>
    <w:p w14:paraId="2241D293">
      <w:pPr>
        <w:pStyle w:val="2"/>
        <w:spacing w:after="0" w:line="480" w:lineRule="auto"/>
        <w:jc w:val="center"/>
      </w:pPr>
      <w:bookmarkStart w:id="2" w:name="_Toc215132337"/>
      <w:r>
        <w:t>DEDICATION</w:t>
      </w:r>
      <w:bookmarkEnd w:id="2"/>
    </w:p>
    <w:p w14:paraId="66892501">
      <w:pPr>
        <w:spacing w:line="278"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This research project is dedicated to God Almighty and then, to my lovely and adorable parents Mr. and Mrs. Jonathan Iliya and my grandma Mrs. Kande Iliya for their constant prayers and financial support.</w:t>
      </w:r>
    </w:p>
    <w:p w14:paraId="3DF9F974">
      <w:pPr>
        <w:spacing w:line="278" w:lineRule="auto"/>
        <w:rPr>
          <w:rFonts w:ascii="Times New Roman" w:hAnsi="Times New Roman" w:cs="Times New Roman"/>
          <w:color w:val="000000" w:themeColor="text1"/>
          <w14:textFill>
            <w14:solidFill>
              <w14:schemeClr w14:val="tx1"/>
            </w14:solidFill>
          </w14:textFill>
        </w:rPr>
      </w:pPr>
    </w:p>
    <w:p w14:paraId="39E3B208">
      <w:pPr>
        <w:spacing w:line="278" w:lineRule="auto"/>
        <w:rPr>
          <w:rFonts w:ascii="Times New Roman" w:hAnsi="Times New Roman" w:cs="Times New Roman"/>
          <w:color w:val="000000" w:themeColor="text1"/>
          <w14:textFill>
            <w14:solidFill>
              <w14:schemeClr w14:val="tx1"/>
            </w14:solidFill>
          </w14:textFill>
        </w:rPr>
      </w:pPr>
    </w:p>
    <w:p w14:paraId="6F319D0B">
      <w:pPr>
        <w:spacing w:line="278" w:lineRule="auto"/>
        <w:rPr>
          <w:rFonts w:ascii="Times New Roman" w:hAnsi="Times New Roman" w:cs="Times New Roman"/>
          <w:color w:val="000000" w:themeColor="text1"/>
          <w14:textFill>
            <w14:solidFill>
              <w14:schemeClr w14:val="tx1"/>
            </w14:solidFill>
          </w14:textFill>
        </w:rPr>
      </w:pPr>
    </w:p>
    <w:p w14:paraId="5D629B6A">
      <w:pPr>
        <w:spacing w:line="278" w:lineRule="auto"/>
        <w:rPr>
          <w:rFonts w:ascii="Times New Roman" w:hAnsi="Times New Roman" w:cs="Times New Roman"/>
          <w:color w:val="000000" w:themeColor="text1"/>
          <w14:textFill>
            <w14:solidFill>
              <w14:schemeClr w14:val="tx1"/>
            </w14:solidFill>
          </w14:textFill>
        </w:rPr>
      </w:pPr>
    </w:p>
    <w:p w14:paraId="2AF12B6B">
      <w:pPr>
        <w:spacing w:line="278" w:lineRule="auto"/>
        <w:rPr>
          <w:rFonts w:ascii="Times New Roman" w:hAnsi="Times New Roman" w:cs="Times New Roman"/>
          <w:color w:val="000000" w:themeColor="text1"/>
          <w14:textFill>
            <w14:solidFill>
              <w14:schemeClr w14:val="tx1"/>
            </w14:solidFill>
          </w14:textFill>
        </w:rPr>
      </w:pPr>
    </w:p>
    <w:p w14:paraId="011B6FA8">
      <w:pPr>
        <w:spacing w:line="278" w:lineRule="auto"/>
        <w:rPr>
          <w:rFonts w:ascii="Times New Roman" w:hAnsi="Times New Roman" w:cs="Times New Roman"/>
          <w:color w:val="000000" w:themeColor="text1"/>
          <w14:textFill>
            <w14:solidFill>
              <w14:schemeClr w14:val="tx1"/>
            </w14:solidFill>
          </w14:textFill>
        </w:rPr>
      </w:pPr>
    </w:p>
    <w:p w14:paraId="149733F6">
      <w:pPr>
        <w:spacing w:line="278" w:lineRule="auto"/>
        <w:rPr>
          <w:rFonts w:ascii="Times New Roman" w:hAnsi="Times New Roman" w:cs="Times New Roman"/>
          <w:color w:val="000000" w:themeColor="text1"/>
          <w14:textFill>
            <w14:solidFill>
              <w14:schemeClr w14:val="tx1"/>
            </w14:solidFill>
          </w14:textFill>
        </w:rPr>
      </w:pPr>
    </w:p>
    <w:p w14:paraId="07B11321">
      <w:pPr>
        <w:spacing w:line="278" w:lineRule="auto"/>
        <w:rPr>
          <w:rFonts w:ascii="Times New Roman" w:hAnsi="Times New Roman" w:cs="Times New Roman"/>
          <w:color w:val="000000" w:themeColor="text1"/>
          <w14:textFill>
            <w14:solidFill>
              <w14:schemeClr w14:val="tx1"/>
            </w14:solidFill>
          </w14:textFill>
        </w:rPr>
      </w:pPr>
    </w:p>
    <w:p w14:paraId="2F377ECA">
      <w:pPr>
        <w:spacing w:line="278" w:lineRule="auto"/>
        <w:rPr>
          <w:rFonts w:ascii="Times New Roman" w:hAnsi="Times New Roman" w:cs="Times New Roman"/>
          <w:color w:val="000000" w:themeColor="text1"/>
          <w14:textFill>
            <w14:solidFill>
              <w14:schemeClr w14:val="tx1"/>
            </w14:solidFill>
          </w14:textFill>
        </w:rPr>
      </w:pPr>
    </w:p>
    <w:p w14:paraId="7F07EA80">
      <w:pPr>
        <w:spacing w:line="278" w:lineRule="auto"/>
        <w:rPr>
          <w:rFonts w:ascii="Times New Roman" w:hAnsi="Times New Roman" w:cs="Times New Roman"/>
          <w:color w:val="000000" w:themeColor="text1"/>
          <w14:textFill>
            <w14:solidFill>
              <w14:schemeClr w14:val="tx1"/>
            </w14:solidFill>
          </w14:textFill>
        </w:rPr>
      </w:pPr>
    </w:p>
    <w:p w14:paraId="6DBC3442">
      <w:pPr>
        <w:spacing w:line="278" w:lineRule="auto"/>
        <w:rPr>
          <w:rFonts w:ascii="Times New Roman" w:hAnsi="Times New Roman" w:cs="Times New Roman"/>
          <w:color w:val="000000" w:themeColor="text1"/>
          <w14:textFill>
            <w14:solidFill>
              <w14:schemeClr w14:val="tx1"/>
            </w14:solidFill>
          </w14:textFill>
        </w:rPr>
      </w:pPr>
    </w:p>
    <w:p w14:paraId="682DC508">
      <w:pPr>
        <w:spacing w:line="278" w:lineRule="auto"/>
        <w:rPr>
          <w:rFonts w:ascii="Times New Roman" w:hAnsi="Times New Roman" w:cs="Times New Roman"/>
          <w:color w:val="000000" w:themeColor="text1"/>
          <w14:textFill>
            <w14:solidFill>
              <w14:schemeClr w14:val="tx1"/>
            </w14:solidFill>
          </w14:textFill>
        </w:rPr>
      </w:pPr>
    </w:p>
    <w:p w14:paraId="3EECA3E4">
      <w:pPr>
        <w:spacing w:line="278" w:lineRule="auto"/>
        <w:rPr>
          <w:rFonts w:ascii="Times New Roman" w:hAnsi="Times New Roman" w:cs="Times New Roman"/>
          <w:color w:val="000000" w:themeColor="text1"/>
          <w14:textFill>
            <w14:solidFill>
              <w14:schemeClr w14:val="tx1"/>
            </w14:solidFill>
          </w14:textFill>
        </w:rPr>
      </w:pPr>
    </w:p>
    <w:p w14:paraId="17582F75">
      <w:pPr>
        <w:spacing w:line="278" w:lineRule="auto"/>
        <w:rPr>
          <w:rFonts w:ascii="Times New Roman" w:hAnsi="Times New Roman" w:cs="Times New Roman"/>
          <w:color w:val="000000" w:themeColor="text1"/>
          <w14:textFill>
            <w14:solidFill>
              <w14:schemeClr w14:val="tx1"/>
            </w14:solidFill>
          </w14:textFill>
        </w:rPr>
      </w:pPr>
    </w:p>
    <w:p w14:paraId="2D2155E0">
      <w:pPr>
        <w:spacing w:line="278" w:lineRule="auto"/>
        <w:rPr>
          <w:rFonts w:ascii="Times New Roman" w:hAnsi="Times New Roman" w:cs="Times New Roman"/>
          <w:color w:val="000000" w:themeColor="text1"/>
          <w14:textFill>
            <w14:solidFill>
              <w14:schemeClr w14:val="tx1"/>
            </w14:solidFill>
          </w14:textFill>
        </w:rPr>
      </w:pPr>
    </w:p>
    <w:p w14:paraId="72E838F4">
      <w:pPr>
        <w:spacing w:line="278" w:lineRule="auto"/>
        <w:rPr>
          <w:rFonts w:ascii="Times New Roman" w:hAnsi="Times New Roman" w:cs="Times New Roman"/>
          <w:color w:val="000000" w:themeColor="text1"/>
          <w14:textFill>
            <w14:solidFill>
              <w14:schemeClr w14:val="tx1"/>
            </w14:solidFill>
          </w14:textFill>
        </w:rPr>
      </w:pPr>
    </w:p>
    <w:p w14:paraId="51DDECE3">
      <w:pPr>
        <w:spacing w:line="278" w:lineRule="auto"/>
        <w:rPr>
          <w:rFonts w:ascii="Times New Roman" w:hAnsi="Times New Roman" w:cs="Times New Roman"/>
          <w:color w:val="000000" w:themeColor="text1"/>
          <w14:textFill>
            <w14:solidFill>
              <w14:schemeClr w14:val="tx1"/>
            </w14:solidFill>
          </w14:textFill>
        </w:rPr>
      </w:pPr>
    </w:p>
    <w:p w14:paraId="49D5B13B">
      <w:pPr>
        <w:spacing w:line="278" w:lineRule="auto"/>
        <w:rPr>
          <w:rFonts w:ascii="Times New Roman" w:hAnsi="Times New Roman" w:cs="Times New Roman"/>
          <w:color w:val="000000" w:themeColor="text1"/>
          <w14:textFill>
            <w14:solidFill>
              <w14:schemeClr w14:val="tx1"/>
            </w14:solidFill>
          </w14:textFill>
        </w:rPr>
      </w:pPr>
    </w:p>
    <w:p w14:paraId="25FD0C70">
      <w:pPr>
        <w:spacing w:line="278" w:lineRule="auto"/>
        <w:rPr>
          <w:rFonts w:ascii="Times New Roman" w:hAnsi="Times New Roman" w:cs="Times New Roman"/>
          <w:color w:val="000000" w:themeColor="text1"/>
          <w14:textFill>
            <w14:solidFill>
              <w14:schemeClr w14:val="tx1"/>
            </w14:solidFill>
          </w14:textFill>
        </w:rPr>
      </w:pPr>
    </w:p>
    <w:p w14:paraId="77D2DCA8">
      <w:pPr>
        <w:spacing w:line="278" w:lineRule="auto"/>
        <w:rPr>
          <w:rFonts w:ascii="Times New Roman" w:hAnsi="Times New Roman" w:cs="Times New Roman"/>
          <w:color w:val="000000" w:themeColor="text1"/>
          <w14:textFill>
            <w14:solidFill>
              <w14:schemeClr w14:val="tx1"/>
            </w14:solidFill>
          </w14:textFill>
        </w:rPr>
      </w:pPr>
    </w:p>
    <w:p w14:paraId="6F680D2B">
      <w:pPr>
        <w:spacing w:line="278" w:lineRule="auto"/>
        <w:rPr>
          <w:rFonts w:ascii="Times New Roman" w:hAnsi="Times New Roman" w:cs="Times New Roman"/>
          <w:color w:val="000000" w:themeColor="text1"/>
          <w14:textFill>
            <w14:solidFill>
              <w14:schemeClr w14:val="tx1"/>
            </w14:solidFill>
          </w14:textFill>
        </w:rPr>
      </w:pPr>
    </w:p>
    <w:p w14:paraId="05CE1972">
      <w:pPr>
        <w:spacing w:line="278" w:lineRule="auto"/>
        <w:rPr>
          <w:rFonts w:ascii="Times New Roman" w:hAnsi="Times New Roman" w:cs="Times New Roman"/>
          <w:color w:val="000000" w:themeColor="text1"/>
          <w14:textFill>
            <w14:solidFill>
              <w14:schemeClr w14:val="tx1"/>
            </w14:solidFill>
          </w14:textFill>
        </w:rPr>
      </w:pPr>
    </w:p>
    <w:p w14:paraId="76B31D34">
      <w:pPr>
        <w:pStyle w:val="2"/>
        <w:spacing w:after="0" w:line="480" w:lineRule="auto"/>
        <w:jc w:val="center"/>
      </w:pPr>
      <w:bookmarkStart w:id="3" w:name="_Toc215132338"/>
      <w:r>
        <w:t>ACKNOWLEDGMENTS</w:t>
      </w:r>
      <w:bookmarkEnd w:id="3"/>
    </w:p>
    <w:p w14:paraId="3647B1A4">
      <w:pPr>
        <w:spacing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All praises and adorations belong to God Almighty, the creator of the universe, for the supports, guidance, opportunity, power and protection throughout the course of this research project. May him alone be glorified. </w:t>
      </w:r>
    </w:p>
    <w:p w14:paraId="1F36BF6D">
      <w:pPr>
        <w:spacing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I extend my heartfelt gratitude to my supervisor Prof. S.W. Hassan for his guidance and unwavering commitment to ensuring the successful completion of this research. Words alone cannot adequately convey the depth of my gratitude.</w:t>
      </w:r>
    </w:p>
    <w:p w14:paraId="35CDBA16">
      <w:pPr>
        <w:spacing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 I am sincerely grateful to Mallam Nafiu Mohammad who spared his time, supports and tireless effort towards my work as well as grate advices. </w:t>
      </w:r>
    </w:p>
    <w:p w14:paraId="39677933">
      <w:pPr>
        <w:spacing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I would like to express my profound gratitude to the entire staff of the department of Biochemistry and Molecular Biology Usmanu Danfodiyo University, Sokoto for contributing and helping me throughout my academic journey with their wealth of knowledge. </w:t>
      </w:r>
    </w:p>
    <w:p w14:paraId="2FB909CC">
      <w:p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 I will also like to extend my deepest appreciation to my parents Mr. and Mrs. Jonathan Iliya, for their love, supports, prayers, words of encouragements and constant care.</w:t>
      </w:r>
    </w:p>
    <w:p w14:paraId="33F485C1">
      <w:p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 I am eternally grateful to my siblings, Joy Karom Jonathan and Patience Abyelo Jonathan for their prayers and motivations. I am forever grateful. </w:t>
      </w:r>
    </w:p>
    <w:p w14:paraId="39A39625">
      <w:pPr>
        <w:spacing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To my beloved friends on campus, Hope Jerome Sizah and Joy Auta Ibrahim, thank you for everything and the journey so far.</w:t>
      </w:r>
    </w:p>
    <w:p w14:paraId="3BA82BE7">
      <w:pPr>
        <w:spacing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To my amazing family on campus, Bridget Diba Peter, Sarah Kofoworola Oladapo, Anorld Kaura, Aisha Idris, Promise Yem Yohannah, Peter Idu, Elisha Funom Stephen, Ekele Joy, Lydia Luka. Thank you for making this journey an easy one. I love you all.</w:t>
      </w:r>
    </w:p>
    <w:p w14:paraId="2C249BD9">
      <w:pPr>
        <w:spacing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Lastly, to my very special friend FELIX EBOH BERNARD, thank you for everything you do dear. Words enough cannot describe how grateful I am. I heart you always.  </w:t>
      </w:r>
      <w:r>
        <w:br w:type="page"/>
      </w:r>
    </w:p>
    <w:p w14:paraId="73711A43">
      <w:pPr>
        <w:pStyle w:val="2"/>
        <w:spacing w:after="0" w:line="480" w:lineRule="auto"/>
        <w:jc w:val="center"/>
      </w:pPr>
      <w:bookmarkStart w:id="4" w:name="_Toc215132339"/>
      <w:r>
        <w:t>TABLE OF CONTENTS</w:t>
      </w:r>
      <w:bookmarkEnd w:id="4"/>
    </w:p>
    <w:p w14:paraId="7C7AECCD">
      <w:pPr>
        <w:pStyle w:val="25"/>
        <w:tabs>
          <w:tab w:val="right" w:leader="dot" w:pos="9350"/>
        </w:tabs>
        <w:spacing w:after="0" w:line="360" w:lineRule="auto"/>
        <w:rPr>
          <w:rFonts w:asciiTheme="majorBidi" w:hAnsiTheme="majorBidi" w:eastAsiaTheme="minorEastAsia" w:cstheme="majorBidi"/>
          <w:sz w:val="24"/>
          <w:szCs w:val="24"/>
        </w:rPr>
      </w:pPr>
      <w:r>
        <w:rPr>
          <w:rFonts w:asciiTheme="majorBidi" w:hAnsiTheme="majorBidi" w:cstheme="majorBidi"/>
          <w:sz w:val="24"/>
          <w:szCs w:val="24"/>
        </w:rPr>
        <w:fldChar w:fldCharType="begin"/>
      </w:r>
      <w:r>
        <w:rPr>
          <w:rFonts w:asciiTheme="majorBidi" w:hAnsiTheme="majorBidi" w:cstheme="majorBidi"/>
          <w:sz w:val="24"/>
          <w:szCs w:val="24"/>
        </w:rPr>
        <w:instrText xml:space="preserve"> TOC \o "1-3" \h \z \u </w:instrText>
      </w:r>
      <w:r>
        <w:rPr>
          <w:rFonts w:asciiTheme="majorBidi" w:hAnsiTheme="majorBidi" w:cstheme="majorBidi"/>
          <w:sz w:val="24"/>
          <w:szCs w:val="24"/>
        </w:rPr>
        <w:fldChar w:fldCharType="separate"/>
      </w:r>
      <w:r>
        <w:fldChar w:fldCharType="begin"/>
      </w:r>
      <w:r>
        <w:instrText xml:space="preserve"> HYPERLINK \l "_Toc215132335" </w:instrText>
      </w:r>
      <w:r>
        <w:fldChar w:fldCharType="separate"/>
      </w:r>
      <w:r>
        <w:rPr>
          <w:rStyle w:val="18"/>
          <w:rFonts w:asciiTheme="majorBidi" w:hAnsiTheme="majorBidi" w:cstheme="majorBidi"/>
          <w:sz w:val="24"/>
          <w:szCs w:val="24"/>
        </w:rPr>
        <w:t>TITLE PAGE</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_Toc215132335 \h </w:instrText>
      </w:r>
      <w:r>
        <w:rPr>
          <w:rFonts w:asciiTheme="majorBidi" w:hAnsiTheme="majorBidi" w:cstheme="majorBidi"/>
          <w:sz w:val="24"/>
          <w:szCs w:val="24"/>
        </w:rPr>
        <w:fldChar w:fldCharType="separate"/>
      </w:r>
      <w:r>
        <w:rPr>
          <w:rFonts w:asciiTheme="majorBidi" w:hAnsiTheme="majorBidi" w:cstheme="majorBidi"/>
          <w:sz w:val="24"/>
          <w:szCs w:val="24"/>
        </w:rPr>
        <w:t>i</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12DB629F">
      <w:pPr>
        <w:pStyle w:val="25"/>
        <w:tabs>
          <w:tab w:val="right" w:leader="dot" w:pos="9350"/>
        </w:tabs>
        <w:spacing w:after="0" w:line="360" w:lineRule="auto"/>
        <w:rPr>
          <w:rFonts w:asciiTheme="majorBidi" w:hAnsiTheme="majorBidi" w:eastAsiaTheme="minorEastAsia" w:cstheme="majorBidi"/>
          <w:sz w:val="24"/>
          <w:szCs w:val="24"/>
        </w:rPr>
      </w:pPr>
      <w:r>
        <w:fldChar w:fldCharType="begin"/>
      </w:r>
      <w:r>
        <w:instrText xml:space="preserve"> HYPERLINK \l "_Toc215132336" </w:instrText>
      </w:r>
      <w:r>
        <w:fldChar w:fldCharType="separate"/>
      </w:r>
      <w:r>
        <w:rPr>
          <w:rStyle w:val="18"/>
          <w:rFonts w:asciiTheme="majorBidi" w:hAnsiTheme="majorBidi" w:cstheme="majorBidi"/>
          <w:sz w:val="24"/>
          <w:szCs w:val="24"/>
        </w:rPr>
        <w:t>CERTIFICATION</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_Toc215132336 \h </w:instrText>
      </w:r>
      <w:r>
        <w:rPr>
          <w:rFonts w:asciiTheme="majorBidi" w:hAnsiTheme="majorBidi" w:cstheme="majorBidi"/>
          <w:sz w:val="24"/>
          <w:szCs w:val="24"/>
        </w:rPr>
        <w:fldChar w:fldCharType="separate"/>
      </w:r>
      <w:r>
        <w:rPr>
          <w:rFonts w:asciiTheme="majorBidi" w:hAnsiTheme="majorBidi" w:cstheme="majorBidi"/>
          <w:sz w:val="24"/>
          <w:szCs w:val="24"/>
        </w:rPr>
        <w:t>ii</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056321D7">
      <w:pPr>
        <w:pStyle w:val="25"/>
        <w:tabs>
          <w:tab w:val="right" w:leader="dot" w:pos="9350"/>
        </w:tabs>
        <w:spacing w:after="0" w:line="360" w:lineRule="auto"/>
        <w:rPr>
          <w:rFonts w:asciiTheme="majorBidi" w:hAnsiTheme="majorBidi" w:eastAsiaTheme="minorEastAsia" w:cstheme="majorBidi"/>
          <w:sz w:val="24"/>
          <w:szCs w:val="24"/>
        </w:rPr>
      </w:pPr>
      <w:r>
        <w:fldChar w:fldCharType="begin"/>
      </w:r>
      <w:r>
        <w:instrText xml:space="preserve"> HYPERLINK \l "_Toc215132337" </w:instrText>
      </w:r>
      <w:r>
        <w:fldChar w:fldCharType="separate"/>
      </w:r>
      <w:r>
        <w:rPr>
          <w:rStyle w:val="18"/>
          <w:rFonts w:asciiTheme="majorBidi" w:hAnsiTheme="majorBidi" w:cstheme="majorBidi"/>
          <w:sz w:val="24"/>
          <w:szCs w:val="24"/>
        </w:rPr>
        <w:t>DEDICATION</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_Toc215132337 \h </w:instrText>
      </w:r>
      <w:r>
        <w:rPr>
          <w:rFonts w:asciiTheme="majorBidi" w:hAnsiTheme="majorBidi" w:cstheme="majorBidi"/>
          <w:sz w:val="24"/>
          <w:szCs w:val="24"/>
        </w:rPr>
        <w:fldChar w:fldCharType="separate"/>
      </w:r>
      <w:r>
        <w:rPr>
          <w:rFonts w:asciiTheme="majorBidi" w:hAnsiTheme="majorBidi" w:cstheme="majorBidi"/>
          <w:sz w:val="24"/>
          <w:szCs w:val="24"/>
        </w:rPr>
        <w:t>iii</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4715F1CC">
      <w:pPr>
        <w:pStyle w:val="25"/>
        <w:tabs>
          <w:tab w:val="right" w:leader="dot" w:pos="9350"/>
        </w:tabs>
        <w:spacing w:after="0" w:line="360" w:lineRule="auto"/>
        <w:rPr>
          <w:rFonts w:asciiTheme="majorBidi" w:hAnsiTheme="majorBidi" w:eastAsiaTheme="minorEastAsia" w:cstheme="majorBidi"/>
          <w:sz w:val="24"/>
          <w:szCs w:val="24"/>
        </w:rPr>
      </w:pPr>
      <w:r>
        <w:fldChar w:fldCharType="begin"/>
      </w:r>
      <w:r>
        <w:instrText xml:space="preserve"> HYPERLINK \l "_Toc215132338" </w:instrText>
      </w:r>
      <w:r>
        <w:fldChar w:fldCharType="separate"/>
      </w:r>
      <w:r>
        <w:rPr>
          <w:rStyle w:val="18"/>
          <w:rFonts w:asciiTheme="majorBidi" w:hAnsiTheme="majorBidi" w:cstheme="majorBidi"/>
          <w:sz w:val="24"/>
          <w:szCs w:val="24"/>
        </w:rPr>
        <w:t>ACKNOWLEDGMENTS</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_Toc215132338 \h </w:instrText>
      </w:r>
      <w:r>
        <w:rPr>
          <w:rFonts w:asciiTheme="majorBidi" w:hAnsiTheme="majorBidi" w:cstheme="majorBidi"/>
          <w:sz w:val="24"/>
          <w:szCs w:val="24"/>
        </w:rPr>
        <w:fldChar w:fldCharType="separate"/>
      </w:r>
      <w:r>
        <w:rPr>
          <w:rFonts w:asciiTheme="majorBidi" w:hAnsiTheme="majorBidi" w:cstheme="majorBidi"/>
          <w:sz w:val="24"/>
          <w:szCs w:val="24"/>
        </w:rPr>
        <w:t>iv</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2FE9FDE5">
      <w:pPr>
        <w:pStyle w:val="25"/>
        <w:tabs>
          <w:tab w:val="right" w:leader="dot" w:pos="9350"/>
        </w:tabs>
        <w:spacing w:after="0" w:line="360" w:lineRule="auto"/>
        <w:rPr>
          <w:rFonts w:asciiTheme="majorBidi" w:hAnsiTheme="majorBidi" w:eastAsiaTheme="minorEastAsia" w:cstheme="majorBidi"/>
          <w:sz w:val="24"/>
          <w:szCs w:val="24"/>
        </w:rPr>
      </w:pPr>
      <w:r>
        <w:fldChar w:fldCharType="begin"/>
      </w:r>
      <w:r>
        <w:instrText xml:space="preserve"> HYPERLINK \l "_Toc215132339" </w:instrText>
      </w:r>
      <w:r>
        <w:fldChar w:fldCharType="separate"/>
      </w:r>
      <w:r>
        <w:rPr>
          <w:rStyle w:val="18"/>
          <w:rFonts w:asciiTheme="majorBidi" w:hAnsiTheme="majorBidi" w:cstheme="majorBidi"/>
          <w:sz w:val="24"/>
          <w:szCs w:val="24"/>
        </w:rPr>
        <w:t>TABLE OF CONTENTS</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_Toc215132339 \h </w:instrText>
      </w:r>
      <w:r>
        <w:rPr>
          <w:rFonts w:asciiTheme="majorBidi" w:hAnsiTheme="majorBidi" w:cstheme="majorBidi"/>
          <w:sz w:val="24"/>
          <w:szCs w:val="24"/>
        </w:rPr>
        <w:fldChar w:fldCharType="separate"/>
      </w:r>
      <w:r>
        <w:rPr>
          <w:rFonts w:asciiTheme="majorBidi" w:hAnsiTheme="majorBidi" w:cstheme="majorBidi"/>
          <w:sz w:val="24"/>
          <w:szCs w:val="24"/>
        </w:rPr>
        <w:t>v</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3EBE0B6A">
      <w:pPr>
        <w:pStyle w:val="25"/>
        <w:tabs>
          <w:tab w:val="right" w:leader="dot" w:pos="9350"/>
        </w:tabs>
        <w:spacing w:after="0" w:line="360" w:lineRule="auto"/>
        <w:rPr>
          <w:rFonts w:asciiTheme="majorBidi" w:hAnsiTheme="majorBidi" w:eastAsiaTheme="minorEastAsia" w:cstheme="majorBidi"/>
          <w:sz w:val="24"/>
          <w:szCs w:val="24"/>
        </w:rPr>
      </w:pPr>
      <w:r>
        <w:fldChar w:fldCharType="begin"/>
      </w:r>
      <w:r>
        <w:instrText xml:space="preserve"> HYPERLINK \l "_Toc215132340" </w:instrText>
      </w:r>
      <w:r>
        <w:fldChar w:fldCharType="separate"/>
      </w:r>
      <w:r>
        <w:rPr>
          <w:rStyle w:val="18"/>
          <w:rFonts w:asciiTheme="majorBidi" w:hAnsiTheme="majorBidi" w:cstheme="majorBidi"/>
          <w:sz w:val="24"/>
          <w:szCs w:val="24"/>
        </w:rPr>
        <w:t>LIST OF TABLES</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_Toc215132340 \h </w:instrText>
      </w:r>
      <w:r>
        <w:rPr>
          <w:rFonts w:asciiTheme="majorBidi" w:hAnsiTheme="majorBidi" w:cstheme="majorBidi"/>
          <w:sz w:val="24"/>
          <w:szCs w:val="24"/>
        </w:rPr>
        <w:fldChar w:fldCharType="separate"/>
      </w:r>
      <w:r>
        <w:rPr>
          <w:rFonts w:asciiTheme="majorBidi" w:hAnsiTheme="majorBidi" w:cstheme="majorBidi"/>
          <w:sz w:val="24"/>
          <w:szCs w:val="24"/>
        </w:rPr>
        <w:t>vii</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1BC8B774">
      <w:pPr>
        <w:pStyle w:val="25"/>
        <w:tabs>
          <w:tab w:val="right" w:leader="dot" w:pos="9350"/>
        </w:tabs>
        <w:spacing w:after="0" w:line="360" w:lineRule="auto"/>
        <w:rPr>
          <w:rFonts w:asciiTheme="majorBidi" w:hAnsiTheme="majorBidi" w:eastAsiaTheme="minorEastAsia" w:cstheme="majorBidi"/>
          <w:sz w:val="24"/>
          <w:szCs w:val="24"/>
        </w:rPr>
      </w:pPr>
      <w:r>
        <w:fldChar w:fldCharType="begin"/>
      </w:r>
      <w:r>
        <w:instrText xml:space="preserve"> HYPERLINK \l "_Toc215132341" </w:instrText>
      </w:r>
      <w:r>
        <w:fldChar w:fldCharType="separate"/>
      </w:r>
      <w:r>
        <w:rPr>
          <w:rStyle w:val="18"/>
          <w:rFonts w:asciiTheme="majorBidi" w:hAnsiTheme="majorBidi" w:cstheme="majorBidi"/>
          <w:bCs/>
          <w:sz w:val="24"/>
          <w:szCs w:val="24"/>
        </w:rPr>
        <w:t>ABSTRACT</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_Toc215132341 \h </w:instrText>
      </w:r>
      <w:r>
        <w:rPr>
          <w:rFonts w:asciiTheme="majorBidi" w:hAnsiTheme="majorBidi" w:cstheme="majorBidi"/>
          <w:sz w:val="24"/>
          <w:szCs w:val="24"/>
        </w:rPr>
        <w:fldChar w:fldCharType="separate"/>
      </w:r>
      <w:r>
        <w:rPr>
          <w:rFonts w:asciiTheme="majorBidi" w:hAnsiTheme="majorBidi" w:cstheme="majorBidi"/>
          <w:sz w:val="24"/>
          <w:szCs w:val="24"/>
        </w:rPr>
        <w:t>viii</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76D9D86F">
      <w:pPr>
        <w:pStyle w:val="25"/>
        <w:tabs>
          <w:tab w:val="right" w:leader="dot" w:pos="9350"/>
        </w:tabs>
        <w:spacing w:after="0" w:line="360" w:lineRule="auto"/>
        <w:rPr>
          <w:rFonts w:asciiTheme="majorBidi" w:hAnsiTheme="majorBidi" w:eastAsiaTheme="minorEastAsia" w:cstheme="majorBidi"/>
          <w:b/>
          <w:bCs/>
          <w:sz w:val="24"/>
          <w:szCs w:val="24"/>
        </w:rPr>
      </w:pPr>
      <w:r>
        <w:fldChar w:fldCharType="begin"/>
      </w:r>
      <w:r>
        <w:instrText xml:space="preserve"> HYPERLINK \l "_Toc215132342" </w:instrText>
      </w:r>
      <w:r>
        <w:fldChar w:fldCharType="separate"/>
      </w:r>
      <w:r>
        <w:rPr>
          <w:rStyle w:val="18"/>
          <w:rFonts w:eastAsia="Times New Roman" w:asciiTheme="majorBidi" w:hAnsiTheme="majorBidi" w:cstheme="majorBidi"/>
          <w:b/>
          <w:bCs/>
          <w:sz w:val="24"/>
          <w:szCs w:val="24"/>
        </w:rPr>
        <w:t>CHAPTER ONE</w:t>
      </w:r>
      <w:r>
        <w:rPr>
          <w:rStyle w:val="18"/>
          <w:rFonts w:eastAsia="Times New Roman" w:asciiTheme="majorBidi" w:hAnsiTheme="majorBidi" w:cstheme="majorBidi"/>
          <w:b/>
          <w:bCs/>
          <w:sz w:val="24"/>
          <w:szCs w:val="24"/>
        </w:rPr>
        <w:fldChar w:fldCharType="end"/>
      </w:r>
      <w:r>
        <w:rPr>
          <w:rFonts w:asciiTheme="majorBidi" w:hAnsiTheme="majorBidi" w:eastAsiaTheme="minorEastAsia" w:cstheme="majorBidi"/>
          <w:b/>
          <w:bCs/>
          <w:sz w:val="24"/>
          <w:szCs w:val="24"/>
        </w:rPr>
        <w:t xml:space="preserve">: </w:t>
      </w:r>
      <w:r>
        <w:fldChar w:fldCharType="begin"/>
      </w:r>
      <w:r>
        <w:instrText xml:space="preserve"> HYPERLINK \l "_Toc215132343" </w:instrText>
      </w:r>
      <w:r>
        <w:fldChar w:fldCharType="separate"/>
      </w:r>
      <w:r>
        <w:rPr>
          <w:rStyle w:val="18"/>
          <w:rFonts w:eastAsia="Times New Roman" w:asciiTheme="majorBidi" w:hAnsiTheme="majorBidi" w:cstheme="majorBidi"/>
          <w:b/>
          <w:bCs/>
          <w:kern w:val="36"/>
          <w:sz w:val="24"/>
          <w:szCs w:val="24"/>
        </w:rPr>
        <w:t>INTRODUCTION</w:t>
      </w:r>
      <w:r>
        <w:rPr>
          <w:rFonts w:asciiTheme="majorBidi" w:hAnsiTheme="majorBidi" w:cstheme="majorBidi"/>
          <w:b/>
          <w:bCs/>
          <w:sz w:val="24"/>
          <w:szCs w:val="24"/>
        </w:rPr>
        <w:tab/>
      </w:r>
      <w:r>
        <w:rPr>
          <w:rFonts w:asciiTheme="majorBidi" w:hAnsiTheme="majorBidi" w:cstheme="majorBidi"/>
          <w:b/>
          <w:bCs/>
          <w:sz w:val="24"/>
          <w:szCs w:val="24"/>
        </w:rPr>
        <w:fldChar w:fldCharType="begin"/>
      </w:r>
      <w:r>
        <w:rPr>
          <w:rFonts w:asciiTheme="majorBidi" w:hAnsiTheme="majorBidi" w:cstheme="majorBidi"/>
          <w:b/>
          <w:bCs/>
          <w:sz w:val="24"/>
          <w:szCs w:val="24"/>
        </w:rPr>
        <w:instrText xml:space="preserve"> PAGEREF _Toc215132343 \h </w:instrText>
      </w:r>
      <w:r>
        <w:rPr>
          <w:rFonts w:asciiTheme="majorBidi" w:hAnsiTheme="majorBidi" w:cstheme="majorBidi"/>
          <w:b/>
          <w:bCs/>
          <w:sz w:val="24"/>
          <w:szCs w:val="24"/>
        </w:rPr>
        <w:fldChar w:fldCharType="separate"/>
      </w:r>
      <w:r>
        <w:rPr>
          <w:rFonts w:asciiTheme="majorBidi" w:hAnsiTheme="majorBidi" w:cstheme="majorBidi"/>
          <w:b/>
          <w:bCs/>
          <w:sz w:val="24"/>
          <w:szCs w:val="24"/>
        </w:rPr>
        <w:t>1</w:t>
      </w:r>
      <w:r>
        <w:rPr>
          <w:rFonts w:asciiTheme="majorBidi" w:hAnsiTheme="majorBidi" w:cstheme="majorBidi"/>
          <w:b/>
          <w:bCs/>
          <w:sz w:val="24"/>
          <w:szCs w:val="24"/>
        </w:rPr>
        <w:fldChar w:fldCharType="end"/>
      </w:r>
      <w:r>
        <w:rPr>
          <w:rFonts w:asciiTheme="majorBidi" w:hAnsiTheme="majorBidi" w:cstheme="majorBidi"/>
          <w:b/>
          <w:bCs/>
          <w:sz w:val="24"/>
          <w:szCs w:val="24"/>
        </w:rPr>
        <w:fldChar w:fldCharType="end"/>
      </w:r>
    </w:p>
    <w:p w14:paraId="1E5121DF">
      <w:pPr>
        <w:pStyle w:val="25"/>
        <w:tabs>
          <w:tab w:val="left" w:pos="660"/>
          <w:tab w:val="right" w:leader="dot" w:pos="9350"/>
        </w:tabs>
        <w:spacing w:after="0" w:line="360" w:lineRule="auto"/>
        <w:rPr>
          <w:rFonts w:asciiTheme="majorBidi" w:hAnsiTheme="majorBidi" w:eastAsiaTheme="minorEastAsia" w:cstheme="majorBidi"/>
          <w:sz w:val="24"/>
          <w:szCs w:val="24"/>
        </w:rPr>
      </w:pPr>
      <w:r>
        <w:fldChar w:fldCharType="begin"/>
      </w:r>
      <w:r>
        <w:instrText xml:space="preserve"> HYPERLINK \l "_Toc215132344" </w:instrText>
      </w:r>
      <w:r>
        <w:fldChar w:fldCharType="separate"/>
      </w:r>
      <w:r>
        <w:rPr>
          <w:rStyle w:val="18"/>
          <w:rFonts w:eastAsia="Times New Roman" w:asciiTheme="majorBidi" w:hAnsiTheme="majorBidi" w:cstheme="majorBidi"/>
          <w:sz w:val="24"/>
          <w:szCs w:val="24"/>
        </w:rPr>
        <w:t>1.1</w:t>
      </w:r>
      <w:r>
        <w:rPr>
          <w:rFonts w:asciiTheme="majorBidi" w:hAnsiTheme="majorBidi" w:eastAsiaTheme="minorEastAsia" w:cstheme="majorBidi"/>
          <w:sz w:val="24"/>
          <w:szCs w:val="24"/>
        </w:rPr>
        <w:tab/>
      </w:r>
      <w:r>
        <w:rPr>
          <w:rStyle w:val="18"/>
          <w:rFonts w:eastAsia="Times New Roman" w:asciiTheme="majorBidi" w:hAnsiTheme="majorBidi" w:cstheme="majorBidi"/>
          <w:sz w:val="24"/>
          <w:szCs w:val="24"/>
        </w:rPr>
        <w:t>Background of the Study</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_Toc215132344 \h </w:instrText>
      </w:r>
      <w:r>
        <w:rPr>
          <w:rFonts w:asciiTheme="majorBidi" w:hAnsiTheme="majorBidi" w:cstheme="majorBidi"/>
          <w:sz w:val="24"/>
          <w:szCs w:val="24"/>
        </w:rPr>
        <w:fldChar w:fldCharType="separate"/>
      </w:r>
      <w:r>
        <w:rPr>
          <w:rFonts w:asciiTheme="majorBidi" w:hAnsiTheme="majorBidi" w:cstheme="majorBidi"/>
          <w:sz w:val="24"/>
          <w:szCs w:val="24"/>
        </w:rPr>
        <w:t>1</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298D321E">
      <w:pPr>
        <w:pStyle w:val="25"/>
        <w:tabs>
          <w:tab w:val="left" w:pos="660"/>
          <w:tab w:val="right" w:leader="dot" w:pos="9350"/>
        </w:tabs>
        <w:spacing w:after="0" w:line="360" w:lineRule="auto"/>
        <w:rPr>
          <w:rFonts w:asciiTheme="majorBidi" w:hAnsiTheme="majorBidi" w:eastAsiaTheme="minorEastAsia" w:cstheme="majorBidi"/>
          <w:sz w:val="24"/>
          <w:szCs w:val="24"/>
        </w:rPr>
      </w:pPr>
      <w:r>
        <w:fldChar w:fldCharType="begin"/>
      </w:r>
      <w:r>
        <w:instrText xml:space="preserve"> HYPERLINK \l "_Toc215132345" </w:instrText>
      </w:r>
      <w:r>
        <w:fldChar w:fldCharType="separate"/>
      </w:r>
      <w:r>
        <w:rPr>
          <w:rStyle w:val="18"/>
          <w:rFonts w:eastAsia="Times New Roman" w:asciiTheme="majorBidi" w:hAnsiTheme="majorBidi" w:cstheme="majorBidi"/>
          <w:sz w:val="24"/>
          <w:szCs w:val="24"/>
        </w:rPr>
        <w:t>1.2</w:t>
      </w:r>
      <w:r>
        <w:rPr>
          <w:rFonts w:asciiTheme="majorBidi" w:hAnsiTheme="majorBidi" w:eastAsiaTheme="minorEastAsia" w:cstheme="majorBidi"/>
          <w:sz w:val="24"/>
          <w:szCs w:val="24"/>
        </w:rPr>
        <w:tab/>
      </w:r>
      <w:r>
        <w:rPr>
          <w:rStyle w:val="18"/>
          <w:rFonts w:eastAsia="Times New Roman" w:asciiTheme="majorBidi" w:hAnsiTheme="majorBidi" w:cstheme="majorBidi"/>
          <w:sz w:val="24"/>
          <w:szCs w:val="24"/>
        </w:rPr>
        <w:t>Statement of the Problem</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_Toc215132345 \h </w:instrText>
      </w:r>
      <w:r>
        <w:rPr>
          <w:rFonts w:asciiTheme="majorBidi" w:hAnsiTheme="majorBidi" w:cstheme="majorBidi"/>
          <w:sz w:val="24"/>
          <w:szCs w:val="24"/>
        </w:rPr>
        <w:fldChar w:fldCharType="separate"/>
      </w:r>
      <w:r>
        <w:rPr>
          <w:rFonts w:asciiTheme="majorBidi" w:hAnsiTheme="majorBidi" w:cstheme="majorBidi"/>
          <w:sz w:val="24"/>
          <w:szCs w:val="24"/>
        </w:rPr>
        <w:t>2</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28C87507">
      <w:pPr>
        <w:pStyle w:val="25"/>
        <w:tabs>
          <w:tab w:val="left" w:pos="660"/>
          <w:tab w:val="right" w:leader="dot" w:pos="9350"/>
        </w:tabs>
        <w:spacing w:after="0" w:line="360" w:lineRule="auto"/>
        <w:rPr>
          <w:rFonts w:asciiTheme="majorBidi" w:hAnsiTheme="majorBidi" w:eastAsiaTheme="minorEastAsia" w:cstheme="majorBidi"/>
          <w:sz w:val="24"/>
          <w:szCs w:val="24"/>
        </w:rPr>
      </w:pPr>
      <w:r>
        <w:fldChar w:fldCharType="begin"/>
      </w:r>
      <w:r>
        <w:instrText xml:space="preserve"> HYPERLINK \l "_Toc215132346" </w:instrText>
      </w:r>
      <w:r>
        <w:fldChar w:fldCharType="separate"/>
      </w:r>
      <w:r>
        <w:rPr>
          <w:rStyle w:val="18"/>
          <w:rFonts w:eastAsia="Times New Roman" w:asciiTheme="majorBidi" w:hAnsiTheme="majorBidi" w:cstheme="majorBidi"/>
          <w:sz w:val="24"/>
          <w:szCs w:val="24"/>
        </w:rPr>
        <w:t>1.3</w:t>
      </w:r>
      <w:r>
        <w:rPr>
          <w:rFonts w:asciiTheme="majorBidi" w:hAnsiTheme="majorBidi" w:eastAsiaTheme="minorEastAsia" w:cstheme="majorBidi"/>
          <w:sz w:val="24"/>
          <w:szCs w:val="24"/>
        </w:rPr>
        <w:tab/>
      </w:r>
      <w:r>
        <w:rPr>
          <w:rStyle w:val="18"/>
          <w:rFonts w:eastAsia="Times New Roman" w:asciiTheme="majorBidi" w:hAnsiTheme="majorBidi" w:cstheme="majorBidi"/>
          <w:sz w:val="24"/>
          <w:szCs w:val="24"/>
        </w:rPr>
        <w:t>Objectives of the Study</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_Toc215132346 \h </w:instrText>
      </w:r>
      <w:r>
        <w:rPr>
          <w:rFonts w:asciiTheme="majorBidi" w:hAnsiTheme="majorBidi" w:cstheme="majorBidi"/>
          <w:sz w:val="24"/>
          <w:szCs w:val="24"/>
        </w:rPr>
        <w:fldChar w:fldCharType="separate"/>
      </w:r>
      <w:r>
        <w:rPr>
          <w:rFonts w:asciiTheme="majorBidi" w:hAnsiTheme="majorBidi" w:cstheme="majorBidi"/>
          <w:sz w:val="24"/>
          <w:szCs w:val="24"/>
        </w:rPr>
        <w:t>3</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2D3E5600">
      <w:pPr>
        <w:pStyle w:val="25"/>
        <w:tabs>
          <w:tab w:val="left" w:pos="660"/>
          <w:tab w:val="right" w:leader="dot" w:pos="9350"/>
        </w:tabs>
        <w:spacing w:after="0" w:line="360" w:lineRule="auto"/>
        <w:rPr>
          <w:rFonts w:asciiTheme="majorBidi" w:hAnsiTheme="majorBidi" w:eastAsiaTheme="minorEastAsia" w:cstheme="majorBidi"/>
          <w:sz w:val="24"/>
          <w:szCs w:val="24"/>
        </w:rPr>
      </w:pPr>
      <w:r>
        <w:fldChar w:fldCharType="begin"/>
      </w:r>
      <w:r>
        <w:instrText xml:space="preserve"> HYPERLINK \l "_Toc215132347" </w:instrText>
      </w:r>
      <w:r>
        <w:fldChar w:fldCharType="separate"/>
      </w:r>
      <w:r>
        <w:rPr>
          <w:rStyle w:val="18"/>
          <w:rFonts w:eastAsia="Times New Roman" w:asciiTheme="majorBidi" w:hAnsiTheme="majorBidi" w:cstheme="majorBidi"/>
          <w:sz w:val="24"/>
          <w:szCs w:val="24"/>
        </w:rPr>
        <w:t>1.4</w:t>
      </w:r>
      <w:r>
        <w:rPr>
          <w:rFonts w:asciiTheme="majorBidi" w:hAnsiTheme="majorBidi" w:eastAsiaTheme="minorEastAsia" w:cstheme="majorBidi"/>
          <w:sz w:val="24"/>
          <w:szCs w:val="24"/>
        </w:rPr>
        <w:tab/>
      </w:r>
      <w:r>
        <w:rPr>
          <w:rStyle w:val="18"/>
          <w:rFonts w:eastAsia="Times New Roman" w:asciiTheme="majorBidi" w:hAnsiTheme="majorBidi" w:cstheme="majorBidi"/>
          <w:sz w:val="24"/>
          <w:szCs w:val="24"/>
        </w:rPr>
        <w:t>Research Questions</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_Toc215132347 \h </w:instrText>
      </w:r>
      <w:r>
        <w:rPr>
          <w:rFonts w:asciiTheme="majorBidi" w:hAnsiTheme="majorBidi" w:cstheme="majorBidi"/>
          <w:sz w:val="24"/>
          <w:szCs w:val="24"/>
        </w:rPr>
        <w:fldChar w:fldCharType="separate"/>
      </w:r>
      <w:r>
        <w:rPr>
          <w:rFonts w:asciiTheme="majorBidi" w:hAnsiTheme="majorBidi" w:cstheme="majorBidi"/>
          <w:sz w:val="24"/>
          <w:szCs w:val="24"/>
        </w:rPr>
        <w:t>4</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4B760A47">
      <w:pPr>
        <w:pStyle w:val="25"/>
        <w:tabs>
          <w:tab w:val="left" w:pos="660"/>
          <w:tab w:val="right" w:leader="dot" w:pos="9350"/>
        </w:tabs>
        <w:spacing w:after="0" w:line="360" w:lineRule="auto"/>
        <w:rPr>
          <w:rFonts w:asciiTheme="majorBidi" w:hAnsiTheme="majorBidi" w:eastAsiaTheme="minorEastAsia" w:cstheme="majorBidi"/>
          <w:sz w:val="24"/>
          <w:szCs w:val="24"/>
        </w:rPr>
      </w:pPr>
      <w:r>
        <w:fldChar w:fldCharType="begin"/>
      </w:r>
      <w:r>
        <w:instrText xml:space="preserve"> HYPERLINK \l "_Toc215132348" </w:instrText>
      </w:r>
      <w:r>
        <w:fldChar w:fldCharType="separate"/>
      </w:r>
      <w:r>
        <w:rPr>
          <w:rStyle w:val="18"/>
          <w:rFonts w:eastAsia="Times New Roman" w:asciiTheme="majorBidi" w:hAnsiTheme="majorBidi" w:cstheme="majorBidi"/>
          <w:sz w:val="24"/>
          <w:szCs w:val="24"/>
        </w:rPr>
        <w:t>1.5</w:t>
      </w:r>
      <w:r>
        <w:rPr>
          <w:rFonts w:asciiTheme="majorBidi" w:hAnsiTheme="majorBidi" w:eastAsiaTheme="minorEastAsia" w:cstheme="majorBidi"/>
          <w:sz w:val="24"/>
          <w:szCs w:val="24"/>
        </w:rPr>
        <w:tab/>
      </w:r>
      <w:r>
        <w:rPr>
          <w:rStyle w:val="18"/>
          <w:rFonts w:eastAsia="Times New Roman" w:asciiTheme="majorBidi" w:hAnsiTheme="majorBidi" w:cstheme="majorBidi"/>
          <w:sz w:val="24"/>
          <w:szCs w:val="24"/>
        </w:rPr>
        <w:t>Significance of the Study</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_Toc215132348 \h </w:instrText>
      </w:r>
      <w:r>
        <w:rPr>
          <w:rFonts w:asciiTheme="majorBidi" w:hAnsiTheme="majorBidi" w:cstheme="majorBidi"/>
          <w:sz w:val="24"/>
          <w:szCs w:val="24"/>
        </w:rPr>
        <w:fldChar w:fldCharType="separate"/>
      </w:r>
      <w:r>
        <w:rPr>
          <w:rFonts w:asciiTheme="majorBidi" w:hAnsiTheme="majorBidi" w:cstheme="majorBidi"/>
          <w:sz w:val="24"/>
          <w:szCs w:val="24"/>
        </w:rPr>
        <w:t>4</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0A751C30">
      <w:pPr>
        <w:pStyle w:val="25"/>
        <w:tabs>
          <w:tab w:val="left" w:pos="660"/>
          <w:tab w:val="right" w:leader="dot" w:pos="9350"/>
        </w:tabs>
        <w:spacing w:after="0" w:line="360" w:lineRule="auto"/>
        <w:rPr>
          <w:rFonts w:asciiTheme="majorBidi" w:hAnsiTheme="majorBidi" w:eastAsiaTheme="minorEastAsia" w:cstheme="majorBidi"/>
          <w:sz w:val="24"/>
          <w:szCs w:val="24"/>
        </w:rPr>
      </w:pPr>
      <w:r>
        <w:fldChar w:fldCharType="begin"/>
      </w:r>
      <w:r>
        <w:instrText xml:space="preserve"> HYPERLINK \l "_Toc215132349" </w:instrText>
      </w:r>
      <w:r>
        <w:fldChar w:fldCharType="separate"/>
      </w:r>
      <w:r>
        <w:rPr>
          <w:rStyle w:val="18"/>
          <w:rFonts w:eastAsia="Times New Roman" w:asciiTheme="majorBidi" w:hAnsiTheme="majorBidi" w:cstheme="majorBidi"/>
          <w:sz w:val="24"/>
          <w:szCs w:val="24"/>
        </w:rPr>
        <w:t>1.6</w:t>
      </w:r>
      <w:r>
        <w:rPr>
          <w:rFonts w:asciiTheme="majorBidi" w:hAnsiTheme="majorBidi" w:eastAsiaTheme="minorEastAsia" w:cstheme="majorBidi"/>
          <w:sz w:val="24"/>
          <w:szCs w:val="24"/>
        </w:rPr>
        <w:tab/>
      </w:r>
      <w:r>
        <w:rPr>
          <w:rStyle w:val="18"/>
          <w:rFonts w:eastAsia="Times New Roman" w:asciiTheme="majorBidi" w:hAnsiTheme="majorBidi" w:cstheme="majorBidi"/>
          <w:sz w:val="24"/>
          <w:szCs w:val="24"/>
        </w:rPr>
        <w:t>Scope and Limitations of the Study</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_Toc215132349 \h </w:instrText>
      </w:r>
      <w:r>
        <w:rPr>
          <w:rFonts w:asciiTheme="majorBidi" w:hAnsiTheme="majorBidi" w:cstheme="majorBidi"/>
          <w:sz w:val="24"/>
          <w:szCs w:val="24"/>
        </w:rPr>
        <w:fldChar w:fldCharType="separate"/>
      </w:r>
      <w:r>
        <w:rPr>
          <w:rFonts w:asciiTheme="majorBidi" w:hAnsiTheme="majorBidi" w:cstheme="majorBidi"/>
          <w:sz w:val="24"/>
          <w:szCs w:val="24"/>
        </w:rPr>
        <w:t>5</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49C72179">
      <w:pPr>
        <w:pStyle w:val="25"/>
        <w:tabs>
          <w:tab w:val="left" w:pos="660"/>
          <w:tab w:val="right" w:leader="dot" w:pos="9350"/>
        </w:tabs>
        <w:spacing w:after="0" w:line="360" w:lineRule="auto"/>
        <w:rPr>
          <w:rFonts w:asciiTheme="majorBidi" w:hAnsiTheme="majorBidi" w:eastAsiaTheme="minorEastAsia" w:cstheme="majorBidi"/>
          <w:sz w:val="24"/>
          <w:szCs w:val="24"/>
        </w:rPr>
      </w:pPr>
      <w:r>
        <w:fldChar w:fldCharType="begin"/>
      </w:r>
      <w:r>
        <w:instrText xml:space="preserve"> HYPERLINK \l "_Toc215132350" </w:instrText>
      </w:r>
      <w:r>
        <w:fldChar w:fldCharType="separate"/>
      </w:r>
      <w:r>
        <w:rPr>
          <w:rStyle w:val="18"/>
          <w:rFonts w:asciiTheme="majorBidi" w:hAnsiTheme="majorBidi" w:cstheme="majorBidi"/>
          <w:sz w:val="24"/>
          <w:szCs w:val="24"/>
        </w:rPr>
        <w:t>1.7</w:t>
      </w:r>
      <w:r>
        <w:rPr>
          <w:rFonts w:asciiTheme="majorBidi" w:hAnsiTheme="majorBidi" w:eastAsiaTheme="minorEastAsia" w:cstheme="majorBidi"/>
          <w:sz w:val="24"/>
          <w:szCs w:val="24"/>
        </w:rPr>
        <w:tab/>
      </w:r>
      <w:r>
        <w:rPr>
          <w:rStyle w:val="18"/>
          <w:rFonts w:asciiTheme="majorBidi" w:hAnsiTheme="majorBidi" w:cstheme="majorBidi"/>
          <w:sz w:val="24"/>
          <w:szCs w:val="24"/>
        </w:rPr>
        <w:t>Justification of the Study</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_Toc215132350 \h </w:instrText>
      </w:r>
      <w:r>
        <w:rPr>
          <w:rFonts w:asciiTheme="majorBidi" w:hAnsiTheme="majorBidi" w:cstheme="majorBidi"/>
          <w:sz w:val="24"/>
          <w:szCs w:val="24"/>
        </w:rPr>
        <w:fldChar w:fldCharType="separate"/>
      </w:r>
      <w:r>
        <w:rPr>
          <w:rFonts w:asciiTheme="majorBidi" w:hAnsiTheme="majorBidi" w:cstheme="majorBidi"/>
          <w:sz w:val="24"/>
          <w:szCs w:val="24"/>
        </w:rPr>
        <w:t>6</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1DFD0070">
      <w:pPr>
        <w:pStyle w:val="25"/>
        <w:tabs>
          <w:tab w:val="right" w:leader="dot" w:pos="9350"/>
        </w:tabs>
        <w:spacing w:after="0" w:line="360" w:lineRule="auto"/>
        <w:rPr>
          <w:rFonts w:asciiTheme="majorBidi" w:hAnsiTheme="majorBidi" w:eastAsiaTheme="minorEastAsia" w:cstheme="majorBidi"/>
          <w:b/>
          <w:bCs/>
          <w:sz w:val="24"/>
          <w:szCs w:val="24"/>
        </w:rPr>
      </w:pPr>
      <w:r>
        <w:fldChar w:fldCharType="begin"/>
      </w:r>
      <w:r>
        <w:instrText xml:space="preserve"> HYPERLINK \l "_Toc215132351" </w:instrText>
      </w:r>
      <w:r>
        <w:fldChar w:fldCharType="separate"/>
      </w:r>
      <w:r>
        <w:rPr>
          <w:rStyle w:val="18"/>
          <w:rFonts w:asciiTheme="majorBidi" w:hAnsiTheme="majorBidi" w:cstheme="majorBidi"/>
          <w:b/>
          <w:bCs/>
          <w:sz w:val="24"/>
          <w:szCs w:val="24"/>
        </w:rPr>
        <w:t>CHAPTER TWO</w:t>
      </w:r>
      <w:r>
        <w:rPr>
          <w:rStyle w:val="18"/>
          <w:rFonts w:asciiTheme="majorBidi" w:hAnsiTheme="majorBidi" w:cstheme="majorBidi"/>
          <w:b/>
          <w:bCs/>
          <w:sz w:val="24"/>
          <w:szCs w:val="24"/>
        </w:rPr>
        <w:fldChar w:fldCharType="end"/>
      </w:r>
      <w:r>
        <w:rPr>
          <w:rFonts w:eastAsiaTheme="minorEastAsia"/>
          <w:b/>
          <w:bCs/>
        </w:rPr>
        <w:t xml:space="preserve">: </w:t>
      </w:r>
      <w:r>
        <w:fldChar w:fldCharType="begin"/>
      </w:r>
      <w:r>
        <w:instrText xml:space="preserve"> HYPERLINK \l "_Toc215132352" </w:instrText>
      </w:r>
      <w:r>
        <w:fldChar w:fldCharType="separate"/>
      </w:r>
      <w:r>
        <w:rPr>
          <w:rStyle w:val="18"/>
          <w:rFonts w:asciiTheme="majorBidi" w:hAnsiTheme="majorBidi" w:cstheme="majorBidi"/>
          <w:b/>
          <w:bCs/>
          <w:sz w:val="24"/>
          <w:szCs w:val="24"/>
        </w:rPr>
        <w:t>LITERATURE REVIEW</w:t>
      </w:r>
      <w:r>
        <w:rPr>
          <w:rFonts w:asciiTheme="majorBidi" w:hAnsiTheme="majorBidi" w:cstheme="majorBidi"/>
          <w:b/>
          <w:bCs/>
          <w:sz w:val="24"/>
          <w:szCs w:val="24"/>
        </w:rPr>
        <w:tab/>
      </w:r>
      <w:r>
        <w:rPr>
          <w:rFonts w:asciiTheme="majorBidi" w:hAnsiTheme="majorBidi" w:cstheme="majorBidi"/>
          <w:b/>
          <w:bCs/>
          <w:sz w:val="24"/>
          <w:szCs w:val="24"/>
        </w:rPr>
        <w:fldChar w:fldCharType="begin"/>
      </w:r>
      <w:r>
        <w:rPr>
          <w:rFonts w:asciiTheme="majorBidi" w:hAnsiTheme="majorBidi" w:cstheme="majorBidi"/>
          <w:b/>
          <w:bCs/>
          <w:sz w:val="24"/>
          <w:szCs w:val="24"/>
        </w:rPr>
        <w:instrText xml:space="preserve"> PAGEREF _Toc215132352 \h </w:instrText>
      </w:r>
      <w:r>
        <w:rPr>
          <w:rFonts w:asciiTheme="majorBidi" w:hAnsiTheme="majorBidi" w:cstheme="majorBidi"/>
          <w:b/>
          <w:bCs/>
          <w:sz w:val="24"/>
          <w:szCs w:val="24"/>
        </w:rPr>
        <w:fldChar w:fldCharType="separate"/>
      </w:r>
      <w:r>
        <w:rPr>
          <w:rFonts w:asciiTheme="majorBidi" w:hAnsiTheme="majorBidi" w:cstheme="majorBidi"/>
          <w:b/>
          <w:bCs/>
          <w:sz w:val="24"/>
          <w:szCs w:val="24"/>
        </w:rPr>
        <w:t>8</w:t>
      </w:r>
      <w:r>
        <w:rPr>
          <w:rFonts w:asciiTheme="majorBidi" w:hAnsiTheme="majorBidi" w:cstheme="majorBidi"/>
          <w:b/>
          <w:bCs/>
          <w:sz w:val="24"/>
          <w:szCs w:val="24"/>
        </w:rPr>
        <w:fldChar w:fldCharType="end"/>
      </w:r>
      <w:r>
        <w:rPr>
          <w:rFonts w:asciiTheme="majorBidi" w:hAnsiTheme="majorBidi" w:cstheme="majorBidi"/>
          <w:b/>
          <w:bCs/>
          <w:sz w:val="24"/>
          <w:szCs w:val="24"/>
        </w:rPr>
        <w:fldChar w:fldCharType="end"/>
      </w:r>
    </w:p>
    <w:p w14:paraId="0E069D23">
      <w:pPr>
        <w:pStyle w:val="25"/>
        <w:tabs>
          <w:tab w:val="left" w:pos="660"/>
          <w:tab w:val="right" w:leader="dot" w:pos="9350"/>
        </w:tabs>
        <w:spacing w:after="0" w:line="360" w:lineRule="auto"/>
        <w:rPr>
          <w:rFonts w:asciiTheme="majorBidi" w:hAnsiTheme="majorBidi" w:eastAsiaTheme="minorEastAsia" w:cstheme="majorBidi"/>
          <w:sz w:val="24"/>
          <w:szCs w:val="24"/>
        </w:rPr>
      </w:pPr>
      <w:r>
        <w:fldChar w:fldCharType="begin"/>
      </w:r>
      <w:r>
        <w:instrText xml:space="preserve"> HYPERLINK \l "_Toc215132353" </w:instrText>
      </w:r>
      <w:r>
        <w:fldChar w:fldCharType="separate"/>
      </w:r>
      <w:r>
        <w:rPr>
          <w:rStyle w:val="18"/>
          <w:rFonts w:asciiTheme="majorBidi" w:hAnsiTheme="majorBidi" w:cstheme="majorBidi"/>
          <w:sz w:val="24"/>
          <w:szCs w:val="24"/>
        </w:rPr>
        <w:t>2.1</w:t>
      </w:r>
      <w:r>
        <w:rPr>
          <w:rFonts w:asciiTheme="majorBidi" w:hAnsiTheme="majorBidi" w:eastAsiaTheme="minorEastAsia" w:cstheme="majorBidi"/>
          <w:sz w:val="24"/>
          <w:szCs w:val="24"/>
        </w:rPr>
        <w:tab/>
      </w:r>
      <w:r>
        <w:rPr>
          <w:rStyle w:val="18"/>
          <w:rFonts w:asciiTheme="majorBidi" w:hAnsiTheme="majorBidi" w:cstheme="majorBidi"/>
          <w:sz w:val="24"/>
          <w:szCs w:val="24"/>
        </w:rPr>
        <w:t>Concept of Antibacterial Agents</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_Toc215132353 \h </w:instrText>
      </w:r>
      <w:r>
        <w:rPr>
          <w:rFonts w:asciiTheme="majorBidi" w:hAnsiTheme="majorBidi" w:cstheme="majorBidi"/>
          <w:sz w:val="24"/>
          <w:szCs w:val="24"/>
        </w:rPr>
        <w:fldChar w:fldCharType="separate"/>
      </w:r>
      <w:r>
        <w:rPr>
          <w:rFonts w:asciiTheme="majorBidi" w:hAnsiTheme="majorBidi" w:cstheme="majorBidi"/>
          <w:sz w:val="24"/>
          <w:szCs w:val="24"/>
        </w:rPr>
        <w:t>8</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2EC6F007">
      <w:pPr>
        <w:pStyle w:val="25"/>
        <w:tabs>
          <w:tab w:val="left" w:pos="660"/>
          <w:tab w:val="right" w:leader="dot" w:pos="9350"/>
        </w:tabs>
        <w:spacing w:after="0" w:line="360" w:lineRule="auto"/>
        <w:rPr>
          <w:rFonts w:asciiTheme="majorBidi" w:hAnsiTheme="majorBidi" w:eastAsiaTheme="minorEastAsia" w:cstheme="majorBidi"/>
          <w:sz w:val="24"/>
          <w:szCs w:val="24"/>
        </w:rPr>
      </w:pPr>
      <w:r>
        <w:fldChar w:fldCharType="begin"/>
      </w:r>
      <w:r>
        <w:instrText xml:space="preserve"> HYPERLINK \l "_Toc215132354" </w:instrText>
      </w:r>
      <w:r>
        <w:fldChar w:fldCharType="separate"/>
      </w:r>
      <w:r>
        <w:rPr>
          <w:rStyle w:val="18"/>
          <w:rFonts w:asciiTheme="majorBidi" w:hAnsiTheme="majorBidi" w:cstheme="majorBidi"/>
          <w:sz w:val="24"/>
          <w:szCs w:val="24"/>
        </w:rPr>
        <w:t>2.2</w:t>
      </w:r>
      <w:r>
        <w:rPr>
          <w:rFonts w:asciiTheme="majorBidi" w:hAnsiTheme="majorBidi" w:eastAsiaTheme="minorEastAsia" w:cstheme="majorBidi"/>
          <w:sz w:val="24"/>
          <w:szCs w:val="24"/>
        </w:rPr>
        <w:tab/>
      </w:r>
      <w:r>
        <w:rPr>
          <w:rStyle w:val="18"/>
          <w:rFonts w:asciiTheme="majorBidi" w:hAnsiTheme="majorBidi" w:cstheme="majorBidi"/>
          <w:sz w:val="24"/>
          <w:szCs w:val="24"/>
        </w:rPr>
        <w:t>Antimicrobial Resistance and Global Health</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_Toc215132354 \h </w:instrText>
      </w:r>
      <w:r>
        <w:rPr>
          <w:rFonts w:asciiTheme="majorBidi" w:hAnsiTheme="majorBidi" w:cstheme="majorBidi"/>
          <w:sz w:val="24"/>
          <w:szCs w:val="24"/>
        </w:rPr>
        <w:fldChar w:fldCharType="separate"/>
      </w:r>
      <w:r>
        <w:rPr>
          <w:rFonts w:asciiTheme="majorBidi" w:hAnsiTheme="majorBidi" w:cstheme="majorBidi"/>
          <w:sz w:val="24"/>
          <w:szCs w:val="24"/>
        </w:rPr>
        <w:t>9</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20F30BBF">
      <w:pPr>
        <w:pStyle w:val="25"/>
        <w:tabs>
          <w:tab w:val="left" w:pos="660"/>
          <w:tab w:val="right" w:leader="dot" w:pos="9350"/>
        </w:tabs>
        <w:spacing w:after="0" w:line="360" w:lineRule="auto"/>
        <w:rPr>
          <w:rFonts w:asciiTheme="majorBidi" w:hAnsiTheme="majorBidi" w:eastAsiaTheme="minorEastAsia" w:cstheme="majorBidi"/>
          <w:sz w:val="24"/>
          <w:szCs w:val="24"/>
        </w:rPr>
      </w:pPr>
      <w:r>
        <w:fldChar w:fldCharType="begin"/>
      </w:r>
      <w:r>
        <w:instrText xml:space="preserve"> HYPERLINK \l "_Toc215132355" </w:instrText>
      </w:r>
      <w:r>
        <w:fldChar w:fldCharType="separate"/>
      </w:r>
      <w:r>
        <w:rPr>
          <w:rStyle w:val="18"/>
          <w:rFonts w:asciiTheme="majorBidi" w:hAnsiTheme="majorBidi" w:cstheme="majorBidi"/>
          <w:sz w:val="24"/>
          <w:szCs w:val="24"/>
        </w:rPr>
        <w:t>2.3</w:t>
      </w:r>
      <w:r>
        <w:rPr>
          <w:rFonts w:asciiTheme="majorBidi" w:hAnsiTheme="majorBidi" w:eastAsiaTheme="minorEastAsia" w:cstheme="majorBidi"/>
          <w:sz w:val="24"/>
          <w:szCs w:val="24"/>
        </w:rPr>
        <w:tab/>
      </w:r>
      <w:r>
        <w:rPr>
          <w:rStyle w:val="18"/>
          <w:rFonts w:asciiTheme="majorBidi" w:hAnsiTheme="majorBidi" w:cstheme="majorBidi"/>
          <w:sz w:val="24"/>
          <w:szCs w:val="24"/>
        </w:rPr>
        <w:t>Medicinal Plants as Sources of Antibacterial Compounds</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_Toc215132355 \h </w:instrText>
      </w:r>
      <w:r>
        <w:rPr>
          <w:rFonts w:asciiTheme="majorBidi" w:hAnsiTheme="majorBidi" w:cstheme="majorBidi"/>
          <w:sz w:val="24"/>
          <w:szCs w:val="24"/>
        </w:rPr>
        <w:fldChar w:fldCharType="separate"/>
      </w:r>
      <w:r>
        <w:rPr>
          <w:rFonts w:asciiTheme="majorBidi" w:hAnsiTheme="majorBidi" w:cstheme="majorBidi"/>
          <w:sz w:val="24"/>
          <w:szCs w:val="24"/>
        </w:rPr>
        <w:t>10</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271651A4">
      <w:pPr>
        <w:pStyle w:val="25"/>
        <w:tabs>
          <w:tab w:val="left" w:pos="660"/>
          <w:tab w:val="right" w:leader="dot" w:pos="9350"/>
        </w:tabs>
        <w:spacing w:after="0" w:line="360" w:lineRule="auto"/>
        <w:rPr>
          <w:rFonts w:asciiTheme="majorBidi" w:hAnsiTheme="majorBidi" w:eastAsiaTheme="minorEastAsia" w:cstheme="majorBidi"/>
          <w:sz w:val="24"/>
          <w:szCs w:val="24"/>
        </w:rPr>
      </w:pPr>
      <w:r>
        <w:fldChar w:fldCharType="begin"/>
      </w:r>
      <w:r>
        <w:instrText xml:space="preserve"> HYPERLINK \l "_Toc215132356" </w:instrText>
      </w:r>
      <w:r>
        <w:fldChar w:fldCharType="separate"/>
      </w:r>
      <w:r>
        <w:rPr>
          <w:rStyle w:val="18"/>
          <w:rFonts w:asciiTheme="majorBidi" w:hAnsiTheme="majorBidi" w:cstheme="majorBidi"/>
          <w:sz w:val="24"/>
          <w:szCs w:val="24"/>
        </w:rPr>
        <w:t>2.4</w:t>
      </w:r>
      <w:r>
        <w:rPr>
          <w:rFonts w:asciiTheme="majorBidi" w:hAnsiTheme="majorBidi" w:eastAsiaTheme="minorEastAsia" w:cstheme="majorBidi"/>
          <w:sz w:val="24"/>
          <w:szCs w:val="24"/>
        </w:rPr>
        <w:tab/>
      </w:r>
      <w:r>
        <w:rPr>
          <w:rStyle w:val="18"/>
          <w:rFonts w:asciiTheme="majorBidi" w:hAnsiTheme="majorBidi" w:cstheme="majorBidi"/>
          <w:i/>
          <w:iCs/>
          <w:sz w:val="24"/>
          <w:szCs w:val="24"/>
        </w:rPr>
        <w:t>Boscia</w:t>
      </w:r>
      <w:r>
        <w:rPr>
          <w:rStyle w:val="18"/>
          <w:rFonts w:asciiTheme="majorBidi" w:hAnsiTheme="majorBidi" w:cstheme="majorBidi"/>
          <w:sz w:val="24"/>
          <w:szCs w:val="24"/>
        </w:rPr>
        <w:t xml:space="preserve"> </w:t>
      </w:r>
      <w:r>
        <w:rPr>
          <w:rStyle w:val="18"/>
          <w:rFonts w:asciiTheme="majorBidi" w:hAnsiTheme="majorBidi" w:cstheme="majorBidi"/>
          <w:i/>
          <w:iCs/>
          <w:sz w:val="24"/>
          <w:szCs w:val="24"/>
        </w:rPr>
        <w:t>angustifolia</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_Toc215132356 \h </w:instrText>
      </w:r>
      <w:r>
        <w:rPr>
          <w:rFonts w:asciiTheme="majorBidi" w:hAnsiTheme="majorBidi" w:cstheme="majorBidi"/>
          <w:sz w:val="24"/>
          <w:szCs w:val="24"/>
        </w:rPr>
        <w:fldChar w:fldCharType="separate"/>
      </w:r>
      <w:r>
        <w:rPr>
          <w:rFonts w:asciiTheme="majorBidi" w:hAnsiTheme="majorBidi" w:cstheme="majorBidi"/>
          <w:sz w:val="24"/>
          <w:szCs w:val="24"/>
        </w:rPr>
        <w:t>11</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1E46BD59">
      <w:pPr>
        <w:pStyle w:val="25"/>
        <w:tabs>
          <w:tab w:val="left" w:pos="660"/>
          <w:tab w:val="right" w:leader="dot" w:pos="9350"/>
        </w:tabs>
        <w:spacing w:after="0" w:line="360" w:lineRule="auto"/>
        <w:rPr>
          <w:rFonts w:asciiTheme="majorBidi" w:hAnsiTheme="majorBidi" w:eastAsiaTheme="minorEastAsia" w:cstheme="majorBidi"/>
          <w:sz w:val="24"/>
          <w:szCs w:val="24"/>
        </w:rPr>
      </w:pPr>
      <w:r>
        <w:fldChar w:fldCharType="begin"/>
      </w:r>
      <w:r>
        <w:instrText xml:space="preserve"> HYPERLINK \l "_Toc215132357" </w:instrText>
      </w:r>
      <w:r>
        <w:fldChar w:fldCharType="separate"/>
      </w:r>
      <w:r>
        <w:rPr>
          <w:rStyle w:val="18"/>
          <w:rFonts w:asciiTheme="majorBidi" w:hAnsiTheme="majorBidi" w:cstheme="majorBidi"/>
          <w:sz w:val="24"/>
          <w:szCs w:val="24"/>
        </w:rPr>
        <w:t>2.5</w:t>
      </w:r>
      <w:r>
        <w:rPr>
          <w:rFonts w:asciiTheme="majorBidi" w:hAnsiTheme="majorBidi" w:eastAsiaTheme="minorEastAsia" w:cstheme="majorBidi"/>
          <w:sz w:val="24"/>
          <w:szCs w:val="24"/>
        </w:rPr>
        <w:tab/>
      </w:r>
      <w:r>
        <w:rPr>
          <w:rStyle w:val="18"/>
          <w:rFonts w:asciiTheme="majorBidi" w:hAnsiTheme="majorBidi" w:cstheme="majorBidi"/>
          <w:sz w:val="24"/>
          <w:szCs w:val="24"/>
        </w:rPr>
        <w:t>Antibacterial Mechanisms of Plant Extracts</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_Toc215132357 \h </w:instrText>
      </w:r>
      <w:r>
        <w:rPr>
          <w:rFonts w:asciiTheme="majorBidi" w:hAnsiTheme="majorBidi" w:cstheme="majorBidi"/>
          <w:sz w:val="24"/>
          <w:szCs w:val="24"/>
        </w:rPr>
        <w:fldChar w:fldCharType="separate"/>
      </w:r>
      <w:r>
        <w:rPr>
          <w:rFonts w:asciiTheme="majorBidi" w:hAnsiTheme="majorBidi" w:cstheme="majorBidi"/>
          <w:sz w:val="24"/>
          <w:szCs w:val="24"/>
        </w:rPr>
        <w:t>12</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1ADABEB9">
      <w:pPr>
        <w:pStyle w:val="25"/>
        <w:tabs>
          <w:tab w:val="left" w:pos="660"/>
          <w:tab w:val="right" w:leader="dot" w:pos="9350"/>
        </w:tabs>
        <w:spacing w:after="0" w:line="360" w:lineRule="auto"/>
        <w:rPr>
          <w:rFonts w:asciiTheme="majorBidi" w:hAnsiTheme="majorBidi" w:eastAsiaTheme="minorEastAsia" w:cstheme="majorBidi"/>
          <w:sz w:val="24"/>
          <w:szCs w:val="24"/>
        </w:rPr>
      </w:pPr>
      <w:r>
        <w:fldChar w:fldCharType="begin"/>
      </w:r>
      <w:r>
        <w:instrText xml:space="preserve"> HYPERLINK \l "_Toc215132358" </w:instrText>
      </w:r>
      <w:r>
        <w:fldChar w:fldCharType="separate"/>
      </w:r>
      <w:r>
        <w:rPr>
          <w:rStyle w:val="18"/>
          <w:rFonts w:asciiTheme="majorBidi" w:hAnsiTheme="majorBidi" w:cstheme="majorBidi"/>
          <w:sz w:val="24"/>
          <w:szCs w:val="24"/>
        </w:rPr>
        <w:t>2.6</w:t>
      </w:r>
      <w:r>
        <w:rPr>
          <w:rFonts w:asciiTheme="majorBidi" w:hAnsiTheme="majorBidi" w:eastAsiaTheme="minorEastAsia" w:cstheme="majorBidi"/>
          <w:sz w:val="24"/>
          <w:szCs w:val="24"/>
        </w:rPr>
        <w:tab/>
      </w:r>
      <w:r>
        <w:rPr>
          <w:rStyle w:val="18"/>
          <w:rFonts w:asciiTheme="majorBidi" w:hAnsiTheme="majorBidi" w:cstheme="majorBidi"/>
          <w:sz w:val="24"/>
          <w:szCs w:val="24"/>
        </w:rPr>
        <w:t>Knowledge Gap and Research Justification</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_Toc215132358 \h </w:instrText>
      </w:r>
      <w:r>
        <w:rPr>
          <w:rFonts w:asciiTheme="majorBidi" w:hAnsiTheme="majorBidi" w:cstheme="majorBidi"/>
          <w:sz w:val="24"/>
          <w:szCs w:val="24"/>
        </w:rPr>
        <w:fldChar w:fldCharType="separate"/>
      </w:r>
      <w:r>
        <w:rPr>
          <w:rFonts w:asciiTheme="majorBidi" w:hAnsiTheme="majorBidi" w:cstheme="majorBidi"/>
          <w:sz w:val="24"/>
          <w:szCs w:val="24"/>
        </w:rPr>
        <w:t>13</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52BA8904">
      <w:pPr>
        <w:pStyle w:val="25"/>
        <w:tabs>
          <w:tab w:val="right" w:leader="dot" w:pos="9350"/>
        </w:tabs>
        <w:spacing w:after="0" w:line="360" w:lineRule="auto"/>
        <w:rPr>
          <w:rFonts w:asciiTheme="majorBidi" w:hAnsiTheme="majorBidi" w:eastAsiaTheme="minorEastAsia" w:cstheme="majorBidi"/>
          <w:b/>
          <w:bCs/>
          <w:sz w:val="24"/>
          <w:szCs w:val="24"/>
        </w:rPr>
      </w:pPr>
      <w:r>
        <w:fldChar w:fldCharType="begin"/>
      </w:r>
      <w:r>
        <w:instrText xml:space="preserve"> HYPERLINK \l "_Toc215132359" </w:instrText>
      </w:r>
      <w:r>
        <w:fldChar w:fldCharType="separate"/>
      </w:r>
      <w:r>
        <w:rPr>
          <w:rStyle w:val="18"/>
          <w:rFonts w:eastAsia="Times New Roman" w:asciiTheme="majorBidi" w:hAnsiTheme="majorBidi" w:cstheme="majorBidi"/>
          <w:b/>
          <w:bCs/>
          <w:sz w:val="24"/>
          <w:szCs w:val="24"/>
        </w:rPr>
        <w:t>CHAPTER THREE</w:t>
      </w:r>
      <w:r>
        <w:rPr>
          <w:rStyle w:val="18"/>
          <w:rFonts w:eastAsia="Times New Roman" w:asciiTheme="majorBidi" w:hAnsiTheme="majorBidi" w:cstheme="majorBidi"/>
          <w:b/>
          <w:bCs/>
          <w:sz w:val="24"/>
          <w:szCs w:val="24"/>
        </w:rPr>
        <w:fldChar w:fldCharType="end"/>
      </w:r>
      <w:r>
        <w:rPr>
          <w:rFonts w:asciiTheme="majorBidi" w:hAnsiTheme="majorBidi" w:eastAsiaTheme="minorEastAsia" w:cstheme="majorBidi"/>
          <w:b/>
          <w:bCs/>
          <w:sz w:val="24"/>
          <w:szCs w:val="24"/>
        </w:rPr>
        <w:t xml:space="preserve">: </w:t>
      </w:r>
      <w:r>
        <w:fldChar w:fldCharType="begin"/>
      </w:r>
      <w:r>
        <w:instrText xml:space="preserve"> HYPERLINK \l "_Toc215132360" </w:instrText>
      </w:r>
      <w:r>
        <w:fldChar w:fldCharType="separate"/>
      </w:r>
      <w:r>
        <w:rPr>
          <w:rStyle w:val="18"/>
          <w:rFonts w:eastAsia="Times New Roman" w:asciiTheme="majorBidi" w:hAnsiTheme="majorBidi" w:cstheme="majorBidi"/>
          <w:b/>
          <w:bCs/>
          <w:kern w:val="36"/>
          <w:sz w:val="24"/>
          <w:szCs w:val="24"/>
        </w:rPr>
        <w:t>RESEARCH METHODOLOGY</w:t>
      </w:r>
      <w:r>
        <w:rPr>
          <w:rFonts w:asciiTheme="majorBidi" w:hAnsiTheme="majorBidi" w:cstheme="majorBidi"/>
          <w:b/>
          <w:bCs/>
          <w:sz w:val="24"/>
          <w:szCs w:val="24"/>
        </w:rPr>
        <w:tab/>
      </w:r>
      <w:r>
        <w:rPr>
          <w:rFonts w:asciiTheme="majorBidi" w:hAnsiTheme="majorBidi" w:cstheme="majorBidi"/>
          <w:b/>
          <w:bCs/>
          <w:sz w:val="24"/>
          <w:szCs w:val="24"/>
        </w:rPr>
        <w:fldChar w:fldCharType="begin"/>
      </w:r>
      <w:r>
        <w:rPr>
          <w:rFonts w:asciiTheme="majorBidi" w:hAnsiTheme="majorBidi" w:cstheme="majorBidi"/>
          <w:b/>
          <w:bCs/>
          <w:sz w:val="24"/>
          <w:szCs w:val="24"/>
        </w:rPr>
        <w:instrText xml:space="preserve"> PAGEREF _Toc215132360 \h </w:instrText>
      </w:r>
      <w:r>
        <w:rPr>
          <w:rFonts w:asciiTheme="majorBidi" w:hAnsiTheme="majorBidi" w:cstheme="majorBidi"/>
          <w:b/>
          <w:bCs/>
          <w:sz w:val="24"/>
          <w:szCs w:val="24"/>
        </w:rPr>
        <w:fldChar w:fldCharType="separate"/>
      </w:r>
      <w:r>
        <w:rPr>
          <w:rFonts w:asciiTheme="majorBidi" w:hAnsiTheme="majorBidi" w:cstheme="majorBidi"/>
          <w:b/>
          <w:bCs/>
          <w:sz w:val="24"/>
          <w:szCs w:val="24"/>
        </w:rPr>
        <w:t>15</w:t>
      </w:r>
      <w:r>
        <w:rPr>
          <w:rFonts w:asciiTheme="majorBidi" w:hAnsiTheme="majorBidi" w:cstheme="majorBidi"/>
          <w:b/>
          <w:bCs/>
          <w:sz w:val="24"/>
          <w:szCs w:val="24"/>
        </w:rPr>
        <w:fldChar w:fldCharType="end"/>
      </w:r>
      <w:r>
        <w:rPr>
          <w:rFonts w:asciiTheme="majorBidi" w:hAnsiTheme="majorBidi" w:cstheme="majorBidi"/>
          <w:b/>
          <w:bCs/>
          <w:sz w:val="24"/>
          <w:szCs w:val="24"/>
        </w:rPr>
        <w:fldChar w:fldCharType="end"/>
      </w:r>
    </w:p>
    <w:p w14:paraId="592741E2">
      <w:pPr>
        <w:pStyle w:val="25"/>
        <w:tabs>
          <w:tab w:val="left" w:pos="660"/>
          <w:tab w:val="right" w:leader="dot" w:pos="9350"/>
        </w:tabs>
        <w:spacing w:after="0" w:line="360" w:lineRule="auto"/>
        <w:rPr>
          <w:rFonts w:asciiTheme="majorBidi" w:hAnsiTheme="majorBidi" w:eastAsiaTheme="minorEastAsia" w:cstheme="majorBidi"/>
          <w:sz w:val="24"/>
          <w:szCs w:val="24"/>
        </w:rPr>
      </w:pPr>
      <w:r>
        <w:fldChar w:fldCharType="begin"/>
      </w:r>
      <w:r>
        <w:instrText xml:space="preserve"> HYPERLINK \l "_Toc215132361" </w:instrText>
      </w:r>
      <w:r>
        <w:fldChar w:fldCharType="separate"/>
      </w:r>
      <w:r>
        <w:rPr>
          <w:rStyle w:val="18"/>
          <w:rFonts w:eastAsia="Times New Roman" w:asciiTheme="majorBidi" w:hAnsiTheme="majorBidi" w:cstheme="majorBidi"/>
          <w:sz w:val="24"/>
          <w:szCs w:val="24"/>
        </w:rPr>
        <w:t>3.1</w:t>
      </w:r>
      <w:r>
        <w:rPr>
          <w:rFonts w:asciiTheme="majorBidi" w:hAnsiTheme="majorBidi" w:eastAsiaTheme="minorEastAsia" w:cstheme="majorBidi"/>
          <w:sz w:val="24"/>
          <w:szCs w:val="24"/>
        </w:rPr>
        <w:tab/>
      </w:r>
      <w:r>
        <w:rPr>
          <w:rStyle w:val="18"/>
          <w:rFonts w:eastAsia="Times New Roman" w:asciiTheme="majorBidi" w:hAnsiTheme="majorBidi" w:cstheme="majorBidi"/>
          <w:sz w:val="24"/>
          <w:szCs w:val="24"/>
        </w:rPr>
        <w:t>Research Design</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_Toc215132361 \h </w:instrText>
      </w:r>
      <w:r>
        <w:rPr>
          <w:rFonts w:asciiTheme="majorBidi" w:hAnsiTheme="majorBidi" w:cstheme="majorBidi"/>
          <w:sz w:val="24"/>
          <w:szCs w:val="24"/>
        </w:rPr>
        <w:fldChar w:fldCharType="separate"/>
      </w:r>
      <w:r>
        <w:rPr>
          <w:rFonts w:asciiTheme="majorBidi" w:hAnsiTheme="majorBidi" w:cstheme="majorBidi"/>
          <w:sz w:val="24"/>
          <w:szCs w:val="24"/>
        </w:rPr>
        <w:t>15</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5217565D">
      <w:pPr>
        <w:pStyle w:val="25"/>
        <w:tabs>
          <w:tab w:val="left" w:pos="660"/>
          <w:tab w:val="right" w:leader="dot" w:pos="9350"/>
        </w:tabs>
        <w:spacing w:after="0" w:line="360" w:lineRule="auto"/>
        <w:rPr>
          <w:rFonts w:asciiTheme="majorBidi" w:hAnsiTheme="majorBidi" w:eastAsiaTheme="minorEastAsia" w:cstheme="majorBidi"/>
          <w:sz w:val="24"/>
          <w:szCs w:val="24"/>
        </w:rPr>
      </w:pPr>
      <w:r>
        <w:fldChar w:fldCharType="begin"/>
      </w:r>
      <w:r>
        <w:instrText xml:space="preserve"> HYPERLINK \l "_Toc215132362" </w:instrText>
      </w:r>
      <w:r>
        <w:fldChar w:fldCharType="separate"/>
      </w:r>
      <w:r>
        <w:rPr>
          <w:rStyle w:val="18"/>
          <w:rFonts w:eastAsia="Times New Roman" w:asciiTheme="majorBidi" w:hAnsiTheme="majorBidi" w:cstheme="majorBidi"/>
          <w:sz w:val="24"/>
          <w:szCs w:val="24"/>
        </w:rPr>
        <w:t>3.2</w:t>
      </w:r>
      <w:r>
        <w:rPr>
          <w:rFonts w:asciiTheme="majorBidi" w:hAnsiTheme="majorBidi" w:eastAsiaTheme="minorEastAsia" w:cstheme="majorBidi"/>
          <w:sz w:val="24"/>
          <w:szCs w:val="24"/>
        </w:rPr>
        <w:tab/>
      </w:r>
      <w:r>
        <w:rPr>
          <w:rStyle w:val="18"/>
          <w:rFonts w:eastAsia="Times New Roman" w:asciiTheme="majorBidi" w:hAnsiTheme="majorBidi" w:cstheme="majorBidi"/>
          <w:sz w:val="24"/>
          <w:szCs w:val="24"/>
        </w:rPr>
        <w:t>Materials and Reagents</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_Toc215132362 \h </w:instrText>
      </w:r>
      <w:r>
        <w:rPr>
          <w:rFonts w:asciiTheme="majorBidi" w:hAnsiTheme="majorBidi" w:cstheme="majorBidi"/>
          <w:sz w:val="24"/>
          <w:szCs w:val="24"/>
        </w:rPr>
        <w:fldChar w:fldCharType="separate"/>
      </w:r>
      <w:r>
        <w:rPr>
          <w:rFonts w:asciiTheme="majorBidi" w:hAnsiTheme="majorBidi" w:cstheme="majorBidi"/>
          <w:sz w:val="24"/>
          <w:szCs w:val="24"/>
        </w:rPr>
        <w:t>15</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645910C3">
      <w:pPr>
        <w:pStyle w:val="25"/>
        <w:tabs>
          <w:tab w:val="left" w:pos="660"/>
          <w:tab w:val="right" w:leader="dot" w:pos="9350"/>
        </w:tabs>
        <w:spacing w:after="0" w:line="360" w:lineRule="auto"/>
        <w:rPr>
          <w:rFonts w:asciiTheme="majorBidi" w:hAnsiTheme="majorBidi" w:eastAsiaTheme="minorEastAsia" w:cstheme="majorBidi"/>
          <w:sz w:val="24"/>
          <w:szCs w:val="24"/>
        </w:rPr>
      </w:pPr>
      <w:r>
        <w:fldChar w:fldCharType="begin"/>
      </w:r>
      <w:r>
        <w:instrText xml:space="preserve"> HYPERLINK \l "_Toc215132363" </w:instrText>
      </w:r>
      <w:r>
        <w:fldChar w:fldCharType="separate"/>
      </w:r>
      <w:r>
        <w:rPr>
          <w:rStyle w:val="18"/>
          <w:rFonts w:asciiTheme="majorBidi" w:hAnsiTheme="majorBidi" w:cstheme="majorBidi"/>
          <w:sz w:val="24"/>
          <w:szCs w:val="24"/>
        </w:rPr>
        <w:t>3.3</w:t>
      </w:r>
      <w:r>
        <w:rPr>
          <w:rFonts w:asciiTheme="majorBidi" w:hAnsiTheme="majorBidi" w:eastAsiaTheme="minorEastAsia" w:cstheme="majorBidi"/>
          <w:sz w:val="24"/>
          <w:szCs w:val="24"/>
        </w:rPr>
        <w:tab/>
      </w:r>
      <w:r>
        <w:rPr>
          <w:rStyle w:val="18"/>
          <w:rFonts w:asciiTheme="majorBidi" w:hAnsiTheme="majorBidi" w:cstheme="majorBidi"/>
          <w:sz w:val="24"/>
          <w:szCs w:val="24"/>
        </w:rPr>
        <w:t>Sample Collection and Preparation</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_Toc215132363 \h </w:instrText>
      </w:r>
      <w:r>
        <w:rPr>
          <w:rFonts w:asciiTheme="majorBidi" w:hAnsiTheme="majorBidi" w:cstheme="majorBidi"/>
          <w:sz w:val="24"/>
          <w:szCs w:val="24"/>
        </w:rPr>
        <w:fldChar w:fldCharType="separate"/>
      </w:r>
      <w:r>
        <w:rPr>
          <w:rFonts w:asciiTheme="majorBidi" w:hAnsiTheme="majorBidi" w:cstheme="majorBidi"/>
          <w:sz w:val="24"/>
          <w:szCs w:val="24"/>
        </w:rPr>
        <w:t>16</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47E50705">
      <w:pPr>
        <w:pStyle w:val="25"/>
        <w:tabs>
          <w:tab w:val="left" w:pos="660"/>
          <w:tab w:val="right" w:leader="dot" w:pos="9350"/>
        </w:tabs>
        <w:spacing w:after="0" w:line="360" w:lineRule="auto"/>
        <w:rPr>
          <w:rFonts w:asciiTheme="majorBidi" w:hAnsiTheme="majorBidi" w:eastAsiaTheme="minorEastAsia" w:cstheme="majorBidi"/>
          <w:sz w:val="24"/>
          <w:szCs w:val="24"/>
        </w:rPr>
      </w:pPr>
      <w:r>
        <w:fldChar w:fldCharType="begin"/>
      </w:r>
      <w:r>
        <w:instrText xml:space="preserve"> HYPERLINK \l "_Toc215132364" </w:instrText>
      </w:r>
      <w:r>
        <w:fldChar w:fldCharType="separate"/>
      </w:r>
      <w:r>
        <w:rPr>
          <w:rStyle w:val="18"/>
          <w:rFonts w:eastAsia="Times New Roman" w:asciiTheme="majorBidi" w:hAnsiTheme="majorBidi" w:cstheme="majorBidi"/>
          <w:sz w:val="24"/>
          <w:szCs w:val="24"/>
        </w:rPr>
        <w:t>3.4</w:t>
      </w:r>
      <w:r>
        <w:rPr>
          <w:rFonts w:asciiTheme="majorBidi" w:hAnsiTheme="majorBidi" w:eastAsiaTheme="minorEastAsia" w:cstheme="majorBidi"/>
          <w:sz w:val="24"/>
          <w:szCs w:val="24"/>
        </w:rPr>
        <w:tab/>
      </w:r>
      <w:r>
        <w:rPr>
          <w:rStyle w:val="18"/>
          <w:rFonts w:eastAsia="Times New Roman" w:asciiTheme="majorBidi" w:hAnsiTheme="majorBidi" w:cstheme="majorBidi"/>
          <w:sz w:val="24"/>
          <w:szCs w:val="24"/>
        </w:rPr>
        <w:t>Phytochemical Screening</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_Toc215132364 \h </w:instrText>
      </w:r>
      <w:r>
        <w:rPr>
          <w:rFonts w:asciiTheme="majorBidi" w:hAnsiTheme="majorBidi" w:cstheme="majorBidi"/>
          <w:sz w:val="24"/>
          <w:szCs w:val="24"/>
        </w:rPr>
        <w:fldChar w:fldCharType="separate"/>
      </w:r>
      <w:r>
        <w:rPr>
          <w:rFonts w:asciiTheme="majorBidi" w:hAnsiTheme="majorBidi" w:cstheme="majorBidi"/>
          <w:sz w:val="24"/>
          <w:szCs w:val="24"/>
        </w:rPr>
        <w:t>17</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384B2029">
      <w:pPr>
        <w:pStyle w:val="25"/>
        <w:tabs>
          <w:tab w:val="left" w:pos="660"/>
          <w:tab w:val="right" w:leader="dot" w:pos="9350"/>
        </w:tabs>
        <w:spacing w:after="0" w:line="360" w:lineRule="auto"/>
        <w:rPr>
          <w:rFonts w:asciiTheme="majorBidi" w:hAnsiTheme="majorBidi" w:eastAsiaTheme="minorEastAsia" w:cstheme="majorBidi"/>
          <w:sz w:val="24"/>
          <w:szCs w:val="24"/>
        </w:rPr>
      </w:pPr>
      <w:r>
        <w:fldChar w:fldCharType="begin"/>
      </w:r>
      <w:r>
        <w:instrText xml:space="preserve"> HYPERLINK \l "_Toc215132365" </w:instrText>
      </w:r>
      <w:r>
        <w:fldChar w:fldCharType="separate"/>
      </w:r>
      <w:r>
        <w:rPr>
          <w:rStyle w:val="18"/>
          <w:rFonts w:eastAsia="Times New Roman" w:asciiTheme="majorBidi" w:hAnsiTheme="majorBidi" w:cstheme="majorBidi"/>
          <w:sz w:val="24"/>
          <w:szCs w:val="24"/>
        </w:rPr>
        <w:t>3.5</w:t>
      </w:r>
      <w:r>
        <w:rPr>
          <w:rFonts w:asciiTheme="majorBidi" w:hAnsiTheme="majorBidi" w:eastAsiaTheme="minorEastAsia" w:cstheme="majorBidi"/>
          <w:sz w:val="24"/>
          <w:szCs w:val="24"/>
        </w:rPr>
        <w:tab/>
      </w:r>
      <w:r>
        <w:rPr>
          <w:rStyle w:val="18"/>
          <w:rFonts w:eastAsia="Times New Roman" w:asciiTheme="majorBidi" w:hAnsiTheme="majorBidi" w:cstheme="majorBidi"/>
          <w:sz w:val="24"/>
          <w:szCs w:val="24"/>
        </w:rPr>
        <w:t>Preparation of Media and Bacterial Inoculum</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_Toc215132365 \h </w:instrText>
      </w:r>
      <w:r>
        <w:rPr>
          <w:rFonts w:asciiTheme="majorBidi" w:hAnsiTheme="majorBidi" w:cstheme="majorBidi"/>
          <w:sz w:val="24"/>
          <w:szCs w:val="24"/>
        </w:rPr>
        <w:fldChar w:fldCharType="separate"/>
      </w:r>
      <w:r>
        <w:rPr>
          <w:rFonts w:asciiTheme="majorBidi" w:hAnsiTheme="majorBidi" w:cstheme="majorBidi"/>
          <w:sz w:val="24"/>
          <w:szCs w:val="24"/>
        </w:rPr>
        <w:t>18</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351D9A77">
      <w:pPr>
        <w:pStyle w:val="25"/>
        <w:tabs>
          <w:tab w:val="left" w:pos="660"/>
          <w:tab w:val="right" w:leader="dot" w:pos="9350"/>
        </w:tabs>
        <w:spacing w:after="0" w:line="360" w:lineRule="auto"/>
        <w:rPr>
          <w:rFonts w:asciiTheme="majorBidi" w:hAnsiTheme="majorBidi" w:eastAsiaTheme="minorEastAsia" w:cstheme="majorBidi"/>
          <w:sz w:val="24"/>
          <w:szCs w:val="24"/>
        </w:rPr>
      </w:pPr>
      <w:r>
        <w:fldChar w:fldCharType="begin"/>
      </w:r>
      <w:r>
        <w:instrText xml:space="preserve"> HYPERLINK \l "_Toc215132366" </w:instrText>
      </w:r>
      <w:r>
        <w:fldChar w:fldCharType="separate"/>
      </w:r>
      <w:r>
        <w:rPr>
          <w:rStyle w:val="18"/>
          <w:rFonts w:eastAsia="Times New Roman" w:asciiTheme="majorBidi" w:hAnsiTheme="majorBidi" w:cstheme="majorBidi"/>
          <w:sz w:val="24"/>
          <w:szCs w:val="24"/>
        </w:rPr>
        <w:t>3.6</w:t>
      </w:r>
      <w:r>
        <w:rPr>
          <w:rFonts w:asciiTheme="majorBidi" w:hAnsiTheme="majorBidi" w:eastAsiaTheme="minorEastAsia" w:cstheme="majorBidi"/>
          <w:sz w:val="24"/>
          <w:szCs w:val="24"/>
        </w:rPr>
        <w:tab/>
      </w:r>
      <w:r>
        <w:rPr>
          <w:rStyle w:val="18"/>
          <w:rFonts w:eastAsia="Times New Roman" w:asciiTheme="majorBidi" w:hAnsiTheme="majorBidi" w:cstheme="majorBidi"/>
          <w:sz w:val="24"/>
          <w:szCs w:val="24"/>
        </w:rPr>
        <w:t>Antibacterial Sensitivity Test</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_Toc215132366 \h </w:instrText>
      </w:r>
      <w:r>
        <w:rPr>
          <w:rFonts w:asciiTheme="majorBidi" w:hAnsiTheme="majorBidi" w:cstheme="majorBidi"/>
          <w:sz w:val="24"/>
          <w:szCs w:val="24"/>
        </w:rPr>
        <w:fldChar w:fldCharType="separate"/>
      </w:r>
      <w:r>
        <w:rPr>
          <w:rFonts w:asciiTheme="majorBidi" w:hAnsiTheme="majorBidi" w:cstheme="majorBidi"/>
          <w:sz w:val="24"/>
          <w:szCs w:val="24"/>
        </w:rPr>
        <w:t>19</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4BBB8B57">
      <w:pPr>
        <w:pStyle w:val="25"/>
        <w:tabs>
          <w:tab w:val="left" w:pos="660"/>
          <w:tab w:val="right" w:leader="dot" w:pos="9350"/>
        </w:tabs>
        <w:spacing w:after="0" w:line="360" w:lineRule="auto"/>
        <w:rPr>
          <w:rFonts w:asciiTheme="majorBidi" w:hAnsiTheme="majorBidi" w:eastAsiaTheme="minorEastAsia" w:cstheme="majorBidi"/>
          <w:sz w:val="24"/>
          <w:szCs w:val="24"/>
        </w:rPr>
      </w:pPr>
      <w:r>
        <w:fldChar w:fldCharType="begin"/>
      </w:r>
      <w:r>
        <w:instrText xml:space="preserve"> HYPERLINK \l "_Toc215132367" </w:instrText>
      </w:r>
      <w:r>
        <w:fldChar w:fldCharType="separate"/>
      </w:r>
      <w:r>
        <w:rPr>
          <w:rStyle w:val="18"/>
          <w:rFonts w:eastAsia="Times New Roman" w:asciiTheme="majorBidi" w:hAnsiTheme="majorBidi" w:cstheme="majorBidi"/>
          <w:sz w:val="24"/>
          <w:szCs w:val="24"/>
        </w:rPr>
        <w:t>3.7</w:t>
      </w:r>
      <w:r>
        <w:rPr>
          <w:rFonts w:asciiTheme="majorBidi" w:hAnsiTheme="majorBidi" w:eastAsiaTheme="minorEastAsia" w:cstheme="majorBidi"/>
          <w:sz w:val="24"/>
          <w:szCs w:val="24"/>
        </w:rPr>
        <w:tab/>
      </w:r>
      <w:r>
        <w:rPr>
          <w:rStyle w:val="18"/>
          <w:rFonts w:eastAsia="Times New Roman" w:asciiTheme="majorBidi" w:hAnsiTheme="majorBidi" w:cstheme="majorBidi"/>
          <w:sz w:val="24"/>
          <w:szCs w:val="24"/>
        </w:rPr>
        <w:t>Data Analysis</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_Toc215132367 \h </w:instrText>
      </w:r>
      <w:r>
        <w:rPr>
          <w:rFonts w:asciiTheme="majorBidi" w:hAnsiTheme="majorBidi" w:cstheme="majorBidi"/>
          <w:sz w:val="24"/>
          <w:szCs w:val="24"/>
        </w:rPr>
        <w:fldChar w:fldCharType="separate"/>
      </w:r>
      <w:r>
        <w:rPr>
          <w:rFonts w:asciiTheme="majorBidi" w:hAnsiTheme="majorBidi" w:cstheme="majorBidi"/>
          <w:sz w:val="24"/>
          <w:szCs w:val="24"/>
        </w:rPr>
        <w:t>19</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6CBA59B6">
      <w:pPr>
        <w:pStyle w:val="25"/>
        <w:tabs>
          <w:tab w:val="right" w:leader="dot" w:pos="9350"/>
        </w:tabs>
        <w:spacing w:after="0" w:line="360" w:lineRule="auto"/>
        <w:rPr>
          <w:rFonts w:asciiTheme="majorBidi" w:hAnsiTheme="majorBidi" w:eastAsiaTheme="minorEastAsia" w:cstheme="majorBidi"/>
          <w:b/>
          <w:bCs/>
          <w:sz w:val="24"/>
          <w:szCs w:val="24"/>
        </w:rPr>
      </w:pPr>
      <w:r>
        <w:fldChar w:fldCharType="begin"/>
      </w:r>
      <w:r>
        <w:instrText xml:space="preserve"> HYPERLINK \l "_Toc215132368" </w:instrText>
      </w:r>
      <w:r>
        <w:fldChar w:fldCharType="separate"/>
      </w:r>
      <w:r>
        <w:rPr>
          <w:rStyle w:val="18"/>
          <w:rFonts w:asciiTheme="majorBidi" w:hAnsiTheme="majorBidi" w:cstheme="majorBidi"/>
          <w:b/>
          <w:bCs/>
          <w:sz w:val="24"/>
          <w:szCs w:val="24"/>
        </w:rPr>
        <w:t>CHAPTER FOUR</w:t>
      </w:r>
      <w:r>
        <w:rPr>
          <w:rStyle w:val="18"/>
          <w:rFonts w:asciiTheme="majorBidi" w:hAnsiTheme="majorBidi" w:cstheme="majorBidi"/>
          <w:b/>
          <w:bCs/>
          <w:sz w:val="24"/>
          <w:szCs w:val="24"/>
        </w:rPr>
        <w:fldChar w:fldCharType="end"/>
      </w:r>
      <w:r>
        <w:rPr>
          <w:rFonts w:asciiTheme="majorBidi" w:hAnsiTheme="majorBidi" w:eastAsiaTheme="minorEastAsia" w:cstheme="majorBidi"/>
          <w:b/>
          <w:bCs/>
          <w:sz w:val="24"/>
          <w:szCs w:val="24"/>
        </w:rPr>
        <w:t xml:space="preserve">: </w:t>
      </w:r>
      <w:r>
        <w:fldChar w:fldCharType="begin"/>
      </w:r>
      <w:r>
        <w:instrText xml:space="preserve"> HYPERLINK \l "_Toc215132369" </w:instrText>
      </w:r>
      <w:r>
        <w:fldChar w:fldCharType="separate"/>
      </w:r>
      <w:r>
        <w:rPr>
          <w:rStyle w:val="18"/>
          <w:rFonts w:asciiTheme="majorBidi" w:hAnsiTheme="majorBidi" w:cstheme="majorBidi"/>
          <w:b/>
          <w:bCs/>
          <w:sz w:val="24"/>
          <w:szCs w:val="24"/>
        </w:rPr>
        <w:t>RESULTS</w:t>
      </w:r>
      <w:r>
        <w:rPr>
          <w:rFonts w:asciiTheme="majorBidi" w:hAnsiTheme="majorBidi" w:cstheme="majorBidi"/>
          <w:b/>
          <w:bCs/>
          <w:sz w:val="24"/>
          <w:szCs w:val="24"/>
        </w:rPr>
        <w:tab/>
      </w:r>
      <w:r>
        <w:rPr>
          <w:rFonts w:asciiTheme="majorBidi" w:hAnsiTheme="majorBidi" w:cstheme="majorBidi"/>
          <w:b/>
          <w:bCs/>
          <w:sz w:val="24"/>
          <w:szCs w:val="24"/>
        </w:rPr>
        <w:fldChar w:fldCharType="begin"/>
      </w:r>
      <w:r>
        <w:rPr>
          <w:rFonts w:asciiTheme="majorBidi" w:hAnsiTheme="majorBidi" w:cstheme="majorBidi"/>
          <w:b/>
          <w:bCs/>
          <w:sz w:val="24"/>
          <w:szCs w:val="24"/>
        </w:rPr>
        <w:instrText xml:space="preserve"> PAGEREF _Toc215132369 \h </w:instrText>
      </w:r>
      <w:r>
        <w:rPr>
          <w:rFonts w:asciiTheme="majorBidi" w:hAnsiTheme="majorBidi" w:cstheme="majorBidi"/>
          <w:b/>
          <w:bCs/>
          <w:sz w:val="24"/>
          <w:szCs w:val="24"/>
        </w:rPr>
        <w:fldChar w:fldCharType="separate"/>
      </w:r>
      <w:r>
        <w:rPr>
          <w:rFonts w:asciiTheme="majorBidi" w:hAnsiTheme="majorBidi" w:cstheme="majorBidi"/>
          <w:b/>
          <w:bCs/>
          <w:sz w:val="24"/>
          <w:szCs w:val="24"/>
        </w:rPr>
        <w:t>21</w:t>
      </w:r>
      <w:r>
        <w:rPr>
          <w:rFonts w:asciiTheme="majorBidi" w:hAnsiTheme="majorBidi" w:cstheme="majorBidi"/>
          <w:b/>
          <w:bCs/>
          <w:sz w:val="24"/>
          <w:szCs w:val="24"/>
        </w:rPr>
        <w:fldChar w:fldCharType="end"/>
      </w:r>
      <w:r>
        <w:rPr>
          <w:rFonts w:asciiTheme="majorBidi" w:hAnsiTheme="majorBidi" w:cstheme="majorBidi"/>
          <w:b/>
          <w:bCs/>
          <w:sz w:val="24"/>
          <w:szCs w:val="24"/>
        </w:rPr>
        <w:fldChar w:fldCharType="end"/>
      </w:r>
    </w:p>
    <w:p w14:paraId="44109639">
      <w:pPr>
        <w:pStyle w:val="25"/>
        <w:tabs>
          <w:tab w:val="left" w:pos="660"/>
          <w:tab w:val="right" w:leader="dot" w:pos="9350"/>
        </w:tabs>
        <w:spacing w:after="0" w:line="360" w:lineRule="auto"/>
        <w:rPr>
          <w:rFonts w:asciiTheme="majorBidi" w:hAnsiTheme="majorBidi" w:eastAsiaTheme="minorEastAsia" w:cstheme="majorBidi"/>
          <w:sz w:val="24"/>
          <w:szCs w:val="24"/>
        </w:rPr>
      </w:pPr>
      <w:r>
        <w:fldChar w:fldCharType="begin"/>
      </w:r>
      <w:r>
        <w:instrText xml:space="preserve"> HYPERLINK \l "_Toc215132370" </w:instrText>
      </w:r>
      <w:r>
        <w:fldChar w:fldCharType="separate"/>
      </w:r>
      <w:r>
        <w:rPr>
          <w:rStyle w:val="18"/>
          <w:rFonts w:asciiTheme="majorBidi" w:hAnsiTheme="majorBidi" w:cstheme="majorBidi"/>
          <w:sz w:val="24"/>
          <w:szCs w:val="24"/>
        </w:rPr>
        <w:t>4.1</w:t>
      </w:r>
      <w:r>
        <w:rPr>
          <w:rFonts w:asciiTheme="majorBidi" w:hAnsiTheme="majorBidi" w:eastAsiaTheme="minorEastAsia" w:cstheme="majorBidi"/>
          <w:sz w:val="24"/>
          <w:szCs w:val="24"/>
        </w:rPr>
        <w:tab/>
      </w:r>
      <w:r>
        <w:rPr>
          <w:rStyle w:val="18"/>
          <w:rFonts w:asciiTheme="majorBidi" w:hAnsiTheme="majorBidi" w:cstheme="majorBidi"/>
          <w:sz w:val="24"/>
          <w:szCs w:val="24"/>
        </w:rPr>
        <w:t xml:space="preserve">Phytochemical Composition of </w:t>
      </w:r>
      <w:r>
        <w:rPr>
          <w:rStyle w:val="18"/>
          <w:rFonts w:asciiTheme="majorBidi" w:hAnsiTheme="majorBidi" w:cstheme="majorBidi"/>
          <w:i/>
          <w:iCs/>
          <w:sz w:val="24"/>
          <w:szCs w:val="24"/>
        </w:rPr>
        <w:t>Boscia</w:t>
      </w:r>
      <w:r>
        <w:rPr>
          <w:rStyle w:val="18"/>
          <w:rFonts w:eastAsia="Times New Roman" w:asciiTheme="majorBidi" w:hAnsiTheme="majorBidi" w:cstheme="majorBidi"/>
          <w:i/>
          <w:iCs/>
          <w:sz w:val="24"/>
          <w:szCs w:val="24"/>
        </w:rPr>
        <w:t xml:space="preserve"> angustifolia</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_Toc215132370 \h </w:instrText>
      </w:r>
      <w:r>
        <w:rPr>
          <w:rFonts w:asciiTheme="majorBidi" w:hAnsiTheme="majorBidi" w:cstheme="majorBidi"/>
          <w:sz w:val="24"/>
          <w:szCs w:val="24"/>
        </w:rPr>
        <w:fldChar w:fldCharType="separate"/>
      </w:r>
      <w:r>
        <w:rPr>
          <w:rFonts w:asciiTheme="majorBidi" w:hAnsiTheme="majorBidi" w:cstheme="majorBidi"/>
          <w:sz w:val="24"/>
          <w:szCs w:val="24"/>
        </w:rPr>
        <w:t>21</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4B5FF354">
      <w:pPr>
        <w:pStyle w:val="25"/>
        <w:tabs>
          <w:tab w:val="left" w:pos="660"/>
          <w:tab w:val="right" w:leader="dot" w:pos="9350"/>
        </w:tabs>
        <w:spacing w:after="0" w:line="360" w:lineRule="auto"/>
        <w:rPr>
          <w:rFonts w:asciiTheme="majorBidi" w:hAnsiTheme="majorBidi" w:eastAsiaTheme="minorEastAsia" w:cstheme="majorBidi"/>
          <w:sz w:val="24"/>
          <w:szCs w:val="24"/>
        </w:rPr>
      </w:pPr>
      <w:r>
        <w:fldChar w:fldCharType="begin"/>
      </w:r>
      <w:r>
        <w:instrText xml:space="preserve"> HYPERLINK \l "_Toc215132371" </w:instrText>
      </w:r>
      <w:r>
        <w:fldChar w:fldCharType="separate"/>
      </w:r>
      <w:r>
        <w:rPr>
          <w:rStyle w:val="18"/>
          <w:rFonts w:eastAsia="Times New Roman" w:asciiTheme="majorBidi" w:hAnsiTheme="majorBidi" w:cstheme="majorBidi"/>
          <w:sz w:val="24"/>
          <w:szCs w:val="24"/>
        </w:rPr>
        <w:t>4.2</w:t>
      </w:r>
      <w:r>
        <w:rPr>
          <w:rFonts w:asciiTheme="majorBidi" w:hAnsiTheme="majorBidi" w:eastAsiaTheme="minorEastAsia" w:cstheme="majorBidi"/>
          <w:sz w:val="24"/>
          <w:szCs w:val="24"/>
        </w:rPr>
        <w:tab/>
      </w:r>
      <w:r>
        <w:rPr>
          <w:rStyle w:val="18"/>
          <w:rFonts w:eastAsia="Times New Roman" w:asciiTheme="majorBidi" w:hAnsiTheme="majorBidi" w:cstheme="majorBidi"/>
          <w:sz w:val="24"/>
          <w:szCs w:val="24"/>
        </w:rPr>
        <w:t xml:space="preserve">Antibacterial Activity of </w:t>
      </w:r>
      <w:r>
        <w:rPr>
          <w:rStyle w:val="18"/>
          <w:rFonts w:eastAsia="Times New Roman" w:asciiTheme="majorBidi" w:hAnsiTheme="majorBidi" w:cstheme="majorBidi"/>
          <w:i/>
          <w:iCs/>
          <w:sz w:val="24"/>
          <w:szCs w:val="24"/>
        </w:rPr>
        <w:t>Boscia angustifolia</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_Toc215132371 \h </w:instrText>
      </w:r>
      <w:r>
        <w:rPr>
          <w:rFonts w:asciiTheme="majorBidi" w:hAnsiTheme="majorBidi" w:cstheme="majorBidi"/>
          <w:sz w:val="24"/>
          <w:szCs w:val="24"/>
        </w:rPr>
        <w:fldChar w:fldCharType="separate"/>
      </w:r>
      <w:r>
        <w:rPr>
          <w:rFonts w:asciiTheme="majorBidi" w:hAnsiTheme="majorBidi" w:cstheme="majorBidi"/>
          <w:sz w:val="24"/>
          <w:szCs w:val="24"/>
        </w:rPr>
        <w:t>22</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0E6F704F">
      <w:pPr>
        <w:pStyle w:val="25"/>
        <w:tabs>
          <w:tab w:val="right" w:leader="dot" w:pos="9350"/>
        </w:tabs>
        <w:spacing w:after="0" w:line="360" w:lineRule="auto"/>
        <w:rPr>
          <w:rFonts w:asciiTheme="majorBidi" w:hAnsiTheme="majorBidi" w:eastAsiaTheme="minorEastAsia" w:cstheme="majorBidi"/>
          <w:b/>
          <w:bCs/>
          <w:sz w:val="24"/>
          <w:szCs w:val="24"/>
        </w:rPr>
      </w:pPr>
      <w:r>
        <w:fldChar w:fldCharType="begin"/>
      </w:r>
      <w:r>
        <w:instrText xml:space="preserve"> HYPERLINK \l "_Toc215132372" </w:instrText>
      </w:r>
      <w:r>
        <w:fldChar w:fldCharType="separate"/>
      </w:r>
      <w:r>
        <w:rPr>
          <w:rStyle w:val="18"/>
          <w:rFonts w:asciiTheme="majorBidi" w:hAnsiTheme="majorBidi" w:cstheme="majorBidi"/>
          <w:b/>
          <w:bCs/>
          <w:sz w:val="24"/>
          <w:szCs w:val="24"/>
        </w:rPr>
        <w:t>CHAPTER FIVE</w:t>
      </w:r>
      <w:r>
        <w:rPr>
          <w:rStyle w:val="18"/>
          <w:rFonts w:asciiTheme="majorBidi" w:hAnsiTheme="majorBidi" w:cstheme="majorBidi"/>
          <w:b/>
          <w:bCs/>
          <w:sz w:val="24"/>
          <w:szCs w:val="24"/>
        </w:rPr>
        <w:fldChar w:fldCharType="end"/>
      </w:r>
      <w:r>
        <w:rPr>
          <w:rFonts w:asciiTheme="majorBidi" w:hAnsiTheme="majorBidi" w:eastAsiaTheme="minorEastAsia" w:cstheme="majorBidi"/>
          <w:b/>
          <w:bCs/>
          <w:sz w:val="24"/>
          <w:szCs w:val="24"/>
        </w:rPr>
        <w:t xml:space="preserve">: </w:t>
      </w:r>
      <w:r>
        <w:fldChar w:fldCharType="begin"/>
      </w:r>
      <w:r>
        <w:instrText xml:space="preserve"> HYPERLINK \l "_Toc215132373" </w:instrText>
      </w:r>
      <w:r>
        <w:fldChar w:fldCharType="separate"/>
      </w:r>
      <w:r>
        <w:rPr>
          <w:rStyle w:val="18"/>
          <w:rFonts w:asciiTheme="majorBidi" w:hAnsiTheme="majorBidi" w:cstheme="majorBidi"/>
          <w:b/>
          <w:bCs/>
          <w:sz w:val="24"/>
          <w:szCs w:val="24"/>
        </w:rPr>
        <w:t>DISCUSSION, CONCLUSION AND RECOMMENDATIONS</w:t>
      </w:r>
      <w:r>
        <w:rPr>
          <w:rFonts w:asciiTheme="majorBidi" w:hAnsiTheme="majorBidi" w:cstheme="majorBidi"/>
          <w:b/>
          <w:bCs/>
          <w:sz w:val="24"/>
          <w:szCs w:val="24"/>
        </w:rPr>
        <w:tab/>
      </w:r>
      <w:r>
        <w:rPr>
          <w:rFonts w:asciiTheme="majorBidi" w:hAnsiTheme="majorBidi" w:cstheme="majorBidi"/>
          <w:b/>
          <w:bCs/>
          <w:sz w:val="24"/>
          <w:szCs w:val="24"/>
        </w:rPr>
        <w:fldChar w:fldCharType="begin"/>
      </w:r>
      <w:r>
        <w:rPr>
          <w:rFonts w:asciiTheme="majorBidi" w:hAnsiTheme="majorBidi" w:cstheme="majorBidi"/>
          <w:b/>
          <w:bCs/>
          <w:sz w:val="24"/>
          <w:szCs w:val="24"/>
        </w:rPr>
        <w:instrText xml:space="preserve"> PAGEREF _Toc215132373 \h </w:instrText>
      </w:r>
      <w:r>
        <w:rPr>
          <w:rFonts w:asciiTheme="majorBidi" w:hAnsiTheme="majorBidi" w:cstheme="majorBidi"/>
          <w:b/>
          <w:bCs/>
          <w:sz w:val="24"/>
          <w:szCs w:val="24"/>
        </w:rPr>
        <w:fldChar w:fldCharType="separate"/>
      </w:r>
      <w:r>
        <w:rPr>
          <w:rFonts w:asciiTheme="majorBidi" w:hAnsiTheme="majorBidi" w:cstheme="majorBidi"/>
          <w:b/>
          <w:bCs/>
          <w:sz w:val="24"/>
          <w:szCs w:val="24"/>
        </w:rPr>
        <w:t>24</w:t>
      </w:r>
      <w:r>
        <w:rPr>
          <w:rFonts w:asciiTheme="majorBidi" w:hAnsiTheme="majorBidi" w:cstheme="majorBidi"/>
          <w:b/>
          <w:bCs/>
          <w:sz w:val="24"/>
          <w:szCs w:val="24"/>
        </w:rPr>
        <w:fldChar w:fldCharType="end"/>
      </w:r>
      <w:r>
        <w:rPr>
          <w:rFonts w:asciiTheme="majorBidi" w:hAnsiTheme="majorBidi" w:cstheme="majorBidi"/>
          <w:b/>
          <w:bCs/>
          <w:sz w:val="24"/>
          <w:szCs w:val="24"/>
        </w:rPr>
        <w:fldChar w:fldCharType="end"/>
      </w:r>
    </w:p>
    <w:p w14:paraId="643435C1">
      <w:pPr>
        <w:pStyle w:val="25"/>
        <w:tabs>
          <w:tab w:val="left" w:pos="660"/>
          <w:tab w:val="right" w:leader="dot" w:pos="9350"/>
        </w:tabs>
        <w:spacing w:after="0" w:line="360" w:lineRule="auto"/>
        <w:rPr>
          <w:rFonts w:asciiTheme="majorBidi" w:hAnsiTheme="majorBidi" w:eastAsiaTheme="minorEastAsia" w:cstheme="majorBidi"/>
          <w:sz w:val="24"/>
          <w:szCs w:val="24"/>
        </w:rPr>
      </w:pPr>
      <w:r>
        <w:fldChar w:fldCharType="begin"/>
      </w:r>
      <w:r>
        <w:instrText xml:space="preserve"> HYPERLINK \l "_Toc215132374" </w:instrText>
      </w:r>
      <w:r>
        <w:fldChar w:fldCharType="separate"/>
      </w:r>
      <w:r>
        <w:rPr>
          <w:rStyle w:val="18"/>
          <w:rFonts w:asciiTheme="majorBidi" w:hAnsiTheme="majorBidi" w:cstheme="majorBidi"/>
          <w:sz w:val="24"/>
          <w:szCs w:val="24"/>
        </w:rPr>
        <w:t>5.1</w:t>
      </w:r>
      <w:r>
        <w:rPr>
          <w:rFonts w:asciiTheme="majorBidi" w:hAnsiTheme="majorBidi" w:eastAsiaTheme="minorEastAsia" w:cstheme="majorBidi"/>
          <w:sz w:val="24"/>
          <w:szCs w:val="24"/>
        </w:rPr>
        <w:tab/>
      </w:r>
      <w:r>
        <w:rPr>
          <w:rStyle w:val="18"/>
          <w:rFonts w:asciiTheme="majorBidi" w:hAnsiTheme="majorBidi" w:cstheme="majorBidi"/>
          <w:sz w:val="24"/>
          <w:szCs w:val="24"/>
        </w:rPr>
        <w:t>Discussion</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_Toc215132374 \h </w:instrText>
      </w:r>
      <w:r>
        <w:rPr>
          <w:rFonts w:asciiTheme="majorBidi" w:hAnsiTheme="majorBidi" w:cstheme="majorBidi"/>
          <w:sz w:val="24"/>
          <w:szCs w:val="24"/>
        </w:rPr>
        <w:fldChar w:fldCharType="separate"/>
      </w:r>
      <w:r>
        <w:rPr>
          <w:rFonts w:asciiTheme="majorBidi" w:hAnsiTheme="majorBidi" w:cstheme="majorBidi"/>
          <w:sz w:val="24"/>
          <w:szCs w:val="24"/>
        </w:rPr>
        <w:t>24</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41FF09A6">
      <w:pPr>
        <w:pStyle w:val="25"/>
        <w:tabs>
          <w:tab w:val="left" w:pos="660"/>
          <w:tab w:val="right" w:leader="dot" w:pos="9350"/>
        </w:tabs>
        <w:spacing w:after="0" w:line="360" w:lineRule="auto"/>
        <w:rPr>
          <w:rFonts w:asciiTheme="majorBidi" w:hAnsiTheme="majorBidi" w:eastAsiaTheme="minorEastAsia" w:cstheme="majorBidi"/>
          <w:sz w:val="24"/>
          <w:szCs w:val="24"/>
        </w:rPr>
      </w:pPr>
      <w:r>
        <w:fldChar w:fldCharType="begin"/>
      </w:r>
      <w:r>
        <w:instrText xml:space="preserve"> HYPERLINK \l "_Toc215132375" </w:instrText>
      </w:r>
      <w:r>
        <w:fldChar w:fldCharType="separate"/>
      </w:r>
      <w:r>
        <w:rPr>
          <w:rStyle w:val="18"/>
          <w:rFonts w:asciiTheme="majorBidi" w:hAnsiTheme="majorBidi" w:cstheme="majorBidi"/>
          <w:sz w:val="24"/>
          <w:szCs w:val="24"/>
        </w:rPr>
        <w:t>5.2</w:t>
      </w:r>
      <w:r>
        <w:rPr>
          <w:rFonts w:asciiTheme="majorBidi" w:hAnsiTheme="majorBidi" w:eastAsiaTheme="minorEastAsia" w:cstheme="majorBidi"/>
          <w:sz w:val="24"/>
          <w:szCs w:val="24"/>
        </w:rPr>
        <w:tab/>
      </w:r>
      <w:r>
        <w:rPr>
          <w:rStyle w:val="18"/>
          <w:rFonts w:asciiTheme="majorBidi" w:hAnsiTheme="majorBidi" w:cstheme="majorBidi"/>
          <w:sz w:val="24"/>
          <w:szCs w:val="24"/>
        </w:rPr>
        <w:t>Conclusion</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_Toc215132375 \h </w:instrText>
      </w:r>
      <w:r>
        <w:rPr>
          <w:rFonts w:asciiTheme="majorBidi" w:hAnsiTheme="majorBidi" w:cstheme="majorBidi"/>
          <w:sz w:val="24"/>
          <w:szCs w:val="24"/>
        </w:rPr>
        <w:fldChar w:fldCharType="separate"/>
      </w:r>
      <w:r>
        <w:rPr>
          <w:rFonts w:asciiTheme="majorBidi" w:hAnsiTheme="majorBidi" w:cstheme="majorBidi"/>
          <w:sz w:val="24"/>
          <w:szCs w:val="24"/>
        </w:rPr>
        <w:t>26</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70220BA7">
      <w:pPr>
        <w:pStyle w:val="25"/>
        <w:tabs>
          <w:tab w:val="left" w:pos="660"/>
          <w:tab w:val="right" w:leader="dot" w:pos="9350"/>
        </w:tabs>
        <w:spacing w:after="0" w:line="360" w:lineRule="auto"/>
        <w:rPr>
          <w:rFonts w:asciiTheme="majorBidi" w:hAnsiTheme="majorBidi" w:eastAsiaTheme="minorEastAsia" w:cstheme="majorBidi"/>
          <w:sz w:val="24"/>
          <w:szCs w:val="24"/>
        </w:rPr>
      </w:pPr>
      <w:r>
        <w:fldChar w:fldCharType="begin"/>
      </w:r>
      <w:r>
        <w:instrText xml:space="preserve"> HYPERLINK \l "_Toc215132376" </w:instrText>
      </w:r>
      <w:r>
        <w:fldChar w:fldCharType="separate"/>
      </w:r>
      <w:r>
        <w:rPr>
          <w:rStyle w:val="18"/>
          <w:rFonts w:asciiTheme="majorBidi" w:hAnsiTheme="majorBidi" w:cstheme="majorBidi"/>
          <w:sz w:val="24"/>
          <w:szCs w:val="24"/>
        </w:rPr>
        <w:t>5.3</w:t>
      </w:r>
      <w:r>
        <w:rPr>
          <w:rFonts w:asciiTheme="majorBidi" w:hAnsiTheme="majorBidi" w:eastAsiaTheme="minorEastAsia" w:cstheme="majorBidi"/>
          <w:sz w:val="24"/>
          <w:szCs w:val="24"/>
        </w:rPr>
        <w:tab/>
      </w:r>
      <w:r>
        <w:rPr>
          <w:rStyle w:val="18"/>
          <w:rFonts w:asciiTheme="majorBidi" w:hAnsiTheme="majorBidi" w:cstheme="majorBidi"/>
          <w:sz w:val="24"/>
          <w:szCs w:val="24"/>
        </w:rPr>
        <w:t>Recommendations</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_Toc215132376 \h </w:instrText>
      </w:r>
      <w:r>
        <w:rPr>
          <w:rFonts w:asciiTheme="majorBidi" w:hAnsiTheme="majorBidi" w:cstheme="majorBidi"/>
          <w:sz w:val="24"/>
          <w:szCs w:val="24"/>
        </w:rPr>
        <w:fldChar w:fldCharType="separate"/>
      </w:r>
      <w:r>
        <w:rPr>
          <w:rFonts w:asciiTheme="majorBidi" w:hAnsiTheme="majorBidi" w:cstheme="majorBidi"/>
          <w:sz w:val="24"/>
          <w:szCs w:val="24"/>
        </w:rPr>
        <w:t>26</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65260A84">
      <w:pPr>
        <w:pStyle w:val="25"/>
        <w:tabs>
          <w:tab w:val="right" w:leader="dot" w:pos="9350"/>
        </w:tabs>
        <w:spacing w:after="0" w:line="360" w:lineRule="auto"/>
        <w:rPr>
          <w:rFonts w:asciiTheme="majorBidi" w:hAnsiTheme="majorBidi" w:eastAsiaTheme="minorEastAsia" w:cstheme="majorBidi"/>
          <w:b/>
          <w:bCs/>
          <w:sz w:val="24"/>
          <w:szCs w:val="24"/>
        </w:rPr>
      </w:pPr>
      <w:r>
        <w:fldChar w:fldCharType="begin"/>
      </w:r>
      <w:r>
        <w:instrText xml:space="preserve"> HYPERLINK \l "_Toc215132377" </w:instrText>
      </w:r>
      <w:r>
        <w:fldChar w:fldCharType="separate"/>
      </w:r>
      <w:r>
        <w:rPr>
          <w:rStyle w:val="18"/>
          <w:rFonts w:asciiTheme="majorBidi" w:hAnsiTheme="majorBidi" w:cstheme="majorBidi"/>
          <w:b/>
          <w:bCs/>
          <w:sz w:val="24"/>
          <w:szCs w:val="24"/>
        </w:rPr>
        <w:t>REFERENCES</w:t>
      </w:r>
      <w:r>
        <w:rPr>
          <w:rFonts w:asciiTheme="majorBidi" w:hAnsiTheme="majorBidi" w:cstheme="majorBidi"/>
          <w:b/>
          <w:bCs/>
          <w:sz w:val="24"/>
          <w:szCs w:val="24"/>
        </w:rPr>
        <w:tab/>
      </w:r>
      <w:r>
        <w:rPr>
          <w:rFonts w:asciiTheme="majorBidi" w:hAnsiTheme="majorBidi" w:cstheme="majorBidi"/>
          <w:b/>
          <w:bCs/>
          <w:sz w:val="24"/>
          <w:szCs w:val="24"/>
        </w:rPr>
        <w:fldChar w:fldCharType="begin"/>
      </w:r>
      <w:r>
        <w:rPr>
          <w:rFonts w:asciiTheme="majorBidi" w:hAnsiTheme="majorBidi" w:cstheme="majorBidi"/>
          <w:b/>
          <w:bCs/>
          <w:sz w:val="24"/>
          <w:szCs w:val="24"/>
        </w:rPr>
        <w:instrText xml:space="preserve"> PAGEREF _Toc215132377 \h </w:instrText>
      </w:r>
      <w:r>
        <w:rPr>
          <w:rFonts w:asciiTheme="majorBidi" w:hAnsiTheme="majorBidi" w:cstheme="majorBidi"/>
          <w:b/>
          <w:bCs/>
          <w:sz w:val="24"/>
          <w:szCs w:val="24"/>
        </w:rPr>
        <w:fldChar w:fldCharType="separate"/>
      </w:r>
      <w:r>
        <w:rPr>
          <w:rFonts w:asciiTheme="majorBidi" w:hAnsiTheme="majorBidi" w:cstheme="majorBidi"/>
          <w:b/>
          <w:bCs/>
          <w:sz w:val="24"/>
          <w:szCs w:val="24"/>
        </w:rPr>
        <w:t>27</w:t>
      </w:r>
      <w:r>
        <w:rPr>
          <w:rFonts w:asciiTheme="majorBidi" w:hAnsiTheme="majorBidi" w:cstheme="majorBidi"/>
          <w:b/>
          <w:bCs/>
          <w:sz w:val="24"/>
          <w:szCs w:val="24"/>
        </w:rPr>
        <w:fldChar w:fldCharType="end"/>
      </w:r>
      <w:r>
        <w:rPr>
          <w:rFonts w:asciiTheme="majorBidi" w:hAnsiTheme="majorBidi" w:cstheme="majorBidi"/>
          <w:b/>
          <w:bCs/>
          <w:sz w:val="24"/>
          <w:szCs w:val="24"/>
        </w:rPr>
        <w:fldChar w:fldCharType="end"/>
      </w:r>
    </w:p>
    <w:p w14:paraId="5509768C">
      <w:pPr>
        <w:spacing w:after="0" w:line="360" w:lineRule="auto"/>
        <w:rPr>
          <w:rFonts w:ascii="Times New Roman" w:hAnsi="Times New Roman" w:cs="Times New Roman"/>
        </w:rPr>
      </w:pPr>
      <w:r>
        <w:rPr>
          <w:rFonts w:asciiTheme="majorBidi" w:hAnsiTheme="majorBidi" w:cstheme="majorBidi"/>
          <w:sz w:val="24"/>
          <w:szCs w:val="24"/>
        </w:rPr>
        <w:fldChar w:fldCharType="end"/>
      </w:r>
    </w:p>
    <w:p w14:paraId="6715BC96">
      <w:pPr>
        <w:rPr>
          <w:rFonts w:ascii="Times New Roman" w:hAnsi="Times New Roman" w:cs="Times New Roman"/>
        </w:rPr>
      </w:pPr>
    </w:p>
    <w:p w14:paraId="47F0BDA1">
      <w:pPr>
        <w:rPr>
          <w:rFonts w:ascii="Times New Roman" w:hAnsi="Times New Roman" w:cs="Times New Roman"/>
        </w:rPr>
      </w:pPr>
    </w:p>
    <w:p w14:paraId="79A79BFB">
      <w:pPr>
        <w:rPr>
          <w:rFonts w:ascii="Times New Roman" w:hAnsi="Times New Roman" w:cs="Times New Roman"/>
        </w:rPr>
      </w:pPr>
    </w:p>
    <w:p w14:paraId="6A959558">
      <w:pPr>
        <w:spacing w:line="278" w:lineRule="auto"/>
        <w:rPr>
          <w:rFonts w:ascii="Times New Roman" w:hAnsi="Times New Roman" w:cs="Times New Roman"/>
        </w:rPr>
      </w:pPr>
      <w:r>
        <w:rPr>
          <w:rFonts w:ascii="Times New Roman" w:hAnsi="Times New Roman" w:cs="Times New Roman"/>
        </w:rPr>
        <w:br w:type="page"/>
      </w:r>
    </w:p>
    <w:p w14:paraId="019E6E93">
      <w:pPr>
        <w:pStyle w:val="2"/>
        <w:spacing w:after="0" w:line="480" w:lineRule="auto"/>
        <w:jc w:val="center"/>
      </w:pPr>
      <w:bookmarkStart w:id="5" w:name="_Toc215132340"/>
      <w:r>
        <w:t>LIST OF TABLES</w:t>
      </w:r>
      <w:bookmarkEnd w:id="5"/>
    </w:p>
    <w:p w14:paraId="1D5F5743">
      <w:pPr>
        <w:pStyle w:val="23"/>
        <w:tabs>
          <w:tab w:val="right" w:leader="dot" w:pos="9350"/>
        </w:tabs>
        <w:spacing w:line="360" w:lineRule="auto"/>
        <w:rPr>
          <w:rFonts w:asciiTheme="majorBidi" w:hAnsiTheme="majorBidi" w:cstheme="majorBidi"/>
          <w:sz w:val="24"/>
          <w:szCs w:val="24"/>
        </w:rPr>
      </w:pPr>
      <w:r>
        <w:fldChar w:fldCharType="begin"/>
      </w:r>
      <w:r>
        <w:instrText xml:space="preserve"> TOC \h \z \c "Table" </w:instrText>
      </w:r>
      <w:r>
        <w:fldChar w:fldCharType="separate"/>
      </w:r>
      <w:r>
        <w:fldChar w:fldCharType="begin"/>
      </w:r>
      <w:r>
        <w:instrText xml:space="preserve"> HYPERLINK \l "_Toc215132378" </w:instrText>
      </w:r>
      <w:r>
        <w:fldChar w:fldCharType="separate"/>
      </w:r>
      <w:r>
        <w:rPr>
          <w:rStyle w:val="18"/>
          <w:rFonts w:asciiTheme="majorBidi" w:hAnsiTheme="majorBidi" w:cstheme="majorBidi"/>
          <w:sz w:val="24"/>
          <w:szCs w:val="24"/>
        </w:rPr>
        <w:t xml:space="preserve">Table 4.1: Phytochemical constituents extract of </w:t>
      </w:r>
      <w:r>
        <w:rPr>
          <w:rStyle w:val="18"/>
          <w:rFonts w:asciiTheme="majorBidi" w:hAnsiTheme="majorBidi" w:cstheme="majorBidi"/>
          <w:i/>
          <w:sz w:val="24"/>
          <w:szCs w:val="24"/>
        </w:rPr>
        <w:t>Boscia angustifolia</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_Toc215132378 \h </w:instrText>
      </w:r>
      <w:r>
        <w:rPr>
          <w:rFonts w:asciiTheme="majorBidi" w:hAnsiTheme="majorBidi" w:cstheme="majorBidi"/>
          <w:sz w:val="24"/>
          <w:szCs w:val="24"/>
        </w:rPr>
        <w:fldChar w:fldCharType="separate"/>
      </w:r>
      <w:r>
        <w:rPr>
          <w:rFonts w:asciiTheme="majorBidi" w:hAnsiTheme="majorBidi" w:cstheme="majorBidi"/>
          <w:sz w:val="24"/>
          <w:szCs w:val="24"/>
        </w:rPr>
        <w:t>21</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6DA3542B">
      <w:pPr>
        <w:pStyle w:val="23"/>
        <w:tabs>
          <w:tab w:val="right" w:leader="dot" w:pos="9350"/>
        </w:tabs>
        <w:spacing w:line="360" w:lineRule="auto"/>
        <w:rPr>
          <w:rFonts w:asciiTheme="majorBidi" w:hAnsiTheme="majorBidi" w:cstheme="majorBidi"/>
          <w:sz w:val="24"/>
          <w:szCs w:val="24"/>
        </w:rPr>
      </w:pPr>
      <w:r>
        <w:fldChar w:fldCharType="begin"/>
      </w:r>
      <w:r>
        <w:instrText xml:space="preserve"> HYPERLINK \l "_Toc215132379" </w:instrText>
      </w:r>
      <w:r>
        <w:fldChar w:fldCharType="separate"/>
      </w:r>
      <w:r>
        <w:rPr>
          <w:rStyle w:val="18"/>
          <w:rFonts w:asciiTheme="majorBidi" w:hAnsiTheme="majorBidi" w:cstheme="majorBidi"/>
          <w:sz w:val="24"/>
          <w:szCs w:val="24"/>
        </w:rPr>
        <w:t xml:space="preserve">Table 4.2 Antibacterial activity of roots extract of </w:t>
      </w:r>
      <w:r>
        <w:rPr>
          <w:rStyle w:val="18"/>
          <w:rFonts w:asciiTheme="majorBidi" w:hAnsiTheme="majorBidi" w:cstheme="majorBidi"/>
          <w:i/>
          <w:sz w:val="24"/>
          <w:szCs w:val="24"/>
        </w:rPr>
        <w:t>Boscia angustifolia</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_Toc215132379 \h </w:instrText>
      </w:r>
      <w:r>
        <w:rPr>
          <w:rFonts w:asciiTheme="majorBidi" w:hAnsiTheme="majorBidi" w:cstheme="majorBidi"/>
          <w:sz w:val="24"/>
          <w:szCs w:val="24"/>
        </w:rPr>
        <w:fldChar w:fldCharType="separate"/>
      </w:r>
      <w:r>
        <w:rPr>
          <w:rFonts w:asciiTheme="majorBidi" w:hAnsiTheme="majorBidi" w:cstheme="majorBidi"/>
          <w:sz w:val="24"/>
          <w:szCs w:val="24"/>
        </w:rPr>
        <w:t>22</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7654EDE5">
      <w:pPr>
        <w:pStyle w:val="27"/>
      </w:pPr>
      <w:r>
        <w:fldChar w:fldCharType="end"/>
      </w:r>
    </w:p>
    <w:p w14:paraId="1252CEF6">
      <w:pPr>
        <w:rPr>
          <w:rFonts w:ascii="Times New Roman" w:hAnsi="Times New Roman" w:cs="Times New Roman"/>
        </w:rPr>
      </w:pPr>
    </w:p>
    <w:p w14:paraId="2E17EBDD">
      <w:pPr>
        <w:rPr>
          <w:rFonts w:ascii="Times New Roman" w:hAnsi="Times New Roman" w:cs="Times New Roman"/>
        </w:rPr>
      </w:pPr>
    </w:p>
    <w:p w14:paraId="66C0448A">
      <w:pPr>
        <w:rPr>
          <w:rFonts w:ascii="Times New Roman" w:hAnsi="Times New Roman" w:cs="Times New Roman"/>
        </w:rPr>
      </w:pPr>
    </w:p>
    <w:p w14:paraId="7912585E"/>
    <w:p w14:paraId="4FD5001D"/>
    <w:p w14:paraId="39723D04"/>
    <w:p w14:paraId="737C88FE">
      <w:pPr>
        <w:spacing w:line="480" w:lineRule="auto"/>
      </w:pPr>
    </w:p>
    <w:p w14:paraId="07951764">
      <w:pPr>
        <w:spacing w:line="480" w:lineRule="auto"/>
        <w:rPr>
          <w:rStyle w:val="20"/>
          <w:rFonts w:ascii="Times New Roman" w:hAnsi="Times New Roman" w:cs="Times New Roman"/>
        </w:rPr>
      </w:pPr>
      <w:r>
        <w:t xml:space="preserve">                                                                       </w:t>
      </w:r>
      <w:r>
        <w:rPr>
          <w:rStyle w:val="20"/>
          <w:rFonts w:ascii="Times New Roman" w:hAnsi="Times New Roman" w:cs="Times New Roman"/>
        </w:rPr>
        <w:t xml:space="preserve">  </w:t>
      </w:r>
    </w:p>
    <w:p w14:paraId="58E2DD4F">
      <w:pPr>
        <w:spacing w:line="480" w:lineRule="auto"/>
        <w:rPr>
          <w:rStyle w:val="20"/>
          <w:rFonts w:ascii="Times New Roman" w:hAnsi="Times New Roman" w:cs="Times New Roman"/>
        </w:rPr>
      </w:pPr>
      <w:r>
        <w:rPr>
          <w:rStyle w:val="20"/>
          <w:rFonts w:ascii="Times New Roman" w:hAnsi="Times New Roman" w:cs="Times New Roman"/>
        </w:rPr>
        <w:t xml:space="preserve"> </w:t>
      </w:r>
    </w:p>
    <w:p w14:paraId="1B169231">
      <w:pPr>
        <w:spacing w:line="480" w:lineRule="auto"/>
        <w:rPr>
          <w:rStyle w:val="20"/>
          <w:rFonts w:ascii="Times New Roman" w:hAnsi="Times New Roman" w:cs="Times New Roman"/>
        </w:rPr>
      </w:pPr>
      <w:r>
        <w:rPr>
          <w:rStyle w:val="20"/>
          <w:rFonts w:ascii="Times New Roman" w:hAnsi="Times New Roman" w:cs="Times New Roman"/>
        </w:rPr>
        <w:t xml:space="preserve">                                                        </w:t>
      </w:r>
    </w:p>
    <w:p w14:paraId="479555B0">
      <w:pPr>
        <w:spacing w:line="480" w:lineRule="auto"/>
        <w:rPr>
          <w:rStyle w:val="20"/>
          <w:rFonts w:ascii="Times New Roman" w:hAnsi="Times New Roman" w:cs="Times New Roman"/>
        </w:rPr>
      </w:pPr>
    </w:p>
    <w:p w14:paraId="470527F7">
      <w:pPr>
        <w:spacing w:line="480" w:lineRule="auto"/>
        <w:rPr>
          <w:rStyle w:val="20"/>
          <w:rFonts w:ascii="Times New Roman" w:hAnsi="Times New Roman" w:cs="Times New Roman"/>
        </w:rPr>
      </w:pPr>
    </w:p>
    <w:p w14:paraId="2BDAFF34">
      <w:pPr>
        <w:spacing w:line="480" w:lineRule="auto"/>
        <w:rPr>
          <w:rStyle w:val="20"/>
          <w:rFonts w:ascii="Times New Roman" w:hAnsi="Times New Roman" w:cs="Times New Roman"/>
        </w:rPr>
      </w:pPr>
    </w:p>
    <w:p w14:paraId="0B7D4AE1">
      <w:pPr>
        <w:spacing w:line="480" w:lineRule="auto"/>
        <w:rPr>
          <w:rStyle w:val="20"/>
          <w:rFonts w:ascii="Times New Roman" w:hAnsi="Times New Roman" w:cs="Times New Roman"/>
        </w:rPr>
      </w:pPr>
    </w:p>
    <w:p w14:paraId="60AE5D2C">
      <w:pPr>
        <w:spacing w:line="480" w:lineRule="auto"/>
        <w:rPr>
          <w:rStyle w:val="20"/>
          <w:rFonts w:ascii="Times New Roman" w:hAnsi="Times New Roman" w:cs="Times New Roman"/>
        </w:rPr>
      </w:pPr>
    </w:p>
    <w:p w14:paraId="1C394D1C">
      <w:pPr>
        <w:spacing w:line="480" w:lineRule="auto"/>
        <w:rPr>
          <w:rStyle w:val="20"/>
          <w:rFonts w:ascii="Times New Roman" w:hAnsi="Times New Roman" w:cs="Times New Roman"/>
        </w:rPr>
      </w:pPr>
    </w:p>
    <w:p w14:paraId="5D4FE2C4">
      <w:pPr>
        <w:spacing w:line="480" w:lineRule="auto"/>
        <w:rPr>
          <w:rStyle w:val="20"/>
          <w:rFonts w:ascii="Times New Roman" w:hAnsi="Times New Roman" w:cs="Times New Roman"/>
        </w:rPr>
      </w:pPr>
    </w:p>
    <w:p w14:paraId="5CBB70DD">
      <w:pPr>
        <w:spacing w:line="480" w:lineRule="auto"/>
        <w:rPr>
          <w:rStyle w:val="20"/>
          <w:rFonts w:ascii="Times New Roman" w:hAnsi="Times New Roman" w:cs="Times New Roman"/>
        </w:rPr>
      </w:pPr>
    </w:p>
    <w:p w14:paraId="73133A8E">
      <w:pPr>
        <w:pStyle w:val="2"/>
        <w:spacing w:after="0"/>
        <w:jc w:val="center"/>
        <w:rPr>
          <w:sz w:val="32"/>
          <w:szCs w:val="32"/>
        </w:rPr>
      </w:pPr>
      <w:bookmarkStart w:id="6" w:name="_Toc215132341"/>
      <w:r>
        <w:rPr>
          <w:rStyle w:val="20"/>
          <w:rFonts w:cs="Times New Roman"/>
          <w:b w:val="0"/>
        </w:rPr>
        <w:t>ABSTRACT</w:t>
      </w:r>
      <w:bookmarkEnd w:id="6"/>
    </w:p>
    <w:p w14:paraId="3A6B0CBD">
      <w:pPr>
        <w:pStyle w:val="19"/>
        <w:spacing w:before="0" w:beforeAutospacing="0"/>
        <w:jc w:val="both"/>
      </w:pPr>
      <w:bookmarkStart w:id="97" w:name="_GoBack"/>
      <w:r>
        <w:t xml:space="preserve">The study investigated the antibacterial action of </w:t>
      </w:r>
      <w:r>
        <w:rPr>
          <w:rStyle w:val="15"/>
          <w:rFonts w:eastAsiaTheme="majorEastAsia"/>
        </w:rPr>
        <w:t>Boscia angustifolia</w:t>
      </w:r>
      <w:r>
        <w:t xml:space="preserve"> extracts with the aim of identifying its phytochemical constituents and evaluating its efficacy against selected bacterial species. The plant material was collected, extracted using methanol, and subjected to qualitative phytochemical screening. The antibacterial activity of the extract was assessed against </w:t>
      </w:r>
      <w:r>
        <w:rPr>
          <w:rStyle w:val="15"/>
          <w:rFonts w:eastAsiaTheme="majorEastAsia"/>
        </w:rPr>
        <w:t>Klebsiella</w:t>
      </w:r>
      <w:r>
        <w:t xml:space="preserve">, </w:t>
      </w:r>
      <w:r>
        <w:rPr>
          <w:rStyle w:val="15"/>
          <w:rFonts w:eastAsiaTheme="majorEastAsia"/>
        </w:rPr>
        <w:t>Bacillus</w:t>
      </w:r>
      <w:r>
        <w:t xml:space="preserve">, </w:t>
      </w:r>
      <w:r>
        <w:rPr>
          <w:rStyle w:val="15"/>
          <w:rFonts w:eastAsiaTheme="majorEastAsia"/>
        </w:rPr>
        <w:t>Staphylococcus aureus</w:t>
      </w:r>
      <w:r>
        <w:t xml:space="preserve">, and </w:t>
      </w:r>
      <w:r>
        <w:rPr>
          <w:rStyle w:val="15"/>
          <w:rFonts w:eastAsiaTheme="majorEastAsia"/>
        </w:rPr>
        <w:t>Escherichia coli</w:t>
      </w:r>
      <w:r>
        <w:t xml:space="preserve"> using the agar well diffusion method. The phytochemical analysis revealed the presence of flavonoids, saponins, alkaloids, and saponin glycosides, while tannins, volatile oils, anthraquinones, and steroids were not detected. Antibacterial screening indicated that the extract at 40-80mg/mL exhibited strong activity against </w:t>
      </w:r>
      <w:r>
        <w:rPr>
          <w:rStyle w:val="15"/>
          <w:rFonts w:eastAsiaTheme="majorEastAsia"/>
        </w:rPr>
        <w:t>Klebsiella</w:t>
      </w:r>
      <w:r>
        <w:t xml:space="preserve"> and </w:t>
      </w:r>
      <w:r>
        <w:rPr>
          <w:rStyle w:val="15"/>
          <w:rFonts w:eastAsiaTheme="majorEastAsia"/>
        </w:rPr>
        <w:t>Bacillus</w:t>
      </w:r>
      <w:r>
        <w:t xml:space="preserve"> species, with inhibition zones ranging from 13 to 19 and 14 mm to 18 mm, respectively. However, no inhibitory activity was observed against </w:t>
      </w:r>
      <w:r>
        <w:rPr>
          <w:rStyle w:val="15"/>
          <w:rFonts w:eastAsiaTheme="majorEastAsia"/>
        </w:rPr>
        <w:t>Staphylococcus aureus</w:t>
      </w:r>
      <w:r>
        <w:t xml:space="preserve"> and </w:t>
      </w:r>
      <w:r>
        <w:rPr>
          <w:rStyle w:val="15"/>
          <w:rFonts w:eastAsiaTheme="majorEastAsia"/>
        </w:rPr>
        <w:t>E. coli</w:t>
      </w:r>
      <w:r>
        <w:t xml:space="preserve">. The results showed a concentration-dependent antibacterial effect, suggesting that the bioactive compounds in </w:t>
      </w:r>
      <w:r>
        <w:rPr>
          <w:rStyle w:val="15"/>
          <w:rFonts w:eastAsiaTheme="majorEastAsia"/>
        </w:rPr>
        <w:t xml:space="preserve">Boscia angustifolia </w:t>
      </w:r>
      <w:r>
        <w:t xml:space="preserve">may act by disrupting bacterial cell membranes or interfering with essential enzymatic pathways. The findings confirm that </w:t>
      </w:r>
      <w:r>
        <w:rPr>
          <w:rStyle w:val="15"/>
          <w:rFonts w:eastAsiaTheme="majorEastAsia"/>
        </w:rPr>
        <w:t>Boscia angustifolia</w:t>
      </w:r>
      <w:r>
        <w:t xml:space="preserve"> contains pharmacologically active metabolites capable of inhibiting specific bacterial species. These results support its ethnomedicinal use in treating bacterial infections and highlight its potential as a source of new antibacterial agents. Further studies are recommended to isolate and characterize the active compounds, conduct in vivo assays, and explore possible synergistic effects with conventional antibiotics.</w:t>
      </w:r>
    </w:p>
    <w:p w14:paraId="71571338">
      <w:pPr>
        <w:rPr>
          <w:rFonts w:asciiTheme="majorBidi" w:hAnsiTheme="majorBidi" w:cstheme="majorBidi"/>
          <w:sz w:val="24"/>
          <w:szCs w:val="24"/>
        </w:rPr>
      </w:pPr>
      <w:bookmarkStart w:id="7" w:name="_Toc215016044"/>
      <w:r>
        <w:rPr>
          <w:rFonts w:asciiTheme="majorBidi" w:hAnsiTheme="majorBidi" w:cstheme="majorBidi"/>
          <w:b/>
          <w:bCs/>
          <w:sz w:val="24"/>
          <w:szCs w:val="24"/>
        </w:rPr>
        <w:t>Keywords:</w:t>
      </w:r>
      <w:bookmarkEnd w:id="7"/>
      <w:r>
        <w:rPr>
          <w:rFonts w:asciiTheme="majorBidi" w:hAnsiTheme="majorBidi" w:cstheme="majorBidi"/>
          <w:sz w:val="24"/>
          <w:szCs w:val="24"/>
        </w:rPr>
        <w:t xml:space="preserve"> </w:t>
      </w:r>
      <w:r>
        <w:rPr>
          <w:rFonts w:asciiTheme="majorBidi" w:hAnsiTheme="majorBidi" w:cstheme="majorBidi"/>
          <w:i/>
          <w:iCs/>
          <w:sz w:val="24"/>
          <w:szCs w:val="24"/>
        </w:rPr>
        <w:t>Boscia angustifolia, antibacterial activity, phytochemicals, saponins, alkaloids, Klebsiella, Bacillus, antimicrobial mechanism.</w:t>
      </w:r>
    </w:p>
    <w:p w14:paraId="39EA1937"/>
    <w:p w14:paraId="28C5FAB7">
      <w:pPr>
        <w:rPr>
          <w:color w:val="000000" w:themeColor="text1"/>
          <w14:textFill>
            <w14:solidFill>
              <w14:schemeClr w14:val="tx1"/>
            </w14:solidFill>
          </w14:textFill>
        </w:rPr>
      </w:pPr>
    </w:p>
    <w:p w14:paraId="4AA790D7">
      <w:pPr>
        <w:pStyle w:val="2"/>
        <w:rPr>
          <w:rFonts w:asciiTheme="minorHAnsi" w:hAnsiTheme="minorHAnsi" w:eastAsiaTheme="minorHAnsi" w:cstheme="minorBidi"/>
          <w:sz w:val="22"/>
          <w:szCs w:val="22"/>
        </w:rPr>
        <w:sectPr>
          <w:footerReference r:id="rId5" w:type="default"/>
          <w:pgSz w:w="12240" w:h="15840"/>
          <w:pgMar w:top="1440" w:right="1440" w:bottom="1440" w:left="1440" w:header="720" w:footer="720" w:gutter="0"/>
          <w:pgNumType w:fmt="lowerRoman" w:start="1"/>
          <w:cols w:space="720" w:num="1"/>
          <w:titlePg/>
          <w:docGrid w:linePitch="360" w:charSpace="0"/>
        </w:sectPr>
      </w:pPr>
      <w:r>
        <w:rPr>
          <w:rFonts w:asciiTheme="minorHAnsi" w:hAnsiTheme="minorHAnsi" w:eastAsiaTheme="minorHAnsi" w:cstheme="minorBidi"/>
          <w:sz w:val="22"/>
          <w:szCs w:val="22"/>
        </w:rPr>
        <w:t xml:space="preserve">                                                                           </w:t>
      </w:r>
      <w:bookmarkStart w:id="8" w:name="_Toc215016045"/>
    </w:p>
    <w:bookmarkEnd w:id="97"/>
    <w:p w14:paraId="006199CE">
      <w:pPr>
        <w:pStyle w:val="2"/>
        <w:spacing w:before="0" w:after="0" w:line="480" w:lineRule="auto"/>
        <w:jc w:val="center"/>
        <w:rPr>
          <w:rFonts w:eastAsia="Times New Roman"/>
        </w:rPr>
      </w:pPr>
      <w:bookmarkStart w:id="9" w:name="_Toc215132342"/>
      <w:r>
        <w:rPr>
          <w:rFonts w:eastAsia="Times New Roman"/>
        </w:rPr>
        <w:t>CHAPTER ONE</w:t>
      </w:r>
      <w:bookmarkEnd w:id="8"/>
      <w:bookmarkEnd w:id="9"/>
    </w:p>
    <w:p w14:paraId="3B562F41">
      <w:pPr>
        <w:pStyle w:val="2"/>
        <w:spacing w:before="0" w:after="0" w:line="480" w:lineRule="auto"/>
        <w:jc w:val="center"/>
        <w:rPr>
          <w:rFonts w:eastAsia="Times New Roman"/>
          <w:kern w:val="36"/>
        </w:rPr>
      </w:pPr>
      <w:bookmarkStart w:id="10" w:name="_Toc215016046"/>
      <w:bookmarkStart w:id="11" w:name="_Toc215132343"/>
      <w:r>
        <w:rPr>
          <w:rFonts w:eastAsia="Times New Roman"/>
          <w:kern w:val="36"/>
        </w:rPr>
        <w:t>INTRODUCTION</w:t>
      </w:r>
      <w:bookmarkEnd w:id="10"/>
      <w:bookmarkEnd w:id="11"/>
    </w:p>
    <w:p w14:paraId="745FAC06">
      <w:pPr>
        <w:pStyle w:val="2"/>
        <w:spacing w:after="0" w:line="480" w:lineRule="auto"/>
        <w:rPr>
          <w:rFonts w:eastAsia="Times New Roman"/>
        </w:rPr>
      </w:pPr>
      <w:bookmarkStart w:id="12" w:name="_Toc215132344"/>
      <w:bookmarkStart w:id="13" w:name="_Toc215016047"/>
      <w:r>
        <w:rPr>
          <w:rFonts w:eastAsia="Times New Roman"/>
        </w:rPr>
        <w:t>1.1</w:t>
      </w:r>
      <w:r>
        <w:rPr>
          <w:rFonts w:eastAsia="Times New Roman"/>
        </w:rPr>
        <w:tab/>
      </w:r>
      <w:r>
        <w:rPr>
          <w:rFonts w:eastAsia="Times New Roman"/>
        </w:rPr>
        <w:t>Background of the Study</w:t>
      </w:r>
      <w:bookmarkEnd w:id="12"/>
      <w:bookmarkEnd w:id="13"/>
    </w:p>
    <w:p w14:paraId="1557617C">
      <w:pPr>
        <w:spacing w:after="0" w:line="480" w:lineRule="auto"/>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Bacterial infections remain one of the most challenging health problems globally, especially in developing countries where limited access to healthcare and the overuse of antibiotics have intensified the spread of resistant strains. Antibiotics have been considered the cornerstone of modern medicine for decades; however, their efficacy is increasingly compromised by the emergence of multidrug-resistant pathogens (</w:t>
      </w:r>
      <w:r>
        <w:rPr>
          <w:rFonts w:ascii="Times New Roman" w:hAnsi="Times New Roman" w:eastAsia="Times New Roman" w:cs="Times New Roman"/>
          <w:sz w:val="24"/>
          <w:szCs w:val="24"/>
        </w:rPr>
        <w:t xml:space="preserve">Muteeb </w:t>
      </w:r>
      <w:r>
        <w:rPr>
          <w:rFonts w:ascii="Times New Roman" w:hAnsi="Times New Roman" w:eastAsia="Times New Roman" w:cs="Times New Roman"/>
          <w:i/>
          <w:iCs/>
          <w:sz w:val="24"/>
          <w:szCs w:val="24"/>
        </w:rPr>
        <w:t>et al.,</w:t>
      </w:r>
      <w:r>
        <w:rPr>
          <w:rFonts w:ascii="Times New Roman" w:hAnsi="Times New Roman" w:eastAsia="Times New Roman" w:cs="Times New Roman"/>
          <w:sz w:val="24"/>
          <w:szCs w:val="24"/>
        </w:rPr>
        <w:t xml:space="preserve"> 2023</w:t>
      </w:r>
      <w:r>
        <w:rPr>
          <w:rFonts w:ascii="Times New Roman" w:hAnsi="Times New Roman" w:eastAsia="Times New Roman" w:cs="Times New Roman"/>
          <w:color w:val="000000" w:themeColor="text1"/>
          <w:sz w:val="24"/>
          <w:szCs w:val="24"/>
          <w14:textFill>
            <w14:solidFill>
              <w14:schemeClr w14:val="tx1"/>
            </w14:solidFill>
          </w14:textFill>
        </w:rPr>
        <w:t>). In response to this crisis, the exploration of natural products, particularly medicinal plants, has become a critical area of research. Plants have historically provided bioactive molecules with antimicrobial potential, and many conventional drugs are derived from plant metabolites (</w:t>
      </w:r>
      <w:r>
        <w:rPr>
          <w:rFonts w:ascii="Times New Roman" w:hAnsi="Times New Roman" w:eastAsia="Times New Roman" w:cs="Times New Roman"/>
          <w:sz w:val="24"/>
          <w:szCs w:val="24"/>
        </w:rPr>
        <w:t xml:space="preserve">Vaou </w:t>
      </w:r>
      <w:r>
        <w:rPr>
          <w:rFonts w:ascii="Times New Roman" w:hAnsi="Times New Roman" w:eastAsia="Times New Roman" w:cs="Times New Roman"/>
          <w:i/>
          <w:iCs/>
          <w:sz w:val="24"/>
          <w:szCs w:val="24"/>
        </w:rPr>
        <w:t>et al</w:t>
      </w:r>
      <w:r>
        <w:rPr>
          <w:rFonts w:ascii="Times New Roman" w:hAnsi="Times New Roman" w:eastAsia="Times New Roman" w:cs="Times New Roman"/>
          <w:sz w:val="24"/>
          <w:szCs w:val="24"/>
        </w:rPr>
        <w:t>.</w:t>
      </w:r>
      <w:r>
        <w:rPr>
          <w:rFonts w:ascii="Times New Roman" w:hAnsi="Times New Roman" w:eastAsia="Times New Roman" w:cs="Times New Roman"/>
          <w:color w:val="000000" w:themeColor="text1"/>
          <w:sz w:val="24"/>
          <w:szCs w:val="24"/>
          <w14:textFill>
            <w14:solidFill>
              <w14:schemeClr w14:val="tx1"/>
            </w14:solidFill>
          </w14:textFill>
        </w:rPr>
        <w:t>, 2021).</w:t>
      </w:r>
    </w:p>
    <w:p w14:paraId="54439CE6">
      <w:pPr>
        <w:spacing w:before="240" w:after="0" w:line="480" w:lineRule="auto"/>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i/>
          <w:iCs/>
          <w:color w:val="000000" w:themeColor="text1"/>
          <w:sz w:val="24"/>
          <w:szCs w:val="24"/>
          <w14:textFill>
            <w14:solidFill>
              <w14:schemeClr w14:val="tx1"/>
            </w14:solidFill>
          </w14:textFill>
        </w:rPr>
        <w:t>Boscia angustifolia</w:t>
      </w:r>
      <w:r>
        <w:rPr>
          <w:rFonts w:ascii="Times New Roman" w:hAnsi="Times New Roman" w:eastAsia="Times New Roman" w:cs="Times New Roman"/>
          <w:color w:val="000000" w:themeColor="text1"/>
          <w:sz w:val="24"/>
          <w:szCs w:val="24"/>
          <w14:textFill>
            <w14:solidFill>
              <w14:schemeClr w14:val="tx1"/>
            </w14:solidFill>
          </w14:textFill>
        </w:rPr>
        <w:t>, a shrub of the family Capparaceae, is native to the Sahel region of Africa and is well recognized for its resilience in arid environments. Traditionally, different parts of the plant, including its seeds, bark, and leaves, are used in folk medicine to treat infectious diseases, digestive disorders, and inflammatory conditions (</w:t>
      </w:r>
      <w:r>
        <w:rPr>
          <w:rFonts w:ascii="Times New Roman" w:hAnsi="Times New Roman" w:eastAsia="Times New Roman" w:cs="Times New Roman"/>
          <w:sz w:val="24"/>
          <w:szCs w:val="24"/>
        </w:rPr>
        <w:t>Chaughule and Barve, 2024</w:t>
      </w:r>
      <w:r>
        <w:rPr>
          <w:rFonts w:ascii="Times New Roman" w:hAnsi="Times New Roman" w:eastAsia="Times New Roman" w:cs="Times New Roman"/>
          <w:color w:val="000000" w:themeColor="text1"/>
          <w:sz w:val="24"/>
          <w:szCs w:val="24"/>
          <w14:textFill>
            <w14:solidFill>
              <w14:schemeClr w14:val="tx1"/>
            </w14:solidFill>
          </w14:textFill>
        </w:rPr>
        <w:t xml:space="preserve">). Recent pharmacological investigations indicate that </w:t>
      </w:r>
      <w:r>
        <w:rPr>
          <w:rFonts w:ascii="Times New Roman" w:hAnsi="Times New Roman" w:eastAsia="Times New Roman" w:cs="Times New Roman"/>
          <w:i/>
          <w:iCs/>
          <w:color w:val="000000" w:themeColor="text1"/>
          <w:sz w:val="24"/>
          <w:szCs w:val="24"/>
          <w14:textFill>
            <w14:solidFill>
              <w14:schemeClr w14:val="tx1"/>
            </w14:solidFill>
          </w14:textFill>
        </w:rPr>
        <w:t>B. angustifolia</w:t>
      </w:r>
      <w:r>
        <w:rPr>
          <w:rFonts w:ascii="Times New Roman" w:hAnsi="Times New Roman" w:eastAsia="Times New Roman" w:cs="Times New Roman"/>
          <w:color w:val="000000" w:themeColor="text1"/>
          <w:sz w:val="24"/>
          <w:szCs w:val="24"/>
          <w14:textFill>
            <w14:solidFill>
              <w14:schemeClr w14:val="tx1"/>
            </w14:solidFill>
          </w14:textFill>
        </w:rPr>
        <w:t xml:space="preserve"> possesses diverse biological activities, including antioxidant, antimicrobial, and anti-inflammatory effects (Vougat Ngom </w:t>
      </w:r>
      <w:r>
        <w:rPr>
          <w:rFonts w:ascii="Times New Roman" w:hAnsi="Times New Roman" w:eastAsia="Times New Roman" w:cs="Times New Roman"/>
          <w:i/>
          <w:iCs/>
          <w:color w:val="000000" w:themeColor="text1"/>
          <w:sz w:val="24"/>
          <w:szCs w:val="24"/>
          <w14:textFill>
            <w14:solidFill>
              <w14:schemeClr w14:val="tx1"/>
            </w14:solidFill>
          </w14:textFill>
        </w:rPr>
        <w:t>et al.,</w:t>
      </w:r>
      <w:r>
        <w:rPr>
          <w:rFonts w:ascii="Times New Roman" w:hAnsi="Times New Roman" w:eastAsia="Times New Roman" w:cs="Times New Roman"/>
          <w:color w:val="000000" w:themeColor="text1"/>
          <w:sz w:val="24"/>
          <w:szCs w:val="24"/>
          <w14:textFill>
            <w14:solidFill>
              <w14:schemeClr w14:val="tx1"/>
            </w14:solidFill>
          </w14:textFill>
        </w:rPr>
        <w:t xml:space="preserve"> 2021). This has positioned the plant as a promising source for the development of novel antibacterial agents.</w:t>
      </w:r>
    </w:p>
    <w:p w14:paraId="40E70F01">
      <w:pPr>
        <w:spacing w:before="240" w:after="0" w:line="480" w:lineRule="auto"/>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 xml:space="preserve">The growing interest in </w:t>
      </w:r>
      <w:r>
        <w:rPr>
          <w:rFonts w:ascii="Times New Roman" w:hAnsi="Times New Roman" w:eastAsia="Times New Roman" w:cs="Times New Roman"/>
          <w:i/>
          <w:iCs/>
          <w:color w:val="000000" w:themeColor="text1"/>
          <w:sz w:val="24"/>
          <w:szCs w:val="24"/>
          <w14:textFill>
            <w14:solidFill>
              <w14:schemeClr w14:val="tx1"/>
            </w14:solidFill>
          </w14:textFill>
        </w:rPr>
        <w:t>B. angustifolia</w:t>
      </w:r>
      <w:r>
        <w:rPr>
          <w:rFonts w:ascii="Times New Roman" w:hAnsi="Times New Roman" w:eastAsia="Times New Roman" w:cs="Times New Roman"/>
          <w:color w:val="000000" w:themeColor="text1"/>
          <w:sz w:val="24"/>
          <w:szCs w:val="24"/>
          <w14:textFill>
            <w14:solidFill>
              <w14:schemeClr w14:val="tx1"/>
            </w14:solidFill>
          </w14:textFill>
        </w:rPr>
        <w:t xml:space="preserve"> arises not only from its ethnomedicinal applications but also from scientific evidence supporting its antibacterial activity. For example, ethanolic and methanolic extracts of the plant have shown inhibitory effects against </w:t>
      </w:r>
      <w:r>
        <w:rPr>
          <w:rFonts w:ascii="Times New Roman" w:hAnsi="Times New Roman" w:eastAsia="Times New Roman" w:cs="Times New Roman"/>
          <w:i/>
          <w:iCs/>
          <w:color w:val="000000" w:themeColor="text1"/>
          <w:sz w:val="24"/>
          <w:szCs w:val="24"/>
          <w14:textFill>
            <w14:solidFill>
              <w14:schemeClr w14:val="tx1"/>
            </w14:solidFill>
          </w14:textFill>
        </w:rPr>
        <w:t>Escherichia coli</w:t>
      </w:r>
      <w:r>
        <w:rPr>
          <w:rFonts w:ascii="Times New Roman" w:hAnsi="Times New Roman" w:eastAsia="Times New Roman" w:cs="Times New Roman"/>
          <w:color w:val="000000" w:themeColor="text1"/>
          <w:sz w:val="24"/>
          <w:szCs w:val="24"/>
          <w14:textFill>
            <w14:solidFill>
              <w14:schemeClr w14:val="tx1"/>
            </w14:solidFill>
          </w14:textFill>
        </w:rPr>
        <w:t xml:space="preserve">, </w:t>
      </w:r>
      <w:r>
        <w:rPr>
          <w:rFonts w:ascii="Times New Roman" w:hAnsi="Times New Roman" w:eastAsia="Times New Roman" w:cs="Times New Roman"/>
          <w:i/>
          <w:iCs/>
          <w:color w:val="000000" w:themeColor="text1"/>
          <w:sz w:val="24"/>
          <w:szCs w:val="24"/>
          <w14:textFill>
            <w14:solidFill>
              <w14:schemeClr w14:val="tx1"/>
            </w14:solidFill>
          </w14:textFill>
        </w:rPr>
        <w:t>Salmonella typhi</w:t>
      </w:r>
      <w:r>
        <w:rPr>
          <w:rFonts w:ascii="Times New Roman" w:hAnsi="Times New Roman" w:eastAsia="Times New Roman" w:cs="Times New Roman"/>
          <w:color w:val="000000" w:themeColor="text1"/>
          <w:sz w:val="24"/>
          <w:szCs w:val="24"/>
          <w14:textFill>
            <w14:solidFill>
              <w14:schemeClr w14:val="tx1"/>
            </w14:solidFill>
          </w14:textFill>
        </w:rPr>
        <w:t xml:space="preserve">, and </w:t>
      </w:r>
      <w:r>
        <w:rPr>
          <w:rFonts w:ascii="Times New Roman" w:hAnsi="Times New Roman" w:eastAsia="Times New Roman" w:cs="Times New Roman"/>
          <w:i/>
          <w:iCs/>
          <w:color w:val="000000" w:themeColor="text1"/>
          <w:sz w:val="24"/>
          <w:szCs w:val="24"/>
          <w14:textFill>
            <w14:solidFill>
              <w14:schemeClr w14:val="tx1"/>
            </w14:solidFill>
          </w14:textFill>
        </w:rPr>
        <w:t>Staphylococcus aureus</w:t>
      </w:r>
      <w:r>
        <w:rPr>
          <w:rFonts w:ascii="Times New Roman" w:hAnsi="Times New Roman" w:eastAsia="Times New Roman" w:cs="Times New Roman"/>
          <w:color w:val="000000" w:themeColor="text1"/>
          <w:sz w:val="24"/>
          <w:szCs w:val="24"/>
          <w14:textFill>
            <w14:solidFill>
              <w14:schemeClr w14:val="tx1"/>
            </w14:solidFill>
          </w14:textFill>
        </w:rPr>
        <w:t xml:space="preserve">, organisms responsible for common infections such as diarrhea, typhoid fever, and skin infections (Essa </w:t>
      </w:r>
      <w:r>
        <w:rPr>
          <w:rFonts w:ascii="Times New Roman" w:hAnsi="Times New Roman" w:eastAsia="Times New Roman" w:cs="Times New Roman"/>
          <w:i/>
          <w:iCs/>
          <w:color w:val="000000" w:themeColor="text1"/>
          <w:sz w:val="24"/>
          <w:szCs w:val="24"/>
          <w14:textFill>
            <w14:solidFill>
              <w14:schemeClr w14:val="tx1"/>
            </w14:solidFill>
          </w14:textFill>
        </w:rPr>
        <w:t>et al.,</w:t>
      </w:r>
      <w:r>
        <w:rPr>
          <w:rFonts w:ascii="Times New Roman" w:hAnsi="Times New Roman" w:eastAsia="Times New Roman" w:cs="Times New Roman"/>
          <w:color w:val="000000" w:themeColor="text1"/>
          <w:sz w:val="24"/>
          <w:szCs w:val="24"/>
          <w14:textFill>
            <w14:solidFill>
              <w14:schemeClr w14:val="tx1"/>
            </w14:solidFill>
          </w14:textFill>
        </w:rPr>
        <w:t xml:space="preserve"> 2021). Such findings reinforce the need to explore the underlying mechanisms through which </w:t>
      </w:r>
      <w:r>
        <w:rPr>
          <w:rFonts w:ascii="Times New Roman" w:hAnsi="Times New Roman" w:eastAsia="Times New Roman" w:cs="Times New Roman"/>
          <w:i/>
          <w:iCs/>
          <w:color w:val="000000" w:themeColor="text1"/>
          <w:sz w:val="24"/>
          <w:szCs w:val="24"/>
          <w14:textFill>
            <w14:solidFill>
              <w14:schemeClr w14:val="tx1"/>
            </w14:solidFill>
          </w14:textFill>
        </w:rPr>
        <w:t>B. angustifolia</w:t>
      </w:r>
      <w:r>
        <w:rPr>
          <w:rFonts w:ascii="Times New Roman" w:hAnsi="Times New Roman" w:eastAsia="Times New Roman" w:cs="Times New Roman"/>
          <w:color w:val="000000" w:themeColor="text1"/>
          <w:sz w:val="24"/>
          <w:szCs w:val="24"/>
          <w14:textFill>
            <w14:solidFill>
              <w14:schemeClr w14:val="tx1"/>
            </w14:solidFill>
          </w14:textFill>
        </w:rPr>
        <w:t xml:space="preserve"> extracts exert antibacterial effects.</w:t>
      </w:r>
    </w:p>
    <w:p w14:paraId="7B375EF8">
      <w:pPr>
        <w:spacing w:before="240" w:after="0" w:line="480" w:lineRule="auto"/>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 xml:space="preserve">Although antibacterial activity has been documented, the specific mechanisms whether targeting bacterial cell walls, altering membrane permeability, inhibiting enzymes, or interfering with DNA replication remain unclear. A deeper understanding of these mechanisms is essential to justify its therapeutic application and guide drug development processes. Thus, this study seeks to bridge the knowledge gap by investigating the mechanism of antibacterial action of </w:t>
      </w:r>
      <w:r>
        <w:rPr>
          <w:rFonts w:ascii="Times New Roman" w:hAnsi="Times New Roman" w:eastAsia="Times New Roman" w:cs="Times New Roman"/>
          <w:i/>
          <w:iCs/>
          <w:color w:val="000000" w:themeColor="text1"/>
          <w:sz w:val="24"/>
          <w:szCs w:val="24"/>
          <w14:textFill>
            <w14:solidFill>
              <w14:schemeClr w14:val="tx1"/>
            </w14:solidFill>
          </w14:textFill>
        </w:rPr>
        <w:t>Boscia angustifolia</w:t>
      </w:r>
      <w:r>
        <w:rPr>
          <w:rFonts w:ascii="Times New Roman" w:hAnsi="Times New Roman" w:eastAsia="Times New Roman" w:cs="Times New Roman"/>
          <w:color w:val="000000" w:themeColor="text1"/>
          <w:sz w:val="24"/>
          <w:szCs w:val="24"/>
          <w14:textFill>
            <w14:solidFill>
              <w14:schemeClr w14:val="tx1"/>
            </w14:solidFill>
          </w14:textFill>
        </w:rPr>
        <w:t xml:space="preserve"> extracts.</w:t>
      </w:r>
    </w:p>
    <w:p w14:paraId="1643467C">
      <w:pPr>
        <w:pStyle w:val="2"/>
        <w:spacing w:after="0" w:line="480" w:lineRule="auto"/>
        <w:rPr>
          <w:rFonts w:eastAsia="Times New Roman"/>
        </w:rPr>
      </w:pPr>
      <w:bookmarkStart w:id="14" w:name="_Toc215016048"/>
      <w:bookmarkStart w:id="15" w:name="_Toc215132345"/>
      <w:r>
        <w:rPr>
          <w:rFonts w:eastAsia="Times New Roman"/>
        </w:rPr>
        <w:t>1.2</w:t>
      </w:r>
      <w:r>
        <w:rPr>
          <w:rFonts w:eastAsia="Times New Roman"/>
        </w:rPr>
        <w:tab/>
      </w:r>
      <w:r>
        <w:rPr>
          <w:rFonts w:eastAsia="Times New Roman"/>
        </w:rPr>
        <w:t>Statement of the Problem</w:t>
      </w:r>
      <w:bookmarkEnd w:id="14"/>
      <w:bookmarkEnd w:id="15"/>
    </w:p>
    <w:p w14:paraId="2DF3B639">
      <w:pPr>
        <w:spacing w:after="0" w:line="480" w:lineRule="auto"/>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 xml:space="preserve">Antibiotic resistance is a pressing global health challenge, with resistant bacteria contributing to high morbidity and mortality rates worldwide. Antimicrobial resistance is identified as one of the top ten global public health threats </w:t>
      </w:r>
      <w:r>
        <w:rPr>
          <w:rFonts w:ascii="Times New Roman" w:hAnsi="Times New Roman" w:eastAsia="Times New Roman" w:cs="Times New Roman"/>
          <w:sz w:val="24"/>
          <w:szCs w:val="24"/>
        </w:rPr>
        <w:t xml:space="preserve">(Salam </w:t>
      </w:r>
      <w:r>
        <w:rPr>
          <w:rFonts w:ascii="Times New Roman" w:hAnsi="Times New Roman" w:eastAsia="Times New Roman" w:cs="Times New Roman"/>
          <w:i/>
          <w:iCs/>
          <w:sz w:val="24"/>
          <w:szCs w:val="24"/>
        </w:rPr>
        <w:t xml:space="preserve">et al., </w:t>
      </w:r>
      <w:r>
        <w:rPr>
          <w:rFonts w:ascii="Times New Roman" w:hAnsi="Times New Roman" w:eastAsia="Times New Roman" w:cs="Times New Roman"/>
          <w:sz w:val="24"/>
          <w:szCs w:val="24"/>
        </w:rPr>
        <w:t>2023)</w:t>
      </w:r>
      <w:r>
        <w:rPr>
          <w:rFonts w:ascii="Times New Roman" w:hAnsi="Times New Roman" w:eastAsia="Times New Roman" w:cs="Times New Roman"/>
          <w:color w:val="000000" w:themeColor="text1"/>
          <w:sz w:val="24"/>
          <w:szCs w:val="24"/>
          <w14:textFill>
            <w14:solidFill>
              <w14:schemeClr w14:val="tx1"/>
            </w14:solidFill>
          </w14:textFill>
        </w:rPr>
        <w:t>. In sub-Saharan Africa, the situation is even more concerning, where reliance on traditional medicine persists alongside limited access to effective antibiotics (</w:t>
      </w:r>
      <w:r>
        <w:rPr>
          <w:rFonts w:ascii="Times New Roman" w:hAnsi="Times New Roman" w:eastAsia="Times New Roman" w:cs="Times New Roman"/>
          <w:sz w:val="24"/>
          <w:szCs w:val="24"/>
        </w:rPr>
        <w:t xml:space="preserve">Kariuki </w:t>
      </w:r>
      <w:r>
        <w:rPr>
          <w:rFonts w:ascii="Times New Roman" w:hAnsi="Times New Roman" w:eastAsia="Times New Roman" w:cs="Times New Roman"/>
          <w:i/>
          <w:iCs/>
          <w:sz w:val="24"/>
          <w:szCs w:val="24"/>
        </w:rPr>
        <w:t xml:space="preserve">et al., </w:t>
      </w:r>
      <w:r>
        <w:rPr>
          <w:rFonts w:ascii="Times New Roman" w:hAnsi="Times New Roman" w:eastAsia="Times New Roman" w:cs="Times New Roman"/>
          <w:sz w:val="24"/>
          <w:szCs w:val="24"/>
        </w:rPr>
        <w:t>2022)</w:t>
      </w:r>
      <w:r>
        <w:rPr>
          <w:rFonts w:ascii="Times New Roman" w:hAnsi="Times New Roman" w:eastAsia="Times New Roman" w:cs="Times New Roman"/>
          <w:color w:val="000000" w:themeColor="text1"/>
          <w:sz w:val="24"/>
          <w:szCs w:val="24"/>
          <w14:textFill>
            <w14:solidFill>
              <w14:schemeClr w14:val="tx1"/>
            </w14:solidFill>
          </w14:textFill>
        </w:rPr>
        <w:t xml:space="preserve">. The continuous emergence of resistant pathogens such as methicillin-resistant </w:t>
      </w:r>
      <w:r>
        <w:rPr>
          <w:rFonts w:ascii="Times New Roman" w:hAnsi="Times New Roman" w:eastAsia="Times New Roman" w:cs="Times New Roman"/>
          <w:i/>
          <w:iCs/>
          <w:color w:val="000000" w:themeColor="text1"/>
          <w:sz w:val="24"/>
          <w:szCs w:val="24"/>
          <w14:textFill>
            <w14:solidFill>
              <w14:schemeClr w14:val="tx1"/>
            </w14:solidFill>
          </w14:textFill>
        </w:rPr>
        <w:t>Staphylococcus aureus</w:t>
      </w:r>
      <w:r>
        <w:rPr>
          <w:rFonts w:ascii="Times New Roman" w:hAnsi="Times New Roman" w:eastAsia="Times New Roman" w:cs="Times New Roman"/>
          <w:color w:val="000000" w:themeColor="text1"/>
          <w:sz w:val="24"/>
          <w:szCs w:val="24"/>
          <w14:textFill>
            <w14:solidFill>
              <w14:schemeClr w14:val="tx1"/>
            </w14:solidFill>
          </w14:textFill>
        </w:rPr>
        <w:t xml:space="preserve"> (MRSA) and multidrug-resistant </w:t>
      </w:r>
      <w:r>
        <w:rPr>
          <w:rFonts w:ascii="Times New Roman" w:hAnsi="Times New Roman" w:eastAsia="Times New Roman" w:cs="Times New Roman"/>
          <w:i/>
          <w:iCs/>
          <w:color w:val="000000" w:themeColor="text1"/>
          <w:sz w:val="24"/>
          <w:szCs w:val="24"/>
          <w14:textFill>
            <w14:solidFill>
              <w14:schemeClr w14:val="tx1"/>
            </w14:solidFill>
          </w14:textFill>
        </w:rPr>
        <w:t>E. coli</w:t>
      </w:r>
      <w:r>
        <w:rPr>
          <w:rFonts w:ascii="Times New Roman" w:hAnsi="Times New Roman" w:eastAsia="Times New Roman" w:cs="Times New Roman"/>
          <w:color w:val="000000" w:themeColor="text1"/>
          <w:sz w:val="24"/>
          <w:szCs w:val="24"/>
          <w14:textFill>
            <w14:solidFill>
              <w14:schemeClr w14:val="tx1"/>
            </w14:solidFill>
          </w14:textFill>
        </w:rPr>
        <w:t xml:space="preserve"> underscores the need for new, effective, and affordable antibacterial agents (</w:t>
      </w:r>
      <w:r>
        <w:rPr>
          <w:rFonts w:ascii="Times New Roman" w:hAnsi="Times New Roman" w:eastAsia="Times New Roman" w:cs="Times New Roman"/>
          <w:sz w:val="24"/>
          <w:szCs w:val="24"/>
        </w:rPr>
        <w:t>Gajic</w:t>
      </w:r>
      <w:r>
        <w:rPr>
          <w:rFonts w:ascii="Times New Roman" w:hAnsi="Times New Roman" w:eastAsia="Times New Roman" w:cs="Times New Roman"/>
          <w:color w:val="000000" w:themeColor="text1"/>
          <w:sz w:val="24"/>
          <w:szCs w:val="24"/>
          <w14:textFill>
            <w14:solidFill>
              <w14:schemeClr w14:val="tx1"/>
            </w14:solidFill>
          </w14:textFill>
        </w:rPr>
        <w:t xml:space="preserve"> </w:t>
      </w:r>
      <w:r>
        <w:rPr>
          <w:rFonts w:ascii="Times New Roman" w:hAnsi="Times New Roman" w:eastAsia="Times New Roman" w:cs="Times New Roman"/>
          <w:i/>
          <w:iCs/>
          <w:color w:val="000000" w:themeColor="text1"/>
          <w:sz w:val="24"/>
          <w:szCs w:val="24"/>
          <w14:textFill>
            <w14:solidFill>
              <w14:schemeClr w14:val="tx1"/>
            </w14:solidFill>
          </w14:textFill>
        </w:rPr>
        <w:t>et al.,</w:t>
      </w:r>
      <w:r>
        <w:rPr>
          <w:rFonts w:ascii="Times New Roman" w:hAnsi="Times New Roman" w:eastAsia="Times New Roman" w:cs="Times New Roman"/>
          <w:color w:val="000000" w:themeColor="text1"/>
          <w:sz w:val="24"/>
          <w:szCs w:val="24"/>
          <w14:textFill>
            <w14:solidFill>
              <w14:schemeClr w14:val="tx1"/>
            </w14:solidFill>
          </w14:textFill>
        </w:rPr>
        <w:t xml:space="preserve"> 2025).</w:t>
      </w:r>
    </w:p>
    <w:p w14:paraId="79A284DE">
      <w:pPr>
        <w:spacing w:before="240" w:after="0" w:line="480" w:lineRule="auto"/>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 xml:space="preserve">Despite the pharmacological potential of </w:t>
      </w:r>
      <w:r>
        <w:rPr>
          <w:rFonts w:ascii="Times New Roman" w:hAnsi="Times New Roman" w:eastAsia="Times New Roman" w:cs="Times New Roman"/>
          <w:i/>
          <w:iCs/>
          <w:color w:val="000000" w:themeColor="text1"/>
          <w:sz w:val="24"/>
          <w:szCs w:val="24"/>
          <w14:textFill>
            <w14:solidFill>
              <w14:schemeClr w14:val="tx1"/>
            </w14:solidFill>
          </w14:textFill>
        </w:rPr>
        <w:t>Boscia angustifolia</w:t>
      </w:r>
      <w:r>
        <w:rPr>
          <w:rFonts w:ascii="Times New Roman" w:hAnsi="Times New Roman" w:eastAsia="Times New Roman" w:cs="Times New Roman"/>
          <w:color w:val="000000" w:themeColor="text1"/>
          <w:sz w:val="24"/>
          <w:szCs w:val="24"/>
          <w14:textFill>
            <w14:solidFill>
              <w14:schemeClr w14:val="tx1"/>
            </w14:solidFill>
          </w14:textFill>
        </w:rPr>
        <w:t xml:space="preserve">, scientific knowledge on its mechanism of antibacterial action remains fragmented. Previous studies have demonstrated its inhibitory effects against a range of bacteria, but most reports are limited to in vitro activity such as inhibition zones and minimum inhibitory concentration (MIC) values (Vougat Ngom </w:t>
      </w:r>
      <w:r>
        <w:rPr>
          <w:rFonts w:ascii="Times New Roman" w:hAnsi="Times New Roman" w:eastAsia="Times New Roman" w:cs="Times New Roman"/>
          <w:i/>
          <w:iCs/>
          <w:color w:val="000000" w:themeColor="text1"/>
          <w:sz w:val="24"/>
          <w:szCs w:val="24"/>
          <w14:textFill>
            <w14:solidFill>
              <w14:schemeClr w14:val="tx1"/>
            </w14:solidFill>
          </w14:textFill>
        </w:rPr>
        <w:t>et al.,</w:t>
      </w:r>
      <w:r>
        <w:rPr>
          <w:rFonts w:ascii="Times New Roman" w:hAnsi="Times New Roman" w:eastAsia="Times New Roman" w:cs="Times New Roman"/>
          <w:color w:val="000000" w:themeColor="text1"/>
          <w:sz w:val="24"/>
          <w:szCs w:val="24"/>
          <w14:textFill>
            <w14:solidFill>
              <w14:schemeClr w14:val="tx1"/>
            </w14:solidFill>
          </w14:textFill>
        </w:rPr>
        <w:t xml:space="preserve"> 2021). Few studies have gone further to identify the molecular targets or pathways through which the plant’s bioactive compounds exert antibacterial effects. This knowledge gap limits the scientific validation of the plant and its integration into modern pharmacology.</w:t>
      </w:r>
    </w:p>
    <w:p w14:paraId="6AD02285">
      <w:pPr>
        <w:spacing w:before="240" w:after="0" w:line="480" w:lineRule="auto"/>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The problem is compounded by the overreliance on synthetic antibiotics, which, although effective, are often associated with side effects, high costs, and environmental contamination (</w:t>
      </w:r>
      <w:r>
        <w:rPr>
          <w:rFonts w:ascii="Times New Roman" w:hAnsi="Times New Roman" w:eastAsia="Times New Roman" w:cs="Times New Roman"/>
          <w:sz w:val="24"/>
          <w:szCs w:val="24"/>
        </w:rPr>
        <w:t>Muteeb</w:t>
      </w:r>
      <w:r>
        <w:rPr>
          <w:rFonts w:ascii="Times New Roman" w:hAnsi="Times New Roman" w:eastAsia="Times New Roman" w:cs="Times New Roman"/>
          <w:color w:val="000000" w:themeColor="text1"/>
          <w:sz w:val="24"/>
          <w:szCs w:val="24"/>
          <w14:textFill>
            <w14:solidFill>
              <w14:schemeClr w14:val="tx1"/>
            </w14:solidFill>
          </w14:textFill>
        </w:rPr>
        <w:t xml:space="preserve"> </w:t>
      </w:r>
      <w:r>
        <w:rPr>
          <w:rFonts w:ascii="Times New Roman" w:hAnsi="Times New Roman" w:eastAsia="Times New Roman" w:cs="Times New Roman"/>
          <w:i/>
          <w:iCs/>
          <w:color w:val="000000" w:themeColor="text1"/>
          <w:sz w:val="24"/>
          <w:szCs w:val="24"/>
          <w14:textFill>
            <w14:solidFill>
              <w14:schemeClr w14:val="tx1"/>
            </w14:solidFill>
          </w14:textFill>
        </w:rPr>
        <w:t>et al.,</w:t>
      </w:r>
      <w:r>
        <w:rPr>
          <w:rFonts w:ascii="Times New Roman" w:hAnsi="Times New Roman" w:eastAsia="Times New Roman" w:cs="Times New Roman"/>
          <w:color w:val="000000" w:themeColor="text1"/>
          <w:sz w:val="24"/>
          <w:szCs w:val="24"/>
          <w14:textFill>
            <w14:solidFill>
              <w14:schemeClr w14:val="tx1"/>
            </w14:solidFill>
          </w14:textFill>
        </w:rPr>
        <w:t xml:space="preserve"> 2023). Additionally, the lack of diversity in current antibiotics pipelines demands the exploration of traditional medicinal plants that are already used by local populations. Without rigorous investigation into their modes of action, valuable therapeutic opportunities may be lost.</w:t>
      </w:r>
    </w:p>
    <w:p w14:paraId="4DC93B7B">
      <w:pPr>
        <w:spacing w:before="240" w:after="0" w:line="480" w:lineRule="auto"/>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 xml:space="preserve">Therefore, the study of </w:t>
      </w:r>
      <w:r>
        <w:rPr>
          <w:rFonts w:ascii="Times New Roman" w:hAnsi="Times New Roman" w:eastAsia="Times New Roman" w:cs="Times New Roman"/>
          <w:i/>
          <w:iCs/>
          <w:color w:val="000000" w:themeColor="text1"/>
          <w:sz w:val="24"/>
          <w:szCs w:val="24"/>
          <w14:textFill>
            <w14:solidFill>
              <w14:schemeClr w14:val="tx1"/>
            </w14:solidFill>
          </w14:textFill>
        </w:rPr>
        <w:t>B. angustifolia</w:t>
      </w:r>
      <w:r>
        <w:rPr>
          <w:rFonts w:ascii="Times New Roman" w:hAnsi="Times New Roman" w:eastAsia="Times New Roman" w:cs="Times New Roman"/>
          <w:color w:val="000000" w:themeColor="text1"/>
          <w:sz w:val="24"/>
          <w:szCs w:val="24"/>
          <w14:textFill>
            <w14:solidFill>
              <w14:schemeClr w14:val="tx1"/>
            </w14:solidFill>
          </w14:textFill>
        </w:rPr>
        <w:t xml:space="preserve"> represents both a scientific and public health priority. By elucidating its mechanism of antibacterial action, this research seeks to contribute to the discovery of novel therapeutic agents, help combat resistance, and provide a basis for evidence-based integration of traditional medicine into formal healthcare systems.</w:t>
      </w:r>
    </w:p>
    <w:p w14:paraId="3BFBBE91">
      <w:pPr>
        <w:pStyle w:val="2"/>
        <w:spacing w:after="0" w:line="480" w:lineRule="auto"/>
        <w:rPr>
          <w:rFonts w:eastAsia="Times New Roman"/>
        </w:rPr>
      </w:pPr>
      <w:bookmarkStart w:id="16" w:name="_Toc215016049"/>
      <w:bookmarkStart w:id="17" w:name="_Toc215132346"/>
      <w:r>
        <w:rPr>
          <w:rFonts w:eastAsia="Times New Roman"/>
        </w:rPr>
        <w:t>1.3</w:t>
      </w:r>
      <w:r>
        <w:rPr>
          <w:rFonts w:eastAsia="Times New Roman"/>
        </w:rPr>
        <w:tab/>
      </w:r>
      <w:r>
        <w:rPr>
          <w:rFonts w:eastAsia="Times New Roman"/>
        </w:rPr>
        <w:t>Objectives of the Study</w:t>
      </w:r>
      <w:bookmarkEnd w:id="16"/>
      <w:bookmarkEnd w:id="17"/>
    </w:p>
    <w:p w14:paraId="43CA9532">
      <w:pPr>
        <w:spacing w:after="0" w:line="480" w:lineRule="auto"/>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 xml:space="preserve">The objective of this research was to investigate the mechanism of antibacterial action of </w:t>
      </w:r>
      <w:r>
        <w:rPr>
          <w:rFonts w:ascii="Times New Roman" w:hAnsi="Times New Roman" w:eastAsia="Times New Roman" w:cs="Times New Roman"/>
          <w:i/>
          <w:iCs/>
          <w:color w:val="000000" w:themeColor="text1"/>
          <w:sz w:val="24"/>
          <w:szCs w:val="24"/>
          <w14:textFill>
            <w14:solidFill>
              <w14:schemeClr w14:val="tx1"/>
            </w14:solidFill>
          </w14:textFill>
        </w:rPr>
        <w:t>Boscia angustifolia</w:t>
      </w:r>
      <w:r>
        <w:rPr>
          <w:rFonts w:ascii="Times New Roman" w:hAnsi="Times New Roman" w:eastAsia="Times New Roman" w:cs="Times New Roman"/>
          <w:color w:val="000000" w:themeColor="text1"/>
          <w:sz w:val="24"/>
          <w:szCs w:val="24"/>
          <w14:textFill>
            <w14:solidFill>
              <w14:schemeClr w14:val="tx1"/>
            </w14:solidFill>
          </w14:textFill>
        </w:rPr>
        <w:t xml:space="preserve"> extracts. Specifically, the study aims to:</w:t>
      </w:r>
    </w:p>
    <w:p w14:paraId="4DCA74CE">
      <w:pPr>
        <w:numPr>
          <w:ilvl w:val="0"/>
          <w:numId w:val="1"/>
        </w:numPr>
        <w:spacing w:after="0" w:line="480" w:lineRule="auto"/>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 xml:space="preserve">Identify the bioactive phytochemicals present in </w:t>
      </w:r>
      <w:r>
        <w:rPr>
          <w:rFonts w:ascii="Times New Roman" w:hAnsi="Times New Roman" w:eastAsia="Times New Roman" w:cs="Times New Roman"/>
          <w:i/>
          <w:iCs/>
          <w:color w:val="000000" w:themeColor="text1"/>
          <w:sz w:val="24"/>
          <w:szCs w:val="24"/>
          <w14:textFill>
            <w14:solidFill>
              <w14:schemeClr w14:val="tx1"/>
            </w14:solidFill>
          </w14:textFill>
        </w:rPr>
        <w:t>Boscia angustifolia</w:t>
      </w:r>
      <w:r>
        <w:rPr>
          <w:rFonts w:ascii="Times New Roman" w:hAnsi="Times New Roman" w:eastAsia="Times New Roman" w:cs="Times New Roman"/>
          <w:color w:val="000000" w:themeColor="text1"/>
          <w:sz w:val="24"/>
          <w:szCs w:val="24"/>
          <w14:textFill>
            <w14:solidFill>
              <w14:schemeClr w14:val="tx1"/>
            </w14:solidFill>
          </w14:textFill>
        </w:rPr>
        <w:t xml:space="preserve"> extracts.</w:t>
      </w:r>
    </w:p>
    <w:p w14:paraId="6AEFF446">
      <w:pPr>
        <w:numPr>
          <w:ilvl w:val="0"/>
          <w:numId w:val="1"/>
        </w:numPr>
        <w:spacing w:after="0" w:line="480" w:lineRule="auto"/>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Evaluate the antibacterial activity of the extracts against selected Gram-positive and Gram-negative bacterial strains.</w:t>
      </w:r>
    </w:p>
    <w:p w14:paraId="7DF6D624">
      <w:pPr>
        <w:spacing w:before="240" w:after="0" w:line="480" w:lineRule="auto"/>
        <w:jc w:val="both"/>
        <w:rPr>
          <w:rFonts w:ascii="Times New Roman" w:hAnsi="Times New Roman" w:eastAsia="Times New Roman" w:cs="Times New Roman"/>
          <w:color w:val="000000" w:themeColor="text1"/>
          <w:sz w:val="24"/>
          <w:szCs w:val="24"/>
          <w14:textFill>
            <w14:solidFill>
              <w14:schemeClr w14:val="tx1"/>
            </w14:solidFill>
          </w14:textFill>
        </w:rPr>
      </w:pPr>
    </w:p>
    <w:p w14:paraId="545B70C5">
      <w:pPr>
        <w:spacing w:before="240" w:after="0" w:line="480" w:lineRule="auto"/>
        <w:jc w:val="both"/>
        <w:rPr>
          <w:rFonts w:ascii="Times New Roman" w:hAnsi="Times New Roman" w:eastAsia="Times New Roman" w:cs="Times New Roman"/>
          <w:color w:val="000000" w:themeColor="text1"/>
          <w:sz w:val="24"/>
          <w:szCs w:val="24"/>
          <w14:textFill>
            <w14:solidFill>
              <w14:schemeClr w14:val="tx1"/>
            </w14:solidFill>
          </w14:textFill>
        </w:rPr>
      </w:pPr>
    </w:p>
    <w:p w14:paraId="6AF0CBF3">
      <w:pPr>
        <w:spacing w:before="240" w:after="0" w:line="480" w:lineRule="auto"/>
        <w:jc w:val="both"/>
        <w:rPr>
          <w:rFonts w:ascii="Times New Roman" w:hAnsi="Times New Roman" w:eastAsia="Times New Roman" w:cs="Times New Roman"/>
          <w:color w:val="000000" w:themeColor="text1"/>
          <w:sz w:val="24"/>
          <w:szCs w:val="24"/>
          <w14:textFill>
            <w14:solidFill>
              <w14:schemeClr w14:val="tx1"/>
            </w14:solidFill>
          </w14:textFill>
        </w:rPr>
      </w:pPr>
    </w:p>
    <w:p w14:paraId="5EC442B8">
      <w:pPr>
        <w:pStyle w:val="2"/>
        <w:spacing w:after="0" w:line="480" w:lineRule="auto"/>
        <w:rPr>
          <w:rFonts w:eastAsia="Times New Roman"/>
        </w:rPr>
      </w:pPr>
      <w:bookmarkStart w:id="18" w:name="_Toc215016050"/>
      <w:bookmarkStart w:id="19" w:name="_Toc215132347"/>
      <w:r>
        <w:rPr>
          <w:rFonts w:eastAsia="Times New Roman"/>
        </w:rPr>
        <w:t>1.4</w:t>
      </w:r>
      <w:r>
        <w:rPr>
          <w:rFonts w:eastAsia="Times New Roman"/>
        </w:rPr>
        <w:tab/>
      </w:r>
      <w:r>
        <w:rPr>
          <w:rFonts w:eastAsia="Times New Roman"/>
        </w:rPr>
        <w:t>Research Questions</w:t>
      </w:r>
      <w:bookmarkEnd w:id="18"/>
      <w:bookmarkEnd w:id="19"/>
    </w:p>
    <w:p w14:paraId="2A407E10">
      <w:pPr>
        <w:spacing w:after="0" w:line="480" w:lineRule="auto"/>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The study was guided by the following research questions:</w:t>
      </w:r>
    </w:p>
    <w:p w14:paraId="0730F0E6">
      <w:pPr>
        <w:numPr>
          <w:ilvl w:val="0"/>
          <w:numId w:val="2"/>
        </w:numPr>
        <w:spacing w:after="0" w:line="480" w:lineRule="auto"/>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 xml:space="preserve">What phytochemical constituents are present in </w:t>
      </w:r>
      <w:r>
        <w:rPr>
          <w:rFonts w:ascii="Times New Roman" w:hAnsi="Times New Roman" w:eastAsia="Times New Roman" w:cs="Times New Roman"/>
          <w:i/>
          <w:iCs/>
          <w:color w:val="000000" w:themeColor="text1"/>
          <w:sz w:val="24"/>
          <w:szCs w:val="24"/>
          <w14:textFill>
            <w14:solidFill>
              <w14:schemeClr w14:val="tx1"/>
            </w14:solidFill>
          </w14:textFill>
        </w:rPr>
        <w:t>angustifolia</w:t>
      </w:r>
      <w:r>
        <w:rPr>
          <w:rFonts w:ascii="Times New Roman" w:hAnsi="Times New Roman" w:eastAsia="Times New Roman" w:cs="Times New Roman"/>
          <w:color w:val="000000" w:themeColor="text1"/>
          <w:sz w:val="24"/>
          <w:szCs w:val="24"/>
          <w14:textFill>
            <w14:solidFill>
              <w14:schemeClr w14:val="tx1"/>
            </w14:solidFill>
          </w14:textFill>
        </w:rPr>
        <w:t xml:space="preserve"> extracts?</w:t>
      </w:r>
    </w:p>
    <w:p w14:paraId="7B966D29">
      <w:pPr>
        <w:numPr>
          <w:ilvl w:val="0"/>
          <w:numId w:val="2"/>
        </w:numPr>
        <w:spacing w:after="0" w:line="480" w:lineRule="auto"/>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How effective are the extracts in inhibiting the growth of selected pathogenic bacteria?</w:t>
      </w:r>
    </w:p>
    <w:p w14:paraId="319F07B2">
      <w:pPr>
        <w:numPr>
          <w:ilvl w:val="0"/>
          <w:numId w:val="2"/>
        </w:numPr>
        <w:spacing w:after="0" w:line="480" w:lineRule="auto"/>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 xml:space="preserve">Through which mechanisms do </w:t>
      </w:r>
      <w:r>
        <w:rPr>
          <w:rFonts w:ascii="Times New Roman" w:hAnsi="Times New Roman" w:eastAsia="Times New Roman" w:cs="Times New Roman"/>
          <w:i/>
          <w:iCs/>
          <w:color w:val="000000" w:themeColor="text1"/>
          <w:sz w:val="24"/>
          <w:szCs w:val="24"/>
          <w14:textFill>
            <w14:solidFill>
              <w14:schemeClr w14:val="tx1"/>
            </w14:solidFill>
          </w14:textFill>
        </w:rPr>
        <w:t>Boscia angustifolia</w:t>
      </w:r>
      <w:r>
        <w:rPr>
          <w:rFonts w:ascii="Times New Roman" w:hAnsi="Times New Roman" w:eastAsia="Times New Roman" w:cs="Times New Roman"/>
          <w:color w:val="000000" w:themeColor="text1"/>
          <w:sz w:val="24"/>
          <w:szCs w:val="24"/>
          <w14:textFill>
            <w14:solidFill>
              <w14:schemeClr w14:val="tx1"/>
            </w14:solidFill>
          </w14:textFill>
        </w:rPr>
        <w:t xml:space="preserve"> extracts exert antibacterial effects</w:t>
      </w:r>
    </w:p>
    <w:p w14:paraId="2A01FFAE">
      <w:pPr>
        <w:pStyle w:val="2"/>
        <w:spacing w:after="0" w:line="480" w:lineRule="auto"/>
        <w:rPr>
          <w:rFonts w:eastAsia="Times New Roman"/>
        </w:rPr>
      </w:pPr>
      <w:bookmarkStart w:id="20" w:name="_Toc215132348"/>
      <w:bookmarkStart w:id="21" w:name="_Toc215016051"/>
      <w:r>
        <w:rPr>
          <w:rFonts w:eastAsia="Times New Roman"/>
        </w:rPr>
        <w:t>1.5</w:t>
      </w:r>
      <w:r>
        <w:rPr>
          <w:rFonts w:eastAsia="Times New Roman"/>
        </w:rPr>
        <w:tab/>
      </w:r>
      <w:r>
        <w:rPr>
          <w:rFonts w:eastAsia="Times New Roman"/>
        </w:rPr>
        <w:t>Significance of the Study</w:t>
      </w:r>
      <w:bookmarkEnd w:id="20"/>
      <w:bookmarkEnd w:id="21"/>
    </w:p>
    <w:p w14:paraId="29BA9260">
      <w:pPr>
        <w:spacing w:after="0" w:line="480" w:lineRule="auto"/>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 xml:space="preserve">This study holds considerable significance in several domains. Scientifically, it contributes to the growing body of literature on medicinal plants with potential antibacterial activity. By identifying the mechanism of action, the research provides a deeper pharmacological understanding of </w:t>
      </w:r>
      <w:r>
        <w:rPr>
          <w:rFonts w:ascii="Times New Roman" w:hAnsi="Times New Roman" w:eastAsia="Times New Roman" w:cs="Times New Roman"/>
          <w:i/>
          <w:iCs/>
          <w:color w:val="000000" w:themeColor="text1"/>
          <w:sz w:val="24"/>
          <w:szCs w:val="24"/>
          <w14:textFill>
            <w14:solidFill>
              <w14:schemeClr w14:val="tx1"/>
            </w14:solidFill>
          </w14:textFill>
        </w:rPr>
        <w:t>Boscia angustifolia</w:t>
      </w:r>
      <w:r>
        <w:rPr>
          <w:rFonts w:ascii="Times New Roman" w:hAnsi="Times New Roman" w:eastAsia="Times New Roman" w:cs="Times New Roman"/>
          <w:color w:val="000000" w:themeColor="text1"/>
          <w:sz w:val="24"/>
          <w:szCs w:val="24"/>
          <w14:textFill>
            <w14:solidFill>
              <w14:schemeClr w14:val="tx1"/>
            </w14:solidFill>
          </w14:textFill>
        </w:rPr>
        <w:t>, thereby validating its traditional medicinal use. It also strengthens the case for integrating ethnobotanical knowledge into drug discovery pipelines (</w:t>
      </w:r>
      <w:r>
        <w:rPr>
          <w:rFonts w:ascii="Times New Roman" w:hAnsi="Times New Roman" w:eastAsia="Times New Roman" w:cs="Times New Roman"/>
          <w:sz w:val="24"/>
          <w:szCs w:val="24"/>
        </w:rPr>
        <w:t xml:space="preserve">Chele </w:t>
      </w:r>
      <w:r>
        <w:rPr>
          <w:rFonts w:ascii="Times New Roman" w:hAnsi="Times New Roman" w:eastAsia="Times New Roman" w:cs="Times New Roman"/>
          <w:i/>
          <w:iCs/>
          <w:sz w:val="24"/>
          <w:szCs w:val="24"/>
        </w:rPr>
        <w:t xml:space="preserve">et al., </w:t>
      </w:r>
      <w:r>
        <w:rPr>
          <w:rFonts w:ascii="Times New Roman" w:hAnsi="Times New Roman" w:eastAsia="Times New Roman" w:cs="Times New Roman"/>
          <w:sz w:val="24"/>
          <w:szCs w:val="24"/>
        </w:rPr>
        <w:t>2025</w:t>
      </w:r>
      <w:r>
        <w:rPr>
          <w:rFonts w:ascii="Times New Roman" w:hAnsi="Times New Roman" w:eastAsia="Times New Roman" w:cs="Times New Roman"/>
          <w:color w:val="000000" w:themeColor="text1"/>
          <w:sz w:val="24"/>
          <w:szCs w:val="24"/>
          <w14:textFill>
            <w14:solidFill>
              <w14:schemeClr w14:val="tx1"/>
            </w14:solidFill>
          </w14:textFill>
        </w:rPr>
        <w:t>).</w:t>
      </w:r>
    </w:p>
    <w:p w14:paraId="758E3062">
      <w:pPr>
        <w:spacing w:before="240" w:after="0" w:line="480" w:lineRule="auto"/>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 xml:space="preserve">From a public health perspective, the study offers an alternative approach to managing bacterial infections, especially in resource-limited settings where synthetic antibiotics may be unavailable or unaffordable. If proven effective, extracts or purified compounds from </w:t>
      </w:r>
      <w:r>
        <w:rPr>
          <w:rFonts w:ascii="Times New Roman" w:hAnsi="Times New Roman" w:eastAsia="Times New Roman" w:cs="Times New Roman"/>
          <w:i/>
          <w:iCs/>
          <w:color w:val="000000" w:themeColor="text1"/>
          <w:sz w:val="24"/>
          <w:szCs w:val="24"/>
          <w14:textFill>
            <w14:solidFill>
              <w14:schemeClr w14:val="tx1"/>
            </w14:solidFill>
          </w14:textFill>
        </w:rPr>
        <w:t>B. angustifolia</w:t>
      </w:r>
      <w:r>
        <w:rPr>
          <w:rFonts w:ascii="Times New Roman" w:hAnsi="Times New Roman" w:eastAsia="Times New Roman" w:cs="Times New Roman"/>
          <w:color w:val="000000" w:themeColor="text1"/>
          <w:sz w:val="24"/>
          <w:szCs w:val="24"/>
          <w14:textFill>
            <w14:solidFill>
              <w14:schemeClr w14:val="tx1"/>
            </w14:solidFill>
          </w14:textFill>
        </w:rPr>
        <w:t xml:space="preserve"> could serve as a basis for affordable, accessible, and culturally accepted therapies (Essa </w:t>
      </w:r>
      <w:r>
        <w:rPr>
          <w:rFonts w:ascii="Times New Roman" w:hAnsi="Times New Roman" w:eastAsia="Times New Roman" w:cs="Times New Roman"/>
          <w:i/>
          <w:iCs/>
          <w:color w:val="000000" w:themeColor="text1"/>
          <w:sz w:val="24"/>
          <w:szCs w:val="24"/>
          <w14:textFill>
            <w14:solidFill>
              <w14:schemeClr w14:val="tx1"/>
            </w14:solidFill>
          </w14:textFill>
        </w:rPr>
        <w:t>et al.,</w:t>
      </w:r>
      <w:r>
        <w:rPr>
          <w:rFonts w:ascii="Times New Roman" w:hAnsi="Times New Roman" w:eastAsia="Times New Roman" w:cs="Times New Roman"/>
          <w:color w:val="000000" w:themeColor="text1"/>
          <w:sz w:val="24"/>
          <w:szCs w:val="24"/>
          <w14:textFill>
            <w14:solidFill>
              <w14:schemeClr w14:val="tx1"/>
            </w14:solidFill>
          </w14:textFill>
        </w:rPr>
        <w:t xml:space="preserve"> 2021). This aligns with global strategies to diversify antibacterial drug sources and mitigate resistance.</w:t>
      </w:r>
    </w:p>
    <w:p w14:paraId="6AE312B0">
      <w:pPr>
        <w:spacing w:before="240" w:after="0" w:line="480" w:lineRule="auto"/>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 xml:space="preserve">The findings may have industrial implications. The isolation of novel bioactive compounds from </w:t>
      </w:r>
      <w:r>
        <w:rPr>
          <w:rFonts w:ascii="Times New Roman" w:hAnsi="Times New Roman" w:eastAsia="Times New Roman" w:cs="Times New Roman"/>
          <w:i/>
          <w:iCs/>
          <w:color w:val="000000" w:themeColor="text1"/>
          <w:sz w:val="24"/>
          <w:szCs w:val="24"/>
          <w14:textFill>
            <w14:solidFill>
              <w14:schemeClr w14:val="tx1"/>
            </w14:solidFill>
          </w14:textFill>
        </w:rPr>
        <w:t>B. angustifolia</w:t>
      </w:r>
      <w:r>
        <w:rPr>
          <w:rFonts w:ascii="Times New Roman" w:hAnsi="Times New Roman" w:eastAsia="Times New Roman" w:cs="Times New Roman"/>
          <w:color w:val="000000" w:themeColor="text1"/>
          <w:sz w:val="24"/>
          <w:szCs w:val="24"/>
          <w14:textFill>
            <w14:solidFill>
              <w14:schemeClr w14:val="tx1"/>
            </w14:solidFill>
          </w14:textFill>
        </w:rPr>
        <w:t xml:space="preserve"> could lead to their development into pharmaceuticals or natural preservatives in the food and cosmetic industries. Such applications would not only add economic value to the plant but also promote sustainable use of biodiversity in Africa.</w:t>
      </w:r>
    </w:p>
    <w:p w14:paraId="2450EA24">
      <w:pPr>
        <w:spacing w:before="240" w:after="0" w:line="480" w:lineRule="auto"/>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Overall, the study addresses a critical health challenge while promoting the scientific validation of traditional medicine, supporting biodiversity conservation, and potentially contributing to the development of novel antibacterial agents.</w:t>
      </w:r>
    </w:p>
    <w:p w14:paraId="4F3338D3">
      <w:pPr>
        <w:pStyle w:val="2"/>
        <w:spacing w:after="0" w:line="480" w:lineRule="auto"/>
        <w:rPr>
          <w:rFonts w:eastAsia="Times New Roman"/>
        </w:rPr>
      </w:pPr>
      <w:bookmarkStart w:id="22" w:name="_Toc215132349"/>
      <w:bookmarkStart w:id="23" w:name="_Toc215016052"/>
      <w:r>
        <w:rPr>
          <w:rFonts w:eastAsia="Times New Roman"/>
        </w:rPr>
        <w:t>1.6</w:t>
      </w:r>
      <w:r>
        <w:rPr>
          <w:rFonts w:eastAsia="Times New Roman"/>
        </w:rPr>
        <w:tab/>
      </w:r>
      <w:r>
        <w:rPr>
          <w:rFonts w:eastAsia="Times New Roman"/>
        </w:rPr>
        <w:t>Scope and Limitations of the Study</w:t>
      </w:r>
      <w:bookmarkEnd w:id="22"/>
      <w:bookmarkEnd w:id="23"/>
    </w:p>
    <w:p w14:paraId="7B17D702">
      <w:pPr>
        <w:spacing w:after="0" w:line="480" w:lineRule="auto"/>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 xml:space="preserve">This study focuses on evaluating the antibacterial activity and mechanism of action of </w:t>
      </w:r>
      <w:r>
        <w:rPr>
          <w:rFonts w:ascii="Times New Roman" w:hAnsi="Times New Roman" w:eastAsia="Times New Roman" w:cs="Times New Roman"/>
          <w:i/>
          <w:iCs/>
          <w:color w:val="000000" w:themeColor="text1"/>
          <w:sz w:val="24"/>
          <w:szCs w:val="24"/>
          <w14:textFill>
            <w14:solidFill>
              <w14:schemeClr w14:val="tx1"/>
            </w14:solidFill>
          </w14:textFill>
        </w:rPr>
        <w:t>Boscia angustifolia</w:t>
      </w:r>
      <w:r>
        <w:rPr>
          <w:rFonts w:ascii="Times New Roman" w:hAnsi="Times New Roman" w:eastAsia="Times New Roman" w:cs="Times New Roman"/>
          <w:color w:val="000000" w:themeColor="text1"/>
          <w:sz w:val="24"/>
          <w:szCs w:val="24"/>
          <w14:textFill>
            <w14:solidFill>
              <w14:schemeClr w14:val="tx1"/>
            </w14:solidFill>
          </w14:textFill>
        </w:rPr>
        <w:t xml:space="preserve"> extracts. It will involve phytochemical screening, antibacterial assays, and mechanistic studies such as membrane integrity tests. The scope is limited to in vitro experiments using selected Gram-positive and Gram-negative bacteria, which represent common human pathogens. Plant materials will be collected from a defined geographical location to ensure consistency.</w:t>
      </w:r>
    </w:p>
    <w:p w14:paraId="5CA05831">
      <w:pPr>
        <w:spacing w:before="240" w:after="0" w:line="480" w:lineRule="auto"/>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However, certain limitations are acknowledged. The study may not cover all possible bacterial pathogens, and results from in vitro assays may not fully replicate in vivo conditions. Additionally, the crude extracts may contain complex mixtures of compounds, making it difficult to attribute observed activity to specific molecules. Advanced techniques such as bioassay-guided fractionation may be needed in future studies for compound isolation.</w:t>
      </w:r>
    </w:p>
    <w:p w14:paraId="0E64425F">
      <w:pPr>
        <w:spacing w:before="240" w:after="0" w:line="480" w:lineRule="auto"/>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 xml:space="preserve">Despite these limitations, the study is expected to provide significant insights into the antibacterial mechanism of </w:t>
      </w:r>
      <w:r>
        <w:rPr>
          <w:rFonts w:ascii="Times New Roman" w:hAnsi="Times New Roman" w:eastAsia="Times New Roman" w:cs="Times New Roman"/>
          <w:i/>
          <w:iCs/>
          <w:color w:val="000000" w:themeColor="text1"/>
          <w:sz w:val="24"/>
          <w:szCs w:val="24"/>
          <w14:textFill>
            <w14:solidFill>
              <w14:schemeClr w14:val="tx1"/>
            </w14:solidFill>
          </w14:textFill>
        </w:rPr>
        <w:t>B. angustifolia</w:t>
      </w:r>
      <w:r>
        <w:rPr>
          <w:rFonts w:ascii="Times New Roman" w:hAnsi="Times New Roman" w:eastAsia="Times New Roman" w:cs="Times New Roman"/>
          <w:color w:val="000000" w:themeColor="text1"/>
          <w:sz w:val="24"/>
          <w:szCs w:val="24"/>
          <w14:textFill>
            <w14:solidFill>
              <w14:schemeClr w14:val="tx1"/>
            </w14:solidFill>
          </w14:textFill>
        </w:rPr>
        <w:t>. It will lay a foundation for subsequent in vivo and clinical studies, ensuring that traditional knowledge is scientifically validated and translated into practical applications.</w:t>
      </w:r>
    </w:p>
    <w:p w14:paraId="0B71F368">
      <w:pPr>
        <w:pStyle w:val="2"/>
        <w:spacing w:after="0" w:line="480" w:lineRule="auto"/>
      </w:pPr>
      <w:bookmarkStart w:id="24" w:name="_Toc215016053"/>
      <w:bookmarkStart w:id="25" w:name="_Toc215132350"/>
      <w:r>
        <w:rPr>
          <w:rStyle w:val="20"/>
          <w:b/>
          <w:bCs w:val="0"/>
        </w:rPr>
        <w:t>1.7</w:t>
      </w:r>
      <w:r>
        <w:rPr>
          <w:rStyle w:val="20"/>
          <w:b/>
          <w:bCs w:val="0"/>
        </w:rPr>
        <w:tab/>
      </w:r>
      <w:r>
        <w:rPr>
          <w:rStyle w:val="20"/>
          <w:b/>
          <w:bCs w:val="0"/>
        </w:rPr>
        <w:t>Justification of the Study</w:t>
      </w:r>
      <w:bookmarkEnd w:id="24"/>
      <w:bookmarkEnd w:id="25"/>
    </w:p>
    <w:p w14:paraId="2D93853E">
      <w:pPr>
        <w:pStyle w:val="19"/>
        <w:spacing w:before="0" w:beforeAutospacing="0" w:after="0" w:afterAutospacing="0" w:line="480" w:lineRule="auto"/>
        <w:jc w:val="both"/>
        <w:rPr>
          <w:color w:val="000000" w:themeColor="text1"/>
          <w14:textFill>
            <w14:solidFill>
              <w14:schemeClr w14:val="tx1"/>
            </w14:solidFill>
          </w14:textFill>
        </w:rPr>
      </w:pPr>
      <w:r>
        <w:rPr>
          <w:color w:val="000000" w:themeColor="text1"/>
          <w14:textFill>
            <w14:solidFill>
              <w14:schemeClr w14:val="tx1"/>
            </w14:solidFill>
          </w14:textFill>
        </w:rPr>
        <w:t xml:space="preserve">The increasing global burden of antimicrobial resistance has intensified the search for new, effective, and affordable antibacterial agents, particularly those derived from medicinal plants. In many regions of Africa, including Nigeria, traditional medicine remains a primary healthcare option, yet several medicinal plants used ethnobotanically have not been fully evaluated or scientifically validated. </w:t>
      </w:r>
      <w:r>
        <w:rPr>
          <w:rStyle w:val="15"/>
          <w:rFonts w:eastAsiaTheme="majorEastAsia"/>
          <w:color w:val="000000" w:themeColor="text1"/>
          <w14:textFill>
            <w14:solidFill>
              <w14:schemeClr w14:val="tx1"/>
            </w14:solidFill>
          </w14:textFill>
        </w:rPr>
        <w:t>Boscia angustifolia</w:t>
      </w:r>
      <w:r>
        <w:rPr>
          <w:color w:val="000000" w:themeColor="text1"/>
          <w14:textFill>
            <w14:solidFill>
              <w14:schemeClr w14:val="tx1"/>
            </w14:solidFill>
          </w14:textFill>
        </w:rPr>
        <w:t xml:space="preserve"> is one such plant whose traditional uses are well recognized, but whose antibacterial mechanism and activity profile remain insufficiently characterized. Although previous studies have reported antibacterial effects of the plant, most investigations have focused only on inhibition zones or MIC values without further examining concentration-dependent changes or comparing activity with standard antibiotics (Essa </w:t>
      </w:r>
      <w:r>
        <w:rPr>
          <w:i/>
          <w:iCs/>
          <w:color w:val="000000" w:themeColor="text1"/>
          <w14:textFill>
            <w14:solidFill>
              <w14:schemeClr w14:val="tx1"/>
            </w14:solidFill>
          </w14:textFill>
        </w:rPr>
        <w:t>et al.,</w:t>
      </w:r>
      <w:r>
        <w:rPr>
          <w:color w:val="000000" w:themeColor="text1"/>
          <w14:textFill>
            <w14:solidFill>
              <w14:schemeClr w14:val="tx1"/>
            </w14:solidFill>
          </w14:textFill>
        </w:rPr>
        <w:t xml:space="preserve"> 2021; Vougat Ngom </w:t>
      </w:r>
      <w:r>
        <w:rPr>
          <w:i/>
          <w:iCs/>
          <w:color w:val="000000" w:themeColor="text1"/>
          <w14:textFill>
            <w14:solidFill>
              <w14:schemeClr w14:val="tx1"/>
            </w14:solidFill>
          </w14:textFill>
        </w:rPr>
        <w:t>et al.,</w:t>
      </w:r>
      <w:r>
        <w:rPr>
          <w:color w:val="000000" w:themeColor="text1"/>
          <w14:textFill>
            <w14:solidFill>
              <w14:schemeClr w14:val="tx1"/>
            </w14:solidFill>
          </w14:textFill>
        </w:rPr>
        <w:t xml:space="preserve"> 2021). This gap limits the full understanding of the therapeutic potential of the plant.</w:t>
      </w:r>
    </w:p>
    <w:p w14:paraId="0F6B78AA">
      <w:pPr>
        <w:pStyle w:val="19"/>
        <w:spacing w:after="0" w:afterAutospacing="0" w:line="480" w:lineRule="auto"/>
        <w:jc w:val="both"/>
        <w:rPr>
          <w:color w:val="000000" w:themeColor="text1"/>
          <w14:textFill>
            <w14:solidFill>
              <w14:schemeClr w14:val="tx1"/>
            </w14:solidFill>
          </w14:textFill>
        </w:rPr>
      </w:pPr>
      <w:r>
        <w:rPr>
          <w:color w:val="000000" w:themeColor="text1"/>
          <w14:textFill>
            <w14:solidFill>
              <w14:schemeClr w14:val="tx1"/>
            </w14:solidFill>
          </w14:textFill>
        </w:rPr>
        <w:t xml:space="preserve">The rise of multidrug-resistant pathogens such as </w:t>
      </w:r>
      <w:r>
        <w:rPr>
          <w:rStyle w:val="15"/>
          <w:rFonts w:eastAsiaTheme="majorEastAsia"/>
          <w:color w:val="000000" w:themeColor="text1"/>
          <w14:textFill>
            <w14:solidFill>
              <w14:schemeClr w14:val="tx1"/>
            </w14:solidFill>
          </w14:textFill>
        </w:rPr>
        <w:t>Klebsiella pneumoniae</w:t>
      </w:r>
      <w:r>
        <w:rPr>
          <w:color w:val="000000" w:themeColor="text1"/>
          <w14:textFill>
            <w14:solidFill>
              <w14:schemeClr w14:val="tx1"/>
            </w14:solidFill>
          </w14:textFill>
        </w:rPr>
        <w:t xml:space="preserve"> and </w:t>
      </w:r>
      <w:r>
        <w:rPr>
          <w:rStyle w:val="15"/>
          <w:rFonts w:eastAsiaTheme="majorEastAsia"/>
          <w:color w:val="000000" w:themeColor="text1"/>
          <w14:textFill>
            <w14:solidFill>
              <w14:schemeClr w14:val="tx1"/>
            </w14:solidFill>
          </w14:textFill>
        </w:rPr>
        <w:t>Bacillus</w:t>
      </w:r>
      <w:r>
        <w:rPr>
          <w:color w:val="000000" w:themeColor="text1"/>
          <w14:textFill>
            <w14:solidFill>
              <w14:schemeClr w14:val="tx1"/>
            </w14:solidFill>
          </w14:textFill>
        </w:rPr>
        <w:t xml:space="preserve"> species necessitates the evaluation of alternative antimicrobial sources that may offer novel mechanisms of action or synergistic value (Ghosh </w:t>
      </w:r>
      <w:r>
        <w:rPr>
          <w:i/>
          <w:iCs/>
          <w:color w:val="000000" w:themeColor="text1"/>
          <w14:textFill>
            <w14:solidFill>
              <w14:schemeClr w14:val="tx1"/>
            </w14:solidFill>
          </w14:textFill>
        </w:rPr>
        <w:t>et al.,</w:t>
      </w:r>
      <w:r>
        <w:rPr>
          <w:color w:val="000000" w:themeColor="text1"/>
          <w14:textFill>
            <w14:solidFill>
              <w14:schemeClr w14:val="tx1"/>
            </w14:solidFill>
          </w14:textFill>
        </w:rPr>
        <w:t xml:space="preserve"> 2022). Investigating the phytochemical constituents and antibacterial activity of </w:t>
      </w:r>
      <w:r>
        <w:rPr>
          <w:rStyle w:val="15"/>
          <w:rFonts w:eastAsiaTheme="majorEastAsia"/>
          <w:color w:val="000000" w:themeColor="text1"/>
          <w14:textFill>
            <w14:solidFill>
              <w14:schemeClr w14:val="tx1"/>
            </w14:solidFill>
          </w14:textFill>
        </w:rPr>
        <w:t>Boscia angustifolia</w:t>
      </w:r>
      <w:r>
        <w:rPr>
          <w:color w:val="000000" w:themeColor="text1"/>
          <w14:textFill>
            <w14:solidFill>
              <w14:schemeClr w14:val="tx1"/>
            </w14:solidFill>
          </w14:textFill>
        </w:rPr>
        <w:t xml:space="preserve"> is therefore crucial, as phytochemicals such as saponins, flavonoids, and alkaloids are known to possess a range of antimicrobial properties (Rahman </w:t>
      </w:r>
      <w:r>
        <w:rPr>
          <w:i/>
          <w:iCs/>
          <w:color w:val="000000" w:themeColor="text1"/>
          <w14:textFill>
            <w14:solidFill>
              <w14:schemeClr w14:val="tx1"/>
            </w14:solidFill>
          </w14:textFill>
        </w:rPr>
        <w:t>et al.,</w:t>
      </w:r>
      <w:r>
        <w:rPr>
          <w:color w:val="000000" w:themeColor="text1"/>
          <w14:textFill>
            <w14:solidFill>
              <w14:schemeClr w14:val="tx1"/>
            </w14:solidFill>
          </w14:textFill>
        </w:rPr>
        <w:t xml:space="preserve"> 2021). Establishing scientific evidence for its antibacterial effects will not only support its traditional applications but may also contribute to the development of plant-based therapeutic agents.</w:t>
      </w:r>
    </w:p>
    <w:p w14:paraId="74AFF6D9">
      <w:pPr>
        <w:spacing w:line="278" w:lineRule="auto"/>
        <w:rPr>
          <w:rFonts w:ascii="Times New Roman" w:hAnsi="Times New Roman" w:eastAsia="Times New Roman" w:cs="Times New Roman"/>
          <w:color w:val="000000" w:themeColor="text1"/>
          <w:sz w:val="24"/>
          <w:szCs w:val="24"/>
          <w14:textFill>
            <w14:solidFill>
              <w14:schemeClr w14:val="tx1"/>
            </w14:solidFill>
          </w14:textFill>
        </w:rPr>
      </w:pPr>
      <w:r>
        <w:rPr>
          <w:color w:val="000000" w:themeColor="text1"/>
          <w14:textFill>
            <w14:solidFill>
              <w14:schemeClr w14:val="tx1"/>
            </w14:solidFill>
          </w14:textFill>
        </w:rPr>
        <w:br w:type="page"/>
      </w:r>
    </w:p>
    <w:p w14:paraId="2900BCC5">
      <w:pPr>
        <w:pStyle w:val="19"/>
        <w:spacing w:after="0" w:afterAutospacing="0" w:line="480" w:lineRule="auto"/>
        <w:jc w:val="both"/>
      </w:pPr>
      <w:r>
        <w:rPr>
          <w:color w:val="000000" w:themeColor="text1"/>
          <w14:textFill>
            <w14:solidFill>
              <w14:schemeClr w14:val="tx1"/>
            </w14:solidFill>
          </w14:textFill>
        </w:rPr>
        <w:t xml:space="preserve">The need to compare the antibacterial potency of </w:t>
      </w:r>
      <w:r>
        <w:rPr>
          <w:rStyle w:val="15"/>
          <w:rFonts w:eastAsiaTheme="majorEastAsia"/>
          <w:color w:val="000000" w:themeColor="text1"/>
          <w14:textFill>
            <w14:solidFill>
              <w14:schemeClr w14:val="tx1"/>
            </w14:solidFill>
          </w14:textFill>
        </w:rPr>
        <w:t>Boscia angustifolia</w:t>
      </w:r>
      <w:r>
        <w:rPr>
          <w:color w:val="000000" w:themeColor="text1"/>
          <w14:textFill>
            <w14:solidFill>
              <w14:schemeClr w14:val="tx1"/>
            </w14:solidFill>
          </w14:textFill>
        </w:rPr>
        <w:t xml:space="preserve"> extract with a standard antibiotic, such as ciprofloxacin, to determine whether the plant can serve as a complementary or alternative antimicrobial option. With increasing calls for natural product-based solutions to combat antimicrobial resistance (Chaughule and Barve, 2024), this research provides timely and relevant data. Therefore, the study is essential for expanding scientific knowledge, validating traditional medicinal practices, and contributing to ongoing efforts to develop new </w:t>
      </w:r>
      <w:r>
        <w:t>antibacterial agents from plant sources.</w:t>
      </w:r>
    </w:p>
    <w:p w14:paraId="6E8F8B17">
      <w:pPr>
        <w:spacing w:before="240" w:after="0" w:line="480" w:lineRule="auto"/>
        <w:jc w:val="both"/>
        <w:rPr>
          <w:rFonts w:ascii="Times New Roman" w:hAnsi="Times New Roman" w:eastAsia="Times New Roman" w:cs="Times New Roman"/>
          <w:color w:val="000000" w:themeColor="text1"/>
          <w:sz w:val="24"/>
          <w:szCs w:val="24"/>
          <w14:textFill>
            <w14:solidFill>
              <w14:schemeClr w14:val="tx1"/>
            </w14:solidFill>
          </w14:textFill>
        </w:rPr>
      </w:pPr>
    </w:p>
    <w:p w14:paraId="3752DF93">
      <w:pPr>
        <w:spacing w:before="240" w:after="0"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br w:type="page"/>
      </w:r>
    </w:p>
    <w:p w14:paraId="0157D290">
      <w:pPr>
        <w:pStyle w:val="2"/>
        <w:spacing w:before="0" w:after="0" w:line="480" w:lineRule="auto"/>
        <w:jc w:val="center"/>
        <w:rPr>
          <w:rStyle w:val="20"/>
          <w:b/>
          <w:bCs w:val="0"/>
        </w:rPr>
      </w:pPr>
      <w:bookmarkStart w:id="26" w:name="_Toc215016054"/>
      <w:bookmarkStart w:id="27" w:name="_Toc215132351"/>
      <w:r>
        <w:rPr>
          <w:rStyle w:val="20"/>
          <w:b/>
          <w:bCs w:val="0"/>
        </w:rPr>
        <w:t>CHAPTER TWO</w:t>
      </w:r>
      <w:bookmarkEnd w:id="26"/>
      <w:bookmarkEnd w:id="27"/>
    </w:p>
    <w:p w14:paraId="21358EB8">
      <w:pPr>
        <w:pStyle w:val="2"/>
        <w:spacing w:before="0" w:after="0" w:line="480" w:lineRule="auto"/>
        <w:jc w:val="center"/>
      </w:pPr>
      <w:bookmarkStart w:id="28" w:name="_Toc215016055"/>
      <w:bookmarkStart w:id="29" w:name="_Toc215132352"/>
      <w:r>
        <w:rPr>
          <w:rStyle w:val="20"/>
          <w:b/>
          <w:bCs w:val="0"/>
        </w:rPr>
        <w:t>LITERATURE REVIEW</w:t>
      </w:r>
      <w:bookmarkEnd w:id="28"/>
      <w:bookmarkEnd w:id="29"/>
    </w:p>
    <w:p w14:paraId="1EB0E95C">
      <w:pPr>
        <w:pStyle w:val="2"/>
        <w:spacing w:after="0" w:line="480" w:lineRule="auto"/>
      </w:pPr>
      <w:bookmarkStart w:id="30" w:name="_Toc215016056"/>
      <w:bookmarkStart w:id="31" w:name="_Toc215132353"/>
      <w:r>
        <w:rPr>
          <w:rStyle w:val="20"/>
          <w:b/>
          <w:bCs w:val="0"/>
        </w:rPr>
        <w:t>2.1</w:t>
      </w:r>
      <w:r>
        <w:rPr>
          <w:rStyle w:val="20"/>
          <w:b/>
          <w:bCs w:val="0"/>
        </w:rPr>
        <w:tab/>
      </w:r>
      <w:r>
        <w:rPr>
          <w:rStyle w:val="20"/>
          <w:b/>
          <w:bCs w:val="0"/>
        </w:rPr>
        <w:t>Concept of Antibacterial Agents</w:t>
      </w:r>
      <w:bookmarkEnd w:id="30"/>
      <w:bookmarkEnd w:id="31"/>
    </w:p>
    <w:p w14:paraId="03F53C77">
      <w:pPr>
        <w:pStyle w:val="19"/>
        <w:spacing w:before="0" w:beforeAutospacing="0" w:after="0" w:afterAutospacing="0" w:line="480" w:lineRule="auto"/>
        <w:jc w:val="both"/>
        <w:rPr>
          <w:color w:val="000000" w:themeColor="text1"/>
          <w14:textFill>
            <w14:solidFill>
              <w14:schemeClr w14:val="tx1"/>
            </w14:solidFill>
          </w14:textFill>
        </w:rPr>
      </w:pPr>
      <w:r>
        <w:rPr>
          <w:color w:val="000000" w:themeColor="text1"/>
          <w14:textFill>
            <w14:solidFill>
              <w14:schemeClr w14:val="tx1"/>
            </w14:solidFill>
          </w14:textFill>
        </w:rPr>
        <w:t>Antibacterial agents are substances that inhibit the growth or kill bacteria by targeting vital cellular processes. They can be natural, synthetic, or semi-synthetic, and their effectiveness lies in their ability to interfere with specific bacterial structures or metabolic pathways (</w:t>
      </w:r>
      <w:r>
        <w:t>Tauchen</w:t>
      </w:r>
      <w:r>
        <w:rPr>
          <w:i/>
          <w:iCs/>
          <w:color w:val="000000" w:themeColor="text1"/>
          <w14:textFill>
            <w14:solidFill>
              <w14:schemeClr w14:val="tx1"/>
            </w14:solidFill>
          </w14:textFill>
        </w:rPr>
        <w:t xml:space="preserve"> et al.,</w:t>
      </w:r>
      <w:r>
        <w:rPr>
          <w:color w:val="000000" w:themeColor="text1"/>
          <w14:textFill>
            <w14:solidFill>
              <w14:schemeClr w14:val="tx1"/>
            </w14:solidFill>
          </w14:textFill>
        </w:rPr>
        <w:t xml:space="preserve"> 2025). These agents are commonly classified based on their mode of action or their chemical structure. For instance, some antibiotics disrupt bacterial cell wall synthesis, while others interfere with protein or nucleic acid synthesis (</w:t>
      </w:r>
      <w:r>
        <w:t xml:space="preserve">Bhattacharjee, 2025). </w:t>
      </w:r>
      <w:r>
        <w:rPr>
          <w:color w:val="000000" w:themeColor="text1"/>
          <w14:textFill>
            <w14:solidFill>
              <w14:schemeClr w14:val="tx1"/>
            </w14:solidFill>
          </w14:textFill>
        </w:rPr>
        <w:t>The continuous discovery of antibacterial compounds has revolutionized medicine by reducing the global burden of infectious diseases.</w:t>
      </w:r>
    </w:p>
    <w:p w14:paraId="721D4861">
      <w:pPr>
        <w:pStyle w:val="19"/>
        <w:spacing w:before="240" w:beforeAutospacing="0" w:after="0" w:afterAutospacing="0" w:line="480" w:lineRule="auto"/>
        <w:jc w:val="both"/>
        <w:rPr>
          <w:color w:val="000000" w:themeColor="text1"/>
          <w14:textFill>
            <w14:solidFill>
              <w14:schemeClr w14:val="tx1"/>
            </w14:solidFill>
          </w14:textFill>
        </w:rPr>
      </w:pPr>
      <w:r>
        <w:rPr>
          <w:color w:val="000000" w:themeColor="text1"/>
          <w14:textFill>
            <w14:solidFill>
              <w14:schemeClr w14:val="tx1"/>
            </w14:solidFill>
          </w14:textFill>
        </w:rPr>
        <w:t>Antibacterial agents are divided into bactericidal and bacteriostatic categories. Bactericidal agents kill bacteria by irreversibly damaging essential cellular structures such as the cell wall or membrane, while bacteriostatic agents inhibit bacterial growth by interfering with vital metabolic processes without immediately killing the organism (</w:t>
      </w:r>
      <w:r>
        <w:t>Patil, &amp; Patel, 2021</w:t>
      </w:r>
      <w:r>
        <w:rPr>
          <w:color w:val="000000" w:themeColor="text1"/>
          <w14:textFill>
            <w14:solidFill>
              <w14:schemeClr w14:val="tx1"/>
            </w14:solidFill>
          </w14:textFill>
        </w:rPr>
        <w:t>). Examples include penicillin, which inhibits bacterial cell wall synthesis, and tetracycline, which interferes with protein synthesis at the ribosomal level. These mechanisms ensure selective toxicity by targeting bacterial pathways not present in human cells (</w:t>
      </w:r>
      <w:r>
        <w:t>Dalhoff, 2021)</w:t>
      </w:r>
    </w:p>
    <w:p w14:paraId="686E9AB3">
      <w:pPr>
        <w:pStyle w:val="19"/>
        <w:spacing w:before="240" w:beforeAutospacing="0" w:after="0" w:afterAutospacing="0" w:line="480" w:lineRule="auto"/>
        <w:jc w:val="both"/>
        <w:rPr>
          <w:color w:val="000000" w:themeColor="text1"/>
          <w14:textFill>
            <w14:solidFill>
              <w14:schemeClr w14:val="tx1"/>
            </w14:solidFill>
          </w14:textFill>
        </w:rPr>
      </w:pPr>
      <w:r>
        <w:rPr>
          <w:color w:val="000000" w:themeColor="text1"/>
          <w14:textFill>
            <w14:solidFill>
              <w14:schemeClr w14:val="tx1"/>
            </w14:solidFill>
          </w14:textFill>
        </w:rPr>
        <w:t>The classification of antibacterial drugs also extends to generations and spectrums of activity. Narrow-spectrum antibiotics are specific to certain bacterial groups, while broad-spectrum antibiotics act against a wide range of Gram-positive and Gram-negative bacteria (</w:t>
      </w:r>
      <w:r>
        <w:t xml:space="preserve">Gauba &amp; Rahman, 2023). </w:t>
      </w:r>
      <w:r>
        <w:rPr>
          <w:color w:val="000000" w:themeColor="text1"/>
          <w14:textFill>
            <w14:solidFill>
              <w14:schemeClr w14:val="tx1"/>
            </w14:solidFill>
          </w14:textFill>
        </w:rPr>
        <w:t>However, the misuse of broad-spectrum antibiotics often accelerates the development of resistance. Consequently, the development of novel antibacterial, particularly from natural sources such as medicinal plants, is a growing area of research interest (</w:t>
      </w:r>
      <w:r>
        <w:t xml:space="preserve">Abdallah </w:t>
      </w:r>
      <w:r>
        <w:rPr>
          <w:i/>
          <w:iCs/>
        </w:rPr>
        <w:t xml:space="preserve">et al., </w:t>
      </w:r>
      <w:r>
        <w:rPr>
          <w:color w:val="000000" w:themeColor="text1"/>
          <w14:textFill>
            <w14:solidFill>
              <w14:schemeClr w14:val="tx1"/>
            </w14:solidFill>
          </w14:textFill>
        </w:rPr>
        <w:t>2023).</w:t>
      </w:r>
    </w:p>
    <w:p w14:paraId="7631A502">
      <w:pPr>
        <w:pStyle w:val="19"/>
        <w:spacing w:before="240" w:beforeAutospacing="0" w:after="0" w:afterAutospacing="0" w:line="480" w:lineRule="auto"/>
        <w:jc w:val="both"/>
        <w:rPr>
          <w:color w:val="000000" w:themeColor="text1"/>
          <w14:textFill>
            <w14:solidFill>
              <w14:schemeClr w14:val="tx1"/>
            </w14:solidFill>
          </w14:textFill>
        </w:rPr>
      </w:pPr>
      <w:r>
        <w:rPr>
          <w:color w:val="000000" w:themeColor="text1"/>
          <w14:textFill>
            <w14:solidFill>
              <w14:schemeClr w14:val="tx1"/>
            </w14:solidFill>
          </w14:textFill>
        </w:rPr>
        <w:t xml:space="preserve">Medicinal plants, including </w:t>
      </w:r>
      <w:r>
        <w:rPr>
          <w:rStyle w:val="15"/>
          <w:rFonts w:eastAsiaTheme="majorEastAsia"/>
          <w:color w:val="000000" w:themeColor="text1"/>
          <w14:textFill>
            <w14:solidFill>
              <w14:schemeClr w14:val="tx1"/>
            </w14:solidFill>
          </w14:textFill>
        </w:rPr>
        <w:t xml:space="preserve">Boscia </w:t>
      </w:r>
      <w:r>
        <w:rPr>
          <w:i/>
          <w:iCs/>
          <w:color w:val="000000" w:themeColor="text1"/>
          <w14:textFill>
            <w14:solidFill>
              <w14:schemeClr w14:val="tx1"/>
            </w14:solidFill>
          </w14:textFill>
        </w:rPr>
        <w:t>angustifolia</w:t>
      </w:r>
      <w:r>
        <w:rPr>
          <w:color w:val="000000" w:themeColor="text1"/>
          <w14:textFill>
            <w14:solidFill>
              <w14:schemeClr w14:val="tx1"/>
            </w14:solidFill>
          </w14:textFill>
        </w:rPr>
        <w:t>, represent potential reservoirs of novel antibacterial agents. Unlike conventional drugs, plant-based extracts often contain multiple bioactive compounds that act synergistically to inhibit bacterial growth (</w:t>
      </w:r>
      <w:r>
        <w:t xml:space="preserve">Vaou </w:t>
      </w:r>
      <w:r>
        <w:rPr>
          <w:i/>
          <w:iCs/>
        </w:rPr>
        <w:t>et al.</w:t>
      </w:r>
      <w:r>
        <w:t xml:space="preserve">, </w:t>
      </w:r>
      <w:r>
        <w:rPr>
          <w:i/>
          <w:iCs/>
        </w:rPr>
        <w:t>2023</w:t>
      </w:r>
      <w:r>
        <w:rPr>
          <w:color w:val="000000" w:themeColor="text1"/>
          <w14:textFill>
            <w14:solidFill>
              <w14:schemeClr w14:val="tx1"/>
            </w14:solidFill>
          </w14:textFill>
        </w:rPr>
        <w:t>). Such complexity in composition may reduce the likelihood of bacteria developing resistance quickly, underscoring the importance of studying the antibacterial properties of medicinal plants and their mechanisms of action.</w:t>
      </w:r>
    </w:p>
    <w:p w14:paraId="699431B7">
      <w:pPr>
        <w:pStyle w:val="2"/>
        <w:spacing w:after="0" w:line="480" w:lineRule="auto"/>
      </w:pPr>
      <w:bookmarkStart w:id="32" w:name="_Toc215132354"/>
      <w:bookmarkStart w:id="33" w:name="_Toc215016057"/>
      <w:r>
        <w:rPr>
          <w:rStyle w:val="20"/>
          <w:b/>
          <w:bCs w:val="0"/>
        </w:rPr>
        <w:t>2.2</w:t>
      </w:r>
      <w:r>
        <w:rPr>
          <w:rStyle w:val="20"/>
          <w:b/>
          <w:bCs w:val="0"/>
        </w:rPr>
        <w:tab/>
      </w:r>
      <w:r>
        <w:rPr>
          <w:rStyle w:val="20"/>
          <w:b/>
          <w:bCs w:val="0"/>
        </w:rPr>
        <w:t>Antimicrobial Resistance and Global Health</w:t>
      </w:r>
      <w:bookmarkEnd w:id="32"/>
      <w:bookmarkEnd w:id="33"/>
    </w:p>
    <w:p w14:paraId="75441A36">
      <w:pPr>
        <w:pStyle w:val="19"/>
        <w:spacing w:before="0" w:beforeAutospacing="0" w:after="0" w:afterAutospacing="0" w:line="480" w:lineRule="auto"/>
        <w:jc w:val="both"/>
        <w:rPr>
          <w:color w:val="000000" w:themeColor="text1"/>
          <w14:textFill>
            <w14:solidFill>
              <w14:schemeClr w14:val="tx1"/>
            </w14:solidFill>
          </w14:textFill>
        </w:rPr>
      </w:pPr>
      <w:r>
        <w:rPr>
          <w:color w:val="000000" w:themeColor="text1"/>
          <w14:textFill>
            <w14:solidFill>
              <w14:schemeClr w14:val="tx1"/>
            </w14:solidFill>
          </w14:textFill>
        </w:rPr>
        <w:t>Antimicrobial resistance (AMR) has emerged as one of the most serious public health threats of the 21st century. According to (</w:t>
      </w:r>
      <w:r>
        <w:t>Tang</w:t>
      </w:r>
      <w:r>
        <w:rPr>
          <w:color w:val="000000" w:themeColor="text1"/>
          <w14:textFill>
            <w14:solidFill>
              <w14:schemeClr w14:val="tx1"/>
            </w14:solidFill>
          </w14:textFill>
        </w:rPr>
        <w:t xml:space="preserve"> </w:t>
      </w:r>
      <w:r>
        <w:rPr>
          <w:i/>
          <w:iCs/>
          <w:color w:val="000000" w:themeColor="text1"/>
          <w14:textFill>
            <w14:solidFill>
              <w14:schemeClr w14:val="tx1"/>
            </w14:solidFill>
          </w14:textFill>
        </w:rPr>
        <w:t>et al.,</w:t>
      </w:r>
      <w:r>
        <w:rPr>
          <w:color w:val="000000" w:themeColor="text1"/>
          <w14:textFill>
            <w14:solidFill>
              <w14:schemeClr w14:val="tx1"/>
            </w14:solidFill>
          </w14:textFill>
        </w:rPr>
        <w:t>2023), AMR is responsible for millions of deaths annually and is projected to cause 10 million deaths per year by 2050 if left unchecked. Resistance occurs when microorganisms evolve mechanisms to withstand the effects of antimicrobial agents, rendering once-effective treatments obsolete (</w:t>
      </w:r>
      <w:r>
        <w:t xml:space="preserve">Zahoor </w:t>
      </w:r>
      <w:r>
        <w:rPr>
          <w:i/>
          <w:iCs/>
        </w:rPr>
        <w:t>et al.</w:t>
      </w:r>
      <w:r>
        <w:rPr>
          <w:color w:val="000000" w:themeColor="text1"/>
          <w14:textFill>
            <w14:solidFill>
              <w14:schemeClr w14:val="tx1"/>
            </w14:solidFill>
          </w14:textFill>
        </w:rPr>
        <w:t>, 2025). The causes of resistance are multifactorial, including misuse of antibiotics, over-the-counter availability in low- and middle-income countries, and the use of antimicrobials in agriculture.</w:t>
      </w:r>
    </w:p>
    <w:p w14:paraId="50AE7690">
      <w:pPr>
        <w:pStyle w:val="19"/>
        <w:spacing w:before="240" w:beforeAutospacing="0" w:after="0" w:afterAutospacing="0" w:line="480" w:lineRule="auto"/>
        <w:jc w:val="both"/>
        <w:rPr>
          <w:color w:val="000000" w:themeColor="text1"/>
          <w14:textFill>
            <w14:solidFill>
              <w14:schemeClr w14:val="tx1"/>
            </w14:solidFill>
          </w14:textFill>
        </w:rPr>
      </w:pPr>
      <w:r>
        <w:rPr>
          <w:color w:val="000000" w:themeColor="text1"/>
          <w14:textFill>
            <w14:solidFill>
              <w14:schemeClr w14:val="tx1"/>
            </w14:solidFill>
          </w14:textFill>
        </w:rPr>
        <w:t xml:space="preserve">The rise of multidrug-resistant (MDR) bacteria such as methicillin-resistant </w:t>
      </w:r>
      <w:r>
        <w:rPr>
          <w:rStyle w:val="15"/>
          <w:rFonts w:eastAsiaTheme="majorEastAsia"/>
          <w:color w:val="000000" w:themeColor="text1"/>
          <w14:textFill>
            <w14:solidFill>
              <w14:schemeClr w14:val="tx1"/>
            </w14:solidFill>
          </w14:textFill>
        </w:rPr>
        <w:t>Staphylococcus aureus</w:t>
      </w:r>
      <w:r>
        <w:rPr>
          <w:color w:val="000000" w:themeColor="text1"/>
          <w14:textFill>
            <w14:solidFill>
              <w14:schemeClr w14:val="tx1"/>
            </w14:solidFill>
          </w14:textFill>
        </w:rPr>
        <w:t xml:space="preserve"> (MRSA), extended-spectrum beta-lactamase (ESBL)-producing </w:t>
      </w:r>
      <w:r>
        <w:rPr>
          <w:rStyle w:val="15"/>
          <w:rFonts w:eastAsiaTheme="majorEastAsia"/>
          <w:color w:val="000000" w:themeColor="text1"/>
          <w14:textFill>
            <w14:solidFill>
              <w14:schemeClr w14:val="tx1"/>
            </w14:solidFill>
          </w14:textFill>
        </w:rPr>
        <w:t>E. coli</w:t>
      </w:r>
      <w:r>
        <w:rPr>
          <w:color w:val="000000" w:themeColor="text1"/>
          <w14:textFill>
            <w14:solidFill>
              <w14:schemeClr w14:val="tx1"/>
            </w14:solidFill>
          </w14:textFill>
        </w:rPr>
        <w:t xml:space="preserve">, and carbapenem-resistant </w:t>
      </w:r>
      <w:r>
        <w:rPr>
          <w:rStyle w:val="15"/>
          <w:rFonts w:eastAsiaTheme="majorEastAsia"/>
          <w:color w:val="000000" w:themeColor="text1"/>
          <w14:textFill>
            <w14:solidFill>
              <w14:schemeClr w14:val="tx1"/>
            </w14:solidFill>
          </w14:textFill>
        </w:rPr>
        <w:t>Klebsiella pneumoniae</w:t>
      </w:r>
      <w:r>
        <w:rPr>
          <w:color w:val="000000" w:themeColor="text1"/>
          <w14:textFill>
            <w14:solidFill>
              <w14:schemeClr w14:val="tx1"/>
            </w14:solidFill>
          </w14:textFill>
        </w:rPr>
        <w:t xml:space="preserve"> has complicated the treatment of common infections (</w:t>
      </w:r>
      <w:r>
        <w:t xml:space="preserve">Tilahun, 2022). </w:t>
      </w:r>
      <w:r>
        <w:rPr>
          <w:color w:val="000000" w:themeColor="text1"/>
          <w14:textFill>
            <w14:solidFill>
              <w14:schemeClr w14:val="tx1"/>
            </w14:solidFill>
          </w14:textFill>
        </w:rPr>
        <w:t>These organisms contribute to prolonged hospital stays, increased healthcare costs, and higher mortality rates. In sub-Saharan Africa, weak health systems and unregulated use of antibiotics exacerbate the AMR crisis (</w:t>
      </w:r>
      <w:r>
        <w:t>Totaro</w:t>
      </w:r>
      <w:r>
        <w:rPr>
          <w:color w:val="000000" w:themeColor="text1"/>
          <w14:textFill>
            <w14:solidFill>
              <w14:schemeClr w14:val="tx1"/>
            </w14:solidFill>
          </w14:textFill>
        </w:rPr>
        <w:t xml:space="preserve"> </w:t>
      </w:r>
      <w:r>
        <w:rPr>
          <w:i/>
          <w:iCs/>
          <w:color w:val="000000" w:themeColor="text1"/>
          <w14:textFill>
            <w14:solidFill>
              <w14:schemeClr w14:val="tx1"/>
            </w14:solidFill>
          </w14:textFill>
        </w:rPr>
        <w:t>et al.,</w:t>
      </w:r>
      <w:r>
        <w:rPr>
          <w:color w:val="000000" w:themeColor="text1"/>
          <w14:textFill>
            <w14:solidFill>
              <w14:schemeClr w14:val="tx1"/>
            </w14:solidFill>
          </w14:textFill>
        </w:rPr>
        <w:t xml:space="preserve"> 2025).</w:t>
      </w:r>
    </w:p>
    <w:p w14:paraId="50075059">
      <w:pPr>
        <w:pStyle w:val="19"/>
        <w:spacing w:before="240" w:beforeAutospacing="0" w:after="0" w:afterAutospacing="0" w:line="480" w:lineRule="auto"/>
        <w:jc w:val="both"/>
        <w:rPr>
          <w:color w:val="000000" w:themeColor="text1"/>
          <w14:textFill>
            <w14:solidFill>
              <w14:schemeClr w14:val="tx1"/>
            </w14:solidFill>
          </w14:textFill>
        </w:rPr>
      </w:pPr>
      <w:r>
        <w:rPr>
          <w:color w:val="000000" w:themeColor="text1"/>
          <w14:textFill>
            <w14:solidFill>
              <w14:schemeClr w14:val="tx1"/>
            </w14:solidFill>
          </w14:textFill>
        </w:rPr>
        <w:t>The economic and social implications of AMR are equally alarming. By reducing the effectiveness of treatments, resistance undermines surgical procedures, cancer therapy, and even maternal and child health interventions that depend on reliable antibiotics (</w:t>
      </w:r>
      <w:r>
        <w:t>Muteeb</w:t>
      </w:r>
      <w:r>
        <w:rPr>
          <w:color w:val="000000" w:themeColor="text1"/>
          <w14:textFill>
            <w14:solidFill>
              <w14:schemeClr w14:val="tx1"/>
            </w14:solidFill>
          </w14:textFill>
        </w:rPr>
        <w:t xml:space="preserve"> </w:t>
      </w:r>
      <w:r>
        <w:rPr>
          <w:i/>
          <w:iCs/>
          <w:color w:val="000000" w:themeColor="text1"/>
          <w14:textFill>
            <w14:solidFill>
              <w14:schemeClr w14:val="tx1"/>
            </w14:solidFill>
          </w14:textFill>
        </w:rPr>
        <w:t>et al.,</w:t>
      </w:r>
      <w:r>
        <w:rPr>
          <w:color w:val="000000" w:themeColor="text1"/>
          <w14:textFill>
            <w14:solidFill>
              <w14:schemeClr w14:val="tx1"/>
            </w14:solidFill>
          </w14:textFill>
        </w:rPr>
        <w:t xml:space="preserve"> 2023). This global challenge has led to urgent calls for the discovery of new classes of antimicrobials, particularly from natural sources.</w:t>
      </w:r>
    </w:p>
    <w:p w14:paraId="43A23E99">
      <w:pPr>
        <w:pStyle w:val="19"/>
        <w:spacing w:before="240" w:beforeAutospacing="0" w:after="0" w:afterAutospacing="0" w:line="480" w:lineRule="auto"/>
        <w:jc w:val="both"/>
        <w:rPr>
          <w:color w:val="000000" w:themeColor="text1"/>
          <w14:textFill>
            <w14:solidFill>
              <w14:schemeClr w14:val="tx1"/>
            </w14:solidFill>
          </w14:textFill>
        </w:rPr>
      </w:pPr>
      <w:r>
        <w:rPr>
          <w:color w:val="000000" w:themeColor="text1"/>
          <w14:textFill>
            <w14:solidFill>
              <w14:schemeClr w14:val="tx1"/>
            </w14:solidFill>
          </w14:textFill>
        </w:rPr>
        <w:t xml:space="preserve">Plant-derived compounds, such as those from </w:t>
      </w:r>
      <w:r>
        <w:rPr>
          <w:rStyle w:val="15"/>
          <w:rFonts w:eastAsiaTheme="majorEastAsia"/>
          <w:color w:val="000000" w:themeColor="text1"/>
          <w14:textFill>
            <w14:solidFill>
              <w14:schemeClr w14:val="tx1"/>
            </w14:solidFill>
          </w14:textFill>
        </w:rPr>
        <w:t xml:space="preserve">Boscia </w:t>
      </w:r>
      <w:r>
        <w:rPr>
          <w:i/>
          <w:iCs/>
          <w:color w:val="000000" w:themeColor="text1"/>
          <w14:textFill>
            <w14:solidFill>
              <w14:schemeClr w14:val="tx1"/>
            </w14:solidFill>
          </w14:textFill>
        </w:rPr>
        <w:t>angustifolia</w:t>
      </w:r>
      <w:r>
        <w:rPr>
          <w:color w:val="000000" w:themeColor="text1"/>
          <w14:textFill>
            <w14:solidFill>
              <w14:schemeClr w14:val="tx1"/>
            </w14:solidFill>
          </w14:textFill>
        </w:rPr>
        <w:t>, offer a promising solution to the AMR crisis. Unlike synthetic antibiotics that often act on single targets, plant extracts contain diverse phytochemicals capable of targeting multiple bacterial pathways simultaneously (</w:t>
      </w:r>
      <w:r>
        <w:t xml:space="preserve">Angelini, 2024). </w:t>
      </w:r>
      <w:r>
        <w:rPr>
          <w:color w:val="000000" w:themeColor="text1"/>
          <w14:textFill>
            <w14:solidFill>
              <w14:schemeClr w14:val="tx1"/>
            </w14:solidFill>
          </w14:textFill>
        </w:rPr>
        <w:t>This multifaceted action reduces the likelihood of resistance and makes plants valuable candidates for developing next-generation antibacterial drugs.</w:t>
      </w:r>
    </w:p>
    <w:p w14:paraId="42484C5F">
      <w:pPr>
        <w:pStyle w:val="2"/>
        <w:spacing w:after="0" w:line="480" w:lineRule="auto"/>
      </w:pPr>
      <w:bookmarkStart w:id="34" w:name="_Toc215016058"/>
      <w:bookmarkStart w:id="35" w:name="_Toc215132355"/>
      <w:r>
        <w:rPr>
          <w:rStyle w:val="20"/>
          <w:b/>
          <w:bCs w:val="0"/>
        </w:rPr>
        <w:t>2.3</w:t>
      </w:r>
      <w:r>
        <w:rPr>
          <w:rStyle w:val="20"/>
          <w:b/>
          <w:bCs w:val="0"/>
        </w:rPr>
        <w:tab/>
      </w:r>
      <w:r>
        <w:rPr>
          <w:rStyle w:val="20"/>
          <w:b/>
          <w:bCs w:val="0"/>
        </w:rPr>
        <w:t>Medicinal Plants as Sources of Antibacterial Compounds</w:t>
      </w:r>
      <w:bookmarkEnd w:id="34"/>
      <w:bookmarkEnd w:id="35"/>
    </w:p>
    <w:p w14:paraId="6AA6BBB7">
      <w:pPr>
        <w:pStyle w:val="19"/>
        <w:spacing w:before="0" w:beforeAutospacing="0" w:after="0" w:afterAutospacing="0" w:line="480" w:lineRule="auto"/>
        <w:jc w:val="both"/>
        <w:rPr>
          <w:color w:val="000000" w:themeColor="text1"/>
          <w14:textFill>
            <w14:solidFill>
              <w14:schemeClr w14:val="tx1"/>
            </w14:solidFill>
          </w14:textFill>
        </w:rPr>
      </w:pPr>
      <w:r>
        <w:rPr>
          <w:color w:val="000000" w:themeColor="text1"/>
          <w14:textFill>
            <w14:solidFill>
              <w14:schemeClr w14:val="tx1"/>
            </w14:solidFill>
          </w14:textFill>
        </w:rPr>
        <w:t>Medicinal plants have long been recognized as invaluable sources of therapeutic agents. Historical evidence shows that more than 80% of the world’s population, particularly in developing countries, relies on traditional medicine for primary healthcare needs (</w:t>
      </w:r>
      <w:r>
        <w:t>Napagoda &amp; Wijesundara, 2022</w:t>
      </w:r>
      <w:r>
        <w:rPr>
          <w:color w:val="000000" w:themeColor="text1"/>
          <w14:textFill>
            <w14:solidFill>
              <w14:schemeClr w14:val="tx1"/>
            </w14:solidFill>
          </w14:textFill>
        </w:rPr>
        <w:t xml:space="preserve">). Many modern drugs, including antibiotics, trace their origins to natural compounds isolated from plants and microorganisms. For example, quinine from </w:t>
      </w:r>
      <w:r>
        <w:rPr>
          <w:rStyle w:val="15"/>
          <w:rFonts w:eastAsiaTheme="majorEastAsia"/>
          <w:color w:val="000000" w:themeColor="text1"/>
          <w14:textFill>
            <w14:solidFill>
              <w14:schemeClr w14:val="tx1"/>
            </w14:solidFill>
          </w14:textFill>
        </w:rPr>
        <w:t>Cinchona</w:t>
      </w:r>
      <w:r>
        <w:rPr>
          <w:color w:val="000000" w:themeColor="text1"/>
          <w14:textFill>
            <w14:solidFill>
              <w14:schemeClr w14:val="tx1"/>
            </w14:solidFill>
          </w14:textFill>
        </w:rPr>
        <w:t xml:space="preserve"> bark and artemisinin from </w:t>
      </w:r>
      <w:r>
        <w:rPr>
          <w:rStyle w:val="15"/>
          <w:rFonts w:eastAsiaTheme="majorEastAsia"/>
          <w:color w:val="000000" w:themeColor="text1"/>
          <w14:textFill>
            <w14:solidFill>
              <w14:schemeClr w14:val="tx1"/>
            </w14:solidFill>
          </w14:textFill>
        </w:rPr>
        <w:t>Artemisia annua</w:t>
      </w:r>
      <w:r>
        <w:rPr>
          <w:color w:val="000000" w:themeColor="text1"/>
          <w14:textFill>
            <w14:solidFill>
              <w14:schemeClr w14:val="tx1"/>
            </w14:solidFill>
          </w14:textFill>
        </w:rPr>
        <w:t xml:space="preserve"> revolutionized the treatment of malaria (</w:t>
      </w:r>
      <w:r>
        <w:t>Guchait</w:t>
      </w:r>
      <w:r>
        <w:rPr>
          <w:color w:val="000000" w:themeColor="text1"/>
          <w14:textFill>
            <w14:solidFill>
              <w14:schemeClr w14:val="tx1"/>
            </w14:solidFill>
          </w14:textFill>
        </w:rPr>
        <w:t xml:space="preserve"> </w:t>
      </w:r>
      <w:r>
        <w:rPr>
          <w:i/>
          <w:iCs/>
          <w:color w:val="000000" w:themeColor="text1"/>
          <w14:textFill>
            <w14:solidFill>
              <w14:schemeClr w14:val="tx1"/>
            </w14:solidFill>
          </w14:textFill>
        </w:rPr>
        <w:t>et al.,</w:t>
      </w:r>
      <w:r>
        <w:rPr>
          <w:color w:val="000000" w:themeColor="text1"/>
          <w14:textFill>
            <w14:solidFill>
              <w14:schemeClr w14:val="tx1"/>
            </w14:solidFill>
          </w14:textFill>
        </w:rPr>
        <w:t xml:space="preserve"> 2023). This highlights the untapped potential of medicinal plants in modern drug discovery.</w:t>
      </w:r>
    </w:p>
    <w:p w14:paraId="197C4834">
      <w:pPr>
        <w:pStyle w:val="19"/>
        <w:spacing w:before="240" w:beforeAutospacing="0" w:after="0" w:afterAutospacing="0" w:line="480" w:lineRule="auto"/>
        <w:jc w:val="both"/>
        <w:rPr>
          <w:color w:val="000000" w:themeColor="text1"/>
          <w14:textFill>
            <w14:solidFill>
              <w14:schemeClr w14:val="tx1"/>
            </w14:solidFill>
          </w14:textFill>
        </w:rPr>
      </w:pPr>
      <w:r>
        <w:rPr>
          <w:color w:val="000000" w:themeColor="text1"/>
          <w14:textFill>
            <w14:solidFill>
              <w14:schemeClr w14:val="tx1"/>
            </w14:solidFill>
          </w14:textFill>
        </w:rPr>
        <w:t>The antibacterial properties of medicinal plants are primarily due to the presence of secondary metabolites such as alkaloids, flavonoids, tannins, saponins, terpenes, and polyphenols. These compounds often exhibit broad-spectrum activity by disrupting bacterial membranes, inhibiting enzymes, or scavenging free radicals that aid bacterial survival (</w:t>
      </w:r>
      <w:r>
        <w:t>Rahman</w:t>
      </w:r>
      <w:r>
        <w:rPr>
          <w:color w:val="000000" w:themeColor="text1"/>
          <w14:textFill>
            <w14:solidFill>
              <w14:schemeClr w14:val="tx1"/>
            </w14:solidFill>
          </w14:textFill>
        </w:rPr>
        <w:t xml:space="preserve"> </w:t>
      </w:r>
      <w:r>
        <w:rPr>
          <w:i/>
          <w:iCs/>
          <w:color w:val="000000" w:themeColor="text1"/>
          <w14:textFill>
            <w14:solidFill>
              <w14:schemeClr w14:val="tx1"/>
            </w14:solidFill>
          </w14:textFill>
        </w:rPr>
        <w:t>et al.,</w:t>
      </w:r>
      <w:r>
        <w:rPr>
          <w:color w:val="000000" w:themeColor="text1"/>
          <w14:textFill>
            <w14:solidFill>
              <w14:schemeClr w14:val="tx1"/>
            </w14:solidFill>
          </w14:textFill>
        </w:rPr>
        <w:t xml:space="preserve"> 2021). Studies have shown that polyphenolic compounds can disrupt bacterial quorum sensing, thereby inhibiting communication between bacterial cells and reducing virulence (</w:t>
      </w:r>
      <w:r>
        <w:t>Suriyaprom</w:t>
      </w:r>
      <w:r>
        <w:rPr>
          <w:color w:val="000000" w:themeColor="text1"/>
          <w14:textFill>
            <w14:solidFill>
              <w14:schemeClr w14:val="tx1"/>
            </w14:solidFill>
          </w14:textFill>
        </w:rPr>
        <w:t xml:space="preserve"> </w:t>
      </w:r>
      <w:r>
        <w:rPr>
          <w:i/>
          <w:iCs/>
          <w:color w:val="000000" w:themeColor="text1"/>
          <w14:textFill>
            <w14:solidFill>
              <w14:schemeClr w14:val="tx1"/>
            </w14:solidFill>
          </w14:textFill>
        </w:rPr>
        <w:t>et al.,</w:t>
      </w:r>
      <w:r>
        <w:rPr>
          <w:color w:val="000000" w:themeColor="text1"/>
          <w14:textFill>
            <w14:solidFill>
              <w14:schemeClr w14:val="tx1"/>
            </w14:solidFill>
          </w14:textFill>
        </w:rPr>
        <w:t xml:space="preserve"> 2022).</w:t>
      </w:r>
    </w:p>
    <w:p w14:paraId="4FEABBDF">
      <w:pPr>
        <w:pStyle w:val="19"/>
        <w:spacing w:before="240" w:beforeAutospacing="0" w:after="0" w:afterAutospacing="0" w:line="480" w:lineRule="auto"/>
        <w:jc w:val="both"/>
        <w:rPr>
          <w:color w:val="000000" w:themeColor="text1"/>
          <w14:textFill>
            <w14:solidFill>
              <w14:schemeClr w14:val="tx1"/>
            </w14:solidFill>
          </w14:textFill>
        </w:rPr>
      </w:pPr>
      <w:r>
        <w:rPr>
          <w:color w:val="000000" w:themeColor="text1"/>
          <w14:textFill>
            <w14:solidFill>
              <w14:schemeClr w14:val="tx1"/>
            </w14:solidFill>
          </w14:textFill>
        </w:rPr>
        <w:t xml:space="preserve">Several plant extracts have been successfully tested against multidrug-resistant pathogens. For instance, </w:t>
      </w:r>
      <w:r>
        <w:rPr>
          <w:rStyle w:val="15"/>
          <w:rFonts w:eastAsiaTheme="majorEastAsia"/>
          <w:color w:val="000000" w:themeColor="text1"/>
          <w14:textFill>
            <w14:solidFill>
              <w14:schemeClr w14:val="tx1"/>
            </w14:solidFill>
          </w14:textFill>
        </w:rPr>
        <w:t>Azadirachta indica</w:t>
      </w:r>
      <w:r>
        <w:rPr>
          <w:color w:val="000000" w:themeColor="text1"/>
          <w14:textFill>
            <w14:solidFill>
              <w14:schemeClr w14:val="tx1"/>
            </w14:solidFill>
          </w14:textFill>
        </w:rPr>
        <w:t xml:space="preserve"> (neem), </w:t>
      </w:r>
      <w:r>
        <w:rPr>
          <w:rStyle w:val="15"/>
          <w:rFonts w:eastAsiaTheme="majorEastAsia"/>
          <w:color w:val="000000" w:themeColor="text1"/>
          <w14:textFill>
            <w14:solidFill>
              <w14:schemeClr w14:val="tx1"/>
            </w14:solidFill>
          </w14:textFill>
        </w:rPr>
        <w:t>Moringa oleifera</w:t>
      </w:r>
      <w:r>
        <w:rPr>
          <w:color w:val="000000" w:themeColor="text1"/>
          <w14:textFill>
            <w14:solidFill>
              <w14:schemeClr w14:val="tx1"/>
            </w14:solidFill>
          </w14:textFill>
        </w:rPr>
        <w:t xml:space="preserve">, and </w:t>
      </w:r>
      <w:r>
        <w:rPr>
          <w:rStyle w:val="15"/>
          <w:rFonts w:eastAsiaTheme="majorEastAsia"/>
          <w:color w:val="000000" w:themeColor="text1"/>
          <w14:textFill>
            <w14:solidFill>
              <w14:schemeClr w14:val="tx1"/>
            </w14:solidFill>
          </w14:textFill>
        </w:rPr>
        <w:t>Allium sativum</w:t>
      </w:r>
      <w:r>
        <w:rPr>
          <w:color w:val="000000" w:themeColor="text1"/>
          <w14:textFill>
            <w14:solidFill>
              <w14:schemeClr w14:val="tx1"/>
            </w14:solidFill>
          </w14:textFill>
        </w:rPr>
        <w:t xml:space="preserve"> (garlic) are reported to inhibit both Gram-positive and Gram-negative bacteria (</w:t>
      </w:r>
      <w:r>
        <w:t xml:space="preserve">Alvarino </w:t>
      </w:r>
      <w:r>
        <w:rPr>
          <w:i/>
          <w:iCs/>
        </w:rPr>
        <w:t>et al.</w:t>
      </w:r>
      <w:r>
        <w:rPr>
          <w:color w:val="000000" w:themeColor="text1"/>
          <w14:textFill>
            <w14:solidFill>
              <w14:schemeClr w14:val="tx1"/>
            </w14:solidFill>
          </w14:textFill>
        </w:rPr>
        <w:t xml:space="preserve">, 2023). Such evidence supports the continued exploration of underutilized plants like </w:t>
      </w:r>
      <w:r>
        <w:rPr>
          <w:rStyle w:val="15"/>
          <w:rFonts w:eastAsiaTheme="majorEastAsia"/>
          <w:color w:val="000000" w:themeColor="text1"/>
          <w14:textFill>
            <w14:solidFill>
              <w14:schemeClr w14:val="tx1"/>
            </w14:solidFill>
          </w14:textFill>
        </w:rPr>
        <w:t xml:space="preserve">Boscia </w:t>
      </w:r>
      <w:r>
        <w:rPr>
          <w:i/>
          <w:iCs/>
          <w:color w:val="000000" w:themeColor="text1"/>
          <w14:textFill>
            <w14:solidFill>
              <w14:schemeClr w14:val="tx1"/>
            </w14:solidFill>
          </w14:textFill>
        </w:rPr>
        <w:t>angustifolia</w:t>
      </w:r>
      <w:r>
        <w:rPr>
          <w:color w:val="000000" w:themeColor="text1"/>
          <w14:textFill>
            <w14:solidFill>
              <w14:schemeClr w14:val="tx1"/>
            </w14:solidFill>
          </w14:textFill>
        </w:rPr>
        <w:t xml:space="preserve"> for potential antibacterial agents.</w:t>
      </w:r>
    </w:p>
    <w:p w14:paraId="7B3630B3">
      <w:pPr>
        <w:pStyle w:val="19"/>
        <w:spacing w:before="240" w:beforeAutospacing="0" w:after="0" w:afterAutospacing="0" w:line="480" w:lineRule="auto"/>
        <w:jc w:val="both"/>
        <w:rPr>
          <w:color w:val="000000" w:themeColor="text1"/>
          <w14:textFill>
            <w14:solidFill>
              <w14:schemeClr w14:val="tx1"/>
            </w14:solidFill>
          </w14:textFill>
        </w:rPr>
      </w:pPr>
      <w:r>
        <w:rPr>
          <w:color w:val="000000" w:themeColor="text1"/>
          <w14:textFill>
            <w14:solidFill>
              <w14:schemeClr w14:val="tx1"/>
            </w14:solidFill>
          </w14:textFill>
        </w:rPr>
        <w:t>Unlike synthetic antibiotics, medicinal plant extracts often exhibit synergistic effects due to the combined action of multiple bioactive molecules (</w:t>
      </w:r>
      <w:r>
        <w:t xml:space="preserve">Herman &amp; Herman, 2023). </w:t>
      </w:r>
      <w:r>
        <w:rPr>
          <w:color w:val="000000" w:themeColor="text1"/>
          <w14:textFill>
            <w14:solidFill>
              <w14:schemeClr w14:val="tx1"/>
            </w14:solidFill>
          </w14:textFill>
        </w:rPr>
        <w:t>This not only enhances antibacterial efficacy but may also delay the development of resistance. Therefore, the phytochemical complexity of medicinal plants makes them promising candidates in the ongoing fight against bacterial infections and resistance.</w:t>
      </w:r>
    </w:p>
    <w:p w14:paraId="68F7494C">
      <w:pPr>
        <w:pStyle w:val="2"/>
        <w:spacing w:after="0" w:line="480" w:lineRule="auto"/>
      </w:pPr>
      <w:bookmarkStart w:id="36" w:name="_Toc215016059"/>
      <w:bookmarkStart w:id="37" w:name="_Toc215132356"/>
      <w:r>
        <w:rPr>
          <w:rStyle w:val="20"/>
          <w:b/>
          <w:bCs w:val="0"/>
        </w:rPr>
        <w:t>2.4</w:t>
      </w:r>
      <w:r>
        <w:rPr>
          <w:rStyle w:val="20"/>
          <w:b/>
          <w:bCs w:val="0"/>
        </w:rPr>
        <w:tab/>
      </w:r>
      <w:r>
        <w:rPr>
          <w:rStyle w:val="20"/>
          <w:b/>
          <w:bCs w:val="0"/>
          <w:i/>
          <w:iCs/>
        </w:rPr>
        <w:t>Boscia</w:t>
      </w:r>
      <w:r>
        <w:t xml:space="preserve"> </w:t>
      </w:r>
      <w:r>
        <w:rPr>
          <w:i/>
          <w:iCs/>
        </w:rPr>
        <w:t>angustifolia</w:t>
      </w:r>
      <w:bookmarkEnd w:id="36"/>
      <w:bookmarkEnd w:id="37"/>
    </w:p>
    <w:p w14:paraId="71C3D5A1">
      <w:pPr>
        <w:pStyle w:val="19"/>
        <w:spacing w:before="0" w:beforeAutospacing="0" w:after="0" w:afterAutospacing="0" w:line="480" w:lineRule="auto"/>
        <w:jc w:val="both"/>
        <w:rPr>
          <w:color w:val="000000" w:themeColor="text1"/>
          <w14:textFill>
            <w14:solidFill>
              <w14:schemeClr w14:val="tx1"/>
            </w14:solidFill>
          </w14:textFill>
        </w:rPr>
      </w:pPr>
      <w:r>
        <w:rPr>
          <w:rStyle w:val="15"/>
          <w:rFonts w:eastAsiaTheme="majorEastAsia"/>
          <w:color w:val="000000" w:themeColor="text1"/>
          <w14:textFill>
            <w14:solidFill>
              <w14:schemeClr w14:val="tx1"/>
            </w14:solidFill>
          </w14:textFill>
        </w:rPr>
        <w:t xml:space="preserve">Boscia </w:t>
      </w:r>
      <w:r>
        <w:rPr>
          <w:i/>
          <w:iCs/>
          <w:color w:val="000000" w:themeColor="text1"/>
          <w14:textFill>
            <w14:solidFill>
              <w14:schemeClr w14:val="tx1"/>
            </w14:solidFill>
          </w14:textFill>
        </w:rPr>
        <w:t>angustifolia</w:t>
      </w:r>
      <w:r>
        <w:rPr>
          <w:color w:val="000000" w:themeColor="text1"/>
          <w14:textFill>
            <w14:solidFill>
              <w14:schemeClr w14:val="tx1"/>
            </w14:solidFill>
          </w14:textFill>
        </w:rPr>
        <w:t>, commonly known as “Hanza” or “Anza,” is a drought-tolerant shrub native to arid regions of West and Central Africa (</w:t>
      </w:r>
      <w:r>
        <w:t xml:space="preserve">Ousmane </w:t>
      </w:r>
      <w:r>
        <w:rPr>
          <w:i/>
          <w:iCs/>
        </w:rPr>
        <w:t xml:space="preserve">et al., </w:t>
      </w:r>
      <w:r>
        <w:t>2023)</w:t>
      </w:r>
      <w:r>
        <w:rPr>
          <w:color w:val="000000" w:themeColor="text1"/>
          <w14:textFill>
            <w14:solidFill>
              <w14:schemeClr w14:val="tx1"/>
            </w14:solidFill>
          </w14:textFill>
        </w:rPr>
        <w:t>. Belonging to the family Capparaceae, the plant plays an important ecological and socio-economic role in the Sahel region. Its seeds are used as food during famine periods, while different plant parts are employed in traditional medicine to treat infections, gastrointestinal disorders, and inflammatory conditions (</w:t>
      </w:r>
      <w:r>
        <w:t xml:space="preserve">Sun </w:t>
      </w:r>
      <w:r>
        <w:rPr>
          <w:i/>
          <w:iCs/>
        </w:rPr>
        <w:t xml:space="preserve">et al., </w:t>
      </w:r>
      <w:r>
        <w:t>2021</w:t>
      </w:r>
      <w:r>
        <w:rPr>
          <w:color w:val="000000" w:themeColor="text1"/>
          <w14:textFill>
            <w14:solidFill>
              <w14:schemeClr w14:val="tx1"/>
            </w14:solidFill>
          </w14:textFill>
        </w:rPr>
        <w:t>).</w:t>
      </w:r>
    </w:p>
    <w:p w14:paraId="00E76659">
      <w:pPr>
        <w:pStyle w:val="19"/>
        <w:spacing w:before="240" w:beforeAutospacing="0" w:after="0" w:afterAutospacing="0" w:line="480" w:lineRule="auto"/>
        <w:jc w:val="both"/>
        <w:rPr>
          <w:color w:val="000000" w:themeColor="text1"/>
          <w14:textFill>
            <w14:solidFill>
              <w14:schemeClr w14:val="tx1"/>
            </w14:solidFill>
          </w14:textFill>
        </w:rPr>
      </w:pPr>
      <w:r>
        <w:rPr>
          <w:color w:val="000000" w:themeColor="text1"/>
          <w14:textFill>
            <w14:solidFill>
              <w14:schemeClr w14:val="tx1"/>
            </w14:solidFill>
          </w14:textFill>
        </w:rPr>
        <w:t xml:space="preserve">Phytochemical studies have revealed that </w:t>
      </w:r>
      <w:r>
        <w:rPr>
          <w:rStyle w:val="15"/>
          <w:rFonts w:eastAsiaTheme="majorEastAsia"/>
          <w:color w:val="000000" w:themeColor="text1"/>
          <w14:textFill>
            <w14:solidFill>
              <w14:schemeClr w14:val="tx1"/>
            </w14:solidFill>
          </w14:textFill>
        </w:rPr>
        <w:t xml:space="preserve">B. </w:t>
      </w:r>
      <w:r>
        <w:rPr>
          <w:i/>
          <w:iCs/>
          <w:color w:val="000000" w:themeColor="text1"/>
          <w14:textFill>
            <w14:solidFill>
              <w14:schemeClr w14:val="tx1"/>
            </w14:solidFill>
          </w14:textFill>
        </w:rPr>
        <w:t>angustifolia</w:t>
      </w:r>
      <w:r>
        <w:rPr>
          <w:color w:val="000000" w:themeColor="text1"/>
          <w14:textFill>
            <w14:solidFill>
              <w14:schemeClr w14:val="tx1"/>
            </w14:solidFill>
          </w14:textFill>
        </w:rPr>
        <w:t xml:space="preserve"> is rich in alkaloids, flavonoids, saponins, tannins, and sterols, compounds known for their antimicrobial and antioxidant properties (Vougat Ngom </w:t>
      </w:r>
      <w:r>
        <w:rPr>
          <w:i/>
          <w:iCs/>
          <w:color w:val="000000" w:themeColor="text1"/>
          <w14:textFill>
            <w14:solidFill>
              <w14:schemeClr w14:val="tx1"/>
            </w14:solidFill>
          </w14:textFill>
        </w:rPr>
        <w:t>et al.,</w:t>
      </w:r>
      <w:r>
        <w:rPr>
          <w:color w:val="000000" w:themeColor="text1"/>
          <w14:textFill>
            <w14:solidFill>
              <w14:schemeClr w14:val="tx1"/>
            </w14:solidFill>
          </w14:textFill>
        </w:rPr>
        <w:t xml:space="preserve"> 2021). Ethanolic and aqueous extracts of its seeds and bark have demonstrated antibacterial activity against common pathogens, suggesting that its pharmacological potential is linked to these bioactive compounds (Essa </w:t>
      </w:r>
      <w:r>
        <w:rPr>
          <w:i/>
          <w:iCs/>
          <w:color w:val="000000" w:themeColor="text1"/>
          <w14:textFill>
            <w14:solidFill>
              <w14:schemeClr w14:val="tx1"/>
            </w14:solidFill>
          </w14:textFill>
        </w:rPr>
        <w:t>et al.,</w:t>
      </w:r>
      <w:r>
        <w:rPr>
          <w:color w:val="000000" w:themeColor="text1"/>
          <w14:textFill>
            <w14:solidFill>
              <w14:schemeClr w14:val="tx1"/>
            </w14:solidFill>
          </w14:textFill>
        </w:rPr>
        <w:t xml:space="preserve"> 2021).</w:t>
      </w:r>
    </w:p>
    <w:p w14:paraId="484E0454">
      <w:pPr>
        <w:pStyle w:val="19"/>
        <w:spacing w:before="240" w:beforeAutospacing="0" w:after="0" w:afterAutospacing="0" w:line="480" w:lineRule="auto"/>
        <w:jc w:val="both"/>
        <w:rPr>
          <w:color w:val="000000" w:themeColor="text1"/>
          <w14:textFill>
            <w14:solidFill>
              <w14:schemeClr w14:val="tx1"/>
            </w14:solidFill>
          </w14:textFill>
        </w:rPr>
      </w:pPr>
      <w:r>
        <w:rPr>
          <w:color w:val="000000" w:themeColor="text1"/>
          <w14:textFill>
            <w14:solidFill>
              <w14:schemeClr w14:val="tx1"/>
            </w14:solidFill>
          </w14:textFill>
        </w:rPr>
        <w:t xml:space="preserve">Traditional uses of </w:t>
      </w:r>
      <w:r>
        <w:rPr>
          <w:rStyle w:val="15"/>
          <w:rFonts w:eastAsiaTheme="majorEastAsia"/>
          <w:color w:val="000000" w:themeColor="text1"/>
          <w14:textFill>
            <w14:solidFill>
              <w14:schemeClr w14:val="tx1"/>
            </w14:solidFill>
          </w14:textFill>
        </w:rPr>
        <w:t xml:space="preserve">B. </w:t>
      </w:r>
      <w:r>
        <w:rPr>
          <w:i/>
          <w:iCs/>
          <w:color w:val="000000" w:themeColor="text1"/>
          <w14:textFill>
            <w14:solidFill>
              <w14:schemeClr w14:val="tx1"/>
            </w14:solidFill>
          </w14:textFill>
        </w:rPr>
        <w:t>angustifolia</w:t>
      </w:r>
      <w:r>
        <w:rPr>
          <w:color w:val="000000" w:themeColor="text1"/>
          <w14:textFill>
            <w14:solidFill>
              <w14:schemeClr w14:val="tx1"/>
            </w14:solidFill>
          </w14:textFill>
        </w:rPr>
        <w:t xml:space="preserve"> align with scientific findings. For example, in Niger and Chad, decoctions from its roots and bark are used to treat diarrhea and dysentery, conditions often associated with bacterial infections (</w:t>
      </w:r>
      <w:r>
        <w:t>Obiang</w:t>
      </w:r>
      <w:r>
        <w:rPr>
          <w:color w:val="000000" w:themeColor="text1"/>
          <w14:textFill>
            <w14:solidFill>
              <w14:schemeClr w14:val="tx1"/>
            </w14:solidFill>
          </w14:textFill>
        </w:rPr>
        <w:t xml:space="preserve"> </w:t>
      </w:r>
      <w:r>
        <w:rPr>
          <w:i/>
          <w:iCs/>
          <w:color w:val="000000" w:themeColor="text1"/>
          <w14:textFill>
            <w14:solidFill>
              <w14:schemeClr w14:val="tx1"/>
            </w14:solidFill>
          </w14:textFill>
        </w:rPr>
        <w:t>et al.,</w:t>
      </w:r>
      <w:r>
        <w:rPr>
          <w:color w:val="000000" w:themeColor="text1"/>
          <w14:textFill>
            <w14:solidFill>
              <w14:schemeClr w14:val="tx1"/>
            </w14:solidFill>
          </w14:textFill>
        </w:rPr>
        <w:t xml:space="preserve"> 2022). Scientific validation of these ethnomedicinal applications enhances the credibility of traditional knowledge and paves the way for potential drug development.</w:t>
      </w:r>
    </w:p>
    <w:p w14:paraId="7408D37E">
      <w:pPr>
        <w:pStyle w:val="19"/>
        <w:spacing w:before="240" w:beforeAutospacing="0" w:after="0" w:afterAutospacing="0" w:line="480" w:lineRule="auto"/>
        <w:jc w:val="both"/>
        <w:rPr>
          <w:color w:val="000000" w:themeColor="text1"/>
          <w14:textFill>
            <w14:solidFill>
              <w14:schemeClr w14:val="tx1"/>
            </w14:solidFill>
          </w14:textFill>
        </w:rPr>
      </w:pPr>
      <w:r>
        <w:rPr>
          <w:color w:val="000000" w:themeColor="text1"/>
          <w14:textFill>
            <w14:solidFill>
              <w14:schemeClr w14:val="tx1"/>
            </w14:solidFill>
          </w14:textFill>
        </w:rPr>
        <w:t xml:space="preserve">Despite these promising findings, limited studies have explored the exact mechanisms of antibacterial action of </w:t>
      </w:r>
      <w:r>
        <w:rPr>
          <w:rStyle w:val="15"/>
          <w:rFonts w:eastAsiaTheme="majorEastAsia"/>
          <w:color w:val="000000" w:themeColor="text1"/>
          <w14:textFill>
            <w14:solidFill>
              <w14:schemeClr w14:val="tx1"/>
            </w14:solidFill>
          </w14:textFill>
        </w:rPr>
        <w:t xml:space="preserve">B. </w:t>
      </w:r>
      <w:r>
        <w:rPr>
          <w:i/>
          <w:iCs/>
          <w:color w:val="000000" w:themeColor="text1"/>
          <w14:textFill>
            <w14:solidFill>
              <w14:schemeClr w14:val="tx1"/>
            </w14:solidFill>
          </w14:textFill>
        </w:rPr>
        <w:t>angustifolia</w:t>
      </w:r>
      <w:r>
        <w:rPr>
          <w:color w:val="000000" w:themeColor="text1"/>
          <w14:textFill>
            <w14:solidFill>
              <w14:schemeClr w14:val="tx1"/>
            </w14:solidFill>
          </w14:textFill>
        </w:rPr>
        <w:t>. Most research has focused on demonstrating inhibitory effects without further characterizing whether the extracts act through membrane disruption, enzyme inhibition, or interference with nucleic acid synthesis. This gap highlights the need for mechanistic investigations, which this study aims to address.</w:t>
      </w:r>
    </w:p>
    <w:p w14:paraId="11A6914C">
      <w:pPr>
        <w:pStyle w:val="2"/>
        <w:spacing w:after="0" w:line="480" w:lineRule="auto"/>
      </w:pPr>
      <w:bookmarkStart w:id="38" w:name="_Toc215016060"/>
      <w:bookmarkStart w:id="39" w:name="_Toc215132357"/>
      <w:r>
        <w:rPr>
          <w:rStyle w:val="20"/>
          <w:b/>
          <w:bCs w:val="0"/>
        </w:rPr>
        <w:t>2.5</w:t>
      </w:r>
      <w:r>
        <w:rPr>
          <w:rStyle w:val="20"/>
          <w:b/>
          <w:bCs w:val="0"/>
        </w:rPr>
        <w:tab/>
      </w:r>
      <w:r>
        <w:rPr>
          <w:rStyle w:val="20"/>
          <w:b/>
          <w:bCs w:val="0"/>
        </w:rPr>
        <w:t>Antibacterial Mechanisms of Plant Extracts</w:t>
      </w:r>
      <w:bookmarkEnd w:id="38"/>
      <w:bookmarkEnd w:id="39"/>
    </w:p>
    <w:p w14:paraId="3E20C24A">
      <w:pPr>
        <w:pStyle w:val="19"/>
        <w:spacing w:before="0" w:beforeAutospacing="0" w:after="0" w:afterAutospacing="0" w:line="480" w:lineRule="auto"/>
        <w:jc w:val="both"/>
        <w:rPr>
          <w:color w:val="000000" w:themeColor="text1"/>
          <w14:textFill>
            <w14:solidFill>
              <w14:schemeClr w14:val="tx1"/>
            </w14:solidFill>
          </w14:textFill>
        </w:rPr>
      </w:pPr>
      <w:r>
        <w:rPr>
          <w:color w:val="000000" w:themeColor="text1"/>
          <w14:textFill>
            <w14:solidFill>
              <w14:schemeClr w14:val="tx1"/>
            </w14:solidFill>
          </w14:textFill>
        </w:rPr>
        <w:t>The antibacterial activity of plant extracts can be attributed to their ability to target multiple sites within bacterial cells. One of the most common mechanisms is disruption of the bacterial cell wall or cell membrane. Compounds such as saponins and phenolics interact with lipid bilayers, increasing membrane permeability and causing leakage of essential intracellular components (</w:t>
      </w:r>
      <w:r>
        <w:t>Karonen, 2022</w:t>
      </w:r>
      <w:r>
        <w:rPr>
          <w:color w:val="000000" w:themeColor="text1"/>
          <w14:textFill>
            <w14:solidFill>
              <w14:schemeClr w14:val="tx1"/>
            </w14:solidFill>
          </w14:textFill>
        </w:rPr>
        <w:t>). This results in bacterial cell death and explains the strong activity of many plant extracts against Gram-positive bacteria.</w:t>
      </w:r>
    </w:p>
    <w:p w14:paraId="09CA54C5">
      <w:pPr>
        <w:pStyle w:val="19"/>
        <w:spacing w:before="240" w:beforeAutospacing="0" w:after="0" w:afterAutospacing="0" w:line="480" w:lineRule="auto"/>
        <w:jc w:val="both"/>
        <w:rPr>
          <w:color w:val="000000" w:themeColor="text1"/>
          <w14:textFill>
            <w14:solidFill>
              <w14:schemeClr w14:val="tx1"/>
            </w14:solidFill>
          </w14:textFill>
        </w:rPr>
      </w:pPr>
      <w:r>
        <w:rPr>
          <w:color w:val="000000" w:themeColor="text1"/>
          <w14:textFill>
            <w14:solidFill>
              <w14:schemeClr w14:val="tx1"/>
            </w14:solidFill>
          </w14:textFill>
        </w:rPr>
        <w:t>Another important mechanism involves the inhibition of bacterial enzymes. Flavonoids and alkaloids have been shown to inhibit enzymes critical for DNA replication and protein synthesis, thereby impairing bacterial growth and survival (</w:t>
      </w:r>
      <w:r>
        <w:t xml:space="preserve">Donadio </w:t>
      </w:r>
      <w:r>
        <w:rPr>
          <w:i/>
          <w:iCs/>
        </w:rPr>
        <w:t xml:space="preserve">et al., </w:t>
      </w:r>
      <w:r>
        <w:t>2021</w:t>
      </w:r>
      <w:r>
        <w:rPr>
          <w:color w:val="000000" w:themeColor="text1"/>
          <w14:textFill>
            <w14:solidFill>
              <w14:schemeClr w14:val="tx1"/>
            </w14:solidFill>
          </w14:textFill>
        </w:rPr>
        <w:t>). For example, certain flavonoids can inhibit DNA gyrase, a key enzyme involved in bacterial DNA replication, while tannins are known to inactivate bacterial adhesins, enzymes, and cell envelope transport proteins (</w:t>
      </w:r>
      <w:r>
        <w:t xml:space="preserve">Liu </w:t>
      </w:r>
      <w:r>
        <w:rPr>
          <w:i/>
          <w:iCs/>
        </w:rPr>
        <w:t xml:space="preserve">et al., </w:t>
      </w:r>
      <w:r>
        <w:t>2022</w:t>
      </w:r>
      <w:r>
        <w:rPr>
          <w:color w:val="000000" w:themeColor="text1"/>
          <w14:textFill>
            <w14:solidFill>
              <w14:schemeClr w14:val="tx1"/>
            </w14:solidFill>
          </w14:textFill>
        </w:rPr>
        <w:t>).</w:t>
      </w:r>
    </w:p>
    <w:p w14:paraId="3222D2C6">
      <w:pPr>
        <w:pStyle w:val="19"/>
        <w:spacing w:before="240" w:beforeAutospacing="0" w:after="0" w:afterAutospacing="0" w:line="480" w:lineRule="auto"/>
        <w:jc w:val="both"/>
        <w:rPr>
          <w:color w:val="000000" w:themeColor="text1"/>
          <w14:textFill>
            <w14:solidFill>
              <w14:schemeClr w14:val="tx1"/>
            </w14:solidFill>
          </w14:textFill>
        </w:rPr>
      </w:pPr>
      <w:r>
        <w:rPr>
          <w:color w:val="000000" w:themeColor="text1"/>
          <w14:textFill>
            <w14:solidFill>
              <w14:schemeClr w14:val="tx1"/>
            </w14:solidFill>
          </w14:textFill>
        </w:rPr>
        <w:t>Some plant compounds interfere with quorum sensing, a bacterial communication system that regulates virulence factor production and biofilm formation. Polyphenolic compounds, in particular, are effective in disrupting these communication pathways, reducing pathogenicity without necessarily killing the bacteria outright (</w:t>
      </w:r>
      <w:r>
        <w:t>Ecevit</w:t>
      </w:r>
      <w:r>
        <w:rPr>
          <w:i/>
          <w:iCs/>
          <w:color w:val="000000" w:themeColor="text1"/>
          <w14:textFill>
            <w14:solidFill>
              <w14:schemeClr w14:val="tx1"/>
            </w14:solidFill>
          </w14:textFill>
        </w:rPr>
        <w:t xml:space="preserve"> et al.,</w:t>
      </w:r>
      <w:r>
        <w:rPr>
          <w:color w:val="000000" w:themeColor="text1"/>
          <w14:textFill>
            <w14:solidFill>
              <w14:schemeClr w14:val="tx1"/>
            </w14:solidFill>
          </w14:textFill>
        </w:rPr>
        <w:t xml:space="preserve"> 2022). This mechanism is of interest as it reduces the selective pressure for resistance development.</w:t>
      </w:r>
    </w:p>
    <w:p w14:paraId="7CFCBB29">
      <w:pPr>
        <w:pStyle w:val="19"/>
        <w:spacing w:before="240" w:beforeAutospacing="0" w:after="0" w:afterAutospacing="0" w:line="480" w:lineRule="auto"/>
        <w:jc w:val="both"/>
        <w:rPr>
          <w:color w:val="000000" w:themeColor="text1"/>
          <w14:textFill>
            <w14:solidFill>
              <w14:schemeClr w14:val="tx1"/>
            </w14:solidFill>
          </w14:textFill>
        </w:rPr>
      </w:pPr>
      <w:r>
        <w:rPr>
          <w:color w:val="000000" w:themeColor="text1"/>
          <w14:textFill>
            <w14:solidFill>
              <w14:schemeClr w14:val="tx1"/>
            </w14:solidFill>
          </w14:textFill>
        </w:rPr>
        <w:t>The synergistic action of multiple compounds in plant extracts makes them particularly potent. For example, the combination of alkaloids and terpenoids may simultaneously damage bacterial membranes and inhibit protein synthesis (</w:t>
      </w:r>
      <w:r>
        <w:t>Makarewicz</w:t>
      </w:r>
      <w:r>
        <w:rPr>
          <w:i/>
          <w:iCs/>
          <w:color w:val="000000" w:themeColor="text1"/>
          <w14:textFill>
            <w14:solidFill>
              <w14:schemeClr w14:val="tx1"/>
            </w14:solidFill>
          </w14:textFill>
        </w:rPr>
        <w:t xml:space="preserve"> et al.,</w:t>
      </w:r>
      <w:r>
        <w:rPr>
          <w:color w:val="000000" w:themeColor="text1"/>
          <w14:textFill>
            <w14:solidFill>
              <w14:schemeClr w14:val="tx1"/>
            </w14:solidFill>
          </w14:textFill>
        </w:rPr>
        <w:t xml:space="preserve"> 2021). This multi-targeted approach is a key advantage of plant-derived antibacterial and offers valuable insights for the development of new therapeutic agents.</w:t>
      </w:r>
    </w:p>
    <w:p w14:paraId="06A50DCF">
      <w:pPr>
        <w:pStyle w:val="2"/>
        <w:spacing w:after="0" w:line="480" w:lineRule="auto"/>
      </w:pPr>
      <w:bookmarkStart w:id="40" w:name="_Toc215016061"/>
      <w:bookmarkStart w:id="41" w:name="_Toc215132358"/>
      <w:r>
        <w:rPr>
          <w:rStyle w:val="20"/>
          <w:b/>
          <w:bCs w:val="0"/>
        </w:rPr>
        <w:t>2.6</w:t>
      </w:r>
      <w:r>
        <w:rPr>
          <w:rStyle w:val="20"/>
          <w:b/>
          <w:bCs w:val="0"/>
        </w:rPr>
        <w:tab/>
      </w:r>
      <w:r>
        <w:rPr>
          <w:rStyle w:val="20"/>
          <w:b/>
          <w:bCs w:val="0"/>
        </w:rPr>
        <w:t>Knowledge Gap and Research Justification</w:t>
      </w:r>
      <w:bookmarkEnd w:id="40"/>
      <w:bookmarkEnd w:id="41"/>
    </w:p>
    <w:p w14:paraId="050F5FB2">
      <w:pPr>
        <w:pStyle w:val="19"/>
        <w:spacing w:before="0" w:beforeAutospacing="0" w:after="0" w:afterAutospacing="0" w:line="480" w:lineRule="auto"/>
        <w:jc w:val="both"/>
        <w:rPr>
          <w:color w:val="000000" w:themeColor="text1"/>
          <w14:textFill>
            <w14:solidFill>
              <w14:schemeClr w14:val="tx1"/>
            </w14:solidFill>
          </w14:textFill>
        </w:rPr>
      </w:pPr>
      <w:r>
        <w:rPr>
          <w:color w:val="000000" w:themeColor="text1"/>
          <w14:textFill>
            <w14:solidFill>
              <w14:schemeClr w14:val="tx1"/>
            </w14:solidFill>
          </w14:textFill>
        </w:rPr>
        <w:t xml:space="preserve">Although numerous studies have documented the antibacterial potential of </w:t>
      </w:r>
      <w:r>
        <w:rPr>
          <w:rStyle w:val="15"/>
          <w:rFonts w:eastAsiaTheme="majorEastAsia"/>
          <w:color w:val="000000" w:themeColor="text1"/>
          <w14:textFill>
            <w14:solidFill>
              <w14:schemeClr w14:val="tx1"/>
            </w14:solidFill>
          </w14:textFill>
        </w:rPr>
        <w:t>Boscia angustifolia</w:t>
      </w:r>
      <w:r>
        <w:rPr>
          <w:color w:val="000000" w:themeColor="text1"/>
          <w14:textFill>
            <w14:solidFill>
              <w14:schemeClr w14:val="tx1"/>
            </w14:solidFill>
          </w14:textFill>
        </w:rPr>
        <w:t xml:space="preserve">, the majority focus on measuring zones of inhibition, MIC, and MBC values without delving into specific mechanisms of action (Essa </w:t>
      </w:r>
      <w:r>
        <w:rPr>
          <w:i/>
          <w:iCs/>
          <w:color w:val="000000" w:themeColor="text1"/>
          <w14:textFill>
            <w14:solidFill>
              <w14:schemeClr w14:val="tx1"/>
            </w14:solidFill>
          </w14:textFill>
        </w:rPr>
        <w:t>et al.,</w:t>
      </w:r>
      <w:r>
        <w:rPr>
          <w:color w:val="000000" w:themeColor="text1"/>
          <w14:textFill>
            <w14:solidFill>
              <w14:schemeClr w14:val="tx1"/>
            </w14:solidFill>
          </w14:textFill>
        </w:rPr>
        <w:t xml:space="preserve"> 2021; Vougat Ngom </w:t>
      </w:r>
      <w:r>
        <w:rPr>
          <w:i/>
          <w:iCs/>
          <w:color w:val="000000" w:themeColor="text1"/>
          <w14:textFill>
            <w14:solidFill>
              <w14:schemeClr w14:val="tx1"/>
            </w14:solidFill>
          </w14:textFill>
        </w:rPr>
        <w:t xml:space="preserve">et al., </w:t>
      </w:r>
      <w:r>
        <w:rPr>
          <w:color w:val="000000" w:themeColor="text1"/>
          <w14:textFill>
            <w14:solidFill>
              <w14:schemeClr w14:val="tx1"/>
            </w14:solidFill>
          </w14:textFill>
        </w:rPr>
        <w:t>2021). The lack of mechanistic studies limits scientific understanding and hinders the potential development of novel antibacterial drugs from this plant.</w:t>
      </w:r>
    </w:p>
    <w:p w14:paraId="39D6EA8F">
      <w:pPr>
        <w:pStyle w:val="19"/>
        <w:spacing w:before="240" w:beforeAutospacing="0" w:after="0" w:afterAutospacing="0" w:line="480" w:lineRule="auto"/>
        <w:jc w:val="both"/>
        <w:rPr>
          <w:color w:val="000000" w:themeColor="text1"/>
          <w14:textFill>
            <w14:solidFill>
              <w14:schemeClr w14:val="tx1"/>
            </w14:solidFill>
          </w14:textFill>
        </w:rPr>
      </w:pPr>
      <w:r>
        <w:rPr>
          <w:color w:val="000000" w:themeColor="text1"/>
          <w14:textFill>
            <w14:solidFill>
              <w14:schemeClr w14:val="tx1"/>
            </w14:solidFill>
          </w14:textFill>
        </w:rPr>
        <w:t>Furthermore, existing research often employs crude extracts without isolating or characterizing the active compounds responsible for antibacterial activity (</w:t>
      </w:r>
      <w:r>
        <w:t>Vaou</w:t>
      </w:r>
      <w:r>
        <w:rPr>
          <w:color w:val="000000" w:themeColor="text1"/>
          <w14:textFill>
            <w14:solidFill>
              <w14:schemeClr w14:val="tx1"/>
            </w14:solidFill>
          </w14:textFill>
        </w:rPr>
        <w:t xml:space="preserve"> </w:t>
      </w:r>
      <w:r>
        <w:rPr>
          <w:i/>
          <w:iCs/>
          <w:color w:val="000000" w:themeColor="text1"/>
          <w14:textFill>
            <w14:solidFill>
              <w14:schemeClr w14:val="tx1"/>
            </w14:solidFill>
          </w14:textFill>
        </w:rPr>
        <w:t>et al.,</w:t>
      </w:r>
      <w:r>
        <w:rPr>
          <w:color w:val="000000" w:themeColor="text1"/>
          <w14:textFill>
            <w14:solidFill>
              <w14:schemeClr w14:val="tx1"/>
            </w14:solidFill>
          </w14:textFill>
        </w:rPr>
        <w:t xml:space="preserve"> 2022). While crude extracts may show strong activity, they also contain complex mixtures that make it difficult to pinpoint the exact molecule or mechanism involved. Bioassay-guided fractionation and advanced spectroscopic techniques are needed for further analysis.</w:t>
      </w:r>
    </w:p>
    <w:p w14:paraId="04F140F3">
      <w:pPr>
        <w:pStyle w:val="19"/>
        <w:spacing w:before="240" w:beforeAutospacing="0" w:after="0" w:afterAutospacing="0" w:line="480" w:lineRule="auto"/>
        <w:jc w:val="both"/>
        <w:rPr>
          <w:color w:val="000000" w:themeColor="text1"/>
          <w14:textFill>
            <w14:solidFill>
              <w14:schemeClr w14:val="tx1"/>
            </w14:solidFill>
          </w14:textFill>
        </w:rPr>
      </w:pPr>
      <w:r>
        <w:rPr>
          <w:color w:val="000000" w:themeColor="text1"/>
          <w14:textFill>
            <w14:solidFill>
              <w14:schemeClr w14:val="tx1"/>
            </w14:solidFill>
          </w14:textFill>
        </w:rPr>
        <w:t xml:space="preserve">Another gap lies in the scarcity of in vivo studies validating the safety and efficacy of </w:t>
      </w:r>
      <w:r>
        <w:rPr>
          <w:rStyle w:val="15"/>
          <w:rFonts w:eastAsiaTheme="majorEastAsia"/>
          <w:color w:val="000000" w:themeColor="text1"/>
          <w14:textFill>
            <w14:solidFill>
              <w14:schemeClr w14:val="tx1"/>
            </w14:solidFill>
          </w14:textFill>
        </w:rPr>
        <w:t>B. senegalensis</w:t>
      </w:r>
      <w:r>
        <w:rPr>
          <w:color w:val="000000" w:themeColor="text1"/>
          <w14:textFill>
            <w14:solidFill>
              <w14:schemeClr w14:val="tx1"/>
            </w14:solidFill>
          </w14:textFill>
        </w:rPr>
        <w:t xml:space="preserve"> extracts. Most existing work is restricted to in vitro experiments, which, although informative, may not fully reflect clinical outcomes (</w:t>
      </w:r>
      <w:r>
        <w:t>Schacter</w:t>
      </w:r>
      <w:r>
        <w:rPr>
          <w:color w:val="000000" w:themeColor="text1"/>
          <w14:textFill>
            <w14:solidFill>
              <w14:schemeClr w14:val="tx1"/>
            </w14:solidFill>
          </w14:textFill>
        </w:rPr>
        <w:t xml:space="preserve"> </w:t>
      </w:r>
      <w:r>
        <w:rPr>
          <w:i/>
          <w:iCs/>
          <w:color w:val="000000" w:themeColor="text1"/>
          <w14:textFill>
            <w14:solidFill>
              <w14:schemeClr w14:val="tx1"/>
            </w14:solidFill>
          </w14:textFill>
        </w:rPr>
        <w:t>et al.,</w:t>
      </w:r>
      <w:r>
        <w:rPr>
          <w:color w:val="000000" w:themeColor="text1"/>
          <w14:textFill>
            <w14:solidFill>
              <w14:schemeClr w14:val="tx1"/>
            </w14:solidFill>
          </w14:textFill>
        </w:rPr>
        <w:t xml:space="preserve"> 2021). Addressing this limitation is crucial for the potential pharmaceutical development of the plant.</w:t>
      </w:r>
    </w:p>
    <w:p w14:paraId="36556B51">
      <w:pPr>
        <w:pStyle w:val="19"/>
        <w:spacing w:before="240" w:beforeAutospacing="0" w:after="0" w:afterAutospacing="0" w:line="480" w:lineRule="auto"/>
        <w:jc w:val="both"/>
        <w:rPr>
          <w:color w:val="000000" w:themeColor="text1"/>
          <w14:textFill>
            <w14:solidFill>
              <w14:schemeClr w14:val="tx1"/>
            </w14:solidFill>
          </w14:textFill>
        </w:rPr>
      </w:pPr>
      <w:r>
        <w:rPr>
          <w:color w:val="000000" w:themeColor="text1"/>
          <w14:textFill>
            <w14:solidFill>
              <w14:schemeClr w14:val="tx1"/>
            </w14:solidFill>
          </w14:textFill>
        </w:rPr>
        <w:t xml:space="preserve">The justification for this research, therefore, lies in its potential to bridge these gaps. By elucidating the antibacterial mechanisms of </w:t>
      </w:r>
      <w:r>
        <w:rPr>
          <w:rStyle w:val="15"/>
          <w:rFonts w:eastAsiaTheme="majorEastAsia"/>
          <w:color w:val="000000" w:themeColor="text1"/>
          <w14:textFill>
            <w14:solidFill>
              <w14:schemeClr w14:val="tx1"/>
            </w14:solidFill>
          </w14:textFill>
        </w:rPr>
        <w:t xml:space="preserve">Boscia </w:t>
      </w:r>
      <w:r>
        <w:rPr>
          <w:i/>
          <w:iCs/>
          <w:color w:val="000000" w:themeColor="text1"/>
          <w14:textFill>
            <w14:solidFill>
              <w14:schemeClr w14:val="tx1"/>
            </w14:solidFill>
          </w14:textFill>
        </w:rPr>
        <w:t>angustifolia</w:t>
      </w:r>
      <w:r>
        <w:rPr>
          <w:color w:val="000000" w:themeColor="text1"/>
          <w14:textFill>
            <w14:solidFill>
              <w14:schemeClr w14:val="tx1"/>
            </w14:solidFill>
          </w14:textFill>
        </w:rPr>
        <w:t xml:space="preserve"> extracts, the study will provide scientific validation for traditional uses, contribute to the search for novel antibacterial agents, and support global efforts to combat antimicrobial resistance.</w:t>
      </w:r>
    </w:p>
    <w:p w14:paraId="2AC35D88">
      <w:pPr>
        <w:pStyle w:val="19"/>
        <w:spacing w:before="240" w:beforeAutospacing="0" w:after="0" w:afterAutospacing="0" w:line="480" w:lineRule="auto"/>
        <w:jc w:val="both"/>
        <w:rPr>
          <w:color w:val="000000" w:themeColor="text1"/>
          <w14:textFill>
            <w14:solidFill>
              <w14:schemeClr w14:val="tx1"/>
            </w14:solidFill>
          </w14:textFill>
        </w:rPr>
      </w:pPr>
    </w:p>
    <w:p w14:paraId="1695FAF5">
      <w:pPr>
        <w:pStyle w:val="19"/>
        <w:spacing w:before="240" w:beforeAutospacing="0" w:after="0" w:afterAutospacing="0" w:line="480" w:lineRule="auto"/>
        <w:jc w:val="both"/>
        <w:rPr>
          <w:color w:val="000000" w:themeColor="text1"/>
          <w14:textFill>
            <w14:solidFill>
              <w14:schemeClr w14:val="tx1"/>
            </w14:solidFill>
          </w14:textFill>
        </w:rPr>
      </w:pPr>
    </w:p>
    <w:p w14:paraId="0B029888">
      <w:pPr>
        <w:pStyle w:val="19"/>
        <w:spacing w:before="240" w:beforeAutospacing="0" w:after="0" w:afterAutospacing="0" w:line="480" w:lineRule="auto"/>
        <w:jc w:val="both"/>
        <w:rPr>
          <w:color w:val="000000" w:themeColor="text1"/>
          <w14:textFill>
            <w14:solidFill>
              <w14:schemeClr w14:val="tx1"/>
            </w14:solidFill>
          </w14:textFill>
        </w:rPr>
      </w:pPr>
    </w:p>
    <w:p w14:paraId="67DD988A">
      <w:pPr>
        <w:pStyle w:val="19"/>
        <w:spacing w:before="240" w:beforeAutospacing="0" w:after="0" w:afterAutospacing="0" w:line="480" w:lineRule="auto"/>
        <w:jc w:val="both"/>
        <w:rPr>
          <w:color w:val="000000" w:themeColor="text1"/>
          <w14:textFill>
            <w14:solidFill>
              <w14:schemeClr w14:val="tx1"/>
            </w14:solidFill>
          </w14:textFill>
        </w:rPr>
      </w:pPr>
    </w:p>
    <w:p w14:paraId="0FE9A055">
      <w:pPr>
        <w:pStyle w:val="19"/>
        <w:spacing w:before="240" w:beforeAutospacing="0" w:after="0" w:afterAutospacing="0" w:line="480" w:lineRule="auto"/>
        <w:jc w:val="both"/>
        <w:rPr>
          <w:color w:val="000000" w:themeColor="text1"/>
          <w14:textFill>
            <w14:solidFill>
              <w14:schemeClr w14:val="tx1"/>
            </w14:solidFill>
          </w14:textFill>
        </w:rPr>
      </w:pPr>
    </w:p>
    <w:p w14:paraId="0DA3176B">
      <w:pPr>
        <w:pStyle w:val="19"/>
        <w:spacing w:before="240" w:beforeAutospacing="0" w:after="0" w:afterAutospacing="0" w:line="480" w:lineRule="auto"/>
        <w:jc w:val="both"/>
        <w:rPr>
          <w:color w:val="000000" w:themeColor="text1"/>
          <w14:textFill>
            <w14:solidFill>
              <w14:schemeClr w14:val="tx1"/>
            </w14:solidFill>
          </w14:textFill>
        </w:rPr>
      </w:pPr>
    </w:p>
    <w:p w14:paraId="36746FF8">
      <w:pPr>
        <w:spacing w:line="278" w:lineRule="auto"/>
        <w:rPr>
          <w:rFonts w:ascii="Times New Roman" w:hAnsi="Times New Roman" w:eastAsia="Times New Roman" w:cs="Times New Roman"/>
          <w:b/>
          <w:bCs/>
          <w:color w:val="000000" w:themeColor="text1"/>
          <w:sz w:val="24"/>
          <w:szCs w:val="24"/>
          <w14:textFill>
            <w14:solidFill>
              <w14:schemeClr w14:val="tx1"/>
            </w14:solidFill>
          </w14:textFill>
        </w:rPr>
      </w:pPr>
      <w:bookmarkStart w:id="42" w:name="_Toc215016062"/>
      <w:r>
        <w:rPr>
          <w:rFonts w:eastAsia="Times New Roman" w:cs="Times New Roman"/>
          <w:bCs/>
          <w:szCs w:val="24"/>
        </w:rPr>
        <w:br w:type="page"/>
      </w:r>
    </w:p>
    <w:p w14:paraId="4E0D952C">
      <w:pPr>
        <w:pStyle w:val="2"/>
        <w:spacing w:before="0" w:after="0" w:line="480" w:lineRule="auto"/>
        <w:jc w:val="center"/>
        <w:rPr>
          <w:rFonts w:eastAsia="Times New Roman"/>
        </w:rPr>
      </w:pPr>
      <w:bookmarkStart w:id="43" w:name="_Toc215132359"/>
      <w:r>
        <w:rPr>
          <w:rFonts w:eastAsia="Times New Roman"/>
        </w:rPr>
        <w:t>CHAPTER THREE</w:t>
      </w:r>
      <w:bookmarkEnd w:id="42"/>
      <w:bookmarkEnd w:id="43"/>
    </w:p>
    <w:p w14:paraId="7A20A70D">
      <w:pPr>
        <w:pStyle w:val="2"/>
        <w:spacing w:before="0" w:after="0" w:line="480" w:lineRule="auto"/>
        <w:jc w:val="center"/>
        <w:rPr>
          <w:rFonts w:eastAsia="Times New Roman"/>
          <w:kern w:val="36"/>
        </w:rPr>
      </w:pPr>
      <w:bookmarkStart w:id="44" w:name="_Toc215016063"/>
      <w:bookmarkStart w:id="45" w:name="_Toc215132360"/>
      <w:r>
        <w:rPr>
          <w:rFonts w:eastAsia="Times New Roman"/>
          <w:kern w:val="36"/>
        </w:rPr>
        <w:t>RESEARCH METHODOLOGY</w:t>
      </w:r>
      <w:bookmarkEnd w:id="44"/>
      <w:bookmarkEnd w:id="45"/>
    </w:p>
    <w:p w14:paraId="51B59768">
      <w:pPr>
        <w:pStyle w:val="2"/>
        <w:spacing w:line="480" w:lineRule="auto"/>
        <w:rPr>
          <w:rFonts w:eastAsia="Times New Roman"/>
        </w:rPr>
      </w:pPr>
      <w:bookmarkStart w:id="46" w:name="_Toc215016064"/>
      <w:bookmarkStart w:id="47" w:name="_Toc215132361"/>
      <w:r>
        <w:rPr>
          <w:rFonts w:eastAsia="Times New Roman"/>
        </w:rPr>
        <w:t>3.1</w:t>
      </w:r>
      <w:r>
        <w:rPr>
          <w:rFonts w:eastAsia="Times New Roman"/>
        </w:rPr>
        <w:tab/>
      </w:r>
      <w:r>
        <w:rPr>
          <w:rFonts w:eastAsia="Times New Roman"/>
        </w:rPr>
        <w:t>Research Design</w:t>
      </w:r>
      <w:bookmarkEnd w:id="46"/>
      <w:bookmarkEnd w:id="47"/>
    </w:p>
    <w:p w14:paraId="3E7E4A05">
      <w:pPr>
        <w:spacing w:after="0" w:line="480" w:lineRule="auto"/>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 xml:space="preserve">This study employed an experimental research design aimed at evaluating the antibacterial activity and mechanism of action of </w:t>
      </w:r>
      <w:r>
        <w:rPr>
          <w:rFonts w:ascii="Times New Roman" w:hAnsi="Times New Roman" w:eastAsia="Times New Roman" w:cs="Times New Roman"/>
          <w:i/>
          <w:iCs/>
          <w:color w:val="000000" w:themeColor="text1"/>
          <w:sz w:val="24"/>
          <w:szCs w:val="24"/>
          <w14:textFill>
            <w14:solidFill>
              <w14:schemeClr w14:val="tx1"/>
            </w14:solidFill>
          </w14:textFill>
        </w:rPr>
        <w:t>angustifolia</w:t>
      </w:r>
      <w:r>
        <w:rPr>
          <w:rFonts w:ascii="Times New Roman" w:hAnsi="Times New Roman" w:eastAsia="Times New Roman" w:cs="Times New Roman"/>
          <w:color w:val="000000" w:themeColor="text1"/>
          <w:sz w:val="24"/>
          <w:szCs w:val="24"/>
          <w14:textFill>
            <w14:solidFill>
              <w14:schemeClr w14:val="tx1"/>
            </w14:solidFill>
          </w14:textFill>
        </w:rPr>
        <w:t xml:space="preserve"> extracts against selected bacterial pathogens. Experimental research allows for systematic observation under controlled laboratory conditions to establish cause-and-effect relationships (</w:t>
      </w:r>
      <w:r>
        <w:rPr>
          <w:rFonts w:ascii="Times New Roman" w:hAnsi="Times New Roman" w:eastAsia="Times New Roman" w:cs="Times New Roman"/>
          <w:sz w:val="24"/>
          <w:szCs w:val="24"/>
        </w:rPr>
        <w:t xml:space="preserve">Kebede </w:t>
      </w:r>
      <w:r>
        <w:rPr>
          <w:rFonts w:ascii="Times New Roman" w:hAnsi="Times New Roman" w:eastAsia="Times New Roman" w:cs="Times New Roman"/>
          <w:i/>
          <w:iCs/>
          <w:sz w:val="24"/>
          <w:szCs w:val="24"/>
        </w:rPr>
        <w:t>et al</w:t>
      </w:r>
      <w:r>
        <w:rPr>
          <w:rFonts w:ascii="Times New Roman" w:hAnsi="Times New Roman" w:eastAsia="Times New Roman" w:cs="Times New Roman"/>
          <w:sz w:val="24"/>
          <w:szCs w:val="24"/>
        </w:rPr>
        <w:t xml:space="preserve">., 2021) </w:t>
      </w:r>
      <w:r>
        <w:rPr>
          <w:rFonts w:ascii="Times New Roman" w:hAnsi="Times New Roman" w:eastAsia="Times New Roman" w:cs="Times New Roman"/>
          <w:color w:val="000000" w:themeColor="text1"/>
          <w:sz w:val="24"/>
          <w:szCs w:val="24"/>
          <w14:textFill>
            <w14:solidFill>
              <w14:schemeClr w14:val="tx1"/>
            </w14:solidFill>
          </w14:textFill>
        </w:rPr>
        <w:t>The design involved extraction of plant material, phytochemical screening, preparation of bacterial cultures, and antimicrobial sensitivity testing using the agar well diffusion method.</w:t>
      </w:r>
    </w:p>
    <w:p w14:paraId="0DEA8879">
      <w:pPr>
        <w:spacing w:before="240" w:after="0" w:line="480" w:lineRule="auto"/>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Both qualitative and quantitative analyses were conducted. Qualitative analyses involved phytochemical screening for the presence of secondary metabolites, while quantitative analyses determined the degree of antibacterial activity expressed as zones of inhibition.</w:t>
      </w:r>
    </w:p>
    <w:p w14:paraId="053C7369">
      <w:pPr>
        <w:spacing w:before="240" w:after="0" w:line="480" w:lineRule="auto"/>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To ensure the validity and reliability of results, all experiments were conducted in triplicate under aseptic conditions. Positive and negative controls were included to verify the effectiveness of the test system. Ciprofloxacin served as the positive control due to its broad-spectrum antibacterial activity, while dimethyl sulfoxide (DMSO) served as the negative control since it was the solvent used in extract dilution (</w:t>
      </w:r>
      <w:r>
        <w:rPr>
          <w:rFonts w:ascii="Times New Roman" w:hAnsi="Times New Roman" w:eastAsia="Times New Roman" w:cs="Times New Roman"/>
          <w:sz w:val="24"/>
          <w:szCs w:val="24"/>
        </w:rPr>
        <w:t xml:space="preserve">Zafar </w:t>
      </w:r>
      <w:r>
        <w:rPr>
          <w:rFonts w:ascii="Times New Roman" w:hAnsi="Times New Roman" w:eastAsia="Times New Roman" w:cs="Times New Roman"/>
          <w:i/>
          <w:iCs/>
          <w:sz w:val="24"/>
          <w:szCs w:val="24"/>
        </w:rPr>
        <w:t>et al.</w:t>
      </w:r>
      <w:r>
        <w:rPr>
          <w:rFonts w:ascii="Times New Roman" w:hAnsi="Times New Roman" w:eastAsia="Times New Roman" w:cs="Times New Roman"/>
          <w:color w:val="000000" w:themeColor="text1"/>
          <w:sz w:val="24"/>
          <w:szCs w:val="24"/>
          <w14:textFill>
            <w14:solidFill>
              <w14:schemeClr w14:val="tx1"/>
            </w14:solidFill>
          </w14:textFill>
        </w:rPr>
        <w:t>, 2021).</w:t>
      </w:r>
    </w:p>
    <w:p w14:paraId="115C48CF">
      <w:pPr>
        <w:pStyle w:val="2"/>
        <w:spacing w:after="0" w:line="480" w:lineRule="auto"/>
        <w:rPr>
          <w:rFonts w:eastAsia="Times New Roman"/>
        </w:rPr>
      </w:pPr>
      <w:bookmarkStart w:id="48" w:name="_Toc215132362"/>
      <w:r>
        <w:rPr>
          <w:rFonts w:eastAsia="Times New Roman"/>
        </w:rPr>
        <w:t>3.2</w:t>
      </w:r>
      <w:r>
        <w:rPr>
          <w:rFonts w:eastAsia="Times New Roman"/>
        </w:rPr>
        <w:tab/>
      </w:r>
      <w:r>
        <w:rPr>
          <w:rFonts w:eastAsia="Times New Roman"/>
        </w:rPr>
        <w:t>Materials and Reagents</w:t>
      </w:r>
      <w:bookmarkEnd w:id="48"/>
    </w:p>
    <w:p w14:paraId="5BA18900">
      <w:pPr>
        <w:spacing w:after="0" w:line="480" w:lineRule="auto"/>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b/>
          <w:color w:val="000000" w:themeColor="text1"/>
          <w:sz w:val="24"/>
          <w:szCs w:val="24"/>
          <w14:textFill>
            <w14:solidFill>
              <w14:schemeClr w14:val="tx1"/>
            </w14:solidFill>
          </w14:textFill>
        </w:rPr>
        <w:t xml:space="preserve">Materials: </w:t>
      </w:r>
      <w:r>
        <w:rPr>
          <w:rFonts w:ascii="Times New Roman" w:hAnsi="Times New Roman" w:eastAsia="Times New Roman" w:cs="Times New Roman"/>
          <w:color w:val="000000" w:themeColor="text1"/>
          <w:sz w:val="24"/>
          <w:szCs w:val="24"/>
          <w14:textFill>
            <w14:solidFill>
              <w14:schemeClr w14:val="tx1"/>
            </w14:solidFill>
          </w14:textFill>
        </w:rPr>
        <w:t>Measuring cylinder, Hot air oven, Autoclave, Weighing balance, Sieve, Conical flask, Beaker, Volumetric flash, Petri dish, Eppendolf tubes, Brush, Hot plate, Disposable pippete tips, Racks, Spatula, Crock borer, Incubator, Foil paper, Cotton wool, Masking tape, Mortar, pestle.</w:t>
      </w:r>
    </w:p>
    <w:p w14:paraId="395E704A">
      <w:pPr>
        <w:spacing w:before="240" w:after="0" w:line="480" w:lineRule="auto"/>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b/>
          <w:color w:val="000000" w:themeColor="text1"/>
          <w:sz w:val="24"/>
          <w:szCs w:val="24"/>
          <w14:textFill>
            <w14:solidFill>
              <w14:schemeClr w14:val="tx1"/>
            </w14:solidFill>
          </w14:textFill>
        </w:rPr>
        <w:t xml:space="preserve">Reagents: </w:t>
      </w:r>
      <w:r>
        <w:rPr>
          <w:rFonts w:ascii="Times New Roman" w:hAnsi="Times New Roman" w:eastAsia="Times New Roman" w:cs="Times New Roman"/>
          <w:color w:val="000000" w:themeColor="text1"/>
          <w:sz w:val="24"/>
          <w:szCs w:val="24"/>
          <w14:textFill>
            <w14:solidFill>
              <w14:schemeClr w14:val="tx1"/>
            </w14:solidFill>
          </w14:textFill>
        </w:rPr>
        <w:t>Methanol, Distilled water, Dimethylsulphoxide (DMSO), Chloroform, Sulphuric acid, Fehling’s solution A&amp;B, 10% Ammonia, 10% Aqueous hydrochloric acid, Wagner reagent, Diluted Hydrogen chloride (HCL), 10% Sodium hydroxide (NaoH), 5% Ferric chloride, Mueller Hinton agar.</w:t>
      </w:r>
    </w:p>
    <w:p w14:paraId="139B6716">
      <w:pPr>
        <w:pStyle w:val="2"/>
        <w:spacing w:line="480" w:lineRule="auto"/>
      </w:pPr>
      <w:bookmarkStart w:id="49" w:name="_Toc215016065"/>
      <w:bookmarkStart w:id="50" w:name="_Toc215132363"/>
      <w:r>
        <w:t>3.3</w:t>
      </w:r>
      <w:r>
        <w:tab/>
      </w:r>
      <w:r>
        <w:t>Sample Collection and Preparation</w:t>
      </w:r>
      <w:bookmarkEnd w:id="49"/>
      <w:bookmarkEnd w:id="50"/>
    </w:p>
    <w:p w14:paraId="4BCE788E">
      <w:pPr>
        <w:spacing w:after="0" w:line="480" w:lineRule="auto"/>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 xml:space="preserve">Fresh samples of </w:t>
      </w:r>
      <w:r>
        <w:rPr>
          <w:rFonts w:ascii="Times New Roman" w:hAnsi="Times New Roman" w:eastAsia="Times New Roman" w:cs="Times New Roman"/>
          <w:i/>
          <w:iCs/>
          <w:color w:val="000000" w:themeColor="text1"/>
          <w:sz w:val="24"/>
          <w:szCs w:val="24"/>
          <w14:textFill>
            <w14:solidFill>
              <w14:schemeClr w14:val="tx1"/>
            </w14:solidFill>
          </w14:textFill>
        </w:rPr>
        <w:t>Boscia angustifolia</w:t>
      </w:r>
      <w:r>
        <w:rPr>
          <w:rFonts w:ascii="Times New Roman" w:hAnsi="Times New Roman" w:eastAsia="Times New Roman" w:cs="Times New Roman"/>
          <w:color w:val="000000" w:themeColor="text1"/>
          <w:sz w:val="24"/>
          <w:szCs w:val="24"/>
          <w14:textFill>
            <w14:solidFill>
              <w14:schemeClr w14:val="tx1"/>
            </w14:solidFill>
          </w14:textFill>
        </w:rPr>
        <w:t xml:space="preserve"> were collected from Sokoto State, Nigeria, where the plant is abundant and widely used in traditional medicine. The plant material was authenticated in the Department of Botany, Usmanu Danfodiyo University Sokoto, and a voucher specimen was deposited for reference. Proper identification is essential to ensure reproducibility and scientific validity (</w:t>
      </w:r>
      <w:r>
        <w:rPr>
          <w:rFonts w:ascii="Times New Roman" w:hAnsi="Times New Roman" w:eastAsia="Times New Roman" w:cs="Times New Roman"/>
          <w:sz w:val="24"/>
          <w:szCs w:val="24"/>
        </w:rPr>
        <w:t xml:space="preserve">Roy </w:t>
      </w:r>
      <w:r>
        <w:rPr>
          <w:rFonts w:ascii="Times New Roman" w:hAnsi="Times New Roman" w:eastAsia="Times New Roman" w:cs="Times New Roman"/>
          <w:i/>
          <w:iCs/>
          <w:sz w:val="24"/>
          <w:szCs w:val="24"/>
        </w:rPr>
        <w:t>et al.</w:t>
      </w:r>
      <w:r>
        <w:rPr>
          <w:rFonts w:ascii="Times New Roman" w:hAnsi="Times New Roman" w:eastAsia="Times New Roman" w:cs="Times New Roman"/>
          <w:color w:val="000000" w:themeColor="text1"/>
          <w:sz w:val="24"/>
          <w:szCs w:val="24"/>
          <w14:textFill>
            <w14:solidFill>
              <w14:schemeClr w14:val="tx1"/>
            </w14:solidFill>
          </w14:textFill>
        </w:rPr>
        <w:t>, 2025).</w:t>
      </w:r>
    </w:p>
    <w:p w14:paraId="4AF3B6F4">
      <w:pPr>
        <w:spacing w:before="240" w:after="0" w:line="480" w:lineRule="auto"/>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The collected plant parts were washed thoroughly with clean water to remove dirt and debris. They were air-dried at room temperature for several days to prevent the loss of thermolabile compounds. Once completely dried, the samples were ground into fine powder using a mechanical grinder and stored in airtight containers until extraction. The drying and grinding process increased the surface area for efficient solvent penetration during extraction (</w:t>
      </w:r>
      <w:r>
        <w:rPr>
          <w:rFonts w:ascii="Times New Roman" w:hAnsi="Times New Roman" w:eastAsia="Times New Roman" w:cs="Times New Roman"/>
          <w:sz w:val="24"/>
          <w:szCs w:val="24"/>
        </w:rPr>
        <w:t xml:space="preserve">Senawong </w:t>
      </w:r>
      <w:r>
        <w:rPr>
          <w:rFonts w:ascii="Times New Roman" w:hAnsi="Times New Roman" w:eastAsia="Times New Roman" w:cs="Times New Roman"/>
          <w:i/>
          <w:iCs/>
          <w:sz w:val="24"/>
          <w:szCs w:val="24"/>
        </w:rPr>
        <w:t>et al.</w:t>
      </w:r>
      <w:r>
        <w:rPr>
          <w:rFonts w:ascii="Times New Roman" w:hAnsi="Times New Roman" w:eastAsia="Times New Roman" w:cs="Times New Roman"/>
          <w:color w:val="000000" w:themeColor="text1"/>
          <w:sz w:val="24"/>
          <w:szCs w:val="24"/>
          <w14:textFill>
            <w14:solidFill>
              <w14:schemeClr w14:val="tx1"/>
            </w14:solidFill>
          </w14:textFill>
        </w:rPr>
        <w:t>, 2023).</w:t>
      </w:r>
    </w:p>
    <w:p w14:paraId="02BE808B">
      <w:pPr>
        <w:spacing w:before="240" w:after="0" w:line="480" w:lineRule="auto"/>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For extraction, 100 grams of powdered plant material was soaked in 500 mL of methanol and left to stand for 72 hours with intermittent shaking to enhance solute-solvent interaction. The extract was filtered through muslin cloth and Whatman No. 1 filter paper. The filtrate was then concentrated in a water bath at 45°C until a semi-solid extract was obtained (</w:t>
      </w:r>
      <w:r>
        <w:rPr>
          <w:rFonts w:ascii="Times New Roman" w:hAnsi="Times New Roman" w:eastAsia="Times New Roman" w:cs="Times New Roman"/>
          <w:sz w:val="24"/>
          <w:szCs w:val="24"/>
        </w:rPr>
        <w:t>Mariia</w:t>
      </w:r>
      <w:r>
        <w:rPr>
          <w:rFonts w:ascii="Times New Roman" w:hAnsi="Times New Roman" w:eastAsia="Times New Roman" w:cs="Times New Roman"/>
          <w:color w:val="000000" w:themeColor="text1"/>
          <w:sz w:val="24"/>
          <w:szCs w:val="24"/>
          <w14:textFill>
            <w14:solidFill>
              <w14:schemeClr w14:val="tx1"/>
            </w14:solidFill>
          </w14:textFill>
        </w:rPr>
        <w:t xml:space="preserve"> </w:t>
      </w:r>
      <w:r>
        <w:rPr>
          <w:rFonts w:ascii="Times New Roman" w:hAnsi="Times New Roman" w:eastAsia="Times New Roman" w:cs="Times New Roman"/>
          <w:i/>
          <w:iCs/>
          <w:color w:val="000000" w:themeColor="text1"/>
          <w:sz w:val="24"/>
          <w:szCs w:val="24"/>
          <w14:textFill>
            <w14:solidFill>
              <w14:schemeClr w14:val="tx1"/>
            </w14:solidFill>
          </w14:textFill>
        </w:rPr>
        <w:t>et al.,</w:t>
      </w:r>
      <w:r>
        <w:rPr>
          <w:rFonts w:ascii="Times New Roman" w:hAnsi="Times New Roman" w:eastAsia="Times New Roman" w:cs="Times New Roman"/>
          <w:color w:val="000000" w:themeColor="text1"/>
          <w:sz w:val="24"/>
          <w:szCs w:val="24"/>
          <w14:textFill>
            <w14:solidFill>
              <w14:schemeClr w14:val="tx1"/>
            </w14:solidFill>
          </w14:textFill>
        </w:rPr>
        <w:t xml:space="preserve"> 2021).</w:t>
      </w:r>
    </w:p>
    <w:p w14:paraId="6688BDB2">
      <w:pPr>
        <w:spacing w:before="240" w:after="0" w:line="480" w:lineRule="auto"/>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Different concentrations of the crude extract were prepared for testing: 40 mg/mL, 60 mg/mL, and 80 mg/mL. Each concentration was dissolved in a 1:1 mixture of distilled water and DMSO to improve solubility. The prepared extracts were labeled accordingly and stored at 4°C until use.</w:t>
      </w:r>
    </w:p>
    <w:p w14:paraId="39CDAC0A">
      <w:pPr>
        <w:pStyle w:val="2"/>
        <w:spacing w:after="0" w:line="480" w:lineRule="auto"/>
        <w:rPr>
          <w:rFonts w:eastAsia="Times New Roman"/>
        </w:rPr>
      </w:pPr>
      <w:bookmarkStart w:id="51" w:name="_Toc215016066"/>
      <w:bookmarkStart w:id="52" w:name="_Toc215132364"/>
      <w:r>
        <w:rPr>
          <w:rFonts w:eastAsia="Times New Roman"/>
        </w:rPr>
        <w:t>3.4</w:t>
      </w:r>
      <w:r>
        <w:rPr>
          <w:rFonts w:eastAsia="Times New Roman"/>
        </w:rPr>
        <w:tab/>
      </w:r>
      <w:r>
        <w:rPr>
          <w:rFonts w:eastAsia="Times New Roman"/>
        </w:rPr>
        <w:t>Phytochemical Screening</w:t>
      </w:r>
      <w:bookmarkEnd w:id="51"/>
      <w:bookmarkEnd w:id="52"/>
    </w:p>
    <w:p w14:paraId="224DDF84">
      <w:pPr>
        <w:spacing w:after="0" w:line="480" w:lineRule="auto"/>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 xml:space="preserve">Qualitative phytochemical screening of </w:t>
      </w:r>
      <w:r>
        <w:rPr>
          <w:rFonts w:ascii="Times New Roman" w:hAnsi="Times New Roman" w:eastAsia="Times New Roman" w:cs="Times New Roman"/>
          <w:i/>
          <w:iCs/>
          <w:color w:val="000000" w:themeColor="text1"/>
          <w:sz w:val="24"/>
          <w:szCs w:val="24"/>
          <w14:textFill>
            <w14:solidFill>
              <w14:schemeClr w14:val="tx1"/>
            </w14:solidFill>
          </w14:textFill>
        </w:rPr>
        <w:t>Boscia angustifolia</w:t>
      </w:r>
      <w:r>
        <w:rPr>
          <w:rFonts w:ascii="Times New Roman" w:hAnsi="Times New Roman" w:eastAsia="Times New Roman" w:cs="Times New Roman"/>
          <w:color w:val="000000" w:themeColor="text1"/>
          <w:sz w:val="24"/>
          <w:szCs w:val="24"/>
          <w14:textFill>
            <w14:solidFill>
              <w14:schemeClr w14:val="tx1"/>
            </w14:solidFill>
          </w14:textFill>
        </w:rPr>
        <w:t xml:space="preserve"> extracts was conducted following the methods of (</w:t>
      </w:r>
      <w:r>
        <w:rPr>
          <w:rFonts w:ascii="Times New Roman" w:hAnsi="Times New Roman" w:eastAsia="Times New Roman" w:cs="Times New Roman"/>
          <w:sz w:val="24"/>
          <w:szCs w:val="24"/>
        </w:rPr>
        <w:t>Algfri</w:t>
      </w:r>
      <w:r>
        <w:rPr>
          <w:rFonts w:ascii="Times New Roman" w:hAnsi="Times New Roman" w:eastAsia="Times New Roman" w:cs="Times New Roman"/>
          <w:color w:val="000000" w:themeColor="text1"/>
          <w:sz w:val="24"/>
          <w:szCs w:val="24"/>
          <w14:textFill>
            <w14:solidFill>
              <w14:schemeClr w14:val="tx1"/>
            </w14:solidFill>
          </w14:textFill>
        </w:rPr>
        <w:t xml:space="preserve"> </w:t>
      </w:r>
      <w:r>
        <w:rPr>
          <w:rFonts w:ascii="Times New Roman" w:hAnsi="Times New Roman" w:eastAsia="Times New Roman" w:cs="Times New Roman"/>
          <w:i/>
          <w:iCs/>
          <w:color w:val="000000" w:themeColor="text1"/>
          <w:sz w:val="24"/>
          <w:szCs w:val="24"/>
          <w14:textFill>
            <w14:solidFill>
              <w14:schemeClr w14:val="tx1"/>
            </w14:solidFill>
          </w14:textFill>
        </w:rPr>
        <w:t>et al.,</w:t>
      </w:r>
      <w:r>
        <w:rPr>
          <w:rFonts w:ascii="Times New Roman" w:hAnsi="Times New Roman" w:eastAsia="Times New Roman" w:cs="Times New Roman"/>
          <w:color w:val="000000" w:themeColor="text1"/>
          <w:sz w:val="24"/>
          <w:szCs w:val="24"/>
          <w14:textFill>
            <w14:solidFill>
              <w14:schemeClr w14:val="tx1"/>
            </w14:solidFill>
          </w14:textFill>
        </w:rPr>
        <w:t xml:space="preserve"> 2021). This was done to identify the presence of secondary metabolites responsible for antibacterial activity, such as alkaloids, flavonoids, tannins, saponins, steroids, glycosides, and anthraquinones.</w:t>
      </w:r>
    </w:p>
    <w:p w14:paraId="2084834D">
      <w:pPr>
        <w:numPr>
          <w:ilvl w:val="0"/>
          <w:numId w:val="3"/>
        </w:numPr>
        <w:tabs>
          <w:tab w:val="clear" w:pos="720"/>
        </w:tabs>
        <w:spacing w:before="240" w:after="0" w:line="480" w:lineRule="auto"/>
        <w:ind w:left="426" w:hanging="426"/>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b/>
          <w:bCs/>
          <w:color w:val="000000" w:themeColor="text1"/>
          <w:sz w:val="24"/>
          <w:szCs w:val="24"/>
          <w14:textFill>
            <w14:solidFill>
              <w14:schemeClr w14:val="tx1"/>
            </w14:solidFill>
          </w14:textFill>
        </w:rPr>
        <w:t>Test for Alkaloids:</w:t>
      </w:r>
      <w:r>
        <w:rPr>
          <w:rFonts w:ascii="Times New Roman" w:hAnsi="Times New Roman" w:eastAsia="Times New Roman" w:cs="Times New Roman"/>
          <w:color w:val="000000" w:themeColor="text1"/>
          <w:sz w:val="24"/>
          <w:szCs w:val="24"/>
          <w14:textFill>
            <w14:solidFill>
              <w14:schemeClr w14:val="tx1"/>
            </w14:solidFill>
          </w14:textFill>
        </w:rPr>
        <w:t xml:space="preserve"> Two milliliters of the extract were stirred with 2 mL of 10% aqueous hydrochloric acid, and 1 mL of the filtrate was treated with a few drops of Wagner’s reagent. The formation of turbidity or a reddish-brown precipitate indicated the presence of alkaloids (Halilu, 2024).</w:t>
      </w:r>
    </w:p>
    <w:p w14:paraId="16ADEB3B">
      <w:pPr>
        <w:numPr>
          <w:ilvl w:val="0"/>
          <w:numId w:val="3"/>
        </w:numPr>
        <w:tabs>
          <w:tab w:val="clear" w:pos="720"/>
        </w:tabs>
        <w:spacing w:before="240" w:after="0" w:line="480" w:lineRule="auto"/>
        <w:ind w:left="426" w:hanging="426"/>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b/>
          <w:bCs/>
          <w:color w:val="000000" w:themeColor="text1"/>
          <w:sz w:val="24"/>
          <w:szCs w:val="24"/>
          <w14:textFill>
            <w14:solidFill>
              <w14:schemeClr w14:val="tx1"/>
            </w14:solidFill>
          </w14:textFill>
        </w:rPr>
        <w:t>Test for Flavonoids:</w:t>
      </w:r>
      <w:r>
        <w:rPr>
          <w:rFonts w:ascii="Times New Roman" w:hAnsi="Times New Roman" w:eastAsia="Times New Roman" w:cs="Times New Roman"/>
          <w:color w:val="000000" w:themeColor="text1"/>
          <w:sz w:val="24"/>
          <w:szCs w:val="24"/>
          <w14:textFill>
            <w14:solidFill>
              <w14:schemeClr w14:val="tx1"/>
            </w14:solidFill>
          </w14:textFill>
        </w:rPr>
        <w:t xml:space="preserve"> Two milliliters of extract were mixed with 1 mL of 10% NaOH solution. The appearance of a yellow color confirmed the presence of flavonoids (</w:t>
      </w:r>
      <w:r>
        <w:rPr>
          <w:rFonts w:ascii="Times New Roman" w:hAnsi="Times New Roman" w:eastAsia="Times New Roman" w:cs="Times New Roman"/>
          <w:sz w:val="24"/>
          <w:szCs w:val="24"/>
        </w:rPr>
        <w:t>Khataniar</w:t>
      </w:r>
      <w:r>
        <w:rPr>
          <w:rFonts w:ascii="Times New Roman" w:hAnsi="Times New Roman" w:eastAsia="Times New Roman" w:cs="Times New Roman"/>
          <w:i/>
          <w:iCs/>
          <w:color w:val="000000" w:themeColor="text1"/>
          <w:sz w:val="24"/>
          <w:szCs w:val="24"/>
          <w14:textFill>
            <w14:solidFill>
              <w14:schemeClr w14:val="tx1"/>
            </w14:solidFill>
          </w14:textFill>
        </w:rPr>
        <w:t xml:space="preserve"> et al.,</w:t>
      </w:r>
      <w:r>
        <w:rPr>
          <w:rFonts w:ascii="Times New Roman" w:hAnsi="Times New Roman" w:eastAsia="Times New Roman" w:cs="Times New Roman"/>
          <w:color w:val="000000" w:themeColor="text1"/>
          <w:sz w:val="24"/>
          <w:szCs w:val="24"/>
          <w14:textFill>
            <w14:solidFill>
              <w14:schemeClr w14:val="tx1"/>
            </w14:solidFill>
          </w14:textFill>
        </w:rPr>
        <w:t xml:space="preserve"> 2025).</w:t>
      </w:r>
    </w:p>
    <w:p w14:paraId="2925EA23">
      <w:pPr>
        <w:numPr>
          <w:ilvl w:val="0"/>
          <w:numId w:val="3"/>
        </w:numPr>
        <w:tabs>
          <w:tab w:val="clear" w:pos="720"/>
        </w:tabs>
        <w:spacing w:before="240" w:after="0" w:line="480" w:lineRule="auto"/>
        <w:ind w:left="426" w:hanging="426"/>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b/>
          <w:bCs/>
          <w:color w:val="000000" w:themeColor="text1"/>
          <w:sz w:val="24"/>
          <w:szCs w:val="24"/>
          <w14:textFill>
            <w14:solidFill>
              <w14:schemeClr w14:val="tx1"/>
            </w14:solidFill>
          </w14:textFill>
        </w:rPr>
        <w:t>Test for Tannins:</w:t>
      </w:r>
      <w:r>
        <w:rPr>
          <w:rFonts w:ascii="Times New Roman" w:hAnsi="Times New Roman" w:eastAsia="Times New Roman" w:cs="Times New Roman"/>
          <w:color w:val="000000" w:themeColor="text1"/>
          <w:sz w:val="24"/>
          <w:szCs w:val="24"/>
          <w14:textFill>
            <w14:solidFill>
              <w14:schemeClr w14:val="tx1"/>
            </w14:solidFill>
          </w14:textFill>
        </w:rPr>
        <w:t xml:space="preserve"> Two milliliters of extract were treated with 5% ferric chloride solution. A dark green coloration indicated the presence of tannins (</w:t>
      </w:r>
      <w:r>
        <w:rPr>
          <w:rFonts w:ascii="Times New Roman" w:hAnsi="Times New Roman" w:eastAsia="Times New Roman" w:cs="Times New Roman"/>
          <w:sz w:val="24"/>
          <w:szCs w:val="24"/>
        </w:rPr>
        <w:t>Melkamu &amp; Bitew, 2021</w:t>
      </w:r>
      <w:r>
        <w:rPr>
          <w:rFonts w:ascii="Times New Roman" w:hAnsi="Times New Roman" w:eastAsia="Times New Roman" w:cs="Times New Roman"/>
          <w:color w:val="000000" w:themeColor="text1"/>
          <w:sz w:val="24"/>
          <w:szCs w:val="24"/>
          <w14:textFill>
            <w14:solidFill>
              <w14:schemeClr w14:val="tx1"/>
            </w14:solidFill>
          </w14:textFill>
        </w:rPr>
        <w:t>).</w:t>
      </w:r>
    </w:p>
    <w:p w14:paraId="2E9400EE">
      <w:pPr>
        <w:numPr>
          <w:ilvl w:val="0"/>
          <w:numId w:val="3"/>
        </w:numPr>
        <w:tabs>
          <w:tab w:val="clear" w:pos="720"/>
        </w:tabs>
        <w:spacing w:before="240" w:after="0" w:line="480" w:lineRule="auto"/>
        <w:ind w:left="426" w:hanging="426"/>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b/>
          <w:bCs/>
          <w:color w:val="000000" w:themeColor="text1"/>
          <w:sz w:val="24"/>
          <w:szCs w:val="24"/>
          <w14:textFill>
            <w14:solidFill>
              <w14:schemeClr w14:val="tx1"/>
            </w14:solidFill>
          </w14:textFill>
        </w:rPr>
        <w:t>Test for Saponins:</w:t>
      </w:r>
      <w:r>
        <w:rPr>
          <w:rFonts w:ascii="Times New Roman" w:hAnsi="Times New Roman" w:eastAsia="Times New Roman" w:cs="Times New Roman"/>
          <w:color w:val="000000" w:themeColor="text1"/>
          <w:sz w:val="24"/>
          <w:szCs w:val="24"/>
          <w14:textFill>
            <w14:solidFill>
              <w14:schemeClr w14:val="tx1"/>
            </w14:solidFill>
          </w14:textFill>
        </w:rPr>
        <w:t xml:space="preserve"> Two milliliters of extract were shaken vigorously with 5 mL of distilled water. Persistent frothing indicated the presence of saponins (</w:t>
      </w:r>
      <w:r>
        <w:rPr>
          <w:rFonts w:ascii="Times New Roman" w:hAnsi="Times New Roman" w:eastAsia="Times New Roman" w:cs="Times New Roman"/>
          <w:sz w:val="24"/>
          <w:szCs w:val="24"/>
        </w:rPr>
        <w:t>Halilu, 2024</w:t>
      </w:r>
      <w:r>
        <w:rPr>
          <w:rFonts w:ascii="Times New Roman" w:hAnsi="Times New Roman" w:eastAsia="Times New Roman" w:cs="Times New Roman"/>
          <w:color w:val="000000" w:themeColor="text1"/>
          <w:sz w:val="24"/>
          <w:szCs w:val="24"/>
          <w14:textFill>
            <w14:solidFill>
              <w14:schemeClr w14:val="tx1"/>
            </w14:solidFill>
          </w14:textFill>
        </w:rPr>
        <w:t>).</w:t>
      </w:r>
    </w:p>
    <w:p w14:paraId="7EF4777C">
      <w:pPr>
        <w:numPr>
          <w:ilvl w:val="0"/>
          <w:numId w:val="3"/>
        </w:numPr>
        <w:tabs>
          <w:tab w:val="clear" w:pos="720"/>
        </w:tabs>
        <w:spacing w:before="240" w:after="0" w:line="480" w:lineRule="auto"/>
        <w:ind w:left="426" w:hanging="426"/>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b/>
          <w:bCs/>
          <w:color w:val="000000" w:themeColor="text1"/>
          <w:sz w:val="24"/>
          <w:szCs w:val="24"/>
          <w14:textFill>
            <w14:solidFill>
              <w14:schemeClr w14:val="tx1"/>
            </w14:solidFill>
          </w14:textFill>
        </w:rPr>
        <w:t>Test for Steroids:</w:t>
      </w:r>
      <w:r>
        <w:rPr>
          <w:rFonts w:ascii="Times New Roman" w:hAnsi="Times New Roman" w:eastAsia="Times New Roman" w:cs="Times New Roman"/>
          <w:color w:val="000000" w:themeColor="text1"/>
          <w:sz w:val="24"/>
          <w:szCs w:val="24"/>
          <w14:textFill>
            <w14:solidFill>
              <w14:schemeClr w14:val="tx1"/>
            </w14:solidFill>
          </w14:textFill>
        </w:rPr>
        <w:t xml:space="preserve"> Two milliliters of extract were dissolved in chloroform, and 2 mL of concentrated sulfuric acid was carefully added to form a lower layer. A reddish-brown color at the interface indicated the presence of steroids (</w:t>
      </w:r>
      <w:r>
        <w:rPr>
          <w:rFonts w:ascii="Times New Roman" w:hAnsi="Times New Roman" w:eastAsia="Times New Roman" w:cs="Times New Roman"/>
          <w:sz w:val="24"/>
          <w:szCs w:val="24"/>
        </w:rPr>
        <w:t xml:space="preserve">Jadhav </w:t>
      </w:r>
      <w:r>
        <w:rPr>
          <w:rFonts w:ascii="Times New Roman" w:hAnsi="Times New Roman" w:eastAsia="Times New Roman" w:cs="Times New Roman"/>
          <w:i/>
          <w:iCs/>
          <w:sz w:val="24"/>
          <w:szCs w:val="24"/>
        </w:rPr>
        <w:t>et al.</w:t>
      </w:r>
      <w:r>
        <w:rPr>
          <w:rFonts w:ascii="Times New Roman" w:hAnsi="Times New Roman" w:eastAsia="Times New Roman" w:cs="Times New Roman"/>
          <w:color w:val="000000" w:themeColor="text1"/>
          <w:sz w:val="24"/>
          <w:szCs w:val="24"/>
          <w14:textFill>
            <w14:solidFill>
              <w14:schemeClr w14:val="tx1"/>
            </w14:solidFill>
          </w14:textFill>
        </w:rPr>
        <w:t>, 2021).</w:t>
      </w:r>
    </w:p>
    <w:p w14:paraId="0398C5C3">
      <w:pPr>
        <w:numPr>
          <w:ilvl w:val="0"/>
          <w:numId w:val="3"/>
        </w:numPr>
        <w:tabs>
          <w:tab w:val="clear" w:pos="720"/>
        </w:tabs>
        <w:spacing w:before="240" w:after="0" w:line="480" w:lineRule="auto"/>
        <w:ind w:left="426" w:hanging="426"/>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b/>
          <w:bCs/>
          <w:color w:val="000000" w:themeColor="text1"/>
          <w:sz w:val="24"/>
          <w:szCs w:val="24"/>
          <w14:textFill>
            <w14:solidFill>
              <w14:schemeClr w14:val="tx1"/>
            </w14:solidFill>
          </w14:textFill>
        </w:rPr>
        <w:t>Test for Saponin Glycosides:</w:t>
      </w:r>
      <w:r>
        <w:rPr>
          <w:rFonts w:ascii="Times New Roman" w:hAnsi="Times New Roman" w:eastAsia="Times New Roman" w:cs="Times New Roman"/>
          <w:color w:val="000000" w:themeColor="text1"/>
          <w:sz w:val="24"/>
          <w:szCs w:val="24"/>
          <w14:textFill>
            <w14:solidFill>
              <w14:schemeClr w14:val="tx1"/>
            </w14:solidFill>
          </w14:textFill>
        </w:rPr>
        <w:t xml:space="preserve"> Two milliliters of extract were mixed with Fehling’s solution A and B. The formation of a bluish-green precipitate indicated the presence of saponin glycosides (</w:t>
      </w:r>
      <w:r>
        <w:rPr>
          <w:rFonts w:ascii="Times New Roman" w:hAnsi="Times New Roman" w:eastAsia="Times New Roman" w:cs="Times New Roman"/>
          <w:sz w:val="24"/>
          <w:szCs w:val="24"/>
        </w:rPr>
        <w:t>Alkali</w:t>
      </w:r>
      <w:r>
        <w:rPr>
          <w:rFonts w:ascii="Times New Roman" w:hAnsi="Times New Roman" w:eastAsia="Times New Roman" w:cs="Times New Roman"/>
          <w:i/>
          <w:iCs/>
          <w:color w:val="000000" w:themeColor="text1"/>
          <w:sz w:val="24"/>
          <w:szCs w:val="24"/>
          <w14:textFill>
            <w14:solidFill>
              <w14:schemeClr w14:val="tx1"/>
            </w14:solidFill>
          </w14:textFill>
        </w:rPr>
        <w:t xml:space="preserve"> et al.,</w:t>
      </w:r>
      <w:r>
        <w:rPr>
          <w:rFonts w:ascii="Times New Roman" w:hAnsi="Times New Roman" w:eastAsia="Times New Roman" w:cs="Times New Roman"/>
          <w:color w:val="000000" w:themeColor="text1"/>
          <w:sz w:val="24"/>
          <w:szCs w:val="24"/>
          <w14:textFill>
            <w14:solidFill>
              <w14:schemeClr w14:val="tx1"/>
            </w14:solidFill>
          </w14:textFill>
        </w:rPr>
        <w:t xml:space="preserve"> 2024).</w:t>
      </w:r>
    </w:p>
    <w:p w14:paraId="16E78B1B">
      <w:pPr>
        <w:numPr>
          <w:ilvl w:val="0"/>
          <w:numId w:val="3"/>
        </w:numPr>
        <w:tabs>
          <w:tab w:val="clear" w:pos="720"/>
        </w:tabs>
        <w:spacing w:before="240" w:after="0" w:line="480" w:lineRule="auto"/>
        <w:ind w:left="426" w:hanging="426"/>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b/>
          <w:bCs/>
          <w:color w:val="000000" w:themeColor="text1"/>
          <w:sz w:val="24"/>
          <w:szCs w:val="24"/>
          <w14:textFill>
            <w14:solidFill>
              <w14:schemeClr w14:val="tx1"/>
            </w14:solidFill>
          </w14:textFill>
        </w:rPr>
        <w:t>Test for Anthraquinones:</w:t>
      </w:r>
      <w:r>
        <w:rPr>
          <w:rFonts w:ascii="Times New Roman" w:hAnsi="Times New Roman" w:eastAsia="Times New Roman" w:cs="Times New Roman"/>
          <w:color w:val="000000" w:themeColor="text1"/>
          <w:sz w:val="24"/>
          <w:szCs w:val="24"/>
          <w14:textFill>
            <w14:solidFill>
              <w14:schemeClr w14:val="tx1"/>
            </w14:solidFill>
          </w14:textFill>
        </w:rPr>
        <w:t xml:space="preserve"> Two milliliters of extract were mixed with 5 mL of chloroform and 5 mL of 10% ammonia solution. The development of a pink or red color in the ammoniacal layer indicated the presence of anthraquinones (</w:t>
      </w:r>
      <w:r>
        <w:rPr>
          <w:rFonts w:ascii="Times New Roman" w:hAnsi="Times New Roman" w:eastAsia="Times New Roman" w:cs="Times New Roman"/>
          <w:sz w:val="24"/>
          <w:szCs w:val="24"/>
        </w:rPr>
        <w:t xml:space="preserve">Maļeckis </w:t>
      </w:r>
      <w:r>
        <w:rPr>
          <w:rFonts w:ascii="Times New Roman" w:hAnsi="Times New Roman" w:eastAsia="Times New Roman" w:cs="Times New Roman"/>
          <w:i/>
          <w:iCs/>
          <w:sz w:val="24"/>
          <w:szCs w:val="24"/>
        </w:rPr>
        <w:t xml:space="preserve">et al., </w:t>
      </w:r>
      <w:r>
        <w:rPr>
          <w:rFonts w:ascii="Times New Roman" w:hAnsi="Times New Roman" w:eastAsia="Times New Roman" w:cs="Times New Roman"/>
          <w:sz w:val="24"/>
          <w:szCs w:val="24"/>
        </w:rPr>
        <w:t>2024</w:t>
      </w:r>
      <w:r>
        <w:rPr>
          <w:rFonts w:ascii="Times New Roman" w:hAnsi="Times New Roman" w:eastAsia="Times New Roman" w:cs="Times New Roman"/>
          <w:color w:val="000000" w:themeColor="text1"/>
          <w:sz w:val="24"/>
          <w:szCs w:val="24"/>
          <w14:textFill>
            <w14:solidFill>
              <w14:schemeClr w14:val="tx1"/>
            </w14:solidFill>
          </w14:textFill>
        </w:rPr>
        <w:t>).</w:t>
      </w:r>
    </w:p>
    <w:p w14:paraId="4BD0464D">
      <w:pPr>
        <w:spacing w:before="240" w:after="0" w:line="480" w:lineRule="auto"/>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The results of these tests provided insights into the potential antibacterial compounds within the extract.</w:t>
      </w:r>
    </w:p>
    <w:p w14:paraId="1025DA5B">
      <w:pPr>
        <w:pStyle w:val="2"/>
        <w:spacing w:after="0" w:line="480" w:lineRule="auto"/>
        <w:rPr>
          <w:rFonts w:eastAsia="Times New Roman"/>
        </w:rPr>
      </w:pPr>
      <w:bookmarkStart w:id="53" w:name="_Toc215132365"/>
      <w:bookmarkStart w:id="54" w:name="_Toc215016067"/>
      <w:r>
        <w:rPr>
          <w:rFonts w:eastAsia="Times New Roman"/>
        </w:rPr>
        <w:t>3.5</w:t>
      </w:r>
      <w:r>
        <w:rPr>
          <w:rFonts w:eastAsia="Times New Roman"/>
        </w:rPr>
        <w:tab/>
      </w:r>
      <w:r>
        <w:rPr>
          <w:rFonts w:eastAsia="Times New Roman"/>
        </w:rPr>
        <w:t>Preparation of Media and Bacterial Inoculum</w:t>
      </w:r>
      <w:bookmarkEnd w:id="53"/>
      <w:bookmarkEnd w:id="54"/>
    </w:p>
    <w:p w14:paraId="17369B7E">
      <w:pPr>
        <w:spacing w:after="0" w:line="480" w:lineRule="auto"/>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The Mueller-Hinton agar (MHA) medium was prepared for antibacterial sensitivity testing according to the manufacturer’s instructions. Precisely 7.6 grams of MHA were weighed and dissolved in 200 mL of distilled water. The mixture was heated to achieve homogeneity and sterilized by autoclaving at 121°C for 15 minutes (</w:t>
      </w:r>
      <w:r>
        <w:rPr>
          <w:rFonts w:ascii="Times New Roman" w:hAnsi="Times New Roman" w:eastAsia="Times New Roman" w:cs="Times New Roman"/>
          <w:sz w:val="24"/>
          <w:szCs w:val="24"/>
        </w:rPr>
        <w:t xml:space="preserve">Sakyi </w:t>
      </w:r>
      <w:r>
        <w:rPr>
          <w:rFonts w:ascii="Times New Roman" w:hAnsi="Times New Roman" w:eastAsia="Times New Roman" w:cs="Times New Roman"/>
          <w:i/>
          <w:iCs/>
          <w:sz w:val="24"/>
          <w:szCs w:val="24"/>
        </w:rPr>
        <w:t xml:space="preserve">et al., </w:t>
      </w:r>
      <w:r>
        <w:rPr>
          <w:rFonts w:ascii="Times New Roman" w:hAnsi="Times New Roman" w:eastAsia="Times New Roman" w:cs="Times New Roman"/>
          <w:sz w:val="24"/>
          <w:szCs w:val="24"/>
        </w:rPr>
        <w:t>2025</w:t>
      </w:r>
      <w:r>
        <w:rPr>
          <w:rFonts w:ascii="Times New Roman" w:hAnsi="Times New Roman" w:eastAsia="Times New Roman" w:cs="Times New Roman"/>
          <w:color w:val="000000" w:themeColor="text1"/>
          <w:sz w:val="24"/>
          <w:szCs w:val="24"/>
          <w14:textFill>
            <w14:solidFill>
              <w14:schemeClr w14:val="tx1"/>
            </w14:solidFill>
          </w14:textFill>
        </w:rPr>
        <w:t>). The sterilized medium was poured into sterile Petri dishes and allowed to solidify under aseptic conditions.</w:t>
      </w:r>
    </w:p>
    <w:p w14:paraId="24F800B9">
      <w:pPr>
        <w:spacing w:before="240" w:after="0" w:line="480" w:lineRule="auto"/>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 xml:space="preserve">Pure bacterial isolates of </w:t>
      </w:r>
      <w:r>
        <w:rPr>
          <w:rFonts w:ascii="Times New Roman" w:hAnsi="Times New Roman" w:eastAsia="Times New Roman" w:cs="Times New Roman"/>
          <w:i/>
          <w:iCs/>
          <w:color w:val="000000" w:themeColor="text1"/>
          <w:sz w:val="24"/>
          <w:szCs w:val="24"/>
          <w14:textFill>
            <w14:solidFill>
              <w14:schemeClr w14:val="tx1"/>
            </w14:solidFill>
          </w14:textFill>
        </w:rPr>
        <w:t>Escherichia coli</w:t>
      </w:r>
      <w:r>
        <w:rPr>
          <w:rFonts w:ascii="Times New Roman" w:hAnsi="Times New Roman" w:eastAsia="Times New Roman" w:cs="Times New Roman"/>
          <w:color w:val="000000" w:themeColor="text1"/>
          <w:sz w:val="24"/>
          <w:szCs w:val="24"/>
          <w14:textFill>
            <w14:solidFill>
              <w14:schemeClr w14:val="tx1"/>
            </w14:solidFill>
          </w14:textFill>
        </w:rPr>
        <w:t xml:space="preserve">, </w:t>
      </w:r>
      <w:r>
        <w:rPr>
          <w:rFonts w:ascii="Times New Roman" w:hAnsi="Times New Roman" w:eastAsia="Times New Roman" w:cs="Times New Roman"/>
          <w:i/>
          <w:iCs/>
          <w:color w:val="000000" w:themeColor="text1"/>
          <w:sz w:val="24"/>
          <w:szCs w:val="24"/>
          <w14:textFill>
            <w14:solidFill>
              <w14:schemeClr w14:val="tx1"/>
            </w14:solidFill>
          </w14:textFill>
        </w:rPr>
        <w:t>Staphylococcus aureus</w:t>
      </w:r>
      <w:r>
        <w:rPr>
          <w:rFonts w:ascii="Times New Roman" w:hAnsi="Times New Roman" w:eastAsia="Times New Roman" w:cs="Times New Roman"/>
          <w:color w:val="000000" w:themeColor="text1"/>
          <w:sz w:val="24"/>
          <w:szCs w:val="24"/>
          <w14:textFill>
            <w14:solidFill>
              <w14:schemeClr w14:val="tx1"/>
            </w14:solidFill>
          </w14:textFill>
        </w:rPr>
        <w:t xml:space="preserve">, </w:t>
      </w:r>
      <w:r>
        <w:rPr>
          <w:rFonts w:ascii="Times New Roman" w:hAnsi="Times New Roman" w:eastAsia="Times New Roman" w:cs="Times New Roman"/>
          <w:i/>
          <w:iCs/>
          <w:color w:val="000000" w:themeColor="text1"/>
          <w:sz w:val="24"/>
          <w:szCs w:val="24"/>
          <w14:textFill>
            <w14:solidFill>
              <w14:schemeClr w14:val="tx1"/>
            </w14:solidFill>
          </w14:textFill>
        </w:rPr>
        <w:t>Bacillus subtilis</w:t>
      </w:r>
      <w:r>
        <w:rPr>
          <w:rFonts w:ascii="Times New Roman" w:hAnsi="Times New Roman" w:eastAsia="Times New Roman" w:cs="Times New Roman"/>
          <w:color w:val="000000" w:themeColor="text1"/>
          <w:sz w:val="24"/>
          <w:szCs w:val="24"/>
          <w14:textFill>
            <w14:solidFill>
              <w14:schemeClr w14:val="tx1"/>
            </w14:solidFill>
          </w14:textFill>
        </w:rPr>
        <w:t xml:space="preserve">, and </w:t>
      </w:r>
      <w:r>
        <w:rPr>
          <w:rFonts w:ascii="Times New Roman" w:hAnsi="Times New Roman" w:eastAsia="Times New Roman" w:cs="Times New Roman"/>
          <w:i/>
          <w:iCs/>
          <w:color w:val="000000" w:themeColor="text1"/>
          <w:sz w:val="24"/>
          <w:szCs w:val="24"/>
          <w14:textFill>
            <w14:solidFill>
              <w14:schemeClr w14:val="tx1"/>
            </w14:solidFill>
          </w14:textFill>
        </w:rPr>
        <w:t>Klebsiella pneumoniae</w:t>
      </w:r>
      <w:r>
        <w:rPr>
          <w:rFonts w:ascii="Times New Roman" w:hAnsi="Times New Roman" w:eastAsia="Times New Roman" w:cs="Times New Roman"/>
          <w:color w:val="000000" w:themeColor="text1"/>
          <w:sz w:val="24"/>
          <w:szCs w:val="24"/>
          <w14:textFill>
            <w14:solidFill>
              <w14:schemeClr w14:val="tx1"/>
            </w14:solidFill>
          </w14:textFill>
        </w:rPr>
        <w:t xml:space="preserve"> were obtained from the Fleming lab of Usumanu Danfodiyo Vetenary Teaching Hospital,sokoto. Each bacterial strain was sub-cultured on nutrient agar and incubated at 37°C for 24 hours before use. A 0.5 McFarland standard was prepared to standardize the bacterial suspension, ensuring a consistent bacterial concentration for the assays (</w:t>
      </w:r>
      <w:r>
        <w:rPr>
          <w:rFonts w:ascii="Times New Roman" w:hAnsi="Times New Roman" w:eastAsia="Times New Roman" w:cs="Times New Roman"/>
          <w:sz w:val="24"/>
          <w:szCs w:val="24"/>
        </w:rPr>
        <w:t>Mahesh</w:t>
      </w:r>
      <w:r>
        <w:rPr>
          <w:rFonts w:ascii="Times New Roman" w:hAnsi="Times New Roman" w:eastAsia="Times New Roman" w:cs="Times New Roman"/>
          <w:color w:val="000000" w:themeColor="text1"/>
          <w:sz w:val="24"/>
          <w:szCs w:val="24"/>
          <w14:textFill>
            <w14:solidFill>
              <w14:schemeClr w14:val="tx1"/>
            </w14:solidFill>
          </w14:textFill>
        </w:rPr>
        <w:t xml:space="preserve"> </w:t>
      </w:r>
      <w:r>
        <w:rPr>
          <w:rFonts w:ascii="Times New Roman" w:hAnsi="Times New Roman" w:eastAsia="Times New Roman" w:cs="Times New Roman"/>
          <w:i/>
          <w:iCs/>
          <w:color w:val="000000" w:themeColor="text1"/>
          <w:sz w:val="24"/>
          <w:szCs w:val="24"/>
          <w14:textFill>
            <w14:solidFill>
              <w14:schemeClr w14:val="tx1"/>
            </w14:solidFill>
          </w14:textFill>
        </w:rPr>
        <w:t>et al.,</w:t>
      </w:r>
      <w:r>
        <w:rPr>
          <w:rFonts w:ascii="Times New Roman" w:hAnsi="Times New Roman" w:eastAsia="Times New Roman" w:cs="Times New Roman"/>
          <w:color w:val="000000" w:themeColor="text1"/>
          <w:sz w:val="24"/>
          <w:szCs w:val="24"/>
          <w14:textFill>
            <w14:solidFill>
              <w14:schemeClr w14:val="tx1"/>
            </w14:solidFill>
          </w14:textFill>
        </w:rPr>
        <w:t xml:space="preserve"> 2025).</w:t>
      </w:r>
    </w:p>
    <w:p w14:paraId="59408BC7">
      <w:pPr>
        <w:spacing w:before="240" w:after="0" w:line="480" w:lineRule="auto"/>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 xml:space="preserve">Positive and negative controls were also prepared. A 0.05 mg/mL solution of ciprofloxacin served as the positive control, while DMSO was used as the negative control. These controls provided benchmarks for comparing the antibacterial efficacy of </w:t>
      </w:r>
      <w:r>
        <w:rPr>
          <w:rFonts w:ascii="Times New Roman" w:hAnsi="Times New Roman" w:eastAsia="Times New Roman" w:cs="Times New Roman"/>
          <w:i/>
          <w:iCs/>
          <w:color w:val="000000" w:themeColor="text1"/>
          <w:sz w:val="24"/>
          <w:szCs w:val="24"/>
          <w14:textFill>
            <w14:solidFill>
              <w14:schemeClr w14:val="tx1"/>
            </w14:solidFill>
          </w14:textFill>
        </w:rPr>
        <w:t>B. angustifolia</w:t>
      </w:r>
      <w:r>
        <w:rPr>
          <w:rFonts w:ascii="Times New Roman" w:hAnsi="Times New Roman" w:eastAsia="Times New Roman" w:cs="Times New Roman"/>
          <w:color w:val="000000" w:themeColor="text1"/>
          <w:sz w:val="24"/>
          <w:szCs w:val="24"/>
          <w14:textFill>
            <w14:solidFill>
              <w14:schemeClr w14:val="tx1"/>
            </w14:solidFill>
          </w14:textFill>
        </w:rPr>
        <w:t xml:space="preserve"> extracts.</w:t>
      </w:r>
    </w:p>
    <w:p w14:paraId="1C3F3194">
      <w:pPr>
        <w:pStyle w:val="2"/>
        <w:spacing w:after="0" w:line="480" w:lineRule="auto"/>
        <w:rPr>
          <w:rFonts w:eastAsia="Times New Roman"/>
        </w:rPr>
      </w:pPr>
      <w:bookmarkStart w:id="55" w:name="_Toc215132366"/>
      <w:bookmarkStart w:id="56" w:name="_Toc215016068"/>
      <w:r>
        <w:rPr>
          <w:rFonts w:eastAsia="Times New Roman"/>
        </w:rPr>
        <w:t>3.6</w:t>
      </w:r>
      <w:r>
        <w:rPr>
          <w:rFonts w:eastAsia="Times New Roman"/>
        </w:rPr>
        <w:tab/>
      </w:r>
      <w:r>
        <w:rPr>
          <w:rFonts w:eastAsia="Times New Roman"/>
        </w:rPr>
        <w:t>Antibacterial Sensitivity Test</w:t>
      </w:r>
      <w:bookmarkEnd w:id="55"/>
      <w:bookmarkEnd w:id="56"/>
    </w:p>
    <w:p w14:paraId="3F5DBDE7">
      <w:pPr>
        <w:spacing w:after="0" w:line="480" w:lineRule="auto"/>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 xml:space="preserve">The antibacterial activity of </w:t>
      </w:r>
      <w:r>
        <w:rPr>
          <w:rFonts w:ascii="Times New Roman" w:hAnsi="Times New Roman" w:eastAsia="Times New Roman" w:cs="Times New Roman"/>
          <w:i/>
          <w:iCs/>
          <w:color w:val="000000" w:themeColor="text1"/>
          <w:sz w:val="24"/>
          <w:szCs w:val="24"/>
          <w14:textFill>
            <w14:solidFill>
              <w14:schemeClr w14:val="tx1"/>
            </w14:solidFill>
          </w14:textFill>
        </w:rPr>
        <w:t>Boscia angustifolia</w:t>
      </w:r>
      <w:r>
        <w:rPr>
          <w:rFonts w:ascii="Times New Roman" w:hAnsi="Times New Roman" w:eastAsia="Times New Roman" w:cs="Times New Roman"/>
          <w:color w:val="000000" w:themeColor="text1"/>
          <w:sz w:val="24"/>
          <w:szCs w:val="24"/>
          <w14:textFill>
            <w14:solidFill>
              <w14:schemeClr w14:val="tx1"/>
            </w14:solidFill>
          </w14:textFill>
        </w:rPr>
        <w:t xml:space="preserve"> extracts was evaluated using the agar well diffusion method as described by (</w:t>
      </w:r>
      <w:r>
        <w:rPr>
          <w:rFonts w:ascii="Times New Roman" w:hAnsi="Times New Roman" w:eastAsia="Times New Roman" w:cs="Times New Roman"/>
          <w:sz w:val="24"/>
          <w:szCs w:val="24"/>
        </w:rPr>
        <w:t xml:space="preserve">Tseha </w:t>
      </w:r>
      <w:r>
        <w:rPr>
          <w:rFonts w:ascii="Times New Roman" w:hAnsi="Times New Roman" w:eastAsia="Times New Roman" w:cs="Times New Roman"/>
          <w:i/>
          <w:iCs/>
          <w:color w:val="000000" w:themeColor="text1"/>
          <w:sz w:val="24"/>
          <w:szCs w:val="24"/>
          <w14:textFill>
            <w14:solidFill>
              <w14:schemeClr w14:val="tx1"/>
            </w14:solidFill>
          </w14:textFill>
        </w:rPr>
        <w:t xml:space="preserve">et al., </w:t>
      </w:r>
      <w:r>
        <w:rPr>
          <w:rFonts w:ascii="Times New Roman" w:hAnsi="Times New Roman" w:eastAsia="Times New Roman" w:cs="Times New Roman"/>
          <w:color w:val="000000" w:themeColor="text1"/>
          <w:sz w:val="24"/>
          <w:szCs w:val="24"/>
          <w14:textFill>
            <w14:solidFill>
              <w14:schemeClr w14:val="tx1"/>
            </w14:solidFill>
          </w14:textFill>
        </w:rPr>
        <w:t>2022). Sterile cork borers (6 mm diameter) were used to punch wells in the solidified MHA plates inoculated with standardized bacterial suspensions. Each well was filled with 200 µL of extract concentrations (40 mg/mL, 60 mg/mL, and 80 mg/mL). Positive and negative control wells were filled with ciprofloxacin and DMSO, respectively.</w:t>
      </w:r>
    </w:p>
    <w:p w14:paraId="7DC494B3">
      <w:pPr>
        <w:spacing w:before="240" w:after="0" w:line="480" w:lineRule="auto"/>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The plates were incubated at 37°C for 24 hours, after which the zones of inhibition around each well were measured in millimeters. The mean diameter of inhibition zones was recorded for each concentration to determine antibacterial potency (CLSI, 2020).</w:t>
      </w:r>
    </w:p>
    <w:p w14:paraId="79898D30">
      <w:pPr>
        <w:pStyle w:val="2"/>
        <w:spacing w:after="0" w:line="480" w:lineRule="auto"/>
        <w:rPr>
          <w:rFonts w:eastAsia="Times New Roman"/>
        </w:rPr>
      </w:pPr>
      <w:bookmarkStart w:id="57" w:name="_Toc215016069"/>
      <w:bookmarkStart w:id="58" w:name="_Toc215132367"/>
      <w:r>
        <w:rPr>
          <w:rFonts w:eastAsia="Times New Roman"/>
        </w:rPr>
        <w:t>3.7</w:t>
      </w:r>
      <w:r>
        <w:rPr>
          <w:rFonts w:eastAsia="Times New Roman"/>
        </w:rPr>
        <w:tab/>
      </w:r>
      <w:r>
        <w:rPr>
          <w:rFonts w:eastAsia="Times New Roman"/>
        </w:rPr>
        <w:t>Data Analysis</w:t>
      </w:r>
      <w:bookmarkEnd w:id="57"/>
      <w:bookmarkEnd w:id="58"/>
    </w:p>
    <w:p w14:paraId="2CFA5583">
      <w:pPr>
        <w:spacing w:after="0" w:line="480" w:lineRule="auto"/>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 xml:space="preserve">Data collected from phytochemical and antibacterial tests were analyzed statistically using one-way analysis of variance (ANOVA) to determine significant differences in antibacterial activity among various extract concentrations and bacterial strains. Results were expressed as means ± standard deviation of triplicate determinations, and differences were considered statistically significant at </w:t>
      </w:r>
      <w:r>
        <w:rPr>
          <w:rFonts w:ascii="Times New Roman" w:hAnsi="Times New Roman" w:eastAsia="Times New Roman" w:cs="Times New Roman"/>
          <w:i/>
          <w:iCs/>
          <w:color w:val="000000" w:themeColor="text1"/>
          <w:sz w:val="24"/>
          <w:szCs w:val="24"/>
          <w14:textFill>
            <w14:solidFill>
              <w14:schemeClr w14:val="tx1"/>
            </w14:solidFill>
          </w14:textFill>
        </w:rPr>
        <w:t>p</w:t>
      </w:r>
      <w:r>
        <w:rPr>
          <w:rFonts w:ascii="Times New Roman" w:hAnsi="Times New Roman" w:eastAsia="Times New Roman" w:cs="Times New Roman"/>
          <w:color w:val="000000" w:themeColor="text1"/>
          <w:sz w:val="24"/>
          <w:szCs w:val="24"/>
          <w14:textFill>
            <w14:solidFill>
              <w14:schemeClr w14:val="tx1"/>
            </w14:solidFill>
          </w14:textFill>
        </w:rPr>
        <w:t xml:space="preserve"> ≤ 0.05 (Field, 2018).</w:t>
      </w:r>
    </w:p>
    <w:p w14:paraId="4A52344D">
      <w:pPr>
        <w:spacing w:before="240" w:after="0" w:line="480" w:lineRule="auto"/>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 xml:space="preserve">The findings were presented using tables and figures to show the relationship between extract concentration and inhibition zone diameter. This analysis provided a quantitative basis for interpreting the antibacterial efficacy and possible mechanisms of action of </w:t>
      </w:r>
      <w:r>
        <w:rPr>
          <w:rFonts w:ascii="Times New Roman" w:hAnsi="Times New Roman" w:eastAsia="Times New Roman" w:cs="Times New Roman"/>
          <w:i/>
          <w:iCs/>
          <w:color w:val="000000" w:themeColor="text1"/>
          <w:sz w:val="24"/>
          <w:szCs w:val="24"/>
          <w14:textFill>
            <w14:solidFill>
              <w14:schemeClr w14:val="tx1"/>
            </w14:solidFill>
          </w14:textFill>
        </w:rPr>
        <w:t>Boscia angustifolia</w:t>
      </w:r>
      <w:r>
        <w:rPr>
          <w:rFonts w:ascii="Times New Roman" w:hAnsi="Times New Roman" w:eastAsia="Times New Roman" w:cs="Times New Roman"/>
          <w:color w:val="000000" w:themeColor="text1"/>
          <w:sz w:val="24"/>
          <w:szCs w:val="24"/>
          <w14:textFill>
            <w14:solidFill>
              <w14:schemeClr w14:val="tx1"/>
            </w14:solidFill>
          </w14:textFill>
        </w:rPr>
        <w:t xml:space="preserve"> extracts.</w:t>
      </w:r>
    </w:p>
    <w:p w14:paraId="67CE5210">
      <w:pPr>
        <w:pStyle w:val="2"/>
        <w:jc w:val="center"/>
        <w:rPr>
          <w:rFonts w:cs="Times New Roman"/>
          <w:b w:val="0"/>
          <w:bCs/>
          <w:szCs w:val="24"/>
        </w:rPr>
      </w:pPr>
    </w:p>
    <w:p w14:paraId="712F0F7E">
      <w:pPr>
        <w:pStyle w:val="2"/>
        <w:jc w:val="center"/>
        <w:rPr>
          <w:rFonts w:cs="Times New Roman"/>
          <w:b w:val="0"/>
          <w:bCs/>
          <w:szCs w:val="24"/>
        </w:rPr>
      </w:pPr>
    </w:p>
    <w:p w14:paraId="35725341">
      <w:pPr>
        <w:pStyle w:val="2"/>
        <w:jc w:val="center"/>
        <w:rPr>
          <w:rFonts w:cs="Times New Roman"/>
          <w:b w:val="0"/>
          <w:bCs/>
          <w:szCs w:val="24"/>
        </w:rPr>
      </w:pPr>
    </w:p>
    <w:p w14:paraId="7DF0AF77">
      <w:pPr>
        <w:pStyle w:val="2"/>
        <w:jc w:val="center"/>
        <w:rPr>
          <w:rFonts w:cs="Times New Roman"/>
          <w:b w:val="0"/>
          <w:bCs/>
          <w:szCs w:val="24"/>
        </w:rPr>
      </w:pPr>
    </w:p>
    <w:p w14:paraId="158853AE">
      <w:pPr>
        <w:pStyle w:val="2"/>
        <w:jc w:val="center"/>
        <w:rPr>
          <w:rFonts w:cs="Times New Roman"/>
          <w:b w:val="0"/>
          <w:bCs/>
          <w:szCs w:val="24"/>
        </w:rPr>
      </w:pPr>
    </w:p>
    <w:p w14:paraId="29FEFFF9">
      <w:pPr>
        <w:pStyle w:val="2"/>
        <w:jc w:val="center"/>
        <w:rPr>
          <w:rFonts w:cs="Times New Roman"/>
          <w:b w:val="0"/>
          <w:bCs/>
          <w:szCs w:val="24"/>
        </w:rPr>
      </w:pPr>
    </w:p>
    <w:p w14:paraId="65E50962">
      <w:pPr>
        <w:pStyle w:val="2"/>
        <w:rPr>
          <w:rFonts w:cs="Times New Roman"/>
          <w:b w:val="0"/>
          <w:bCs/>
          <w:szCs w:val="24"/>
        </w:rPr>
      </w:pPr>
    </w:p>
    <w:p w14:paraId="1EA5D184">
      <w:pPr>
        <w:pStyle w:val="2"/>
        <w:jc w:val="center"/>
        <w:rPr>
          <w:rFonts w:cs="Times New Roman"/>
          <w:b w:val="0"/>
          <w:bCs/>
          <w:szCs w:val="24"/>
        </w:rPr>
      </w:pPr>
    </w:p>
    <w:p w14:paraId="5A63716B">
      <w:pPr>
        <w:pStyle w:val="2"/>
        <w:jc w:val="center"/>
        <w:rPr>
          <w:rFonts w:cs="Times New Roman"/>
          <w:b w:val="0"/>
          <w:bCs/>
          <w:szCs w:val="24"/>
        </w:rPr>
      </w:pPr>
    </w:p>
    <w:p w14:paraId="104DBFBF">
      <w:pPr>
        <w:pStyle w:val="2"/>
        <w:rPr>
          <w:rFonts w:cs="Times New Roman"/>
          <w:b w:val="0"/>
          <w:bCs/>
          <w:szCs w:val="24"/>
        </w:rPr>
      </w:pPr>
    </w:p>
    <w:p w14:paraId="32E8EAFE">
      <w:pPr>
        <w:rPr>
          <w:rFonts w:ascii="Times New Roman" w:hAnsi="Times New Roman" w:cs="Times New Roman" w:eastAsiaTheme="majorEastAsia"/>
          <w:b/>
          <w:bCs/>
          <w:color w:val="000000" w:themeColor="text1"/>
          <w:sz w:val="24"/>
          <w:szCs w:val="24"/>
          <w14:textFill>
            <w14:solidFill>
              <w14:schemeClr w14:val="tx1"/>
            </w14:solidFill>
          </w14:textFill>
        </w:rPr>
      </w:pPr>
    </w:p>
    <w:p w14:paraId="6ED4CF8A"/>
    <w:p w14:paraId="431742BA">
      <w:pPr>
        <w:pStyle w:val="2"/>
        <w:jc w:val="both"/>
        <w:rPr>
          <w:rFonts w:eastAsia="Times New Roman" w:cs="Times New Roman"/>
          <w:szCs w:val="24"/>
        </w:rPr>
      </w:pPr>
    </w:p>
    <w:p w14:paraId="6E67AFE3">
      <w:pPr>
        <w:pStyle w:val="2"/>
        <w:jc w:val="both"/>
        <w:rPr>
          <w:rFonts w:eastAsia="Times New Roman" w:cs="Times New Roman"/>
          <w:szCs w:val="24"/>
        </w:rPr>
      </w:pPr>
    </w:p>
    <w:p w14:paraId="1C8B0375">
      <w:pPr>
        <w:pStyle w:val="2"/>
        <w:jc w:val="both"/>
        <w:rPr>
          <w:rFonts w:eastAsia="Times New Roman" w:cs="Times New Roman"/>
          <w:szCs w:val="24"/>
        </w:rPr>
      </w:pPr>
    </w:p>
    <w:p w14:paraId="334F0FCF"/>
    <w:p w14:paraId="300275D6">
      <w:pPr>
        <w:pStyle w:val="2"/>
        <w:spacing w:before="0" w:after="0" w:line="480" w:lineRule="auto"/>
        <w:jc w:val="center"/>
      </w:pPr>
      <w:bookmarkStart w:id="59" w:name="_Toc215132368"/>
      <w:bookmarkStart w:id="60" w:name="_Toc215016070"/>
      <w:r>
        <w:t>CHAPTER FOUR</w:t>
      </w:r>
      <w:bookmarkEnd w:id="59"/>
      <w:bookmarkEnd w:id="60"/>
    </w:p>
    <w:p w14:paraId="752AC11D">
      <w:pPr>
        <w:pStyle w:val="2"/>
        <w:spacing w:before="0" w:after="0" w:line="480" w:lineRule="auto"/>
        <w:jc w:val="center"/>
      </w:pPr>
      <w:bookmarkStart w:id="61" w:name="_Toc215132369"/>
      <w:r>
        <w:t>RESULTS</w:t>
      </w:r>
      <w:bookmarkEnd w:id="61"/>
    </w:p>
    <w:p w14:paraId="1C1052D5">
      <w:pPr>
        <w:pStyle w:val="2"/>
        <w:spacing w:after="0" w:line="480" w:lineRule="auto"/>
      </w:pPr>
      <w:bookmarkStart w:id="62" w:name="_Toc215132370"/>
      <w:r>
        <w:t>4.1</w:t>
      </w:r>
      <w:r>
        <w:tab/>
      </w:r>
      <w:r>
        <w:t xml:space="preserve">Phytochemical Composition of </w:t>
      </w:r>
      <w:r>
        <w:rPr>
          <w:i/>
          <w:iCs/>
        </w:rPr>
        <w:t>Boscia</w:t>
      </w:r>
      <w:r>
        <w:rPr>
          <w:rFonts w:eastAsia="Times New Roman"/>
          <w:i/>
          <w:iCs/>
        </w:rPr>
        <w:t xml:space="preserve"> angustifolia</w:t>
      </w:r>
      <w:bookmarkEnd w:id="62"/>
      <w:r>
        <w:rPr>
          <w:rFonts w:eastAsia="Times New Roman"/>
          <w:iCs/>
        </w:rPr>
        <w:t xml:space="preserve"> root extracts.</w:t>
      </w:r>
    </w:p>
    <w:p w14:paraId="3946791D">
      <w:pPr>
        <w:spacing w:after="0" w:line="48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The qualitative phytochemical screening of </w:t>
      </w:r>
      <w:r>
        <w:rPr>
          <w:rFonts w:ascii="Times New Roman" w:hAnsi="Times New Roman" w:cs="Times New Roman"/>
          <w:i/>
          <w:iCs/>
          <w:color w:val="000000" w:themeColor="text1"/>
          <w:sz w:val="24"/>
          <w:szCs w:val="24"/>
          <w14:textFill>
            <w14:solidFill>
              <w14:schemeClr w14:val="tx1"/>
            </w14:solidFill>
          </w14:textFill>
        </w:rPr>
        <w:t xml:space="preserve">Boscia </w:t>
      </w:r>
      <w:r>
        <w:rPr>
          <w:rFonts w:ascii="Times New Roman" w:hAnsi="Times New Roman" w:eastAsia="Times New Roman" w:cs="Times New Roman"/>
          <w:i/>
          <w:iCs/>
          <w:color w:val="000000" w:themeColor="text1"/>
          <w:sz w:val="24"/>
          <w:szCs w:val="24"/>
          <w14:textFill>
            <w14:solidFill>
              <w14:schemeClr w14:val="tx1"/>
            </w14:solidFill>
          </w14:textFill>
        </w:rPr>
        <w:t>angustifolia</w:t>
      </w:r>
      <w:r>
        <w:rPr>
          <w:rFonts w:ascii="Times New Roman" w:hAnsi="Times New Roman" w:eastAsia="Times New Roman" w:cs="Times New Roman"/>
          <w:color w:val="000000" w:themeColor="text1"/>
          <w:sz w:val="24"/>
          <w:szCs w:val="24"/>
          <w14:textFill>
            <w14:solidFill>
              <w14:schemeClr w14:val="tx1"/>
            </w14:solidFill>
          </w14:textFill>
        </w:rPr>
        <w:t xml:space="preserve"> </w:t>
      </w:r>
      <w:r>
        <w:rPr>
          <w:rFonts w:ascii="Times New Roman" w:hAnsi="Times New Roman" w:cs="Times New Roman"/>
          <w:color w:val="000000" w:themeColor="text1"/>
          <w:sz w:val="24"/>
          <w:szCs w:val="24"/>
          <w14:textFill>
            <w14:solidFill>
              <w14:schemeClr w14:val="tx1"/>
            </w14:solidFill>
          </w14:textFill>
        </w:rPr>
        <w:t>extracts revealed the presence of several bioactive compounds known for their antimicrobial properties. As shown in Table 4.1, saponins and alkaloids were abundantly present, while flavonoids and saponin glycosides were detected in moderate amounts. Tannins, volatile oils, anthraquinones, and steroids were not detected in the extract.</w:t>
      </w:r>
    </w:p>
    <w:p w14:paraId="5FA12F2A">
      <w:pPr>
        <w:keepNext/>
        <w:spacing w:after="0" w:line="360" w:lineRule="auto"/>
        <w:jc w:val="both"/>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b/>
          <w:bCs/>
          <w:color w:val="000000" w:themeColor="text1"/>
          <w:sz w:val="24"/>
          <w:szCs w:val="24"/>
          <w14:textFill>
            <w14:solidFill>
              <w14:schemeClr w14:val="tx1"/>
            </w14:solidFill>
          </w14:textFill>
        </w:rPr>
        <w:t xml:space="preserve">Table 4.1: </w:t>
      </w:r>
      <w:r>
        <w:rPr>
          <w:rFonts w:ascii="Times New Roman" w:hAnsi="Times New Roman" w:cs="Times New Roman"/>
          <w:color w:val="000000" w:themeColor="text1"/>
          <w:sz w:val="24"/>
          <w:szCs w:val="24"/>
          <w14:textFill>
            <w14:solidFill>
              <w14:schemeClr w14:val="tx1"/>
            </w14:solidFill>
          </w14:textFill>
        </w:rPr>
        <w:t xml:space="preserve">Phytochemical constituents of </w:t>
      </w:r>
      <w:r>
        <w:rPr>
          <w:rFonts w:ascii="Times New Roman" w:hAnsi="Times New Roman" w:cs="Times New Roman"/>
          <w:i/>
          <w:iCs/>
          <w:color w:val="000000" w:themeColor="text1"/>
          <w:sz w:val="24"/>
          <w:szCs w:val="24"/>
          <w14:textFill>
            <w14:solidFill>
              <w14:schemeClr w14:val="tx1"/>
            </w14:solidFill>
          </w14:textFill>
        </w:rPr>
        <w:t>Boscia</w:t>
      </w:r>
      <w:r>
        <w:rPr>
          <w:rFonts w:ascii="Times New Roman" w:hAnsi="Times New Roman" w:cs="Times New Roman"/>
          <w:color w:val="000000" w:themeColor="text1"/>
          <w:sz w:val="24"/>
          <w:szCs w:val="24"/>
          <w14:textFill>
            <w14:solidFill>
              <w14:schemeClr w14:val="tx1"/>
            </w14:solidFill>
          </w14:textFill>
        </w:rPr>
        <w:t xml:space="preserve"> </w:t>
      </w:r>
      <w:r>
        <w:rPr>
          <w:rFonts w:ascii="Times New Roman" w:hAnsi="Times New Roman" w:eastAsia="Times New Roman" w:cs="Times New Roman"/>
          <w:i/>
          <w:iCs/>
          <w:color w:val="000000" w:themeColor="text1"/>
          <w:sz w:val="24"/>
          <w:szCs w:val="24"/>
          <w14:textFill>
            <w14:solidFill>
              <w14:schemeClr w14:val="tx1"/>
            </w14:solidFill>
          </w14:textFill>
        </w:rPr>
        <w:t>angustifolia</w:t>
      </w:r>
      <w:r>
        <w:rPr>
          <w:rFonts w:ascii="Times New Roman" w:hAnsi="Times New Roman" w:cs="Times New Roman"/>
          <w:color w:val="000000" w:themeColor="text1"/>
          <w:sz w:val="24"/>
          <w:szCs w:val="24"/>
          <w14:textFill>
            <w14:solidFill>
              <w14:schemeClr w14:val="tx1"/>
            </w14:solidFill>
          </w14:textFill>
        </w:rPr>
        <w:t xml:space="preserve"> root extracts.</w:t>
      </w:r>
    </w:p>
    <w:p w14:paraId="6776FBFB">
      <w:pPr>
        <w:pStyle w:val="14"/>
        <w:spacing w:after="0"/>
        <w:jc w:val="both"/>
        <w:rPr>
          <w:color w:val="FFFFFF" w:themeColor="background1"/>
          <w:sz w:val="2"/>
          <w:szCs w:val="2"/>
          <w14:textFill>
            <w14:solidFill>
              <w14:schemeClr w14:val="bg1"/>
            </w14:solidFill>
          </w14:textFill>
        </w:rPr>
      </w:pPr>
      <w:bookmarkStart w:id="63" w:name="_Toc215132378"/>
      <w:r>
        <w:rPr>
          <w:color w:val="FFFFFF" w:themeColor="background1"/>
          <w:sz w:val="2"/>
          <w:szCs w:val="2"/>
          <w14:textFill>
            <w14:solidFill>
              <w14:schemeClr w14:val="bg1"/>
            </w14:solidFill>
          </w14:textFill>
        </w:rPr>
        <w:t xml:space="preserve">Table </w:t>
      </w:r>
      <w:r>
        <w:rPr>
          <w:color w:val="FFFFFF" w:themeColor="background1"/>
          <w:sz w:val="2"/>
          <w:szCs w:val="2"/>
          <w14:textFill>
            <w14:solidFill>
              <w14:schemeClr w14:val="bg1"/>
            </w14:solidFill>
          </w14:textFill>
        </w:rPr>
        <w:fldChar w:fldCharType="begin"/>
      </w:r>
      <w:r>
        <w:rPr>
          <w:color w:val="FFFFFF" w:themeColor="background1"/>
          <w:sz w:val="2"/>
          <w:szCs w:val="2"/>
          <w14:textFill>
            <w14:solidFill>
              <w14:schemeClr w14:val="bg1"/>
            </w14:solidFill>
          </w14:textFill>
        </w:rPr>
        <w:instrText xml:space="preserve"> SEQ Table \* ARABIC </w:instrText>
      </w:r>
      <w:r>
        <w:rPr>
          <w:color w:val="FFFFFF" w:themeColor="background1"/>
          <w:sz w:val="2"/>
          <w:szCs w:val="2"/>
          <w14:textFill>
            <w14:solidFill>
              <w14:schemeClr w14:val="bg1"/>
            </w14:solidFill>
          </w14:textFill>
        </w:rPr>
        <w:fldChar w:fldCharType="separate"/>
      </w:r>
      <w:r>
        <w:rPr>
          <w:color w:val="FFFFFF" w:themeColor="background1"/>
          <w:sz w:val="2"/>
          <w:szCs w:val="2"/>
          <w14:textFill>
            <w14:solidFill>
              <w14:schemeClr w14:val="bg1"/>
            </w14:solidFill>
          </w14:textFill>
        </w:rPr>
        <w:t>1</w:t>
      </w:r>
      <w:r>
        <w:rPr>
          <w:color w:val="FFFFFF" w:themeColor="background1"/>
          <w:sz w:val="2"/>
          <w:szCs w:val="2"/>
          <w14:textFill>
            <w14:solidFill>
              <w14:schemeClr w14:val="bg1"/>
            </w14:solidFill>
          </w14:textFill>
        </w:rPr>
        <w:fldChar w:fldCharType="end"/>
      </w:r>
      <w:r>
        <w:rPr>
          <w:color w:val="FFFFFF" w:themeColor="background1"/>
          <w:sz w:val="2"/>
          <w:szCs w:val="2"/>
          <w14:textFill>
            <w14:solidFill>
              <w14:schemeClr w14:val="bg1"/>
            </w14:solidFill>
          </w14:textFill>
        </w:rPr>
        <w:t>: Table 4.1: Phytochemical constituents extract of Boscia angustifolia</w:t>
      </w:r>
      <w:bookmarkEnd w:id="63"/>
    </w:p>
    <w:tbl>
      <w:tblPr>
        <w:tblStyle w:val="22"/>
        <w:tblW w:w="0" w:type="auto"/>
        <w:tblInd w:w="0" w:type="dxa"/>
        <w:tblBorders>
          <w:top w:val="single" w:color="000000" w:themeColor="text1" w:sz="4" w:space="0"/>
          <w:left w:val="none" w:color="auto" w:sz="0" w:space="0"/>
          <w:bottom w:val="single" w:color="000000" w:themeColor="text1" w:sz="4"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4694"/>
        <w:gridCol w:w="4666"/>
      </w:tblGrid>
      <w:tr w14:paraId="66369590">
        <w:tblPrEx>
          <w:tblBorders>
            <w:top w:val="single" w:color="000000" w:themeColor="text1" w:sz="4" w:space="0"/>
            <w:left w:val="none" w:color="auto" w:sz="0" w:space="0"/>
            <w:bottom w:val="single" w:color="000000" w:themeColor="text1" w:sz="4" w:space="0"/>
            <w:right w:val="none" w:color="auto" w:sz="0" w:space="0"/>
            <w:insideH w:val="none" w:color="auto" w:sz="0" w:space="0"/>
            <w:insideV w:val="none" w:color="auto" w:sz="0" w:space="0"/>
          </w:tblBorders>
        </w:tblPrEx>
        <w:tc>
          <w:tcPr>
            <w:tcW w:w="4694" w:type="dxa"/>
            <w:tcBorders>
              <w:top w:val="single" w:color="000000" w:themeColor="text1" w:sz="4" w:space="0"/>
              <w:bottom w:val="single" w:color="auto" w:sz="4" w:space="0"/>
            </w:tcBorders>
          </w:tcPr>
          <w:p w14:paraId="459B5219">
            <w:pPr>
              <w:spacing w:after="0" w:line="480" w:lineRule="auto"/>
              <w:jc w:val="center"/>
              <w:rPr>
                <w:rFonts w:ascii="Times New Roman" w:hAnsi="Times New Roman" w:cs="Times New Roman"/>
                <w:b/>
                <w:bCs/>
                <w:color w:val="000000" w:themeColor="text1"/>
                <w:sz w:val="24"/>
                <w:szCs w:val="24"/>
                <w14:textFill>
                  <w14:solidFill>
                    <w14:schemeClr w14:val="tx1"/>
                  </w14:solidFill>
                </w14:textFill>
              </w:rPr>
            </w:pPr>
            <w:r>
              <w:rPr>
                <w:rFonts w:ascii="Times New Roman" w:hAnsi="Times New Roman" w:cs="Times New Roman"/>
                <w:b/>
                <w:bCs/>
                <w:color w:val="000000" w:themeColor="text1"/>
                <w:sz w:val="24"/>
                <w:szCs w:val="24"/>
                <w14:textFill>
                  <w14:solidFill>
                    <w14:schemeClr w14:val="tx1"/>
                  </w14:solidFill>
                </w14:textFill>
              </w:rPr>
              <w:t xml:space="preserve"> Phytochemicals </w:t>
            </w:r>
          </w:p>
        </w:tc>
        <w:tc>
          <w:tcPr>
            <w:tcW w:w="4666" w:type="dxa"/>
            <w:tcBorders>
              <w:top w:val="single" w:color="000000" w:themeColor="text1" w:sz="4" w:space="0"/>
              <w:bottom w:val="single" w:color="auto" w:sz="4" w:space="0"/>
            </w:tcBorders>
          </w:tcPr>
          <w:p w14:paraId="72A95BE0">
            <w:pPr>
              <w:spacing w:after="0" w:line="480" w:lineRule="auto"/>
              <w:jc w:val="center"/>
              <w:rPr>
                <w:rFonts w:ascii="Times New Roman" w:hAnsi="Times New Roman" w:cs="Times New Roman"/>
                <w:b/>
                <w:bCs/>
                <w:color w:val="000000" w:themeColor="text1"/>
                <w:sz w:val="24"/>
                <w:szCs w:val="24"/>
                <w14:textFill>
                  <w14:solidFill>
                    <w14:schemeClr w14:val="tx1"/>
                  </w14:solidFill>
                </w14:textFill>
              </w:rPr>
            </w:pPr>
            <w:r>
              <w:rPr>
                <w:rFonts w:ascii="Times New Roman" w:hAnsi="Times New Roman" w:cs="Times New Roman"/>
                <w:b/>
                <w:bCs/>
                <w:color w:val="000000" w:themeColor="text1"/>
                <w:sz w:val="24"/>
                <w:szCs w:val="24"/>
                <w14:textFill>
                  <w14:solidFill>
                    <w14:schemeClr w14:val="tx1"/>
                  </w14:solidFill>
                </w14:textFill>
              </w:rPr>
              <w:t>Results</w:t>
            </w:r>
          </w:p>
        </w:tc>
      </w:tr>
      <w:tr w14:paraId="67DBF0AF">
        <w:tblPrEx>
          <w:tblBorders>
            <w:top w:val="single" w:color="000000" w:themeColor="text1" w:sz="4" w:space="0"/>
            <w:left w:val="none" w:color="auto" w:sz="0" w:space="0"/>
            <w:bottom w:val="single" w:color="000000" w:themeColor="text1"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4694" w:type="dxa"/>
            <w:tcBorders>
              <w:top w:val="single" w:color="auto" w:sz="4" w:space="0"/>
            </w:tcBorders>
          </w:tcPr>
          <w:p w14:paraId="57149273">
            <w:pPr>
              <w:spacing w:after="0" w:line="480" w:lineRule="auto"/>
              <w:jc w:val="center"/>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Flavonoids</w:t>
            </w:r>
          </w:p>
        </w:tc>
        <w:tc>
          <w:tcPr>
            <w:tcW w:w="4666" w:type="dxa"/>
            <w:tcBorders>
              <w:top w:val="single" w:color="auto" w:sz="4" w:space="0"/>
            </w:tcBorders>
          </w:tcPr>
          <w:p w14:paraId="4B431726">
            <w:pPr>
              <w:spacing w:after="0" w:line="480" w:lineRule="auto"/>
              <w:jc w:val="center"/>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w:t>
            </w:r>
          </w:p>
        </w:tc>
      </w:tr>
      <w:tr w14:paraId="399AA012">
        <w:tblPrEx>
          <w:tblBorders>
            <w:top w:val="single" w:color="000000" w:themeColor="text1" w:sz="4" w:space="0"/>
            <w:left w:val="none" w:color="auto" w:sz="0" w:space="0"/>
            <w:bottom w:val="single" w:color="000000" w:themeColor="text1"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4694" w:type="dxa"/>
          </w:tcPr>
          <w:p w14:paraId="7BAD4848">
            <w:pPr>
              <w:spacing w:after="0" w:line="480" w:lineRule="auto"/>
              <w:jc w:val="center"/>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Tannins</w:t>
            </w:r>
          </w:p>
        </w:tc>
        <w:tc>
          <w:tcPr>
            <w:tcW w:w="4666" w:type="dxa"/>
          </w:tcPr>
          <w:p w14:paraId="41BAE2C6">
            <w:pPr>
              <w:spacing w:after="0" w:line="480" w:lineRule="auto"/>
              <w:jc w:val="center"/>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ND</w:t>
            </w:r>
          </w:p>
        </w:tc>
      </w:tr>
      <w:tr w14:paraId="3B948356">
        <w:tblPrEx>
          <w:tblBorders>
            <w:top w:val="single" w:color="000000" w:themeColor="text1" w:sz="4" w:space="0"/>
            <w:left w:val="none" w:color="auto" w:sz="0" w:space="0"/>
            <w:bottom w:val="single" w:color="000000" w:themeColor="text1"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4694" w:type="dxa"/>
          </w:tcPr>
          <w:p w14:paraId="7BFB99B8">
            <w:pPr>
              <w:spacing w:after="0" w:line="480" w:lineRule="auto"/>
              <w:jc w:val="center"/>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Saponins</w:t>
            </w:r>
          </w:p>
        </w:tc>
        <w:tc>
          <w:tcPr>
            <w:tcW w:w="4666" w:type="dxa"/>
          </w:tcPr>
          <w:p w14:paraId="7E45171C">
            <w:pPr>
              <w:spacing w:after="0" w:line="480" w:lineRule="auto"/>
              <w:jc w:val="center"/>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w:t>
            </w:r>
          </w:p>
        </w:tc>
      </w:tr>
      <w:tr w14:paraId="48FB6D32">
        <w:tblPrEx>
          <w:tblBorders>
            <w:top w:val="single" w:color="000000" w:themeColor="text1" w:sz="4" w:space="0"/>
            <w:left w:val="none" w:color="auto" w:sz="0" w:space="0"/>
            <w:bottom w:val="single" w:color="000000" w:themeColor="text1"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4694" w:type="dxa"/>
          </w:tcPr>
          <w:p w14:paraId="4B7F3EF3">
            <w:pPr>
              <w:spacing w:after="0" w:line="480" w:lineRule="auto"/>
              <w:jc w:val="center"/>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Alkaloids</w:t>
            </w:r>
          </w:p>
        </w:tc>
        <w:tc>
          <w:tcPr>
            <w:tcW w:w="4666" w:type="dxa"/>
          </w:tcPr>
          <w:p w14:paraId="6B9EDFC5">
            <w:pPr>
              <w:spacing w:after="0" w:line="480" w:lineRule="auto"/>
              <w:jc w:val="center"/>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w:t>
            </w:r>
          </w:p>
        </w:tc>
      </w:tr>
      <w:tr w14:paraId="6CE2EEDE">
        <w:tblPrEx>
          <w:tblBorders>
            <w:top w:val="single" w:color="000000" w:themeColor="text1" w:sz="4" w:space="0"/>
            <w:left w:val="none" w:color="auto" w:sz="0" w:space="0"/>
            <w:bottom w:val="single" w:color="000000" w:themeColor="text1"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4694" w:type="dxa"/>
          </w:tcPr>
          <w:p w14:paraId="7098EEE7">
            <w:pPr>
              <w:spacing w:after="0" w:line="480" w:lineRule="auto"/>
              <w:jc w:val="center"/>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Volatile oils </w:t>
            </w:r>
          </w:p>
        </w:tc>
        <w:tc>
          <w:tcPr>
            <w:tcW w:w="4666" w:type="dxa"/>
          </w:tcPr>
          <w:p w14:paraId="361208A8">
            <w:pPr>
              <w:spacing w:after="0" w:line="480" w:lineRule="auto"/>
              <w:jc w:val="center"/>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ND</w:t>
            </w:r>
          </w:p>
        </w:tc>
      </w:tr>
      <w:tr w14:paraId="170CDDB3">
        <w:tblPrEx>
          <w:tblBorders>
            <w:top w:val="single" w:color="000000" w:themeColor="text1" w:sz="4" w:space="0"/>
            <w:left w:val="none" w:color="auto" w:sz="0" w:space="0"/>
            <w:bottom w:val="single" w:color="000000" w:themeColor="text1"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4694" w:type="dxa"/>
          </w:tcPr>
          <w:p w14:paraId="58F2B2AF">
            <w:pPr>
              <w:spacing w:after="0" w:line="480" w:lineRule="auto"/>
              <w:jc w:val="center"/>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Saponin Glycosides</w:t>
            </w:r>
          </w:p>
        </w:tc>
        <w:tc>
          <w:tcPr>
            <w:tcW w:w="4666" w:type="dxa"/>
          </w:tcPr>
          <w:p w14:paraId="71BDBD1C">
            <w:pPr>
              <w:spacing w:after="0" w:line="480" w:lineRule="auto"/>
              <w:jc w:val="center"/>
              <w:rPr>
                <w:rFonts w:ascii="Times New Roman" w:hAnsi="Times New Roman" w:cs="Times New Roman"/>
                <w:color w:val="000000" w:themeColor="text1"/>
                <w:sz w:val="24"/>
                <w:szCs w:val="24"/>
                <w:vertAlign w:val="subscript"/>
                <w14:textFill>
                  <w14:solidFill>
                    <w14:schemeClr w14:val="tx1"/>
                  </w14:solidFill>
                </w14:textFill>
              </w:rPr>
            </w:pPr>
            <w:r>
              <w:rPr>
                <w:rFonts w:ascii="Times New Roman" w:hAnsi="Times New Roman" w:cs="Times New Roman"/>
                <w:color w:val="000000" w:themeColor="text1"/>
                <w:sz w:val="24"/>
                <w:szCs w:val="24"/>
                <w:vertAlign w:val="subscript"/>
                <w14:textFill>
                  <w14:solidFill>
                    <w14:schemeClr w14:val="tx1"/>
                  </w14:solidFill>
                </w14:textFill>
              </w:rPr>
              <w:t>+</w:t>
            </w:r>
          </w:p>
        </w:tc>
      </w:tr>
      <w:tr w14:paraId="67BB0E8A">
        <w:tblPrEx>
          <w:tblBorders>
            <w:top w:val="single" w:color="000000" w:themeColor="text1" w:sz="4" w:space="0"/>
            <w:left w:val="none" w:color="auto" w:sz="0" w:space="0"/>
            <w:bottom w:val="single" w:color="000000" w:themeColor="text1"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4694" w:type="dxa"/>
          </w:tcPr>
          <w:p w14:paraId="63A1DFB0">
            <w:pPr>
              <w:spacing w:after="0" w:line="480" w:lineRule="auto"/>
              <w:jc w:val="center"/>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Antrquinones</w:t>
            </w:r>
          </w:p>
        </w:tc>
        <w:tc>
          <w:tcPr>
            <w:tcW w:w="4666" w:type="dxa"/>
          </w:tcPr>
          <w:p w14:paraId="540F3D9A">
            <w:pPr>
              <w:spacing w:after="0" w:line="480" w:lineRule="auto"/>
              <w:jc w:val="center"/>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ND</w:t>
            </w:r>
          </w:p>
        </w:tc>
      </w:tr>
      <w:tr w14:paraId="4F823F39">
        <w:tblPrEx>
          <w:tblBorders>
            <w:top w:val="single" w:color="000000" w:themeColor="text1" w:sz="4" w:space="0"/>
            <w:left w:val="none" w:color="auto" w:sz="0" w:space="0"/>
            <w:bottom w:val="single" w:color="000000" w:themeColor="text1"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4694" w:type="dxa"/>
          </w:tcPr>
          <w:p w14:paraId="0E29BCEC">
            <w:pPr>
              <w:spacing w:after="0" w:line="480" w:lineRule="auto"/>
              <w:jc w:val="center"/>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Steroids (SalKowSKi test)</w:t>
            </w:r>
          </w:p>
        </w:tc>
        <w:tc>
          <w:tcPr>
            <w:tcW w:w="4666" w:type="dxa"/>
          </w:tcPr>
          <w:p w14:paraId="724155B7">
            <w:pPr>
              <w:spacing w:after="0" w:line="480" w:lineRule="auto"/>
              <w:jc w:val="center"/>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ND</w:t>
            </w:r>
          </w:p>
        </w:tc>
      </w:tr>
    </w:tbl>
    <w:p w14:paraId="52C03D5B">
      <w:pPr>
        <w:pStyle w:val="19"/>
        <w:jc w:val="both"/>
        <w:rPr>
          <w:color w:val="000000" w:themeColor="text1"/>
          <w:sz w:val="20"/>
          <w:szCs w:val="20"/>
          <w14:textFill>
            <w14:solidFill>
              <w14:schemeClr w14:val="tx1"/>
            </w14:solidFill>
          </w14:textFill>
        </w:rPr>
      </w:pPr>
      <w:r>
        <w:rPr>
          <w:rStyle w:val="20"/>
          <w:rFonts w:eastAsiaTheme="majorEastAsia"/>
          <w:color w:val="000000" w:themeColor="text1"/>
          <w:sz w:val="20"/>
          <w:szCs w:val="20"/>
          <w14:textFill>
            <w14:solidFill>
              <w14:schemeClr w14:val="tx1"/>
            </w14:solidFill>
          </w14:textFill>
        </w:rPr>
        <w:t>Key:</w:t>
      </w:r>
      <w:r>
        <w:rPr>
          <w:color w:val="000000" w:themeColor="text1"/>
          <w:sz w:val="20"/>
          <w:szCs w:val="20"/>
          <w14:textFill>
            <w14:solidFill>
              <w14:schemeClr w14:val="tx1"/>
            </w14:solidFill>
          </w14:textFill>
        </w:rPr>
        <w:t xml:space="preserve"> </w:t>
      </w:r>
    </w:p>
    <w:p w14:paraId="33FEA91F">
      <w:pPr>
        <w:pStyle w:val="19"/>
        <w:jc w:val="both"/>
        <w:rPr>
          <w:color w:val="000000" w:themeColor="text1"/>
          <w:sz w:val="20"/>
          <w:szCs w:val="20"/>
          <w14:textFill>
            <w14:solidFill>
              <w14:schemeClr w14:val="tx1"/>
            </w14:solidFill>
          </w14:textFill>
        </w:rPr>
      </w:pPr>
      <w:r>
        <w:rPr>
          <w:color w:val="000000" w:themeColor="text1"/>
          <w:sz w:val="20"/>
          <w:szCs w:val="20"/>
          <w14:textFill>
            <w14:solidFill>
              <w14:schemeClr w14:val="tx1"/>
            </w14:solidFill>
          </w14:textFill>
        </w:rPr>
        <w:t>+ = Present in trace;</w:t>
      </w:r>
    </w:p>
    <w:p w14:paraId="080EF2FB">
      <w:pPr>
        <w:pStyle w:val="19"/>
        <w:jc w:val="both"/>
        <w:rPr>
          <w:color w:val="000000" w:themeColor="text1"/>
          <w:sz w:val="20"/>
          <w:szCs w:val="20"/>
          <w14:textFill>
            <w14:solidFill>
              <w14:schemeClr w14:val="tx1"/>
            </w14:solidFill>
          </w14:textFill>
        </w:rPr>
      </w:pPr>
      <w:r>
        <w:rPr>
          <w:color w:val="000000" w:themeColor="text1"/>
          <w:sz w:val="20"/>
          <w:szCs w:val="20"/>
          <w14:textFill>
            <w14:solidFill>
              <w14:schemeClr w14:val="tx1"/>
            </w14:solidFill>
          </w14:textFill>
        </w:rPr>
        <w:t>++ = Moderately present;</w:t>
      </w:r>
    </w:p>
    <w:p w14:paraId="408C375D">
      <w:pPr>
        <w:pStyle w:val="19"/>
        <w:jc w:val="both"/>
        <w:rPr>
          <w:color w:val="000000" w:themeColor="text1"/>
          <w:sz w:val="20"/>
          <w:szCs w:val="20"/>
          <w14:textFill>
            <w14:solidFill>
              <w14:schemeClr w14:val="tx1"/>
            </w14:solidFill>
          </w14:textFill>
        </w:rPr>
      </w:pPr>
      <w:r>
        <w:rPr>
          <w:color w:val="000000" w:themeColor="text1"/>
          <w:sz w:val="20"/>
          <w:szCs w:val="20"/>
          <w14:textFill>
            <w14:solidFill>
              <w14:schemeClr w14:val="tx1"/>
            </w14:solidFill>
          </w14:textFill>
        </w:rPr>
        <w:t xml:space="preserve"> +++ = Abundant;</w:t>
      </w:r>
    </w:p>
    <w:p w14:paraId="5E34C842">
      <w:pPr>
        <w:pStyle w:val="19"/>
        <w:jc w:val="both"/>
        <w:rPr>
          <w:color w:val="000000" w:themeColor="text1"/>
          <w:sz w:val="20"/>
          <w:szCs w:val="20"/>
          <w14:textFill>
            <w14:solidFill>
              <w14:schemeClr w14:val="tx1"/>
            </w14:solidFill>
          </w14:textFill>
        </w:rPr>
      </w:pPr>
      <w:r>
        <w:rPr>
          <w:color w:val="000000" w:themeColor="text1"/>
          <w:sz w:val="20"/>
          <w:szCs w:val="20"/>
          <w14:textFill>
            <w14:solidFill>
              <w14:schemeClr w14:val="tx1"/>
            </w14:solidFill>
          </w14:textFill>
        </w:rPr>
        <w:t xml:space="preserve"> ND = Not detected</w:t>
      </w:r>
    </w:p>
    <w:p w14:paraId="54023E89">
      <w:pPr>
        <w:pStyle w:val="19"/>
        <w:spacing w:line="480" w:lineRule="auto"/>
        <w:jc w:val="both"/>
        <w:rPr>
          <w:color w:val="000000" w:themeColor="text1"/>
          <w14:textFill>
            <w14:solidFill>
              <w14:schemeClr w14:val="tx1"/>
            </w14:solidFill>
          </w14:textFill>
        </w:rPr>
      </w:pPr>
      <w:r>
        <w:rPr>
          <w:color w:val="000000" w:themeColor="text1"/>
          <w14:textFill>
            <w14:solidFill>
              <w14:schemeClr w14:val="tx1"/>
            </w14:solidFill>
          </w14:textFill>
        </w:rPr>
        <w:t>The high concentration of saponins and alkaloids suggests that these compounds may play a major role in the antibacterial activity of the extract. Saponins are known to disrupt microbial cell membranes, while alkaloids often interfere with DNA replication or protein synthesis (</w:t>
      </w:r>
      <w:r>
        <w:t>Pikhtirova</w:t>
      </w:r>
      <w:r>
        <w:rPr>
          <w:color w:val="000000" w:themeColor="text1"/>
          <w14:textFill>
            <w14:solidFill>
              <w14:schemeClr w14:val="tx1"/>
            </w14:solidFill>
          </w14:textFill>
        </w:rPr>
        <w:t xml:space="preserve"> </w:t>
      </w:r>
      <w:r>
        <w:rPr>
          <w:i/>
          <w:iCs/>
          <w:color w:val="000000" w:themeColor="text1"/>
          <w14:textFill>
            <w14:solidFill>
              <w14:schemeClr w14:val="tx1"/>
            </w14:solidFill>
          </w14:textFill>
        </w:rPr>
        <w:t>et al.,</w:t>
      </w:r>
      <w:r>
        <w:rPr>
          <w:color w:val="000000" w:themeColor="text1"/>
          <w14:textFill>
            <w14:solidFill>
              <w14:schemeClr w14:val="tx1"/>
            </w14:solidFill>
          </w14:textFill>
        </w:rPr>
        <w:t xml:space="preserve"> 2023). The absence of volatile oils and steroids indicates that the antibacterial effects observed are more likely linked to non-volatile secondary metabolites</w:t>
      </w:r>
    </w:p>
    <w:p w14:paraId="1D355EEB">
      <w:pPr>
        <w:pStyle w:val="2"/>
        <w:spacing w:after="0" w:line="480" w:lineRule="auto"/>
        <w:rPr>
          <w:rFonts w:eastAsia="Times New Roman"/>
        </w:rPr>
      </w:pPr>
      <w:bookmarkStart w:id="64" w:name="_Toc215132371"/>
      <w:bookmarkStart w:id="65" w:name="_Toc215016071"/>
      <w:r>
        <w:rPr>
          <w:rFonts w:eastAsia="Times New Roman"/>
        </w:rPr>
        <w:t>4.2</w:t>
      </w:r>
      <w:r>
        <w:rPr>
          <w:rFonts w:eastAsia="Times New Roman"/>
        </w:rPr>
        <w:tab/>
      </w:r>
      <w:r>
        <w:rPr>
          <w:rFonts w:eastAsia="Times New Roman"/>
        </w:rPr>
        <w:t xml:space="preserve">Antibacterial Activity of </w:t>
      </w:r>
      <w:r>
        <w:rPr>
          <w:rFonts w:eastAsia="Times New Roman"/>
          <w:i/>
          <w:iCs/>
        </w:rPr>
        <w:t>Boscia angustifolia</w:t>
      </w:r>
      <w:bookmarkEnd w:id="64"/>
      <w:bookmarkEnd w:id="65"/>
    </w:p>
    <w:p w14:paraId="23872C1F">
      <w:pPr>
        <w:spacing w:after="0" w:line="480" w:lineRule="auto"/>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 xml:space="preserve">The antibacterial assay was performed using the agar well diffusion method. The extract demonstrated measurable inhibitory effects against </w:t>
      </w:r>
      <w:r>
        <w:rPr>
          <w:rFonts w:ascii="Times New Roman" w:hAnsi="Times New Roman" w:eastAsia="Times New Roman" w:cs="Times New Roman"/>
          <w:i/>
          <w:iCs/>
          <w:color w:val="000000" w:themeColor="text1"/>
          <w:sz w:val="24"/>
          <w:szCs w:val="24"/>
          <w14:textFill>
            <w14:solidFill>
              <w14:schemeClr w14:val="tx1"/>
            </w14:solidFill>
          </w14:textFill>
        </w:rPr>
        <w:t>Klebsiella</w:t>
      </w:r>
      <w:r>
        <w:rPr>
          <w:rFonts w:ascii="Times New Roman" w:hAnsi="Times New Roman" w:eastAsia="Times New Roman" w:cs="Times New Roman"/>
          <w:color w:val="000000" w:themeColor="text1"/>
          <w:sz w:val="24"/>
          <w:szCs w:val="24"/>
          <w14:textFill>
            <w14:solidFill>
              <w14:schemeClr w14:val="tx1"/>
            </w14:solidFill>
          </w14:textFill>
        </w:rPr>
        <w:t xml:space="preserve"> and </w:t>
      </w:r>
      <w:r>
        <w:rPr>
          <w:rFonts w:ascii="Times New Roman" w:hAnsi="Times New Roman" w:eastAsia="Times New Roman" w:cs="Times New Roman"/>
          <w:i/>
          <w:iCs/>
          <w:color w:val="000000" w:themeColor="text1"/>
          <w:sz w:val="24"/>
          <w:szCs w:val="24"/>
          <w14:textFill>
            <w14:solidFill>
              <w14:schemeClr w14:val="tx1"/>
            </w14:solidFill>
          </w14:textFill>
        </w:rPr>
        <w:t>Bacillus</w:t>
      </w:r>
      <w:r>
        <w:rPr>
          <w:rFonts w:ascii="Times New Roman" w:hAnsi="Times New Roman" w:eastAsia="Times New Roman" w:cs="Times New Roman"/>
          <w:color w:val="000000" w:themeColor="text1"/>
          <w:sz w:val="24"/>
          <w:szCs w:val="24"/>
          <w14:textFill>
            <w14:solidFill>
              <w14:schemeClr w14:val="tx1"/>
            </w14:solidFill>
          </w14:textFill>
        </w:rPr>
        <w:t xml:space="preserve"> species at all concentrations tested (40 mg/mL, 60 mg/mL, and 80 mg/mL). No zones of inhibition were observed for </w:t>
      </w:r>
      <w:r>
        <w:rPr>
          <w:rFonts w:ascii="Times New Roman" w:hAnsi="Times New Roman" w:eastAsia="Times New Roman" w:cs="Times New Roman"/>
          <w:i/>
          <w:iCs/>
          <w:color w:val="000000" w:themeColor="text1"/>
          <w:sz w:val="24"/>
          <w:szCs w:val="24"/>
          <w14:textFill>
            <w14:solidFill>
              <w14:schemeClr w14:val="tx1"/>
            </w14:solidFill>
          </w14:textFill>
        </w:rPr>
        <w:t>Escherichia coli</w:t>
      </w:r>
      <w:r>
        <w:rPr>
          <w:rFonts w:ascii="Times New Roman" w:hAnsi="Times New Roman" w:eastAsia="Times New Roman" w:cs="Times New Roman"/>
          <w:color w:val="000000" w:themeColor="text1"/>
          <w:sz w:val="24"/>
          <w:szCs w:val="24"/>
          <w14:textFill>
            <w14:solidFill>
              <w14:schemeClr w14:val="tx1"/>
            </w14:solidFill>
          </w14:textFill>
        </w:rPr>
        <w:t xml:space="preserve"> and </w:t>
      </w:r>
      <w:r>
        <w:rPr>
          <w:rFonts w:ascii="Times New Roman" w:hAnsi="Times New Roman" w:eastAsia="Times New Roman" w:cs="Times New Roman"/>
          <w:i/>
          <w:iCs/>
          <w:color w:val="000000" w:themeColor="text1"/>
          <w:sz w:val="24"/>
          <w:szCs w:val="24"/>
          <w14:textFill>
            <w14:solidFill>
              <w14:schemeClr w14:val="tx1"/>
            </w14:solidFill>
          </w14:textFill>
        </w:rPr>
        <w:t>Staphylococcus aureus</w:t>
      </w:r>
      <w:r>
        <w:rPr>
          <w:rFonts w:ascii="Times New Roman" w:hAnsi="Times New Roman" w:eastAsia="Times New Roman" w:cs="Times New Roman"/>
          <w:color w:val="000000" w:themeColor="text1"/>
          <w:sz w:val="24"/>
          <w:szCs w:val="24"/>
          <w14:textFill>
            <w14:solidFill>
              <w14:schemeClr w14:val="tx1"/>
            </w14:solidFill>
          </w14:textFill>
        </w:rPr>
        <w:t>, indicating species-specific antibacterial activity.</w:t>
      </w:r>
    </w:p>
    <w:p w14:paraId="30CDF31C">
      <w:pPr>
        <w:keepNext/>
        <w:spacing w:after="0" w:line="276" w:lineRule="auto"/>
        <w:rPr>
          <w:rStyle w:val="20"/>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b/>
          <w:bCs/>
          <w:sz w:val="24"/>
          <w:szCs w:val="24"/>
        </w:rPr>
        <w:t xml:space="preserve">Table 4.2 </w:t>
      </w:r>
      <w:r>
        <w:rPr>
          <w:rFonts w:ascii="Times New Roman" w:hAnsi="Times New Roman" w:eastAsia="Times New Roman" w:cs="Times New Roman"/>
          <w:color w:val="000000" w:themeColor="text1"/>
          <w:sz w:val="24"/>
          <w:szCs w:val="24"/>
          <w14:textFill>
            <w14:solidFill>
              <w14:schemeClr w14:val="tx1"/>
            </w14:solidFill>
          </w14:textFill>
        </w:rPr>
        <w:t xml:space="preserve">Antibacterial activity of roots extract of </w:t>
      </w:r>
      <w:r>
        <w:rPr>
          <w:rFonts w:ascii="Times New Roman" w:hAnsi="Times New Roman" w:eastAsia="Times New Roman" w:cs="Times New Roman"/>
          <w:i/>
          <w:iCs/>
          <w:color w:val="000000" w:themeColor="text1"/>
          <w:sz w:val="24"/>
          <w:szCs w:val="24"/>
          <w14:textFill>
            <w14:solidFill>
              <w14:schemeClr w14:val="tx1"/>
            </w14:solidFill>
          </w14:textFill>
        </w:rPr>
        <w:t>Boscia angustifolia</w:t>
      </w:r>
      <w:r>
        <w:rPr>
          <w:rFonts w:ascii="Times New Roman" w:hAnsi="Times New Roman" w:eastAsia="Times New Roman" w:cs="Times New Roman"/>
          <w:color w:val="000000" w:themeColor="text1"/>
          <w:sz w:val="24"/>
          <w:szCs w:val="24"/>
          <w14:textFill>
            <w14:solidFill>
              <w14:schemeClr w14:val="tx1"/>
            </w14:solidFill>
          </w14:textFill>
        </w:rPr>
        <w:t xml:space="preserve">. </w:t>
      </w:r>
    </w:p>
    <w:p w14:paraId="1AEB3FD8">
      <w:pPr>
        <w:pStyle w:val="14"/>
        <w:spacing w:after="0"/>
        <w:rPr>
          <w:color w:val="FFFFFF" w:themeColor="background1"/>
          <w:sz w:val="2"/>
          <w:szCs w:val="2"/>
          <w14:textFill>
            <w14:solidFill>
              <w14:schemeClr w14:val="bg1"/>
            </w14:solidFill>
          </w14:textFill>
        </w:rPr>
      </w:pPr>
      <w:bookmarkStart w:id="66" w:name="_Toc215132379"/>
      <w:r>
        <w:rPr>
          <w:color w:val="FFFFFF" w:themeColor="background1"/>
          <w:sz w:val="2"/>
          <w:szCs w:val="2"/>
          <w14:textFill>
            <w14:solidFill>
              <w14:schemeClr w14:val="bg1"/>
            </w14:solidFill>
          </w14:textFill>
        </w:rPr>
        <w:t xml:space="preserve">Table </w:t>
      </w:r>
      <w:r>
        <w:rPr>
          <w:color w:val="FFFFFF" w:themeColor="background1"/>
          <w:sz w:val="2"/>
          <w:szCs w:val="2"/>
          <w14:textFill>
            <w14:solidFill>
              <w14:schemeClr w14:val="bg1"/>
            </w14:solidFill>
          </w14:textFill>
        </w:rPr>
        <w:fldChar w:fldCharType="begin"/>
      </w:r>
      <w:r>
        <w:rPr>
          <w:color w:val="FFFFFF" w:themeColor="background1"/>
          <w:sz w:val="2"/>
          <w:szCs w:val="2"/>
          <w14:textFill>
            <w14:solidFill>
              <w14:schemeClr w14:val="bg1"/>
            </w14:solidFill>
          </w14:textFill>
        </w:rPr>
        <w:instrText xml:space="preserve"> SEQ Table \* ARABIC </w:instrText>
      </w:r>
      <w:r>
        <w:rPr>
          <w:color w:val="FFFFFF" w:themeColor="background1"/>
          <w:sz w:val="2"/>
          <w:szCs w:val="2"/>
          <w14:textFill>
            <w14:solidFill>
              <w14:schemeClr w14:val="bg1"/>
            </w14:solidFill>
          </w14:textFill>
        </w:rPr>
        <w:fldChar w:fldCharType="separate"/>
      </w:r>
      <w:r>
        <w:rPr>
          <w:color w:val="FFFFFF" w:themeColor="background1"/>
          <w:sz w:val="2"/>
          <w:szCs w:val="2"/>
          <w14:textFill>
            <w14:solidFill>
              <w14:schemeClr w14:val="bg1"/>
            </w14:solidFill>
          </w14:textFill>
        </w:rPr>
        <w:t>2</w:t>
      </w:r>
      <w:r>
        <w:rPr>
          <w:color w:val="FFFFFF" w:themeColor="background1"/>
          <w:sz w:val="2"/>
          <w:szCs w:val="2"/>
          <w14:textFill>
            <w14:solidFill>
              <w14:schemeClr w14:val="bg1"/>
            </w14:solidFill>
          </w14:textFill>
        </w:rPr>
        <w:fldChar w:fldCharType="end"/>
      </w:r>
      <w:r>
        <w:rPr>
          <w:color w:val="FFFFFF" w:themeColor="background1"/>
          <w:sz w:val="2"/>
          <w:szCs w:val="2"/>
          <w14:textFill>
            <w14:solidFill>
              <w14:schemeClr w14:val="bg1"/>
            </w14:solidFill>
          </w14:textFill>
        </w:rPr>
        <w:t>: Table 4.2 Antibacterial activity of roots extract of Boscia angustifolia</w:t>
      </w:r>
      <w:bookmarkEnd w:id="66"/>
    </w:p>
    <w:tbl>
      <w:tblPr>
        <w:tblStyle w:val="22"/>
        <w:tblW w:w="10080" w:type="dxa"/>
        <w:tblInd w:w="-185" w:type="dxa"/>
        <w:tblBorders>
          <w:top w:val="single" w:color="auto" w:sz="4" w:space="0"/>
          <w:left w:val="none" w:color="auto" w:sz="0" w:space="0"/>
          <w:bottom w:val="single" w:color="auto" w:sz="4"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980"/>
        <w:gridCol w:w="1685"/>
        <w:gridCol w:w="1375"/>
        <w:gridCol w:w="1350"/>
        <w:gridCol w:w="2340"/>
        <w:gridCol w:w="1350"/>
      </w:tblGrid>
      <w:tr w14:paraId="792621EB">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1980" w:type="dxa"/>
            <w:tcBorders>
              <w:top w:val="single" w:color="auto" w:sz="4" w:space="0"/>
              <w:bottom w:val="nil"/>
              <w:right w:val="single" w:color="auto" w:sz="4" w:space="0"/>
            </w:tcBorders>
          </w:tcPr>
          <w:p w14:paraId="3101A68D">
            <w:pPr>
              <w:spacing w:after="0"/>
              <w:rPr>
                <w:rFonts w:ascii="Times New Roman" w:hAnsi="Times New Roman" w:cs="Times New Roman"/>
                <w:b/>
                <w:bCs/>
                <w:color w:val="000000" w:themeColor="text1"/>
                <w14:textFill>
                  <w14:solidFill>
                    <w14:schemeClr w14:val="tx1"/>
                  </w14:solidFill>
                </w14:textFill>
              </w:rPr>
            </w:pPr>
          </w:p>
        </w:tc>
        <w:tc>
          <w:tcPr>
            <w:tcW w:w="1685" w:type="dxa"/>
            <w:tcBorders>
              <w:top w:val="single" w:color="auto" w:sz="4" w:space="0"/>
              <w:left w:val="single" w:color="auto" w:sz="4" w:space="0"/>
              <w:bottom w:val="nil"/>
              <w:right w:val="single" w:color="auto" w:sz="4" w:space="0"/>
            </w:tcBorders>
          </w:tcPr>
          <w:p w14:paraId="275F42B2">
            <w:pPr>
              <w:spacing w:after="0"/>
              <w:rPr>
                <w:rFonts w:ascii="Times New Roman" w:hAnsi="Times New Roman" w:cs="Times New Roman"/>
                <w:b/>
                <w:bCs/>
                <w:color w:val="000000" w:themeColor="text1"/>
                <w14:textFill>
                  <w14:solidFill>
                    <w14:schemeClr w14:val="tx1"/>
                  </w14:solidFill>
                </w14:textFill>
              </w:rPr>
            </w:pPr>
          </w:p>
        </w:tc>
        <w:tc>
          <w:tcPr>
            <w:tcW w:w="1375" w:type="dxa"/>
            <w:tcBorders>
              <w:top w:val="single" w:color="auto" w:sz="4" w:space="0"/>
              <w:left w:val="single" w:color="auto" w:sz="4" w:space="0"/>
              <w:bottom w:val="single" w:color="auto" w:sz="4" w:space="0"/>
              <w:right w:val="nil"/>
            </w:tcBorders>
          </w:tcPr>
          <w:p w14:paraId="0C8E677B">
            <w:pPr>
              <w:spacing w:after="0"/>
              <w:rPr>
                <w:rFonts w:ascii="Times New Roman" w:hAnsi="Times New Roman" w:eastAsia="Times New Roman" w:cs="Times New Roman"/>
                <w:b/>
                <w:bCs/>
                <w:iCs/>
              </w:rPr>
            </w:pPr>
          </w:p>
        </w:tc>
        <w:tc>
          <w:tcPr>
            <w:tcW w:w="1350" w:type="dxa"/>
            <w:tcBorders>
              <w:top w:val="single" w:color="auto" w:sz="4" w:space="0"/>
              <w:left w:val="nil"/>
              <w:bottom w:val="single" w:color="auto" w:sz="4" w:space="0"/>
              <w:right w:val="nil"/>
            </w:tcBorders>
          </w:tcPr>
          <w:p w14:paraId="4E2491BB">
            <w:pPr>
              <w:spacing w:after="0"/>
              <w:jc w:val="center"/>
              <w:rPr>
                <w:rFonts w:ascii="Times New Roman" w:hAnsi="Times New Roman" w:eastAsia="Times New Roman" w:cs="Times New Roman"/>
                <w:b/>
                <w:bCs/>
                <w:iCs/>
              </w:rPr>
            </w:pPr>
            <w:r>
              <w:rPr>
                <w:rFonts w:ascii="Times New Roman" w:hAnsi="Times New Roman" w:eastAsia="Times New Roman" w:cs="Times New Roman"/>
                <w:b/>
                <w:bCs/>
                <w:iCs/>
              </w:rPr>
              <w:t xml:space="preserve">zone      of </w:t>
            </w:r>
          </w:p>
        </w:tc>
        <w:tc>
          <w:tcPr>
            <w:tcW w:w="2340" w:type="dxa"/>
            <w:tcBorders>
              <w:top w:val="single" w:color="auto" w:sz="4" w:space="0"/>
              <w:left w:val="nil"/>
              <w:bottom w:val="single" w:color="auto" w:sz="4" w:space="0"/>
              <w:right w:val="nil"/>
            </w:tcBorders>
          </w:tcPr>
          <w:p w14:paraId="6BF787AD">
            <w:pPr>
              <w:spacing w:after="0"/>
              <w:rPr>
                <w:rFonts w:ascii="Times New Roman" w:hAnsi="Times New Roman" w:eastAsia="Times New Roman" w:cs="Times New Roman"/>
                <w:b/>
                <w:bCs/>
                <w:iCs/>
              </w:rPr>
            </w:pPr>
            <w:r>
              <w:rPr>
                <w:rFonts w:ascii="Times New Roman" w:hAnsi="Times New Roman" w:eastAsia="Times New Roman" w:cs="Times New Roman"/>
                <w:b/>
                <w:bCs/>
                <w:iCs/>
              </w:rPr>
              <w:t>Inhibition (mm)</w:t>
            </w:r>
          </w:p>
        </w:tc>
        <w:tc>
          <w:tcPr>
            <w:tcW w:w="1350" w:type="dxa"/>
            <w:tcBorders>
              <w:top w:val="single" w:color="auto" w:sz="4" w:space="0"/>
              <w:left w:val="nil"/>
              <w:bottom w:val="single" w:color="auto" w:sz="4" w:space="0"/>
            </w:tcBorders>
          </w:tcPr>
          <w:p w14:paraId="121CE266">
            <w:pPr>
              <w:spacing w:after="0"/>
              <w:rPr>
                <w:rFonts w:ascii="Times New Roman" w:hAnsi="Times New Roman" w:eastAsia="Times New Roman" w:cs="Times New Roman"/>
                <w:b/>
                <w:bCs/>
                <w:i/>
                <w:iCs/>
              </w:rPr>
            </w:pPr>
          </w:p>
        </w:tc>
      </w:tr>
      <w:tr w14:paraId="0FAD4C2D">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1980" w:type="dxa"/>
            <w:tcBorders>
              <w:top w:val="nil"/>
              <w:bottom w:val="single" w:color="auto" w:sz="4" w:space="0"/>
              <w:right w:val="single" w:color="auto" w:sz="4" w:space="0"/>
            </w:tcBorders>
          </w:tcPr>
          <w:p w14:paraId="2C218BC6">
            <w:pPr>
              <w:spacing w:after="0"/>
              <w:rPr>
                <w:rFonts w:ascii="Times New Roman" w:hAnsi="Times New Roman" w:cs="Times New Roman"/>
                <w:b/>
                <w:bCs/>
                <w:color w:val="000000" w:themeColor="text1"/>
                <w14:textFill>
                  <w14:solidFill>
                    <w14:schemeClr w14:val="tx1"/>
                  </w14:solidFill>
                </w14:textFill>
              </w:rPr>
            </w:pPr>
            <w:r>
              <w:rPr>
                <w:rFonts w:ascii="Times New Roman" w:hAnsi="Times New Roman" w:cs="Times New Roman"/>
                <w:b/>
                <w:bCs/>
                <w:color w:val="000000" w:themeColor="text1"/>
                <w14:textFill>
                  <w14:solidFill>
                    <w14:schemeClr w14:val="tx1"/>
                  </w14:solidFill>
                </w14:textFill>
              </w:rPr>
              <w:t>Plant Extract</w:t>
            </w:r>
          </w:p>
        </w:tc>
        <w:tc>
          <w:tcPr>
            <w:tcW w:w="1685" w:type="dxa"/>
            <w:tcBorders>
              <w:top w:val="nil"/>
              <w:left w:val="single" w:color="auto" w:sz="4" w:space="0"/>
              <w:bottom w:val="single" w:color="auto" w:sz="4" w:space="0"/>
              <w:right w:val="single" w:color="auto" w:sz="4" w:space="0"/>
            </w:tcBorders>
          </w:tcPr>
          <w:p w14:paraId="1DFBE3CD">
            <w:pPr>
              <w:spacing w:after="0"/>
              <w:rPr>
                <w:rFonts w:ascii="Times New Roman" w:hAnsi="Times New Roman" w:cs="Times New Roman"/>
                <w:b/>
                <w:bCs/>
                <w:color w:val="000000" w:themeColor="text1"/>
                <w14:textFill>
                  <w14:solidFill>
                    <w14:schemeClr w14:val="tx1"/>
                  </w14:solidFill>
                </w14:textFill>
              </w:rPr>
            </w:pPr>
            <w:r>
              <w:rPr>
                <w:rFonts w:ascii="Times New Roman" w:hAnsi="Times New Roman" w:cs="Times New Roman"/>
                <w:b/>
                <w:bCs/>
                <w:color w:val="000000" w:themeColor="text1"/>
                <w14:textFill>
                  <w14:solidFill>
                    <w14:schemeClr w14:val="tx1"/>
                  </w14:solidFill>
                </w14:textFill>
              </w:rPr>
              <w:t>Extract Conc. (mg/ml)</w:t>
            </w:r>
          </w:p>
        </w:tc>
        <w:tc>
          <w:tcPr>
            <w:tcW w:w="1375" w:type="dxa"/>
            <w:tcBorders>
              <w:top w:val="single" w:color="auto" w:sz="4" w:space="0"/>
              <w:left w:val="single" w:color="auto" w:sz="4" w:space="0"/>
              <w:bottom w:val="single" w:color="auto" w:sz="4" w:space="0"/>
              <w:right w:val="single" w:color="auto" w:sz="4" w:space="0"/>
            </w:tcBorders>
          </w:tcPr>
          <w:p w14:paraId="635F0424">
            <w:pPr>
              <w:spacing w:after="0"/>
              <w:rPr>
                <w:rFonts w:ascii="Times New Roman" w:hAnsi="Times New Roman" w:cs="Times New Roman"/>
                <w:b/>
                <w:bCs/>
                <w:i/>
                <w:iCs/>
                <w:color w:val="000000" w:themeColor="text1"/>
                <w14:textFill>
                  <w14:solidFill>
                    <w14:schemeClr w14:val="tx1"/>
                  </w14:solidFill>
                </w14:textFill>
              </w:rPr>
            </w:pPr>
            <w:r>
              <w:rPr>
                <w:rFonts w:ascii="Times New Roman" w:hAnsi="Times New Roman" w:eastAsia="Times New Roman" w:cs="Times New Roman"/>
                <w:b/>
                <w:bCs/>
                <w:i/>
                <w:iCs/>
              </w:rPr>
              <w:t xml:space="preserve">Klebsiella </w:t>
            </w:r>
          </w:p>
        </w:tc>
        <w:tc>
          <w:tcPr>
            <w:tcW w:w="1350" w:type="dxa"/>
            <w:tcBorders>
              <w:top w:val="single" w:color="auto" w:sz="4" w:space="0"/>
              <w:left w:val="single" w:color="auto" w:sz="4" w:space="0"/>
              <w:bottom w:val="single" w:color="auto" w:sz="4" w:space="0"/>
              <w:right w:val="single" w:color="auto" w:sz="4" w:space="0"/>
            </w:tcBorders>
          </w:tcPr>
          <w:p w14:paraId="4F2EBCA8">
            <w:pPr>
              <w:spacing w:after="0"/>
              <w:rPr>
                <w:rFonts w:ascii="Times New Roman" w:hAnsi="Times New Roman" w:cs="Times New Roman"/>
                <w:b/>
                <w:bCs/>
                <w:i/>
                <w:iCs/>
                <w:color w:val="000000" w:themeColor="text1"/>
                <w14:textFill>
                  <w14:solidFill>
                    <w14:schemeClr w14:val="tx1"/>
                  </w14:solidFill>
                </w14:textFill>
              </w:rPr>
            </w:pPr>
            <w:r>
              <w:rPr>
                <w:rFonts w:ascii="Times New Roman" w:hAnsi="Times New Roman" w:eastAsia="Times New Roman" w:cs="Times New Roman"/>
                <w:b/>
                <w:bCs/>
                <w:i/>
                <w:iCs/>
              </w:rPr>
              <w:t xml:space="preserve">Bacillus </w:t>
            </w:r>
          </w:p>
        </w:tc>
        <w:tc>
          <w:tcPr>
            <w:tcW w:w="2340" w:type="dxa"/>
            <w:tcBorders>
              <w:top w:val="single" w:color="auto" w:sz="4" w:space="0"/>
              <w:left w:val="single" w:color="auto" w:sz="4" w:space="0"/>
              <w:bottom w:val="single" w:color="auto" w:sz="4" w:space="0"/>
              <w:right w:val="single" w:color="auto" w:sz="4" w:space="0"/>
            </w:tcBorders>
          </w:tcPr>
          <w:p w14:paraId="4F08623B">
            <w:pPr>
              <w:spacing w:after="0"/>
              <w:rPr>
                <w:rFonts w:ascii="Times New Roman" w:hAnsi="Times New Roman" w:cs="Times New Roman"/>
                <w:b/>
                <w:bCs/>
                <w:i/>
                <w:iCs/>
                <w:color w:val="000000" w:themeColor="text1"/>
                <w14:textFill>
                  <w14:solidFill>
                    <w14:schemeClr w14:val="tx1"/>
                  </w14:solidFill>
                </w14:textFill>
              </w:rPr>
            </w:pPr>
            <w:r>
              <w:rPr>
                <w:rFonts w:ascii="Times New Roman" w:hAnsi="Times New Roman" w:eastAsia="Times New Roman" w:cs="Times New Roman"/>
                <w:b/>
                <w:bCs/>
                <w:i/>
                <w:iCs/>
              </w:rPr>
              <w:t xml:space="preserve">Staphylococcus aureus </w:t>
            </w:r>
          </w:p>
        </w:tc>
        <w:tc>
          <w:tcPr>
            <w:tcW w:w="1350" w:type="dxa"/>
            <w:tcBorders>
              <w:top w:val="single" w:color="auto" w:sz="4" w:space="0"/>
              <w:left w:val="single" w:color="auto" w:sz="4" w:space="0"/>
              <w:bottom w:val="single" w:color="auto" w:sz="4" w:space="0"/>
            </w:tcBorders>
          </w:tcPr>
          <w:p w14:paraId="30B10385">
            <w:pPr>
              <w:spacing w:after="0"/>
              <w:rPr>
                <w:rFonts w:ascii="Times New Roman" w:hAnsi="Times New Roman" w:cs="Times New Roman"/>
                <w:b/>
                <w:bCs/>
                <w:i/>
                <w:iCs/>
                <w:color w:val="000000" w:themeColor="text1"/>
                <w14:textFill>
                  <w14:solidFill>
                    <w14:schemeClr w14:val="tx1"/>
                  </w14:solidFill>
                </w14:textFill>
              </w:rPr>
            </w:pPr>
            <w:r>
              <w:rPr>
                <w:rFonts w:ascii="Times New Roman" w:hAnsi="Times New Roman" w:eastAsia="Times New Roman" w:cs="Times New Roman"/>
                <w:b/>
                <w:bCs/>
                <w:i/>
                <w:iCs/>
              </w:rPr>
              <w:t xml:space="preserve">E. coli </w:t>
            </w:r>
          </w:p>
        </w:tc>
      </w:tr>
      <w:tr w14:paraId="293F4F70">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1980" w:type="dxa"/>
            <w:tcBorders>
              <w:top w:val="single" w:color="auto" w:sz="4" w:space="0"/>
              <w:bottom w:val="nil"/>
              <w:right w:val="nil"/>
            </w:tcBorders>
          </w:tcPr>
          <w:p w14:paraId="06500C8E">
            <w:pPr>
              <w:spacing w:after="0" w:line="276" w:lineRule="auto"/>
              <w:rPr>
                <w:rFonts w:ascii="Times New Roman" w:hAnsi="Times New Roman" w:eastAsia="Times New Roman" w:cs="Times New Roman"/>
                <w:i/>
                <w:iCs/>
                <w:color w:val="000000" w:themeColor="text1"/>
                <w14:textFill>
                  <w14:solidFill>
                    <w14:schemeClr w14:val="tx1"/>
                  </w14:solidFill>
                </w14:textFill>
              </w:rPr>
            </w:pPr>
            <w:r>
              <w:rPr>
                <w:rFonts w:ascii="Times New Roman" w:hAnsi="Times New Roman" w:eastAsia="Times New Roman" w:cs="Times New Roman"/>
                <w:i/>
                <w:iCs/>
                <w:color w:val="000000" w:themeColor="text1"/>
                <w14:textFill>
                  <w14:solidFill>
                    <w14:schemeClr w14:val="tx1"/>
                  </w14:solidFill>
                </w14:textFill>
              </w:rPr>
              <w:t>Boscia angustifolia</w:t>
            </w:r>
          </w:p>
        </w:tc>
        <w:tc>
          <w:tcPr>
            <w:tcW w:w="1685" w:type="dxa"/>
            <w:tcBorders>
              <w:top w:val="single" w:color="auto" w:sz="4" w:space="0"/>
              <w:left w:val="nil"/>
              <w:bottom w:val="nil"/>
              <w:right w:val="nil"/>
            </w:tcBorders>
          </w:tcPr>
          <w:p w14:paraId="47FE4B86">
            <w:pPr>
              <w:spacing w:after="0" w:line="276" w:lineRule="auto"/>
              <w:rPr>
                <w:rFonts w:ascii="Times New Roman" w:hAnsi="Times New Roman" w:cs="Times New Roman"/>
                <w:color w:val="000000" w:themeColor="text1"/>
                <w14:textFill>
                  <w14:solidFill>
                    <w14:schemeClr w14:val="tx1"/>
                  </w14:solidFill>
                </w14:textFill>
              </w:rPr>
            </w:pPr>
            <w:r>
              <w:rPr>
                <w:rFonts w:ascii="Times New Roman" w:hAnsi="Times New Roman" w:cs="Times New Roman"/>
                <w:color w:val="000000" w:themeColor="text1"/>
                <w14:textFill>
                  <w14:solidFill>
                    <w14:schemeClr w14:val="tx1"/>
                  </w14:solidFill>
                </w14:textFill>
              </w:rPr>
              <w:t xml:space="preserve">       40</w:t>
            </w:r>
          </w:p>
        </w:tc>
        <w:tc>
          <w:tcPr>
            <w:tcW w:w="1375" w:type="dxa"/>
            <w:tcBorders>
              <w:top w:val="single" w:color="auto" w:sz="4" w:space="0"/>
              <w:left w:val="nil"/>
              <w:bottom w:val="nil"/>
              <w:right w:val="nil"/>
            </w:tcBorders>
            <w:vAlign w:val="center"/>
          </w:tcPr>
          <w:p w14:paraId="01A42668">
            <w:pPr>
              <w:spacing w:after="0" w:line="276" w:lineRule="auto"/>
              <w:rPr>
                <w:rFonts w:ascii="Times New Roman" w:hAnsi="Times New Roman" w:cs="Times New Roman"/>
                <w:color w:val="000000" w:themeColor="text1"/>
                <w14:textFill>
                  <w14:solidFill>
                    <w14:schemeClr w14:val="tx1"/>
                  </w14:solidFill>
                </w14:textFill>
              </w:rPr>
            </w:pPr>
            <w:r>
              <w:rPr>
                <w:rFonts w:ascii="Times New Roman" w:hAnsi="Times New Roman" w:eastAsia="Times New Roman" w:cs="Times New Roman"/>
              </w:rPr>
              <w:t>12.7 ± 0.58*</w:t>
            </w:r>
          </w:p>
        </w:tc>
        <w:tc>
          <w:tcPr>
            <w:tcW w:w="1350" w:type="dxa"/>
            <w:tcBorders>
              <w:top w:val="single" w:color="auto" w:sz="4" w:space="0"/>
              <w:left w:val="nil"/>
              <w:bottom w:val="nil"/>
              <w:right w:val="nil"/>
            </w:tcBorders>
            <w:vAlign w:val="center"/>
          </w:tcPr>
          <w:p w14:paraId="11620547">
            <w:pPr>
              <w:spacing w:after="0" w:line="276" w:lineRule="auto"/>
              <w:rPr>
                <w:rFonts w:ascii="Times New Roman" w:hAnsi="Times New Roman" w:cs="Times New Roman"/>
                <w:color w:val="000000" w:themeColor="text1"/>
                <w14:textFill>
                  <w14:solidFill>
                    <w14:schemeClr w14:val="tx1"/>
                  </w14:solidFill>
                </w14:textFill>
              </w:rPr>
            </w:pPr>
            <w:r>
              <w:rPr>
                <w:rFonts w:ascii="Times New Roman" w:hAnsi="Times New Roman" w:eastAsia="Times New Roman" w:cs="Times New Roman"/>
              </w:rPr>
              <w:t>13.3 ± 0.58*</w:t>
            </w:r>
          </w:p>
        </w:tc>
        <w:tc>
          <w:tcPr>
            <w:tcW w:w="2340" w:type="dxa"/>
            <w:tcBorders>
              <w:top w:val="single" w:color="auto" w:sz="4" w:space="0"/>
              <w:left w:val="nil"/>
              <w:bottom w:val="nil"/>
              <w:right w:val="nil"/>
            </w:tcBorders>
            <w:vAlign w:val="center"/>
          </w:tcPr>
          <w:p w14:paraId="78712FAF">
            <w:pPr>
              <w:spacing w:after="0" w:line="276" w:lineRule="auto"/>
              <w:rPr>
                <w:rFonts w:ascii="Times New Roman" w:hAnsi="Times New Roman" w:cs="Times New Roman"/>
                <w:color w:val="000000" w:themeColor="text1"/>
                <w14:textFill>
                  <w14:solidFill>
                    <w14:schemeClr w14:val="tx1"/>
                  </w14:solidFill>
                </w14:textFill>
              </w:rPr>
            </w:pPr>
            <w:r>
              <w:rPr>
                <w:rFonts w:ascii="Times New Roman" w:hAnsi="Times New Roman" w:eastAsia="Times New Roman" w:cs="Times New Roman"/>
              </w:rPr>
              <w:t xml:space="preserve">                6.00±0.00</w:t>
            </w:r>
          </w:p>
        </w:tc>
        <w:tc>
          <w:tcPr>
            <w:tcW w:w="1350" w:type="dxa"/>
            <w:tcBorders>
              <w:top w:val="single" w:color="auto" w:sz="4" w:space="0"/>
              <w:left w:val="nil"/>
            </w:tcBorders>
            <w:vAlign w:val="center"/>
          </w:tcPr>
          <w:p w14:paraId="7AD253B8">
            <w:pPr>
              <w:spacing w:after="0" w:line="276" w:lineRule="auto"/>
              <w:rPr>
                <w:rFonts w:ascii="Times New Roman" w:hAnsi="Times New Roman" w:cs="Times New Roman"/>
                <w:color w:val="000000" w:themeColor="text1"/>
                <w14:textFill>
                  <w14:solidFill>
                    <w14:schemeClr w14:val="tx1"/>
                  </w14:solidFill>
                </w14:textFill>
              </w:rPr>
            </w:pPr>
            <w:r>
              <w:rPr>
                <w:rFonts w:ascii="Times New Roman" w:hAnsi="Times New Roman" w:eastAsia="Times New Roman" w:cs="Times New Roman"/>
              </w:rPr>
              <w:t xml:space="preserve">      6.00±0.00</w:t>
            </w:r>
          </w:p>
        </w:tc>
      </w:tr>
      <w:tr w14:paraId="16C04186">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1980" w:type="dxa"/>
            <w:tcBorders>
              <w:top w:val="nil"/>
              <w:bottom w:val="nil"/>
              <w:right w:val="nil"/>
            </w:tcBorders>
          </w:tcPr>
          <w:p w14:paraId="7CD74B7C">
            <w:pPr>
              <w:spacing w:after="0" w:line="276" w:lineRule="auto"/>
              <w:rPr>
                <w:rFonts w:ascii="Times New Roman" w:hAnsi="Times New Roman" w:cs="Times New Roman"/>
                <w:color w:val="000000" w:themeColor="text1"/>
                <w:sz w:val="24"/>
                <w:szCs w:val="24"/>
                <w14:textFill>
                  <w14:solidFill>
                    <w14:schemeClr w14:val="tx1"/>
                  </w14:solidFill>
                </w14:textFill>
              </w:rPr>
            </w:pPr>
          </w:p>
        </w:tc>
        <w:tc>
          <w:tcPr>
            <w:tcW w:w="1685" w:type="dxa"/>
            <w:tcBorders>
              <w:top w:val="nil"/>
              <w:left w:val="nil"/>
              <w:bottom w:val="nil"/>
              <w:right w:val="nil"/>
            </w:tcBorders>
          </w:tcPr>
          <w:p w14:paraId="6A77BF0B">
            <w:pPr>
              <w:spacing w:after="0" w:line="276" w:lineRule="auto"/>
              <w:rPr>
                <w:rFonts w:ascii="Times New Roman" w:hAnsi="Times New Roman" w:cs="Times New Roman"/>
                <w:color w:val="000000" w:themeColor="text1"/>
                <w14:textFill>
                  <w14:solidFill>
                    <w14:schemeClr w14:val="tx1"/>
                  </w14:solidFill>
                </w14:textFill>
              </w:rPr>
            </w:pPr>
            <w:r>
              <w:rPr>
                <w:rFonts w:ascii="Times New Roman" w:hAnsi="Times New Roman" w:cs="Times New Roman"/>
                <w:color w:val="000000" w:themeColor="text1"/>
                <w14:textFill>
                  <w14:solidFill>
                    <w14:schemeClr w14:val="tx1"/>
                  </w14:solidFill>
                </w14:textFill>
              </w:rPr>
              <w:t xml:space="preserve">       60</w:t>
            </w:r>
          </w:p>
        </w:tc>
        <w:tc>
          <w:tcPr>
            <w:tcW w:w="1375" w:type="dxa"/>
            <w:tcBorders>
              <w:top w:val="nil"/>
              <w:left w:val="nil"/>
              <w:bottom w:val="nil"/>
              <w:right w:val="nil"/>
            </w:tcBorders>
            <w:vAlign w:val="center"/>
          </w:tcPr>
          <w:p w14:paraId="0EE8F186">
            <w:pPr>
              <w:spacing w:after="0" w:line="276" w:lineRule="auto"/>
              <w:rPr>
                <w:rFonts w:ascii="Times New Roman" w:hAnsi="Times New Roman" w:cs="Times New Roman"/>
                <w:color w:val="000000" w:themeColor="text1"/>
                <w14:textFill>
                  <w14:solidFill>
                    <w14:schemeClr w14:val="tx1"/>
                  </w14:solidFill>
                </w14:textFill>
              </w:rPr>
            </w:pPr>
            <w:r>
              <w:rPr>
                <w:rFonts w:ascii="Times New Roman" w:hAnsi="Times New Roman" w:eastAsia="Times New Roman" w:cs="Times New Roman"/>
              </w:rPr>
              <w:t>13.7 ± 0.58*</w:t>
            </w:r>
          </w:p>
        </w:tc>
        <w:tc>
          <w:tcPr>
            <w:tcW w:w="1350" w:type="dxa"/>
            <w:tcBorders>
              <w:top w:val="nil"/>
              <w:left w:val="nil"/>
              <w:bottom w:val="nil"/>
              <w:right w:val="nil"/>
            </w:tcBorders>
            <w:vAlign w:val="center"/>
          </w:tcPr>
          <w:p w14:paraId="19866412">
            <w:pPr>
              <w:spacing w:after="0" w:line="276" w:lineRule="auto"/>
              <w:rPr>
                <w:rFonts w:ascii="Times New Roman" w:hAnsi="Times New Roman" w:cs="Times New Roman"/>
                <w:color w:val="000000" w:themeColor="text1"/>
                <w14:textFill>
                  <w14:solidFill>
                    <w14:schemeClr w14:val="tx1"/>
                  </w14:solidFill>
                </w14:textFill>
              </w:rPr>
            </w:pPr>
            <w:r>
              <w:rPr>
                <w:rFonts w:ascii="Times New Roman" w:hAnsi="Times New Roman" w:eastAsia="Times New Roman" w:cs="Times New Roman"/>
              </w:rPr>
              <w:t>16.3 ± 0.58*</w:t>
            </w:r>
          </w:p>
        </w:tc>
        <w:tc>
          <w:tcPr>
            <w:tcW w:w="2340" w:type="dxa"/>
            <w:tcBorders>
              <w:top w:val="nil"/>
              <w:left w:val="nil"/>
              <w:bottom w:val="nil"/>
              <w:right w:val="nil"/>
            </w:tcBorders>
            <w:vAlign w:val="center"/>
          </w:tcPr>
          <w:p w14:paraId="53B9B777">
            <w:pPr>
              <w:spacing w:after="0" w:line="276" w:lineRule="auto"/>
              <w:rPr>
                <w:rFonts w:ascii="Times New Roman" w:hAnsi="Times New Roman" w:cs="Times New Roman"/>
                <w:color w:val="000000" w:themeColor="text1"/>
                <w14:textFill>
                  <w14:solidFill>
                    <w14:schemeClr w14:val="tx1"/>
                  </w14:solidFill>
                </w14:textFill>
              </w:rPr>
            </w:pPr>
            <w:r>
              <w:rPr>
                <w:rFonts w:ascii="Times New Roman" w:hAnsi="Times New Roman" w:eastAsia="Times New Roman" w:cs="Times New Roman"/>
              </w:rPr>
              <w:t xml:space="preserve">                6.00±0.00</w:t>
            </w:r>
          </w:p>
        </w:tc>
        <w:tc>
          <w:tcPr>
            <w:tcW w:w="1350" w:type="dxa"/>
            <w:tcBorders>
              <w:left w:val="nil"/>
            </w:tcBorders>
            <w:vAlign w:val="center"/>
          </w:tcPr>
          <w:p w14:paraId="1EAF96A6">
            <w:pPr>
              <w:spacing w:after="0" w:line="276" w:lineRule="auto"/>
              <w:rPr>
                <w:rFonts w:ascii="Times New Roman" w:hAnsi="Times New Roman" w:cs="Times New Roman"/>
                <w:color w:val="000000" w:themeColor="text1"/>
                <w14:textFill>
                  <w14:solidFill>
                    <w14:schemeClr w14:val="tx1"/>
                  </w14:solidFill>
                </w14:textFill>
              </w:rPr>
            </w:pPr>
            <w:r>
              <w:rPr>
                <w:rFonts w:ascii="Times New Roman" w:hAnsi="Times New Roman" w:eastAsia="Times New Roman" w:cs="Times New Roman"/>
              </w:rPr>
              <w:t xml:space="preserve">      6.00±0.00</w:t>
            </w:r>
          </w:p>
        </w:tc>
      </w:tr>
      <w:tr w14:paraId="367EB459">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1980" w:type="dxa"/>
            <w:tcBorders>
              <w:top w:val="nil"/>
              <w:bottom w:val="nil"/>
              <w:right w:val="nil"/>
            </w:tcBorders>
          </w:tcPr>
          <w:p w14:paraId="689E7DBB">
            <w:pPr>
              <w:spacing w:after="0" w:line="276" w:lineRule="auto"/>
              <w:rPr>
                <w:rFonts w:ascii="Times New Roman" w:hAnsi="Times New Roman" w:cs="Times New Roman"/>
                <w:color w:val="000000" w:themeColor="text1"/>
                <w:sz w:val="24"/>
                <w:szCs w:val="24"/>
                <w14:textFill>
                  <w14:solidFill>
                    <w14:schemeClr w14:val="tx1"/>
                  </w14:solidFill>
                </w14:textFill>
              </w:rPr>
            </w:pPr>
          </w:p>
        </w:tc>
        <w:tc>
          <w:tcPr>
            <w:tcW w:w="1685" w:type="dxa"/>
            <w:tcBorders>
              <w:top w:val="nil"/>
              <w:left w:val="nil"/>
              <w:bottom w:val="nil"/>
              <w:right w:val="nil"/>
            </w:tcBorders>
          </w:tcPr>
          <w:p w14:paraId="3A4BC494">
            <w:pPr>
              <w:spacing w:after="0" w:line="276" w:lineRule="auto"/>
              <w:rPr>
                <w:rFonts w:ascii="Times New Roman" w:hAnsi="Times New Roman" w:cs="Times New Roman"/>
                <w:color w:val="000000" w:themeColor="text1"/>
                <w14:textFill>
                  <w14:solidFill>
                    <w14:schemeClr w14:val="tx1"/>
                  </w14:solidFill>
                </w14:textFill>
              </w:rPr>
            </w:pPr>
            <w:r>
              <w:rPr>
                <w:rFonts w:ascii="Times New Roman" w:hAnsi="Times New Roman" w:cs="Times New Roman"/>
                <w:color w:val="000000" w:themeColor="text1"/>
                <w14:textFill>
                  <w14:solidFill>
                    <w14:schemeClr w14:val="tx1"/>
                  </w14:solidFill>
                </w14:textFill>
              </w:rPr>
              <w:t xml:space="preserve">       80</w:t>
            </w:r>
          </w:p>
          <w:p w14:paraId="234A56C9">
            <w:pPr>
              <w:spacing w:after="0" w:line="276" w:lineRule="auto"/>
              <w:rPr>
                <w:rFonts w:ascii="Times New Roman" w:hAnsi="Times New Roman" w:cs="Times New Roman"/>
                <w:color w:val="000000" w:themeColor="text1"/>
                <w14:textFill>
                  <w14:solidFill>
                    <w14:schemeClr w14:val="tx1"/>
                  </w14:solidFill>
                </w14:textFill>
              </w:rPr>
            </w:pPr>
            <w:r>
              <w:rPr>
                <w:rFonts w:ascii="Times New Roman" w:hAnsi="Times New Roman" w:cs="Times New Roman"/>
                <w:color w:val="000000" w:themeColor="text1"/>
                <w14:textFill>
                  <w14:solidFill>
                    <w14:schemeClr w14:val="tx1"/>
                  </w14:solidFill>
                </w14:textFill>
              </w:rPr>
              <w:t xml:space="preserve">       </w:t>
            </w:r>
          </w:p>
        </w:tc>
        <w:tc>
          <w:tcPr>
            <w:tcW w:w="1375" w:type="dxa"/>
            <w:tcBorders>
              <w:top w:val="nil"/>
              <w:left w:val="nil"/>
              <w:bottom w:val="nil"/>
              <w:right w:val="nil"/>
            </w:tcBorders>
            <w:vAlign w:val="center"/>
          </w:tcPr>
          <w:p w14:paraId="75F02D6A">
            <w:pPr>
              <w:spacing w:after="0" w:line="276" w:lineRule="auto"/>
              <w:rPr>
                <w:rFonts w:ascii="Times New Roman" w:hAnsi="Times New Roman" w:cs="Times New Roman"/>
                <w:color w:val="000000" w:themeColor="text1"/>
                <w14:textFill>
                  <w14:solidFill>
                    <w14:schemeClr w14:val="tx1"/>
                  </w14:solidFill>
                </w14:textFill>
              </w:rPr>
            </w:pPr>
            <w:r>
              <w:rPr>
                <w:rFonts w:ascii="Times New Roman" w:hAnsi="Times New Roman" w:eastAsia="Times New Roman" w:cs="Times New Roman"/>
              </w:rPr>
              <w:t>18.0 ± 1.00*</w:t>
            </w:r>
          </w:p>
        </w:tc>
        <w:tc>
          <w:tcPr>
            <w:tcW w:w="1350" w:type="dxa"/>
            <w:tcBorders>
              <w:top w:val="nil"/>
              <w:left w:val="nil"/>
              <w:bottom w:val="nil"/>
              <w:right w:val="nil"/>
            </w:tcBorders>
            <w:vAlign w:val="center"/>
          </w:tcPr>
          <w:p w14:paraId="1A0B37E4">
            <w:pPr>
              <w:spacing w:after="0" w:line="276" w:lineRule="auto"/>
              <w:rPr>
                <w:rFonts w:ascii="Times New Roman" w:hAnsi="Times New Roman" w:cs="Times New Roman"/>
                <w:color w:val="000000" w:themeColor="text1"/>
                <w14:textFill>
                  <w14:solidFill>
                    <w14:schemeClr w14:val="tx1"/>
                  </w14:solidFill>
                </w14:textFill>
              </w:rPr>
            </w:pPr>
            <w:r>
              <w:rPr>
                <w:rFonts w:ascii="Times New Roman" w:hAnsi="Times New Roman" w:eastAsia="Times New Roman" w:cs="Times New Roman"/>
              </w:rPr>
              <w:t>18.0 ± 1.00*</w:t>
            </w:r>
          </w:p>
        </w:tc>
        <w:tc>
          <w:tcPr>
            <w:tcW w:w="2340" w:type="dxa"/>
            <w:tcBorders>
              <w:top w:val="nil"/>
              <w:left w:val="nil"/>
              <w:bottom w:val="nil"/>
              <w:right w:val="nil"/>
            </w:tcBorders>
            <w:vAlign w:val="center"/>
          </w:tcPr>
          <w:p w14:paraId="3B6BED63">
            <w:pPr>
              <w:spacing w:after="0" w:line="276" w:lineRule="auto"/>
              <w:rPr>
                <w:rFonts w:ascii="Times New Roman" w:hAnsi="Times New Roman" w:cs="Times New Roman"/>
                <w:color w:val="000000" w:themeColor="text1"/>
                <w14:textFill>
                  <w14:solidFill>
                    <w14:schemeClr w14:val="tx1"/>
                  </w14:solidFill>
                </w14:textFill>
              </w:rPr>
            </w:pPr>
            <w:r>
              <w:rPr>
                <w:rFonts w:ascii="Times New Roman" w:hAnsi="Times New Roman" w:eastAsia="Times New Roman" w:cs="Times New Roman"/>
              </w:rPr>
              <w:t xml:space="preserve">                6.00±0.00</w:t>
            </w:r>
          </w:p>
        </w:tc>
        <w:tc>
          <w:tcPr>
            <w:tcW w:w="1350" w:type="dxa"/>
            <w:tcBorders>
              <w:left w:val="nil"/>
            </w:tcBorders>
            <w:vAlign w:val="center"/>
          </w:tcPr>
          <w:p w14:paraId="304C2B2C">
            <w:pPr>
              <w:spacing w:after="0" w:line="276" w:lineRule="auto"/>
              <w:rPr>
                <w:rFonts w:ascii="Times New Roman" w:hAnsi="Times New Roman" w:cs="Times New Roman"/>
                <w:color w:val="000000" w:themeColor="text1"/>
                <w14:textFill>
                  <w14:solidFill>
                    <w14:schemeClr w14:val="tx1"/>
                  </w14:solidFill>
                </w14:textFill>
              </w:rPr>
            </w:pPr>
            <w:r>
              <w:rPr>
                <w:rFonts w:ascii="Times New Roman" w:hAnsi="Times New Roman" w:eastAsia="Times New Roman" w:cs="Times New Roman"/>
              </w:rPr>
              <w:t xml:space="preserve">      6.00±0.00</w:t>
            </w:r>
          </w:p>
        </w:tc>
      </w:tr>
      <w:tr w14:paraId="29878417">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1980" w:type="dxa"/>
            <w:tcBorders>
              <w:top w:val="nil"/>
              <w:bottom w:val="nil"/>
              <w:right w:val="nil"/>
            </w:tcBorders>
          </w:tcPr>
          <w:p w14:paraId="35D99BD1">
            <w:pPr>
              <w:spacing w:after="0" w:line="276" w:lineRule="auto"/>
              <w:rPr>
                <w:rFonts w:ascii="Times New Roman" w:hAnsi="Times New Roman" w:cs="Times New Roman"/>
                <w:color w:val="000000" w:themeColor="text1"/>
                <w14:textFill>
                  <w14:solidFill>
                    <w14:schemeClr w14:val="tx1"/>
                  </w14:solidFill>
                </w14:textFill>
              </w:rPr>
            </w:pPr>
            <w:r>
              <w:rPr>
                <w:rFonts w:ascii="Times New Roman" w:hAnsi="Times New Roman" w:eastAsia="Times New Roman" w:cs="Times New Roman"/>
              </w:rPr>
              <w:t>Positive Control (Ciprofloxacin)</w:t>
            </w:r>
          </w:p>
        </w:tc>
        <w:tc>
          <w:tcPr>
            <w:tcW w:w="1685" w:type="dxa"/>
            <w:tcBorders>
              <w:top w:val="nil"/>
              <w:left w:val="nil"/>
              <w:bottom w:val="nil"/>
              <w:right w:val="nil"/>
            </w:tcBorders>
          </w:tcPr>
          <w:p w14:paraId="783B6076">
            <w:pPr>
              <w:spacing w:after="0" w:line="276" w:lineRule="auto"/>
              <w:rPr>
                <w:rFonts w:ascii="Times New Roman" w:hAnsi="Times New Roman" w:cs="Times New Roman"/>
                <w:color w:val="000000" w:themeColor="text1"/>
                <w14:textFill>
                  <w14:solidFill>
                    <w14:schemeClr w14:val="tx1"/>
                  </w14:solidFill>
                </w14:textFill>
              </w:rPr>
            </w:pPr>
          </w:p>
        </w:tc>
        <w:tc>
          <w:tcPr>
            <w:tcW w:w="1375" w:type="dxa"/>
            <w:tcBorders>
              <w:top w:val="nil"/>
              <w:left w:val="nil"/>
              <w:bottom w:val="nil"/>
              <w:right w:val="nil"/>
            </w:tcBorders>
            <w:vAlign w:val="center"/>
          </w:tcPr>
          <w:p w14:paraId="18F09045">
            <w:pPr>
              <w:spacing w:after="0" w:line="276" w:lineRule="auto"/>
              <w:rPr>
                <w:rFonts w:ascii="Times New Roman" w:hAnsi="Times New Roman" w:cs="Times New Roman"/>
                <w:color w:val="000000" w:themeColor="text1"/>
                <w14:textFill>
                  <w14:solidFill>
                    <w14:schemeClr w14:val="tx1"/>
                  </w14:solidFill>
                </w14:textFill>
              </w:rPr>
            </w:pPr>
            <w:r>
              <w:rPr>
                <w:rFonts w:ascii="Times New Roman" w:hAnsi="Times New Roman" w:eastAsia="Times New Roman" w:cs="Times New Roman"/>
              </w:rPr>
              <w:t>42.7 ± 1.53*</w:t>
            </w:r>
          </w:p>
        </w:tc>
        <w:tc>
          <w:tcPr>
            <w:tcW w:w="1350" w:type="dxa"/>
            <w:tcBorders>
              <w:top w:val="nil"/>
              <w:left w:val="nil"/>
              <w:bottom w:val="nil"/>
              <w:right w:val="nil"/>
            </w:tcBorders>
            <w:vAlign w:val="center"/>
          </w:tcPr>
          <w:p w14:paraId="5FDB7537">
            <w:pPr>
              <w:spacing w:after="0" w:line="276" w:lineRule="auto"/>
              <w:rPr>
                <w:rFonts w:ascii="Times New Roman" w:hAnsi="Times New Roman" w:cs="Times New Roman"/>
                <w:color w:val="000000" w:themeColor="text1"/>
                <w14:textFill>
                  <w14:solidFill>
                    <w14:schemeClr w14:val="tx1"/>
                  </w14:solidFill>
                </w14:textFill>
              </w:rPr>
            </w:pPr>
            <w:r>
              <w:rPr>
                <w:rFonts w:ascii="Times New Roman" w:hAnsi="Times New Roman" w:eastAsia="Times New Roman" w:cs="Times New Roman"/>
              </w:rPr>
              <w:t>43.7 ± 1.15*</w:t>
            </w:r>
          </w:p>
        </w:tc>
        <w:tc>
          <w:tcPr>
            <w:tcW w:w="2340" w:type="dxa"/>
            <w:tcBorders>
              <w:top w:val="nil"/>
              <w:left w:val="nil"/>
              <w:bottom w:val="nil"/>
              <w:right w:val="nil"/>
            </w:tcBorders>
            <w:vAlign w:val="center"/>
          </w:tcPr>
          <w:p w14:paraId="012CAA22">
            <w:pPr>
              <w:spacing w:after="0" w:line="276" w:lineRule="auto"/>
              <w:rPr>
                <w:rFonts w:ascii="Times New Roman" w:hAnsi="Times New Roman" w:cs="Times New Roman"/>
                <w:color w:val="000000" w:themeColor="text1"/>
                <w14:textFill>
                  <w14:solidFill>
                    <w14:schemeClr w14:val="tx1"/>
                  </w14:solidFill>
                </w14:textFill>
              </w:rPr>
            </w:pPr>
            <w:r>
              <w:rPr>
                <w:rFonts w:ascii="Times New Roman" w:hAnsi="Times New Roman" w:eastAsia="Times New Roman" w:cs="Times New Roman"/>
              </w:rPr>
              <w:t xml:space="preserve">           51.7 ± 1.53*</w:t>
            </w:r>
          </w:p>
        </w:tc>
        <w:tc>
          <w:tcPr>
            <w:tcW w:w="1350" w:type="dxa"/>
            <w:tcBorders>
              <w:left w:val="nil"/>
            </w:tcBorders>
            <w:vAlign w:val="center"/>
          </w:tcPr>
          <w:p w14:paraId="0FEE4792">
            <w:pPr>
              <w:spacing w:after="0" w:line="276" w:lineRule="auto"/>
              <w:rPr>
                <w:rFonts w:ascii="Times New Roman" w:hAnsi="Times New Roman" w:cs="Times New Roman"/>
                <w:color w:val="000000" w:themeColor="text1"/>
                <w14:textFill>
                  <w14:solidFill>
                    <w14:schemeClr w14:val="tx1"/>
                  </w14:solidFill>
                </w14:textFill>
              </w:rPr>
            </w:pPr>
            <w:r>
              <w:rPr>
                <w:rFonts w:ascii="Times New Roman" w:hAnsi="Times New Roman" w:eastAsia="Times New Roman" w:cs="Times New Roman"/>
              </w:rPr>
              <w:t>28.3 ± 0.58*</w:t>
            </w:r>
          </w:p>
        </w:tc>
      </w:tr>
      <w:tr w14:paraId="138AACE5">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1980" w:type="dxa"/>
            <w:tcBorders>
              <w:top w:val="nil"/>
              <w:bottom w:val="single" w:color="auto" w:sz="4" w:space="0"/>
              <w:right w:val="nil"/>
            </w:tcBorders>
          </w:tcPr>
          <w:p w14:paraId="4EE32080">
            <w:pPr>
              <w:spacing w:after="0" w:line="276" w:lineRule="auto"/>
              <w:rPr>
                <w:rFonts w:ascii="Times New Roman" w:hAnsi="Times New Roman" w:cs="Times New Roman"/>
                <w:color w:val="000000" w:themeColor="text1"/>
                <w14:textFill>
                  <w14:solidFill>
                    <w14:schemeClr w14:val="tx1"/>
                  </w14:solidFill>
                </w14:textFill>
              </w:rPr>
            </w:pPr>
            <w:r>
              <w:rPr>
                <w:rFonts w:ascii="Times New Roman" w:hAnsi="Times New Roman" w:eastAsia="Times New Roman" w:cs="Times New Roman"/>
              </w:rPr>
              <w:t>Negative Control (DMSO/Distilled water)</w:t>
            </w:r>
          </w:p>
        </w:tc>
        <w:tc>
          <w:tcPr>
            <w:tcW w:w="1685" w:type="dxa"/>
            <w:tcBorders>
              <w:top w:val="nil"/>
              <w:left w:val="nil"/>
              <w:bottom w:val="single" w:color="auto" w:sz="4" w:space="0"/>
              <w:right w:val="nil"/>
            </w:tcBorders>
          </w:tcPr>
          <w:p w14:paraId="7A62B20A">
            <w:pPr>
              <w:spacing w:after="0" w:line="276" w:lineRule="auto"/>
              <w:rPr>
                <w:rFonts w:ascii="Times New Roman" w:hAnsi="Times New Roman" w:cs="Times New Roman"/>
                <w:color w:val="000000" w:themeColor="text1"/>
                <w14:textFill>
                  <w14:solidFill>
                    <w14:schemeClr w14:val="tx1"/>
                  </w14:solidFill>
                </w14:textFill>
              </w:rPr>
            </w:pPr>
          </w:p>
        </w:tc>
        <w:tc>
          <w:tcPr>
            <w:tcW w:w="1375" w:type="dxa"/>
            <w:tcBorders>
              <w:top w:val="nil"/>
              <w:left w:val="nil"/>
              <w:bottom w:val="single" w:color="auto" w:sz="4" w:space="0"/>
              <w:right w:val="nil"/>
            </w:tcBorders>
            <w:vAlign w:val="center"/>
          </w:tcPr>
          <w:p w14:paraId="37552291">
            <w:pPr>
              <w:spacing w:after="0" w:line="276" w:lineRule="auto"/>
              <w:rPr>
                <w:rFonts w:ascii="Times New Roman" w:hAnsi="Times New Roman" w:cs="Times New Roman"/>
                <w:color w:val="000000" w:themeColor="text1"/>
                <w14:textFill>
                  <w14:solidFill>
                    <w14:schemeClr w14:val="tx1"/>
                  </w14:solidFill>
                </w14:textFill>
              </w:rPr>
            </w:pPr>
            <w:r>
              <w:rPr>
                <w:rFonts w:ascii="Times New Roman" w:hAnsi="Times New Roman" w:eastAsia="Times New Roman" w:cs="Times New Roman"/>
              </w:rPr>
              <w:t xml:space="preserve">      6.00±0.00</w:t>
            </w:r>
          </w:p>
        </w:tc>
        <w:tc>
          <w:tcPr>
            <w:tcW w:w="1350" w:type="dxa"/>
            <w:tcBorders>
              <w:top w:val="nil"/>
              <w:left w:val="nil"/>
              <w:bottom w:val="single" w:color="auto" w:sz="4" w:space="0"/>
              <w:right w:val="nil"/>
            </w:tcBorders>
            <w:vAlign w:val="center"/>
          </w:tcPr>
          <w:p w14:paraId="581BF51B">
            <w:pPr>
              <w:spacing w:after="0" w:line="276" w:lineRule="auto"/>
              <w:rPr>
                <w:rFonts w:ascii="Times New Roman" w:hAnsi="Times New Roman" w:cs="Times New Roman"/>
                <w:color w:val="000000" w:themeColor="text1"/>
                <w14:textFill>
                  <w14:solidFill>
                    <w14:schemeClr w14:val="tx1"/>
                  </w14:solidFill>
                </w14:textFill>
              </w:rPr>
            </w:pPr>
            <w:r>
              <w:rPr>
                <w:rFonts w:ascii="Times New Roman" w:hAnsi="Times New Roman" w:eastAsia="Times New Roman" w:cs="Times New Roman"/>
              </w:rPr>
              <w:t xml:space="preserve">     6.00±0.00</w:t>
            </w:r>
          </w:p>
        </w:tc>
        <w:tc>
          <w:tcPr>
            <w:tcW w:w="2340" w:type="dxa"/>
            <w:tcBorders>
              <w:top w:val="nil"/>
              <w:left w:val="nil"/>
              <w:bottom w:val="single" w:color="auto" w:sz="4" w:space="0"/>
              <w:right w:val="nil"/>
            </w:tcBorders>
            <w:vAlign w:val="center"/>
          </w:tcPr>
          <w:p w14:paraId="4397043F">
            <w:pPr>
              <w:spacing w:after="0" w:line="276" w:lineRule="auto"/>
              <w:rPr>
                <w:rFonts w:ascii="Times New Roman" w:hAnsi="Times New Roman" w:eastAsia="Times New Roman" w:cs="Times New Roman"/>
              </w:rPr>
            </w:pPr>
            <w:r>
              <w:rPr>
                <w:rFonts w:ascii="Times New Roman" w:hAnsi="Times New Roman" w:eastAsia="Times New Roman" w:cs="Times New Roman"/>
              </w:rPr>
              <w:t xml:space="preserve">              6.00±0.00</w:t>
            </w:r>
          </w:p>
        </w:tc>
        <w:tc>
          <w:tcPr>
            <w:tcW w:w="1350" w:type="dxa"/>
            <w:tcBorders>
              <w:left w:val="nil"/>
              <w:bottom w:val="single" w:color="auto" w:sz="4" w:space="0"/>
            </w:tcBorders>
            <w:vAlign w:val="center"/>
          </w:tcPr>
          <w:p w14:paraId="7E349C1B">
            <w:pPr>
              <w:spacing w:after="0" w:line="276" w:lineRule="auto"/>
              <w:rPr>
                <w:rFonts w:ascii="Times New Roman" w:hAnsi="Times New Roman" w:cs="Times New Roman"/>
                <w:color w:val="000000" w:themeColor="text1"/>
                <w14:textFill>
                  <w14:solidFill>
                    <w14:schemeClr w14:val="tx1"/>
                  </w14:solidFill>
                </w14:textFill>
              </w:rPr>
            </w:pPr>
            <w:r>
              <w:rPr>
                <w:rFonts w:ascii="Times New Roman" w:hAnsi="Times New Roman" w:eastAsia="Times New Roman" w:cs="Times New Roman"/>
              </w:rPr>
              <w:t xml:space="preserve">       6.00±0.00</w:t>
            </w:r>
          </w:p>
        </w:tc>
      </w:tr>
    </w:tbl>
    <w:p w14:paraId="4CBFF22A">
      <w:pPr>
        <w:rPr>
          <w:rFonts w:ascii="Times New Roman" w:hAnsi="Times New Roman" w:cs="Times New Roman"/>
          <w:bCs/>
          <w:color w:val="000000" w:themeColor="text1"/>
          <w:sz w:val="20"/>
          <w:szCs w:val="20"/>
          <w14:textFill>
            <w14:solidFill>
              <w14:schemeClr w14:val="tx1"/>
            </w14:solidFill>
          </w14:textFill>
        </w:rPr>
      </w:pPr>
      <w:r>
        <w:rPr>
          <w:rFonts w:ascii="Times New Roman" w:hAnsi="Times New Roman" w:cs="Times New Roman"/>
          <w:b/>
          <w:bCs/>
          <w:color w:val="000000" w:themeColor="text1"/>
          <w:sz w:val="20"/>
          <w:szCs w:val="20"/>
          <w14:textFill>
            <w14:solidFill>
              <w14:schemeClr w14:val="tx1"/>
            </w14:solidFill>
          </w14:textFill>
        </w:rPr>
        <w:t xml:space="preserve">*= </w:t>
      </w:r>
      <w:r>
        <w:rPr>
          <w:rFonts w:ascii="Times New Roman" w:hAnsi="Times New Roman" w:cs="Times New Roman"/>
          <w:bCs/>
          <w:color w:val="000000" w:themeColor="text1"/>
          <w:sz w:val="20"/>
          <w:szCs w:val="20"/>
          <w14:textFill>
            <w14:solidFill>
              <w14:schemeClr w14:val="tx1"/>
            </w14:solidFill>
          </w14:textFill>
        </w:rPr>
        <w:t>Significantly different from the negative control (p&lt;0.05) by using analysis of variance, Spss software, version 20.</w:t>
      </w:r>
    </w:p>
    <w:p w14:paraId="25CB0ED2">
      <w:pPr>
        <w:tabs>
          <w:tab w:val="left" w:pos="6840"/>
        </w:tabs>
        <w:rPr>
          <w:rFonts w:ascii="Times New Roman" w:hAnsi="Times New Roman" w:cs="Times New Roman"/>
          <w:bCs/>
          <w:color w:val="000000" w:themeColor="text1"/>
          <w:sz w:val="20"/>
          <w:szCs w:val="20"/>
          <w14:textFill>
            <w14:solidFill>
              <w14:schemeClr w14:val="tx1"/>
            </w14:solidFill>
          </w14:textFill>
        </w:rPr>
      </w:pPr>
      <w:r>
        <w:rPr>
          <w:rFonts w:ascii="Times New Roman" w:hAnsi="Times New Roman" w:cs="Times New Roman"/>
          <w:bCs/>
          <w:color w:val="000000" w:themeColor="text1"/>
          <w:sz w:val="20"/>
          <w:szCs w:val="20"/>
          <w14:textFill>
            <w14:solidFill>
              <w14:schemeClr w14:val="tx1"/>
            </w14:solidFill>
          </w14:textFill>
        </w:rPr>
        <w:t>Values are mean ± standard deviation of (n=3)</w:t>
      </w:r>
    </w:p>
    <w:p w14:paraId="3577ECCD">
      <w:pPr>
        <w:tabs>
          <w:tab w:val="left" w:pos="6840"/>
        </w:tabs>
        <w:rPr>
          <w:rFonts w:ascii="Times New Roman" w:hAnsi="Times New Roman" w:cs="Times New Roman"/>
          <w:bCs/>
          <w:color w:val="000000" w:themeColor="text1"/>
          <w:sz w:val="24"/>
          <w:szCs w:val="24"/>
          <w14:textFill>
            <w14:solidFill>
              <w14:schemeClr w14:val="tx1"/>
            </w14:solidFill>
          </w14:textFill>
        </w:rPr>
      </w:pPr>
      <w:r>
        <w:rPr>
          <w:rFonts w:ascii="Times New Roman" w:hAnsi="Times New Roman" w:cs="Times New Roman"/>
          <w:bCs/>
          <w:color w:val="000000" w:themeColor="text1"/>
          <w:sz w:val="20"/>
          <w:szCs w:val="20"/>
          <w14:textFill>
            <w14:solidFill>
              <w14:schemeClr w14:val="tx1"/>
            </w14:solidFill>
          </w14:textFill>
        </w:rPr>
        <w:t>Values greater than 6mm indicated some activity.</w:t>
      </w:r>
      <w:r>
        <w:rPr>
          <w:rFonts w:ascii="Times New Roman" w:hAnsi="Times New Roman" w:cs="Times New Roman"/>
          <w:bCs/>
          <w:color w:val="000000" w:themeColor="text1"/>
          <w:sz w:val="24"/>
          <w:szCs w:val="24"/>
          <w14:textFill>
            <w14:solidFill>
              <w14:schemeClr w14:val="tx1"/>
            </w14:solidFill>
          </w14:textFill>
        </w:rPr>
        <w:tab/>
      </w:r>
    </w:p>
    <w:p w14:paraId="66A84874">
      <w:pPr>
        <w:spacing w:line="278" w:lineRule="auto"/>
        <w:rPr>
          <w:rFonts w:asciiTheme="majorBidi" w:hAnsiTheme="majorBidi" w:cstheme="majorBidi"/>
          <w:sz w:val="24"/>
          <w:szCs w:val="24"/>
        </w:rPr>
      </w:pPr>
      <w:r>
        <w:rPr>
          <w:rFonts w:asciiTheme="majorBidi" w:hAnsiTheme="majorBidi" w:cstheme="majorBidi"/>
          <w:sz w:val="24"/>
          <w:szCs w:val="24"/>
        </w:rPr>
        <w:br w:type="page"/>
      </w:r>
    </w:p>
    <w:p w14:paraId="696AB2E2">
      <w:pPr>
        <w:tabs>
          <w:tab w:val="left" w:pos="6840"/>
        </w:tabs>
        <w:spacing w:before="240" w:after="0" w:line="480" w:lineRule="auto"/>
        <w:jc w:val="both"/>
        <w:rPr>
          <w:rFonts w:asciiTheme="majorBidi" w:hAnsiTheme="majorBidi" w:cstheme="majorBidi"/>
          <w:bCs/>
          <w:color w:val="000000" w:themeColor="text1"/>
          <w:sz w:val="24"/>
          <w:szCs w:val="24"/>
          <w14:textFill>
            <w14:solidFill>
              <w14:schemeClr w14:val="tx1"/>
            </w14:solidFill>
          </w14:textFill>
        </w:rPr>
      </w:pPr>
      <w:r>
        <w:rPr>
          <w:rFonts w:asciiTheme="majorBidi" w:hAnsiTheme="majorBidi" w:cstheme="majorBidi"/>
          <w:sz w:val="24"/>
          <w:szCs w:val="24"/>
        </w:rPr>
        <w:t xml:space="preserve">The antibacterial evaluation of </w:t>
      </w:r>
      <w:r>
        <w:rPr>
          <w:rStyle w:val="15"/>
          <w:rFonts w:asciiTheme="majorBidi" w:hAnsiTheme="majorBidi" w:cstheme="majorBidi"/>
          <w:sz w:val="24"/>
          <w:szCs w:val="24"/>
        </w:rPr>
        <w:t>Boscia angustifolia</w:t>
      </w:r>
      <w:r>
        <w:rPr>
          <w:rFonts w:asciiTheme="majorBidi" w:hAnsiTheme="majorBidi" w:cstheme="majorBidi"/>
          <w:sz w:val="24"/>
          <w:szCs w:val="24"/>
        </w:rPr>
        <w:t xml:space="preserve"> extract showed concentration-dependent inhibitory activity against </w:t>
      </w:r>
      <w:r>
        <w:rPr>
          <w:rStyle w:val="20"/>
          <w:rFonts w:asciiTheme="majorBidi" w:hAnsiTheme="majorBidi" w:cstheme="majorBidi"/>
          <w:b w:val="0"/>
          <w:bCs w:val="0"/>
          <w:sz w:val="24"/>
          <w:szCs w:val="24"/>
        </w:rPr>
        <w:t>Klebsiella</w:t>
      </w:r>
      <w:r>
        <w:rPr>
          <w:rFonts w:asciiTheme="majorBidi" w:hAnsiTheme="majorBidi" w:cstheme="majorBidi"/>
          <w:b/>
          <w:bCs/>
          <w:sz w:val="24"/>
          <w:szCs w:val="24"/>
        </w:rPr>
        <w:t xml:space="preserve"> </w:t>
      </w:r>
      <w:r>
        <w:rPr>
          <w:rFonts w:asciiTheme="majorBidi" w:hAnsiTheme="majorBidi" w:cstheme="majorBidi"/>
          <w:sz w:val="24"/>
          <w:szCs w:val="24"/>
        </w:rPr>
        <w:t>and</w:t>
      </w:r>
      <w:r>
        <w:rPr>
          <w:rFonts w:asciiTheme="majorBidi" w:hAnsiTheme="majorBidi" w:cstheme="majorBidi"/>
          <w:b/>
          <w:bCs/>
          <w:sz w:val="24"/>
          <w:szCs w:val="24"/>
        </w:rPr>
        <w:t xml:space="preserve"> </w:t>
      </w:r>
      <w:r>
        <w:rPr>
          <w:rStyle w:val="20"/>
          <w:rFonts w:asciiTheme="majorBidi" w:hAnsiTheme="majorBidi" w:cstheme="majorBidi"/>
          <w:b w:val="0"/>
          <w:bCs w:val="0"/>
          <w:sz w:val="24"/>
          <w:szCs w:val="24"/>
        </w:rPr>
        <w:t>Bacillus</w:t>
      </w:r>
      <w:r>
        <w:rPr>
          <w:rFonts w:asciiTheme="majorBidi" w:hAnsiTheme="majorBidi" w:cstheme="majorBidi"/>
          <w:sz w:val="24"/>
          <w:szCs w:val="24"/>
        </w:rPr>
        <w:t xml:space="preserve"> species, with mean inhibition zones ranging from </w:t>
      </w:r>
      <w:r>
        <w:rPr>
          <w:rStyle w:val="20"/>
          <w:rFonts w:asciiTheme="majorBidi" w:hAnsiTheme="majorBidi" w:cstheme="majorBidi"/>
          <w:b w:val="0"/>
          <w:bCs w:val="0"/>
          <w:sz w:val="24"/>
          <w:szCs w:val="24"/>
        </w:rPr>
        <w:t>12.7 ± 0.58 mm to 18.0 ± 1.00 mm</w:t>
      </w:r>
      <w:r>
        <w:rPr>
          <w:rFonts w:asciiTheme="majorBidi" w:hAnsiTheme="majorBidi" w:cstheme="majorBidi"/>
          <w:b/>
          <w:bCs/>
          <w:sz w:val="24"/>
          <w:szCs w:val="24"/>
        </w:rPr>
        <w:t>.</w:t>
      </w:r>
      <w:r>
        <w:rPr>
          <w:rFonts w:asciiTheme="majorBidi" w:hAnsiTheme="majorBidi" w:cstheme="majorBidi"/>
          <w:sz w:val="24"/>
          <w:szCs w:val="24"/>
        </w:rPr>
        <w:t xml:space="preserve"> No inhibition was observed against </w:t>
      </w:r>
      <w:r>
        <w:rPr>
          <w:rStyle w:val="20"/>
          <w:rFonts w:asciiTheme="majorBidi" w:hAnsiTheme="majorBidi" w:cstheme="majorBidi"/>
          <w:b w:val="0"/>
          <w:bCs w:val="0"/>
          <w:i/>
          <w:iCs/>
          <w:sz w:val="24"/>
          <w:szCs w:val="24"/>
        </w:rPr>
        <w:t>Staphylococcus aureus</w:t>
      </w:r>
      <w:r>
        <w:rPr>
          <w:rFonts w:asciiTheme="majorBidi" w:hAnsiTheme="majorBidi" w:cstheme="majorBidi"/>
          <w:i/>
          <w:iCs/>
          <w:sz w:val="24"/>
          <w:szCs w:val="24"/>
        </w:rPr>
        <w:t xml:space="preserve"> </w:t>
      </w:r>
      <w:r>
        <w:rPr>
          <w:rFonts w:asciiTheme="majorBidi" w:hAnsiTheme="majorBidi" w:cstheme="majorBidi"/>
          <w:sz w:val="24"/>
          <w:szCs w:val="24"/>
        </w:rPr>
        <w:t xml:space="preserve">and </w:t>
      </w:r>
      <w:r>
        <w:rPr>
          <w:rStyle w:val="20"/>
          <w:rFonts w:asciiTheme="majorBidi" w:hAnsiTheme="majorBidi" w:cstheme="majorBidi"/>
          <w:b w:val="0"/>
          <w:bCs w:val="0"/>
          <w:i/>
          <w:iCs/>
          <w:sz w:val="24"/>
          <w:szCs w:val="24"/>
        </w:rPr>
        <w:t>Escherichia coli</w:t>
      </w:r>
      <w:r>
        <w:rPr>
          <w:rFonts w:asciiTheme="majorBidi" w:hAnsiTheme="majorBidi" w:cstheme="majorBidi"/>
          <w:i/>
          <w:iCs/>
          <w:sz w:val="24"/>
          <w:szCs w:val="24"/>
        </w:rPr>
        <w:t xml:space="preserve"> </w:t>
      </w:r>
      <w:r>
        <w:rPr>
          <w:rFonts w:asciiTheme="majorBidi" w:hAnsiTheme="majorBidi" w:cstheme="majorBidi"/>
          <w:sz w:val="24"/>
          <w:szCs w:val="24"/>
        </w:rPr>
        <w:t xml:space="preserve">across all extract concentrations. The positive control (ciprofloxacin) produced significantly higher inhibition zones (p ≤ 0.05), while the negative control showed no activity. These results indicate that </w:t>
      </w:r>
      <w:r>
        <w:rPr>
          <w:rStyle w:val="15"/>
          <w:rFonts w:asciiTheme="majorBidi" w:hAnsiTheme="majorBidi" w:cstheme="majorBidi"/>
          <w:sz w:val="24"/>
          <w:szCs w:val="24"/>
        </w:rPr>
        <w:t>Boscia angustifolia</w:t>
      </w:r>
      <w:r>
        <w:rPr>
          <w:rFonts w:asciiTheme="majorBidi" w:hAnsiTheme="majorBidi" w:cstheme="majorBidi"/>
          <w:sz w:val="24"/>
          <w:szCs w:val="24"/>
        </w:rPr>
        <w:t xml:space="preserve"> possesses selective antibacterial properties.</w:t>
      </w:r>
      <w:r>
        <w:rPr>
          <w:rFonts w:asciiTheme="majorBidi" w:hAnsiTheme="majorBidi" w:cstheme="majorBidi"/>
          <w:b/>
          <w:bCs/>
          <w:color w:val="000000" w:themeColor="text1"/>
          <w:sz w:val="24"/>
          <w:szCs w:val="24"/>
          <w14:textFill>
            <w14:solidFill>
              <w14:schemeClr w14:val="tx1"/>
            </w14:solidFill>
          </w14:textFill>
        </w:rPr>
        <w:br w:type="page"/>
      </w:r>
    </w:p>
    <w:p w14:paraId="3D5D77F8">
      <w:pPr>
        <w:pStyle w:val="2"/>
        <w:spacing w:before="0" w:after="0" w:line="480" w:lineRule="auto"/>
        <w:jc w:val="center"/>
        <w:rPr>
          <w:rStyle w:val="20"/>
          <w:b/>
          <w:bCs w:val="0"/>
        </w:rPr>
      </w:pPr>
      <w:bookmarkStart w:id="67" w:name="_Toc215132372"/>
      <w:bookmarkStart w:id="68" w:name="_Toc215016072"/>
      <w:r>
        <w:rPr>
          <w:rStyle w:val="20"/>
          <w:b/>
          <w:bCs w:val="0"/>
        </w:rPr>
        <w:t>CHAPTER FIVE</w:t>
      </w:r>
      <w:bookmarkEnd w:id="67"/>
      <w:bookmarkEnd w:id="68"/>
    </w:p>
    <w:p w14:paraId="45D04633">
      <w:pPr>
        <w:pStyle w:val="2"/>
        <w:spacing w:before="0" w:after="0" w:line="480" w:lineRule="auto"/>
        <w:jc w:val="center"/>
      </w:pPr>
      <w:bookmarkStart w:id="69" w:name="_Toc215132373"/>
      <w:bookmarkStart w:id="70" w:name="_Toc215016073"/>
      <w:r>
        <w:rPr>
          <w:rStyle w:val="20"/>
          <w:b/>
          <w:bCs w:val="0"/>
        </w:rPr>
        <w:t>DISCUSSION, CONCLUSION AND RECOMMENDATIONS</w:t>
      </w:r>
      <w:bookmarkEnd w:id="69"/>
      <w:bookmarkEnd w:id="70"/>
    </w:p>
    <w:p w14:paraId="6221FBF3">
      <w:pPr>
        <w:pStyle w:val="2"/>
        <w:spacing w:after="0" w:line="480" w:lineRule="auto"/>
      </w:pPr>
      <w:bookmarkStart w:id="71" w:name="_Toc215132374"/>
      <w:bookmarkStart w:id="72" w:name="_Toc215016074"/>
      <w:r>
        <w:rPr>
          <w:rStyle w:val="20"/>
          <w:b/>
          <w:bCs w:val="0"/>
        </w:rPr>
        <w:t>5.1</w:t>
      </w:r>
      <w:r>
        <w:rPr>
          <w:rStyle w:val="20"/>
          <w:b/>
          <w:bCs w:val="0"/>
        </w:rPr>
        <w:tab/>
      </w:r>
      <w:r>
        <w:rPr>
          <w:rStyle w:val="20"/>
          <w:b/>
          <w:bCs w:val="0"/>
        </w:rPr>
        <w:t>Discussion</w:t>
      </w:r>
      <w:bookmarkEnd w:id="71"/>
      <w:bookmarkEnd w:id="72"/>
    </w:p>
    <w:p w14:paraId="057D7C4B">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The findings of this study reveal that the methanolic root extract of </w:t>
      </w:r>
      <w:r>
        <w:rPr>
          <w:rFonts w:ascii="Times New Roman" w:hAnsi="Times New Roman" w:eastAsia="Times New Roman" w:cs="Times New Roman"/>
          <w:i/>
          <w:iCs/>
          <w:sz w:val="24"/>
          <w:szCs w:val="24"/>
        </w:rPr>
        <w:t>Boscia angustifolia</w:t>
      </w:r>
      <w:r>
        <w:rPr>
          <w:rFonts w:ascii="Times New Roman" w:hAnsi="Times New Roman" w:eastAsia="Times New Roman" w:cs="Times New Roman"/>
          <w:sz w:val="24"/>
          <w:szCs w:val="24"/>
        </w:rPr>
        <w:t xml:space="preserve"> exhibits notable antibacterial activity against </w:t>
      </w:r>
      <w:r>
        <w:rPr>
          <w:rFonts w:ascii="Times New Roman" w:hAnsi="Times New Roman" w:eastAsia="Times New Roman" w:cs="Times New Roman"/>
          <w:i/>
          <w:iCs/>
          <w:sz w:val="24"/>
          <w:szCs w:val="24"/>
        </w:rPr>
        <w:t>Klebsiella</w:t>
      </w:r>
      <w:r>
        <w:rPr>
          <w:rFonts w:ascii="Times New Roman" w:hAnsi="Times New Roman" w:eastAsia="Times New Roman" w:cs="Times New Roman"/>
          <w:sz w:val="24"/>
          <w:szCs w:val="24"/>
        </w:rPr>
        <w:t xml:space="preserve"> and </w:t>
      </w:r>
      <w:r>
        <w:rPr>
          <w:rFonts w:ascii="Times New Roman" w:hAnsi="Times New Roman" w:eastAsia="Times New Roman" w:cs="Times New Roman"/>
          <w:i/>
          <w:iCs/>
          <w:sz w:val="24"/>
          <w:szCs w:val="24"/>
        </w:rPr>
        <w:t>Bacillus</w:t>
      </w:r>
      <w:r>
        <w:rPr>
          <w:rFonts w:ascii="Times New Roman" w:hAnsi="Times New Roman" w:eastAsia="Times New Roman" w:cs="Times New Roman"/>
          <w:sz w:val="24"/>
          <w:szCs w:val="24"/>
        </w:rPr>
        <w:t xml:space="preserve"> species, while showing no inhibitory effect on </w:t>
      </w:r>
      <w:r>
        <w:rPr>
          <w:rFonts w:ascii="Times New Roman" w:hAnsi="Times New Roman" w:eastAsia="Times New Roman" w:cs="Times New Roman"/>
          <w:i/>
          <w:iCs/>
          <w:sz w:val="24"/>
          <w:szCs w:val="24"/>
        </w:rPr>
        <w:t>Staphylococcus aureus</w:t>
      </w:r>
      <w:r>
        <w:rPr>
          <w:rFonts w:ascii="Times New Roman" w:hAnsi="Times New Roman" w:eastAsia="Times New Roman" w:cs="Times New Roman"/>
          <w:sz w:val="24"/>
          <w:szCs w:val="24"/>
        </w:rPr>
        <w:t xml:space="preserve"> and </w:t>
      </w:r>
      <w:r>
        <w:rPr>
          <w:rFonts w:ascii="Times New Roman" w:hAnsi="Times New Roman" w:eastAsia="Times New Roman" w:cs="Times New Roman"/>
          <w:i/>
          <w:iCs/>
          <w:sz w:val="24"/>
          <w:szCs w:val="24"/>
        </w:rPr>
        <w:t>Escherichia coli</w:t>
      </w:r>
      <w:r>
        <w:rPr>
          <w:rFonts w:ascii="Times New Roman" w:hAnsi="Times New Roman" w:eastAsia="Times New Roman" w:cs="Times New Roman"/>
          <w:sz w:val="24"/>
          <w:szCs w:val="24"/>
        </w:rPr>
        <w:t xml:space="preserve">. The selective pattern of inhibition observed in this research agrees with previous reports that plant extracts often display species-specific antibacterial effects depending on the phytochemical profile and bacterial cell wall structure (Essa </w:t>
      </w:r>
      <w:r>
        <w:rPr>
          <w:rFonts w:ascii="Times New Roman" w:hAnsi="Times New Roman" w:eastAsia="Times New Roman" w:cs="Times New Roman"/>
          <w:i/>
          <w:iCs/>
          <w:sz w:val="24"/>
          <w:szCs w:val="24"/>
        </w:rPr>
        <w:t>et al.,</w:t>
      </w:r>
      <w:r>
        <w:rPr>
          <w:rFonts w:ascii="Times New Roman" w:hAnsi="Times New Roman" w:eastAsia="Times New Roman" w:cs="Times New Roman"/>
          <w:sz w:val="24"/>
          <w:szCs w:val="24"/>
        </w:rPr>
        <w:t xml:space="preserve"> 2021; Vougat Ngom </w:t>
      </w:r>
      <w:r>
        <w:rPr>
          <w:rFonts w:ascii="Times New Roman" w:hAnsi="Times New Roman" w:eastAsia="Times New Roman" w:cs="Times New Roman"/>
          <w:i/>
          <w:iCs/>
          <w:sz w:val="24"/>
          <w:szCs w:val="24"/>
        </w:rPr>
        <w:t>et al.,</w:t>
      </w:r>
      <w:r>
        <w:rPr>
          <w:rFonts w:ascii="Times New Roman" w:hAnsi="Times New Roman" w:eastAsia="Times New Roman" w:cs="Times New Roman"/>
          <w:sz w:val="24"/>
          <w:szCs w:val="24"/>
        </w:rPr>
        <w:t xml:space="preserve"> 2021).</w:t>
      </w:r>
    </w:p>
    <w:p w14:paraId="3A1600EB">
      <w:pPr>
        <w:spacing w:before="100" w:beforeAutospacing="1"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A clear concentration-dependent increase in antibacterial activity was recorded, with the highest inhibition zones observed at 80 mg/mL (18.0 ± 1.00 mm for both </w:t>
      </w:r>
      <w:r>
        <w:rPr>
          <w:rFonts w:ascii="Times New Roman" w:hAnsi="Times New Roman" w:eastAsia="Times New Roman" w:cs="Times New Roman"/>
          <w:i/>
          <w:iCs/>
          <w:sz w:val="24"/>
          <w:szCs w:val="24"/>
        </w:rPr>
        <w:t>Klebsiella</w:t>
      </w:r>
      <w:r>
        <w:rPr>
          <w:rFonts w:ascii="Times New Roman" w:hAnsi="Times New Roman" w:eastAsia="Times New Roman" w:cs="Times New Roman"/>
          <w:sz w:val="24"/>
          <w:szCs w:val="24"/>
        </w:rPr>
        <w:t xml:space="preserve"> and </w:t>
      </w:r>
      <w:r>
        <w:rPr>
          <w:rFonts w:ascii="Times New Roman" w:hAnsi="Times New Roman" w:eastAsia="Times New Roman" w:cs="Times New Roman"/>
          <w:i/>
          <w:iCs/>
          <w:sz w:val="24"/>
          <w:szCs w:val="24"/>
        </w:rPr>
        <w:t>Bacillus</w:t>
      </w:r>
      <w:r>
        <w:rPr>
          <w:rFonts w:ascii="Times New Roman" w:hAnsi="Times New Roman" w:eastAsia="Times New Roman" w:cs="Times New Roman"/>
          <w:sz w:val="24"/>
          <w:szCs w:val="24"/>
        </w:rPr>
        <w:t xml:space="preserve">). This demonstrates that increasing the concentration of the extract enhances the availability of active metabolites and subsequently increases antibacterial potency. Similar trends were reported by Essa </w:t>
      </w:r>
      <w:r>
        <w:rPr>
          <w:rFonts w:ascii="Times New Roman" w:hAnsi="Times New Roman" w:eastAsia="Times New Roman" w:cs="Times New Roman"/>
          <w:i/>
          <w:iCs/>
          <w:sz w:val="24"/>
          <w:szCs w:val="24"/>
        </w:rPr>
        <w:t>et al.</w:t>
      </w:r>
      <w:r>
        <w:rPr>
          <w:rFonts w:ascii="Times New Roman" w:hAnsi="Times New Roman" w:eastAsia="Times New Roman" w:cs="Times New Roman"/>
          <w:sz w:val="24"/>
          <w:szCs w:val="24"/>
        </w:rPr>
        <w:t xml:space="preserve"> (2021), who demonstrated that higher concentrations of </w:t>
      </w:r>
      <w:r>
        <w:rPr>
          <w:rFonts w:ascii="Times New Roman" w:hAnsi="Times New Roman" w:eastAsia="Times New Roman" w:cs="Times New Roman"/>
          <w:i/>
          <w:iCs/>
          <w:sz w:val="24"/>
          <w:szCs w:val="24"/>
        </w:rPr>
        <w:t>Boscia angustifolia</w:t>
      </w:r>
      <w:r>
        <w:rPr>
          <w:rFonts w:ascii="Times New Roman" w:hAnsi="Times New Roman" w:eastAsia="Times New Roman" w:cs="Times New Roman"/>
          <w:sz w:val="24"/>
          <w:szCs w:val="24"/>
        </w:rPr>
        <w:t xml:space="preserve"> extracts produced greater inhibitory effects against susceptible bacteria.</w:t>
      </w:r>
    </w:p>
    <w:p w14:paraId="792E0FA2">
      <w:pPr>
        <w:spacing w:before="100" w:beforeAutospacing="1"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The absence of inhibition against </w:t>
      </w:r>
      <w:r>
        <w:rPr>
          <w:rFonts w:ascii="Times New Roman" w:hAnsi="Times New Roman" w:eastAsia="Times New Roman" w:cs="Times New Roman"/>
          <w:i/>
          <w:iCs/>
          <w:sz w:val="24"/>
          <w:szCs w:val="24"/>
        </w:rPr>
        <w:t>S. aureus</w:t>
      </w:r>
      <w:r>
        <w:rPr>
          <w:rFonts w:ascii="Times New Roman" w:hAnsi="Times New Roman" w:eastAsia="Times New Roman" w:cs="Times New Roman"/>
          <w:sz w:val="24"/>
          <w:szCs w:val="24"/>
        </w:rPr>
        <w:t xml:space="preserve"> and </w:t>
      </w:r>
      <w:r>
        <w:rPr>
          <w:rFonts w:ascii="Times New Roman" w:hAnsi="Times New Roman" w:eastAsia="Times New Roman" w:cs="Times New Roman"/>
          <w:i/>
          <w:iCs/>
          <w:sz w:val="24"/>
          <w:szCs w:val="24"/>
        </w:rPr>
        <w:t>E. coli</w:t>
      </w:r>
      <w:r>
        <w:rPr>
          <w:rFonts w:ascii="Times New Roman" w:hAnsi="Times New Roman" w:eastAsia="Times New Roman" w:cs="Times New Roman"/>
          <w:sz w:val="24"/>
          <w:szCs w:val="24"/>
        </w:rPr>
        <w:t xml:space="preserve"> may be linked to intrinsic bacterial resistance mechanisms. </w:t>
      </w:r>
      <w:r>
        <w:rPr>
          <w:rFonts w:ascii="Times New Roman" w:hAnsi="Times New Roman" w:eastAsia="Times New Roman" w:cs="Times New Roman"/>
          <w:i/>
          <w:iCs/>
          <w:sz w:val="24"/>
          <w:szCs w:val="24"/>
        </w:rPr>
        <w:t>E. coli</w:t>
      </w:r>
      <w:r>
        <w:rPr>
          <w:rFonts w:ascii="Times New Roman" w:hAnsi="Times New Roman" w:eastAsia="Times New Roman" w:cs="Times New Roman"/>
          <w:sz w:val="24"/>
          <w:szCs w:val="24"/>
        </w:rPr>
        <w:t xml:space="preserve">, a Gram-negative organism, possesses a lipopolysaccharide-rich outer membrane that restricts penetration of many plant-derived compounds, while </w:t>
      </w:r>
      <w:r>
        <w:rPr>
          <w:rFonts w:ascii="Times New Roman" w:hAnsi="Times New Roman" w:eastAsia="Times New Roman" w:cs="Times New Roman"/>
          <w:i/>
          <w:iCs/>
          <w:sz w:val="24"/>
          <w:szCs w:val="24"/>
        </w:rPr>
        <w:t>S. aureus</w:t>
      </w:r>
      <w:r>
        <w:rPr>
          <w:rFonts w:ascii="Times New Roman" w:hAnsi="Times New Roman" w:eastAsia="Times New Roman" w:cs="Times New Roman"/>
          <w:sz w:val="24"/>
          <w:szCs w:val="24"/>
        </w:rPr>
        <w:t xml:space="preserve"> may resist plant metabolites through efflux pumps or changes in membrane fluidity. According to Ghosh </w:t>
      </w:r>
      <w:r>
        <w:rPr>
          <w:rFonts w:ascii="Times New Roman" w:hAnsi="Times New Roman" w:eastAsia="Times New Roman" w:cs="Times New Roman"/>
          <w:i/>
          <w:iCs/>
          <w:sz w:val="24"/>
          <w:szCs w:val="24"/>
        </w:rPr>
        <w:t>et al.</w:t>
      </w:r>
      <w:r>
        <w:rPr>
          <w:rFonts w:ascii="Times New Roman" w:hAnsi="Times New Roman" w:eastAsia="Times New Roman" w:cs="Times New Roman"/>
          <w:sz w:val="24"/>
          <w:szCs w:val="24"/>
        </w:rPr>
        <w:t xml:space="preserve"> (2022), such structural and physiological features significantly influence bacterial susceptibility to natural antimicrobial agents. This explains why not all bacterial strains responded to the extract in the present study.</w:t>
      </w:r>
    </w:p>
    <w:p w14:paraId="3FEC4B32">
      <w:pPr>
        <w:spacing w:before="100" w:beforeAutospacing="1"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Phytochemical analysis revealed the presence of saponins, alkaloids, flavonoids, and saponin glycosides, all of which are known to contribute to antimicrobial activity. These findings support earlier studies that attributed the antibacterial effects of </w:t>
      </w:r>
      <w:r>
        <w:rPr>
          <w:rFonts w:ascii="Times New Roman" w:hAnsi="Times New Roman" w:eastAsia="Times New Roman" w:cs="Times New Roman"/>
          <w:i/>
          <w:iCs/>
          <w:sz w:val="24"/>
          <w:szCs w:val="24"/>
        </w:rPr>
        <w:t>B. angustifolia</w:t>
      </w:r>
      <w:r>
        <w:rPr>
          <w:rFonts w:ascii="Times New Roman" w:hAnsi="Times New Roman" w:eastAsia="Times New Roman" w:cs="Times New Roman"/>
          <w:sz w:val="24"/>
          <w:szCs w:val="24"/>
        </w:rPr>
        <w:t xml:space="preserve"> to its rich secondary metabolite composition (Awa </w:t>
      </w:r>
      <w:r>
        <w:rPr>
          <w:rFonts w:ascii="Times New Roman" w:hAnsi="Times New Roman" w:eastAsia="Times New Roman" w:cs="Times New Roman"/>
          <w:i/>
          <w:iCs/>
          <w:sz w:val="24"/>
          <w:szCs w:val="24"/>
        </w:rPr>
        <w:t>et al</w:t>
      </w:r>
      <w:r>
        <w:rPr>
          <w:rFonts w:ascii="Times New Roman" w:hAnsi="Times New Roman" w:eastAsia="Times New Roman" w:cs="Times New Roman"/>
          <w:sz w:val="24"/>
          <w:szCs w:val="24"/>
        </w:rPr>
        <w:t xml:space="preserve">., 2023). Saponins are reported to disrupt microbial membranes, alkaloids may inhibit DNA replication, while flavonoids have been shown to interfere with bacterial enzymes and cell wall synthesis (Rahman </w:t>
      </w:r>
      <w:r>
        <w:rPr>
          <w:rFonts w:ascii="Times New Roman" w:hAnsi="Times New Roman" w:eastAsia="Times New Roman" w:cs="Times New Roman"/>
          <w:i/>
          <w:iCs/>
          <w:sz w:val="24"/>
          <w:szCs w:val="24"/>
        </w:rPr>
        <w:t>et al</w:t>
      </w:r>
      <w:r>
        <w:rPr>
          <w:rFonts w:ascii="Times New Roman" w:hAnsi="Times New Roman" w:eastAsia="Times New Roman" w:cs="Times New Roman"/>
          <w:sz w:val="24"/>
          <w:szCs w:val="24"/>
        </w:rPr>
        <w:t>., 2021). The combined presence of these compounds suggests that the observed antibacterial activity is multifactorial and synergistic, which is characteristic of crude plant extracts.</w:t>
      </w:r>
    </w:p>
    <w:p w14:paraId="57383EA4">
      <w:pPr>
        <w:spacing w:before="100" w:beforeAutospacing="1"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The positive control (ciprofloxacin) produced significantly larger inhibition zones compared to the extract, confirming the reliability of the method and illustrating the expected potency of conventional antibiotics. The negative control showed no activity, indicating that neither DMSO nor distilled water contributed to antibacterial effects. This validates that the inhibition observed was solely due to the plant extract.</w:t>
      </w:r>
    </w:p>
    <w:p w14:paraId="167F5ADC">
      <w:pPr>
        <w:spacing w:before="100" w:beforeAutospacing="1" w:after="100" w:afterAutospacing="1"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The findings of this research provide further evidence supporting the ethnomedicinal use of </w:t>
      </w:r>
      <w:r>
        <w:rPr>
          <w:rFonts w:ascii="Times New Roman" w:hAnsi="Times New Roman" w:eastAsia="Times New Roman" w:cs="Times New Roman"/>
          <w:i/>
          <w:iCs/>
          <w:sz w:val="24"/>
          <w:szCs w:val="24"/>
        </w:rPr>
        <w:t>Boscia angustifolia</w:t>
      </w:r>
      <w:r>
        <w:rPr>
          <w:rFonts w:ascii="Times New Roman" w:hAnsi="Times New Roman" w:eastAsia="Times New Roman" w:cs="Times New Roman"/>
          <w:sz w:val="24"/>
          <w:szCs w:val="24"/>
        </w:rPr>
        <w:t xml:space="preserve"> for treating infections. Studies between 2021 and 2025 have consistently reported antibacterial, antioxidant, and anti-inflammatory properties of the plant (Vougat Ngom </w:t>
      </w:r>
      <w:r>
        <w:rPr>
          <w:rFonts w:ascii="Times New Roman" w:hAnsi="Times New Roman" w:eastAsia="Times New Roman" w:cs="Times New Roman"/>
          <w:i/>
          <w:iCs/>
          <w:sz w:val="24"/>
          <w:szCs w:val="24"/>
        </w:rPr>
        <w:t>et al</w:t>
      </w:r>
      <w:r>
        <w:rPr>
          <w:rFonts w:ascii="Times New Roman" w:hAnsi="Times New Roman" w:eastAsia="Times New Roman" w:cs="Times New Roman"/>
          <w:sz w:val="24"/>
          <w:szCs w:val="24"/>
        </w:rPr>
        <w:t>., 2021; Chaughule &amp; Barve, 2024). However, the selective nature of its antibacterial activity observed in this study highlights the need for additional investigations such as fractionation, compound isolation, and in vivo studies, to determine whether purified molecules from the plant may offer broader or more potent activity.</w:t>
      </w:r>
    </w:p>
    <w:p w14:paraId="19790D3A">
      <w:pPr>
        <w:spacing w:before="100" w:beforeAutospacing="1" w:after="100" w:afterAutospacing="1" w:line="480" w:lineRule="auto"/>
        <w:jc w:val="both"/>
        <w:rPr>
          <w:rFonts w:ascii="Times New Roman" w:hAnsi="Times New Roman" w:eastAsia="Times New Roman" w:cs="Times New Roman"/>
          <w:sz w:val="24"/>
          <w:szCs w:val="24"/>
        </w:rPr>
      </w:pPr>
    </w:p>
    <w:p w14:paraId="4CB4B4CC">
      <w:pPr>
        <w:spacing w:before="100" w:beforeAutospacing="1" w:after="100" w:afterAutospacing="1"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Overall, the results confirm that </w:t>
      </w:r>
      <w:r>
        <w:rPr>
          <w:rFonts w:ascii="Times New Roman" w:hAnsi="Times New Roman" w:eastAsia="Times New Roman" w:cs="Times New Roman"/>
          <w:i/>
          <w:iCs/>
          <w:sz w:val="24"/>
          <w:szCs w:val="24"/>
        </w:rPr>
        <w:t>Boscia angustifolia</w:t>
      </w:r>
      <w:r>
        <w:rPr>
          <w:rFonts w:ascii="Times New Roman" w:hAnsi="Times New Roman" w:eastAsia="Times New Roman" w:cs="Times New Roman"/>
          <w:sz w:val="24"/>
          <w:szCs w:val="24"/>
        </w:rPr>
        <w:t xml:space="preserve"> contains pharmacologically relevant metabolites capable of inhibiting specific bacterial species. These findings strengthen scientific evidence supporting its traditional applications and suggest potential for future development of plant-based antibacterial therapies.</w:t>
      </w:r>
    </w:p>
    <w:p w14:paraId="79532C91">
      <w:pPr>
        <w:pStyle w:val="2"/>
        <w:spacing w:after="0" w:line="480" w:lineRule="auto"/>
      </w:pPr>
      <w:bookmarkStart w:id="73" w:name="_Toc215016075"/>
      <w:bookmarkStart w:id="74" w:name="_Toc215132375"/>
      <w:r>
        <w:rPr>
          <w:rStyle w:val="20"/>
          <w:b/>
          <w:bCs w:val="0"/>
        </w:rPr>
        <w:t>5.2</w:t>
      </w:r>
      <w:r>
        <w:rPr>
          <w:rStyle w:val="20"/>
          <w:b/>
          <w:bCs w:val="0"/>
        </w:rPr>
        <w:tab/>
      </w:r>
      <w:r>
        <w:rPr>
          <w:rStyle w:val="20"/>
          <w:b/>
          <w:bCs w:val="0"/>
        </w:rPr>
        <w:t>Conclusion</w:t>
      </w:r>
      <w:bookmarkEnd w:id="73"/>
      <w:bookmarkEnd w:id="74"/>
    </w:p>
    <w:p w14:paraId="06E19D8E">
      <w:pPr>
        <w:pStyle w:val="19"/>
        <w:spacing w:before="0" w:beforeAutospacing="0" w:after="0" w:afterAutospacing="0" w:line="480" w:lineRule="auto"/>
        <w:jc w:val="both"/>
        <w:rPr>
          <w:color w:val="000000" w:themeColor="text1"/>
          <w14:textFill>
            <w14:solidFill>
              <w14:schemeClr w14:val="tx1"/>
            </w14:solidFill>
          </w14:textFill>
        </w:rPr>
      </w:pPr>
      <w:r>
        <w:rPr>
          <w:color w:val="000000" w:themeColor="text1"/>
          <w14:textFill>
            <w14:solidFill>
              <w14:schemeClr w14:val="tx1"/>
            </w14:solidFill>
          </w14:textFill>
        </w:rPr>
        <w:t xml:space="preserve">This study has shown that </w:t>
      </w:r>
      <w:r>
        <w:rPr>
          <w:rStyle w:val="15"/>
          <w:rFonts w:eastAsiaTheme="majorEastAsia"/>
          <w:color w:val="000000" w:themeColor="text1"/>
          <w14:textFill>
            <w14:solidFill>
              <w14:schemeClr w14:val="tx1"/>
            </w14:solidFill>
          </w14:textFill>
        </w:rPr>
        <w:t xml:space="preserve">Boscia </w:t>
      </w:r>
      <w:r>
        <w:rPr>
          <w:i/>
          <w:iCs/>
          <w:color w:val="000000" w:themeColor="text1"/>
          <w14:textFill>
            <w14:solidFill>
              <w14:schemeClr w14:val="tx1"/>
            </w14:solidFill>
          </w14:textFill>
        </w:rPr>
        <w:t>angustifolia</w:t>
      </w:r>
      <w:r>
        <w:rPr>
          <w:color w:val="000000" w:themeColor="text1"/>
          <w14:textFill>
            <w14:solidFill>
              <w14:schemeClr w14:val="tx1"/>
            </w14:solidFill>
          </w14:textFill>
        </w:rPr>
        <w:t xml:space="preserve"> root extracts contain several phytochemicals with antibacterial potential. The presence of saponins, alkaloids, flavonoids, and saponin glycosides was confirmed, and the extract demonstrated selective antibacterial activity against </w:t>
      </w:r>
      <w:r>
        <w:rPr>
          <w:rStyle w:val="15"/>
          <w:rFonts w:eastAsiaTheme="majorEastAsia"/>
          <w:color w:val="000000" w:themeColor="text1"/>
          <w14:textFill>
            <w14:solidFill>
              <w14:schemeClr w14:val="tx1"/>
            </w14:solidFill>
          </w14:textFill>
        </w:rPr>
        <w:t>Klebsiella</w:t>
      </w:r>
      <w:r>
        <w:rPr>
          <w:color w:val="000000" w:themeColor="text1"/>
          <w14:textFill>
            <w14:solidFill>
              <w14:schemeClr w14:val="tx1"/>
            </w14:solidFill>
          </w14:textFill>
        </w:rPr>
        <w:t xml:space="preserve"> and </w:t>
      </w:r>
      <w:r>
        <w:rPr>
          <w:rStyle w:val="15"/>
          <w:rFonts w:eastAsiaTheme="majorEastAsia"/>
          <w:color w:val="000000" w:themeColor="text1"/>
          <w14:textFill>
            <w14:solidFill>
              <w14:schemeClr w14:val="tx1"/>
            </w14:solidFill>
          </w14:textFill>
        </w:rPr>
        <w:t>Bacillus</w:t>
      </w:r>
      <w:r>
        <w:rPr>
          <w:color w:val="000000" w:themeColor="text1"/>
          <w14:textFill>
            <w14:solidFill>
              <w14:schemeClr w14:val="tx1"/>
            </w14:solidFill>
          </w14:textFill>
        </w:rPr>
        <w:t xml:space="preserve"> species. The antibacterial effect was concentration-dependent, with the highest inhibition zones recorded at 80 mg/mL.</w:t>
      </w:r>
    </w:p>
    <w:p w14:paraId="18661333">
      <w:pPr>
        <w:pStyle w:val="19"/>
        <w:spacing w:before="240" w:beforeAutospacing="0" w:after="0" w:afterAutospacing="0" w:line="480" w:lineRule="auto"/>
        <w:jc w:val="both"/>
        <w:rPr>
          <w:color w:val="000000" w:themeColor="text1"/>
          <w14:textFill>
            <w14:solidFill>
              <w14:schemeClr w14:val="tx1"/>
            </w14:solidFill>
          </w14:textFill>
        </w:rPr>
      </w:pPr>
      <w:r>
        <w:rPr>
          <w:color w:val="000000" w:themeColor="text1"/>
          <w14:textFill>
            <w14:solidFill>
              <w14:schemeClr w14:val="tx1"/>
            </w14:solidFill>
          </w14:textFill>
        </w:rPr>
        <w:t xml:space="preserve">The results support the traditional use of </w:t>
      </w:r>
      <w:r>
        <w:rPr>
          <w:rStyle w:val="15"/>
          <w:rFonts w:eastAsiaTheme="majorEastAsia"/>
          <w:color w:val="000000" w:themeColor="text1"/>
          <w14:textFill>
            <w14:solidFill>
              <w14:schemeClr w14:val="tx1"/>
            </w14:solidFill>
          </w14:textFill>
        </w:rPr>
        <w:t>B.</w:t>
      </w:r>
      <w:r>
        <w:rPr>
          <w:i/>
          <w:iCs/>
          <w:color w:val="000000" w:themeColor="text1"/>
          <w14:textFill>
            <w14:solidFill>
              <w14:schemeClr w14:val="tx1"/>
            </w14:solidFill>
          </w14:textFill>
        </w:rPr>
        <w:t xml:space="preserve"> angustifolia</w:t>
      </w:r>
      <w:r>
        <w:rPr>
          <w:color w:val="000000" w:themeColor="text1"/>
          <w14:textFill>
            <w14:solidFill>
              <w14:schemeClr w14:val="tx1"/>
            </w14:solidFill>
          </w14:textFill>
        </w:rPr>
        <w:t xml:space="preserve"> in the treatment of infectious diseases and validate its ethnopharmacological importance. The findings further suggest that the antibacterial action of </w:t>
      </w:r>
      <w:r>
        <w:rPr>
          <w:rStyle w:val="15"/>
          <w:rFonts w:eastAsiaTheme="majorEastAsia"/>
          <w:color w:val="000000" w:themeColor="text1"/>
          <w14:textFill>
            <w14:solidFill>
              <w14:schemeClr w14:val="tx1"/>
            </w14:solidFill>
          </w14:textFill>
        </w:rPr>
        <w:t xml:space="preserve">B. </w:t>
      </w:r>
      <w:r>
        <w:rPr>
          <w:i/>
          <w:iCs/>
          <w:color w:val="000000" w:themeColor="text1"/>
          <w14:textFill>
            <w14:solidFill>
              <w14:schemeClr w14:val="tx1"/>
            </w14:solidFill>
          </w14:textFill>
        </w:rPr>
        <w:t>angustifolia</w:t>
      </w:r>
      <w:r>
        <w:rPr>
          <w:color w:val="000000" w:themeColor="text1"/>
          <w14:textFill>
            <w14:solidFill>
              <w14:schemeClr w14:val="tx1"/>
            </w14:solidFill>
          </w14:textFill>
        </w:rPr>
        <w:t xml:space="preserve"> may involve mechanisms such as membrane disruption and inhibition of essential bacterial enzymes or nucleic acid synthesis.</w:t>
      </w:r>
    </w:p>
    <w:p w14:paraId="2A6D1B5A">
      <w:pPr>
        <w:pStyle w:val="2"/>
        <w:spacing w:after="0" w:line="480" w:lineRule="auto"/>
      </w:pPr>
      <w:bookmarkStart w:id="75" w:name="_Toc215132376"/>
      <w:bookmarkStart w:id="76" w:name="_Toc215016076"/>
      <w:r>
        <w:rPr>
          <w:rStyle w:val="20"/>
          <w:b/>
          <w:bCs w:val="0"/>
        </w:rPr>
        <w:t>5.3</w:t>
      </w:r>
      <w:r>
        <w:rPr>
          <w:rStyle w:val="20"/>
          <w:b/>
          <w:bCs w:val="0"/>
        </w:rPr>
        <w:tab/>
      </w:r>
      <w:r>
        <w:rPr>
          <w:rStyle w:val="20"/>
          <w:b/>
          <w:bCs w:val="0"/>
        </w:rPr>
        <w:t>Recommendations</w:t>
      </w:r>
      <w:bookmarkEnd w:id="75"/>
      <w:bookmarkEnd w:id="76"/>
    </w:p>
    <w:p w14:paraId="5C2A004C">
      <w:pPr>
        <w:pStyle w:val="19"/>
        <w:numPr>
          <w:ilvl w:val="0"/>
          <w:numId w:val="4"/>
        </w:numPr>
        <w:tabs>
          <w:tab w:val="clear" w:pos="720"/>
        </w:tabs>
        <w:spacing w:before="0" w:beforeAutospacing="0" w:after="0" w:afterAutospacing="0" w:line="480" w:lineRule="auto"/>
        <w:ind w:left="426" w:hanging="426"/>
        <w:jc w:val="both"/>
        <w:rPr>
          <w:rFonts w:eastAsiaTheme="majorEastAsia"/>
          <w:color w:val="000000" w:themeColor="text1"/>
          <w14:textFill>
            <w14:solidFill>
              <w14:schemeClr w14:val="tx1"/>
            </w14:solidFill>
          </w14:textFill>
        </w:rPr>
      </w:pPr>
      <w:r>
        <w:rPr>
          <w:color w:val="000000" w:themeColor="text1"/>
          <w14:textFill>
            <w14:solidFill>
              <w14:schemeClr w14:val="tx1"/>
            </w14:solidFill>
          </w14:textFill>
        </w:rPr>
        <w:t>Bioassay-guided fractionation should be conducted to isolate and identify the specific compounds responsible for antibacterial activity. This will provide better insight into their mechanisms of action.</w:t>
      </w:r>
    </w:p>
    <w:p w14:paraId="44443C48">
      <w:pPr>
        <w:pStyle w:val="19"/>
        <w:numPr>
          <w:ilvl w:val="0"/>
          <w:numId w:val="4"/>
        </w:numPr>
        <w:tabs>
          <w:tab w:val="clear" w:pos="720"/>
        </w:tabs>
        <w:spacing w:before="0" w:beforeAutospacing="0" w:after="0" w:afterAutospacing="0" w:line="480" w:lineRule="auto"/>
        <w:ind w:left="426" w:hanging="426"/>
        <w:jc w:val="both"/>
        <w:rPr>
          <w:rFonts w:eastAsiaTheme="majorEastAsia"/>
          <w:color w:val="000000" w:themeColor="text1"/>
          <w14:textFill>
            <w14:solidFill>
              <w14:schemeClr w14:val="tx1"/>
            </w14:solidFill>
          </w14:textFill>
        </w:rPr>
      </w:pPr>
      <w:r>
        <w:rPr>
          <w:color w:val="000000" w:themeColor="text1"/>
          <w14:textFill>
            <w14:solidFill>
              <w14:schemeClr w14:val="tx1"/>
            </w14:solidFill>
          </w14:textFill>
        </w:rPr>
        <w:t xml:space="preserve">Future research should include in </w:t>
      </w:r>
      <w:r>
        <w:rPr>
          <w:i/>
          <w:color w:val="000000" w:themeColor="text1"/>
          <w14:textFill>
            <w14:solidFill>
              <w14:schemeClr w14:val="tx1"/>
            </w14:solidFill>
          </w14:textFill>
        </w:rPr>
        <w:t>vivo</w:t>
      </w:r>
      <w:r>
        <w:rPr>
          <w:color w:val="000000" w:themeColor="text1"/>
          <w14:textFill>
            <w14:solidFill>
              <w14:schemeClr w14:val="tx1"/>
            </w14:solidFill>
          </w14:textFill>
        </w:rPr>
        <w:t xml:space="preserve"> evaluations to confirm the safety, efficacy, and pharmacokinetics of </w:t>
      </w:r>
      <w:r>
        <w:rPr>
          <w:rStyle w:val="15"/>
          <w:rFonts w:eastAsiaTheme="majorEastAsia"/>
          <w:color w:val="000000" w:themeColor="text1"/>
          <w14:textFill>
            <w14:solidFill>
              <w14:schemeClr w14:val="tx1"/>
            </w14:solidFill>
          </w14:textFill>
        </w:rPr>
        <w:t xml:space="preserve">B. </w:t>
      </w:r>
      <w:r>
        <w:rPr>
          <w:i/>
          <w:iCs/>
          <w:color w:val="000000" w:themeColor="text1"/>
          <w14:textFill>
            <w14:solidFill>
              <w14:schemeClr w14:val="tx1"/>
            </w14:solidFill>
          </w14:textFill>
        </w:rPr>
        <w:t>angustifolia</w:t>
      </w:r>
      <w:r>
        <w:rPr>
          <w:color w:val="000000" w:themeColor="text1"/>
          <w14:textFill>
            <w14:solidFill>
              <w14:schemeClr w14:val="tx1"/>
            </w14:solidFill>
          </w14:textFill>
        </w:rPr>
        <w:t xml:space="preserve"> extracts in animal models.</w:t>
      </w:r>
    </w:p>
    <w:p w14:paraId="22193026">
      <w:pPr>
        <w:pStyle w:val="19"/>
        <w:numPr>
          <w:ilvl w:val="0"/>
          <w:numId w:val="4"/>
        </w:numPr>
        <w:tabs>
          <w:tab w:val="clear" w:pos="720"/>
        </w:tabs>
        <w:spacing w:before="0" w:beforeAutospacing="0" w:after="0" w:afterAutospacing="0" w:line="480" w:lineRule="auto"/>
        <w:ind w:left="426" w:hanging="426"/>
        <w:jc w:val="both"/>
        <w:rPr>
          <w:rFonts w:eastAsiaTheme="majorEastAsia"/>
          <w:color w:val="000000" w:themeColor="text1"/>
          <w14:textFill>
            <w14:solidFill>
              <w14:schemeClr w14:val="tx1"/>
            </w14:solidFill>
          </w14:textFill>
        </w:rPr>
      </w:pPr>
      <w:r>
        <w:rPr>
          <w:color w:val="000000" w:themeColor="text1"/>
          <w14:textFill>
            <w14:solidFill>
              <w14:schemeClr w14:val="tx1"/>
            </w14:solidFill>
          </w14:textFill>
        </w:rPr>
        <w:t xml:space="preserve">The interaction of </w:t>
      </w:r>
      <w:r>
        <w:rPr>
          <w:rStyle w:val="15"/>
          <w:rFonts w:eastAsiaTheme="majorEastAsia"/>
          <w:color w:val="000000" w:themeColor="text1"/>
          <w14:textFill>
            <w14:solidFill>
              <w14:schemeClr w14:val="tx1"/>
            </w14:solidFill>
          </w14:textFill>
        </w:rPr>
        <w:t>B.</w:t>
      </w:r>
      <w:r>
        <w:rPr>
          <w:i/>
          <w:iCs/>
          <w:color w:val="000000" w:themeColor="text1"/>
          <w14:textFill>
            <w14:solidFill>
              <w14:schemeClr w14:val="tx1"/>
            </w14:solidFill>
          </w14:textFill>
        </w:rPr>
        <w:t xml:space="preserve"> angustifolia</w:t>
      </w:r>
      <w:r>
        <w:rPr>
          <w:color w:val="000000" w:themeColor="text1"/>
          <w14:textFill>
            <w14:solidFill>
              <w14:schemeClr w14:val="tx1"/>
            </w14:solidFill>
          </w14:textFill>
        </w:rPr>
        <w:t xml:space="preserve"> extracts with conventional antibiotics should be explored to determine possible synergistic or antagonistic effects that could inform combination therapy.</w:t>
      </w:r>
    </w:p>
    <w:p w14:paraId="51E8813E">
      <w:pPr>
        <w:pStyle w:val="2"/>
        <w:spacing w:after="0" w:line="480" w:lineRule="auto"/>
      </w:pPr>
      <w:bookmarkStart w:id="77" w:name="_Toc215016077"/>
      <w:bookmarkStart w:id="78" w:name="_Toc215132377"/>
      <w:bookmarkStart w:id="79" w:name="_Hlk214590947"/>
      <w:r>
        <w:t>REFERENCES</w:t>
      </w:r>
      <w:bookmarkEnd w:id="77"/>
      <w:bookmarkEnd w:id="78"/>
    </w:p>
    <w:bookmarkEnd w:id="79"/>
    <w:p w14:paraId="7E429237">
      <w:pPr>
        <w:spacing w:after="0" w:line="24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Abdallah, E. M., Alhatlani, B. Y., de Paula Menezes, R., &amp; Martins, C. H. G. (2023). Back to nature: Medicinal plants as promising sources for antibacterial drugs in the post-antibiotic era. </w:t>
      </w:r>
      <w:r>
        <w:rPr>
          <w:rFonts w:ascii="Times New Roman" w:hAnsi="Times New Roman" w:eastAsia="Times New Roman" w:cs="Times New Roman"/>
          <w:i/>
          <w:iCs/>
          <w:sz w:val="24"/>
          <w:szCs w:val="24"/>
        </w:rPr>
        <w:t>Plants</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12</w:t>
      </w:r>
      <w:r>
        <w:rPr>
          <w:rFonts w:ascii="Times New Roman" w:hAnsi="Times New Roman" w:eastAsia="Times New Roman" w:cs="Times New Roman"/>
          <w:sz w:val="24"/>
          <w:szCs w:val="24"/>
        </w:rPr>
        <w:t>(17), 3077.</w:t>
      </w:r>
    </w:p>
    <w:p w14:paraId="5AF03659">
      <w:pPr>
        <w:spacing w:before="240" w:after="0" w:line="24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Algfri, S. K., Qaid, A. A., &amp; Mahde, S. A. (2021). Preliminary phytochemical analysis and in vitro antioxidant activity of Boscia Arabica leaves. </w:t>
      </w:r>
      <w:r>
        <w:rPr>
          <w:rFonts w:ascii="Times New Roman" w:hAnsi="Times New Roman" w:eastAsia="Times New Roman" w:cs="Times New Roman"/>
          <w:i/>
          <w:iCs/>
          <w:sz w:val="24"/>
          <w:szCs w:val="24"/>
        </w:rPr>
        <w:t>Int. J. Pharm. Sci. Rev. Res</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68</w:t>
      </w:r>
      <w:r>
        <w:rPr>
          <w:rFonts w:ascii="Times New Roman" w:hAnsi="Times New Roman" w:eastAsia="Times New Roman" w:cs="Times New Roman"/>
          <w:sz w:val="24"/>
          <w:szCs w:val="24"/>
        </w:rPr>
        <w:t>(1), 127-134.</w:t>
      </w:r>
    </w:p>
    <w:p w14:paraId="4C61E39A">
      <w:pPr>
        <w:spacing w:before="240" w:after="0" w:line="24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Alkali, K., Dikwa, K. B., Ajibade, G. A., Magaji, Y., Abdulhamid, M. B., &amp; Hamza, M. M. Bayero (2024) Journal of Medical Laboratory Science Journal/Bayero Journal of Medical Laboratory Science/Vol. 9 No. 1/Articles Open Access.</w:t>
      </w:r>
    </w:p>
    <w:p w14:paraId="62655AAB">
      <w:pPr>
        <w:spacing w:before="240" w:after="0" w:line="240" w:lineRule="auto"/>
        <w:ind w:left="720" w:hanging="720"/>
        <w:jc w:val="both"/>
        <w:rPr>
          <w:rFonts w:ascii="Times New Roman" w:hAnsi="Times New Roman" w:eastAsia="Times New Roman" w:cs="Times New Roman"/>
          <w:sz w:val="24"/>
          <w:szCs w:val="24"/>
        </w:rPr>
      </w:pPr>
      <w:bookmarkStart w:id="80" w:name="_Hlk214593316"/>
      <w:r>
        <w:rPr>
          <w:rFonts w:ascii="Times New Roman" w:hAnsi="Times New Roman" w:eastAsia="Times New Roman" w:cs="Times New Roman"/>
          <w:sz w:val="24"/>
          <w:szCs w:val="24"/>
        </w:rPr>
        <w:t>Alvarino</w:t>
      </w:r>
      <w:bookmarkEnd w:id="80"/>
      <w:r>
        <w:rPr>
          <w:rFonts w:ascii="Times New Roman" w:hAnsi="Times New Roman" w:eastAsia="Times New Roman" w:cs="Times New Roman"/>
          <w:sz w:val="24"/>
          <w:szCs w:val="24"/>
        </w:rPr>
        <w:t xml:space="preserve">, L. A. D. S., Manzotti, F., Moreira, W. M., de Araújo, T. P., Vareschini, D. T., &amp; de Barros, M. A. S. D. (2023). Antibacterial potential of activated carbon impregnated with garlic extract. </w:t>
      </w:r>
      <w:r>
        <w:rPr>
          <w:rFonts w:ascii="Times New Roman" w:hAnsi="Times New Roman" w:eastAsia="Times New Roman" w:cs="Times New Roman"/>
          <w:i/>
          <w:iCs/>
          <w:sz w:val="24"/>
          <w:szCs w:val="24"/>
        </w:rPr>
        <w:t>Processes</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11</w:t>
      </w:r>
      <w:r>
        <w:rPr>
          <w:rFonts w:ascii="Times New Roman" w:hAnsi="Times New Roman" w:eastAsia="Times New Roman" w:cs="Times New Roman"/>
          <w:sz w:val="24"/>
          <w:szCs w:val="24"/>
        </w:rPr>
        <w:t>(10), 2948.</w:t>
      </w:r>
    </w:p>
    <w:p w14:paraId="65543626">
      <w:pPr>
        <w:spacing w:before="240" w:after="0" w:line="240" w:lineRule="auto"/>
        <w:ind w:left="720" w:hanging="720"/>
        <w:jc w:val="both"/>
        <w:rPr>
          <w:rFonts w:ascii="Times New Roman" w:hAnsi="Times New Roman" w:eastAsia="Times New Roman" w:cs="Times New Roman"/>
          <w:sz w:val="24"/>
          <w:szCs w:val="24"/>
        </w:rPr>
      </w:pPr>
      <w:bookmarkStart w:id="81" w:name="_Hlk214592508"/>
      <w:r>
        <w:rPr>
          <w:rFonts w:ascii="Times New Roman" w:hAnsi="Times New Roman" w:eastAsia="Times New Roman" w:cs="Times New Roman"/>
          <w:sz w:val="24"/>
          <w:szCs w:val="24"/>
        </w:rPr>
        <w:t xml:space="preserve">Angelini, P. (2024). </w:t>
      </w:r>
      <w:bookmarkEnd w:id="81"/>
      <w:r>
        <w:rPr>
          <w:rFonts w:ascii="Times New Roman" w:hAnsi="Times New Roman" w:eastAsia="Times New Roman" w:cs="Times New Roman"/>
          <w:sz w:val="24"/>
          <w:szCs w:val="24"/>
        </w:rPr>
        <w:t xml:space="preserve">Plant-derived antimicrobials and their crucial role in combating antimicrobial resistance. </w:t>
      </w:r>
      <w:r>
        <w:rPr>
          <w:rFonts w:ascii="Times New Roman" w:hAnsi="Times New Roman" w:eastAsia="Times New Roman" w:cs="Times New Roman"/>
          <w:i/>
          <w:iCs/>
          <w:sz w:val="24"/>
          <w:szCs w:val="24"/>
        </w:rPr>
        <w:t>Antibiotics</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13</w:t>
      </w:r>
      <w:r>
        <w:rPr>
          <w:rFonts w:ascii="Times New Roman" w:hAnsi="Times New Roman" w:eastAsia="Times New Roman" w:cs="Times New Roman"/>
          <w:sz w:val="24"/>
          <w:szCs w:val="24"/>
        </w:rPr>
        <w:t>(8), 746.</w:t>
      </w:r>
    </w:p>
    <w:p w14:paraId="6AAE3C73">
      <w:pPr>
        <w:spacing w:before="240" w:after="100" w:afterAutospacing="1" w:line="24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Awa, D. N., Vougat Ngom, R., &amp; Ekoume, M. E. (2023). Phytochemical screening and antibacterial properties of </w:t>
      </w:r>
      <w:r>
        <w:rPr>
          <w:rFonts w:ascii="Times New Roman" w:hAnsi="Times New Roman" w:eastAsia="Times New Roman" w:cs="Times New Roman"/>
          <w:i/>
          <w:iCs/>
          <w:sz w:val="24"/>
          <w:szCs w:val="24"/>
        </w:rPr>
        <w:t>Boscia angustifolia</w:t>
      </w:r>
      <w:r>
        <w:rPr>
          <w:rFonts w:ascii="Times New Roman" w:hAnsi="Times New Roman" w:eastAsia="Times New Roman" w:cs="Times New Roman"/>
          <w:sz w:val="24"/>
          <w:szCs w:val="24"/>
        </w:rPr>
        <w:t xml:space="preserve"> extracts from Cameroon. </w:t>
      </w:r>
      <w:r>
        <w:rPr>
          <w:rFonts w:ascii="Times New Roman" w:hAnsi="Times New Roman" w:eastAsia="Times New Roman" w:cs="Times New Roman"/>
          <w:i/>
          <w:iCs/>
          <w:sz w:val="24"/>
          <w:szCs w:val="24"/>
        </w:rPr>
        <w:t>African Journal of Traditional, Complementary and Alternative Medicines</w:t>
      </w:r>
      <w:r>
        <w:rPr>
          <w:rFonts w:ascii="Times New Roman" w:hAnsi="Times New Roman" w:eastAsia="Times New Roman" w:cs="Times New Roman"/>
          <w:sz w:val="24"/>
          <w:szCs w:val="24"/>
        </w:rPr>
        <w:t>, 20(1), 45–54.</w:t>
      </w:r>
    </w:p>
    <w:p w14:paraId="3951F027">
      <w:pPr>
        <w:spacing w:before="240" w:after="0" w:line="240" w:lineRule="auto"/>
        <w:ind w:left="720" w:hanging="720"/>
        <w:jc w:val="both"/>
        <w:rPr>
          <w:rFonts w:ascii="Times New Roman" w:hAnsi="Times New Roman" w:eastAsia="Times New Roman" w:cs="Times New Roman"/>
          <w:sz w:val="24"/>
          <w:szCs w:val="24"/>
        </w:rPr>
      </w:pPr>
      <w:bookmarkStart w:id="82" w:name="_Hlk214590554"/>
      <w:r>
        <w:rPr>
          <w:rFonts w:ascii="Times New Roman" w:hAnsi="Times New Roman" w:eastAsia="Times New Roman" w:cs="Times New Roman"/>
          <w:sz w:val="24"/>
          <w:szCs w:val="24"/>
        </w:rPr>
        <w:t xml:space="preserve">Bhattacharjee, M. K. (2025). </w:t>
      </w:r>
      <w:bookmarkEnd w:id="82"/>
      <w:r>
        <w:rPr>
          <w:rFonts w:ascii="Times New Roman" w:hAnsi="Times New Roman" w:eastAsia="Times New Roman" w:cs="Times New Roman"/>
          <w:sz w:val="24"/>
          <w:szCs w:val="24"/>
        </w:rPr>
        <w:t xml:space="preserve">Antibiotics that inhibit cell wall synthesis. In </w:t>
      </w:r>
      <w:r>
        <w:rPr>
          <w:rFonts w:ascii="Times New Roman" w:hAnsi="Times New Roman" w:eastAsia="Times New Roman" w:cs="Times New Roman"/>
          <w:i/>
          <w:iCs/>
          <w:sz w:val="24"/>
          <w:szCs w:val="24"/>
        </w:rPr>
        <w:t>Chemistry of Antibiotics and Related Drugs</w:t>
      </w:r>
      <w:r>
        <w:rPr>
          <w:rFonts w:ascii="Times New Roman" w:hAnsi="Times New Roman" w:eastAsia="Times New Roman" w:cs="Times New Roman"/>
          <w:sz w:val="24"/>
          <w:szCs w:val="24"/>
        </w:rPr>
        <w:t xml:space="preserve"> (pp. 55-107). Cham: Springer Nature Switzerland.</w:t>
      </w:r>
    </w:p>
    <w:p w14:paraId="1776E2FC">
      <w:pPr>
        <w:spacing w:before="240" w:after="100" w:afterAutospacing="1" w:line="24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Chaughule, R. S., &amp; Barve, P. (2024). Pharmacological evaluation of medicinal plants with antimicrobial potential: A systematic review. </w:t>
      </w:r>
      <w:r>
        <w:rPr>
          <w:rFonts w:ascii="Times New Roman" w:hAnsi="Times New Roman" w:eastAsia="Times New Roman" w:cs="Times New Roman"/>
          <w:i/>
          <w:iCs/>
          <w:sz w:val="24"/>
          <w:szCs w:val="24"/>
        </w:rPr>
        <w:t>Journal of Ethnopharmacology</w:t>
      </w:r>
      <w:r>
        <w:rPr>
          <w:rFonts w:ascii="Times New Roman" w:hAnsi="Times New Roman" w:eastAsia="Times New Roman" w:cs="Times New Roman"/>
          <w:sz w:val="24"/>
          <w:szCs w:val="24"/>
        </w:rPr>
        <w:t>, 317, 116920.</w:t>
      </w:r>
    </w:p>
    <w:p w14:paraId="46EE96B8">
      <w:pPr>
        <w:spacing w:before="240" w:after="0" w:line="24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Chaughule, R. S., &amp; Barve, R. S. (2024). Role of herbal medicines in the treatment of infectious diseases. In </w:t>
      </w:r>
      <w:r>
        <w:rPr>
          <w:rFonts w:ascii="Times New Roman" w:hAnsi="Times New Roman" w:eastAsia="Times New Roman" w:cs="Times New Roman"/>
          <w:i/>
          <w:iCs/>
          <w:sz w:val="24"/>
          <w:szCs w:val="24"/>
        </w:rPr>
        <w:t>Infectious Diseases</w:t>
      </w:r>
      <w:r>
        <w:rPr>
          <w:rFonts w:ascii="Times New Roman" w:hAnsi="Times New Roman" w:eastAsia="Times New Roman" w:cs="Times New Roman"/>
          <w:sz w:val="24"/>
          <w:szCs w:val="24"/>
        </w:rPr>
        <w:t xml:space="preserve"> (pp. 74-91). Bentham Science Publishers.</w:t>
      </w:r>
    </w:p>
    <w:p w14:paraId="4A18DB06">
      <w:pPr>
        <w:spacing w:before="240" w:after="0" w:line="24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Chele, K. H., Piater, L. A., van der Hooft, J. J., &amp; Tugizimana, F. (2025). Bridging Ethnobotanical Knowledge and Multi-Omics Approaches for Plant-Derived Natural Product Discovery. </w:t>
      </w:r>
      <w:r>
        <w:rPr>
          <w:rFonts w:ascii="Times New Roman" w:hAnsi="Times New Roman" w:eastAsia="Times New Roman" w:cs="Times New Roman"/>
          <w:i/>
          <w:iCs/>
          <w:sz w:val="24"/>
          <w:szCs w:val="24"/>
        </w:rPr>
        <w:t>Metabolites</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15</w:t>
      </w:r>
      <w:r>
        <w:rPr>
          <w:rFonts w:ascii="Times New Roman" w:hAnsi="Times New Roman" w:eastAsia="Times New Roman" w:cs="Times New Roman"/>
          <w:sz w:val="24"/>
          <w:szCs w:val="24"/>
        </w:rPr>
        <w:t>(6), 362.</w:t>
      </w:r>
    </w:p>
    <w:p w14:paraId="36974847">
      <w:pPr>
        <w:pStyle w:val="19"/>
        <w:spacing w:before="240" w:beforeAutospacing="0"/>
        <w:ind w:left="720" w:hanging="720"/>
        <w:jc w:val="both"/>
        <w:rPr>
          <w:color w:val="000000" w:themeColor="text1"/>
          <w14:textFill>
            <w14:solidFill>
              <w14:schemeClr w14:val="tx1"/>
            </w14:solidFill>
          </w14:textFill>
        </w:rPr>
      </w:pPr>
      <w:r>
        <w:rPr>
          <w:color w:val="000000" w:themeColor="text1"/>
          <w14:textFill>
            <w14:solidFill>
              <w14:schemeClr w14:val="tx1"/>
            </w14:solidFill>
          </w14:textFill>
        </w:rPr>
        <w:t xml:space="preserve">CLSI. (2020). </w:t>
      </w:r>
      <w:r>
        <w:rPr>
          <w:i/>
          <w:iCs/>
          <w:color w:val="000000" w:themeColor="text1"/>
          <w14:textFill>
            <w14:solidFill>
              <w14:schemeClr w14:val="tx1"/>
            </w14:solidFill>
          </w14:textFill>
        </w:rPr>
        <w:t>Performance standards for antimicrobial susceptibility testing</w:t>
      </w:r>
      <w:r>
        <w:rPr>
          <w:color w:val="000000" w:themeColor="text1"/>
          <w14:textFill>
            <w14:solidFill>
              <w14:schemeClr w14:val="tx1"/>
            </w14:solidFill>
          </w14:textFill>
        </w:rPr>
        <w:t xml:space="preserve"> (30th ed.). Clinical                  and Laboratory Standards Institute.</w:t>
      </w:r>
    </w:p>
    <w:p w14:paraId="64BC9020">
      <w:pPr>
        <w:spacing w:before="240" w:after="0" w:line="24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Dalhoff, A. (2021). Selective toxicity of antibacterial agents—still a valid concept or do we miss chances and ignore risks?. </w:t>
      </w:r>
      <w:r>
        <w:rPr>
          <w:rFonts w:ascii="Times New Roman" w:hAnsi="Times New Roman" w:eastAsia="Times New Roman" w:cs="Times New Roman"/>
          <w:i/>
          <w:iCs/>
          <w:sz w:val="24"/>
          <w:szCs w:val="24"/>
        </w:rPr>
        <w:t>Infection</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49</w:t>
      </w:r>
      <w:r>
        <w:rPr>
          <w:rFonts w:ascii="Times New Roman" w:hAnsi="Times New Roman" w:eastAsia="Times New Roman" w:cs="Times New Roman"/>
          <w:sz w:val="24"/>
          <w:szCs w:val="24"/>
        </w:rPr>
        <w:t>(1), 29-56.</w:t>
      </w:r>
    </w:p>
    <w:p w14:paraId="30F20EA4">
      <w:pPr>
        <w:spacing w:before="240" w:after="0" w:line="24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Donadio, G., Mensitieri, F., Santoro, V., Parisi, V., Bellone, M. L., De Tommasi, N., ... &amp; Dal Piaz, F. (2021). Interactions with microbial proteins driving the antibacterial activity of flavonoids. </w:t>
      </w:r>
      <w:r>
        <w:rPr>
          <w:rFonts w:ascii="Times New Roman" w:hAnsi="Times New Roman" w:eastAsia="Times New Roman" w:cs="Times New Roman"/>
          <w:i/>
          <w:iCs/>
          <w:sz w:val="24"/>
          <w:szCs w:val="24"/>
        </w:rPr>
        <w:t>Pharmaceutics</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13</w:t>
      </w:r>
      <w:r>
        <w:rPr>
          <w:rFonts w:ascii="Times New Roman" w:hAnsi="Times New Roman" w:eastAsia="Times New Roman" w:cs="Times New Roman"/>
          <w:sz w:val="24"/>
          <w:szCs w:val="24"/>
        </w:rPr>
        <w:t>(5), 660.</w:t>
      </w:r>
    </w:p>
    <w:p w14:paraId="51287C73">
      <w:pPr>
        <w:spacing w:before="240" w:after="0" w:line="24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Ecevit, K., Barros, A. A., Silva, J. M., &amp; Reis, R. L. (2022). Preventing microbial infections with natural phenolic compounds. </w:t>
      </w:r>
      <w:r>
        <w:rPr>
          <w:rFonts w:ascii="Times New Roman" w:hAnsi="Times New Roman" w:eastAsia="Times New Roman" w:cs="Times New Roman"/>
          <w:i/>
          <w:iCs/>
          <w:sz w:val="24"/>
          <w:szCs w:val="24"/>
        </w:rPr>
        <w:t>Future Pharmacology</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2</w:t>
      </w:r>
      <w:r>
        <w:rPr>
          <w:rFonts w:ascii="Times New Roman" w:hAnsi="Times New Roman" w:eastAsia="Times New Roman" w:cs="Times New Roman"/>
          <w:sz w:val="24"/>
          <w:szCs w:val="24"/>
        </w:rPr>
        <w:t>(4), 460-498.</w:t>
      </w:r>
    </w:p>
    <w:p w14:paraId="193B1D93">
      <w:pPr>
        <w:spacing w:before="240" w:after="100" w:afterAutospacing="1" w:line="24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Essa, M. A., Vougat Ngom, R., &amp; Doka, I. G. (2021). Antibacterial and antioxidant properties of </w:t>
      </w:r>
      <w:r>
        <w:rPr>
          <w:rFonts w:ascii="Times New Roman" w:hAnsi="Times New Roman" w:eastAsia="Times New Roman" w:cs="Times New Roman"/>
          <w:i/>
          <w:iCs/>
          <w:sz w:val="24"/>
          <w:szCs w:val="24"/>
        </w:rPr>
        <w:t>Boscia angustifolia</w:t>
      </w:r>
      <w:r>
        <w:rPr>
          <w:rFonts w:ascii="Times New Roman" w:hAnsi="Times New Roman" w:eastAsia="Times New Roman" w:cs="Times New Roman"/>
          <w:sz w:val="24"/>
          <w:szCs w:val="24"/>
        </w:rPr>
        <w:t xml:space="preserve"> extracts against multidrug-resistant bacteria. </w:t>
      </w:r>
      <w:r>
        <w:rPr>
          <w:rFonts w:ascii="Times New Roman" w:hAnsi="Times New Roman" w:eastAsia="Times New Roman" w:cs="Times New Roman"/>
          <w:i/>
          <w:iCs/>
          <w:sz w:val="24"/>
          <w:szCs w:val="24"/>
        </w:rPr>
        <w:t>Journal of Applied Biosciences</w:t>
      </w:r>
      <w:r>
        <w:rPr>
          <w:rFonts w:ascii="Times New Roman" w:hAnsi="Times New Roman" w:eastAsia="Times New Roman" w:cs="Times New Roman"/>
          <w:sz w:val="24"/>
          <w:szCs w:val="24"/>
        </w:rPr>
        <w:t>, 162, 16758–16769.</w:t>
      </w:r>
    </w:p>
    <w:p w14:paraId="0BEA430F">
      <w:pPr>
        <w:spacing w:before="240" w:after="100" w:afterAutospacing="1" w:line="240" w:lineRule="auto"/>
        <w:jc w:val="both"/>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Times New Roman" w:cs="Times New Roman"/>
          <w:color w:val="000000" w:themeColor="text1"/>
          <w:sz w:val="24"/>
          <w:szCs w:val="24"/>
          <w14:textFill>
            <w14:solidFill>
              <w14:schemeClr w14:val="tx1"/>
            </w14:solidFill>
          </w14:textFill>
        </w:rPr>
        <w:t xml:space="preserve">Field, A. (2018). </w:t>
      </w:r>
      <w:r>
        <w:rPr>
          <w:rFonts w:ascii="Times New Roman" w:hAnsi="Times New Roman" w:eastAsia="Times New Roman" w:cs="Times New Roman"/>
          <w:i/>
          <w:iCs/>
          <w:color w:val="000000" w:themeColor="text1"/>
          <w:sz w:val="24"/>
          <w:szCs w:val="24"/>
          <w14:textFill>
            <w14:solidFill>
              <w14:schemeClr w14:val="tx1"/>
            </w14:solidFill>
          </w14:textFill>
        </w:rPr>
        <w:t>Discovering statistics using IBM SPSS statistics</w:t>
      </w:r>
      <w:r>
        <w:rPr>
          <w:rFonts w:ascii="Times New Roman" w:hAnsi="Times New Roman" w:eastAsia="Times New Roman" w:cs="Times New Roman"/>
          <w:color w:val="000000" w:themeColor="text1"/>
          <w:sz w:val="24"/>
          <w:szCs w:val="24"/>
          <w14:textFill>
            <w14:solidFill>
              <w14:schemeClr w14:val="tx1"/>
            </w14:solidFill>
          </w14:textFill>
        </w:rPr>
        <w:t xml:space="preserve"> (5th ed.). SAGE Publications.</w:t>
      </w:r>
    </w:p>
    <w:p w14:paraId="351B41D5">
      <w:pPr>
        <w:spacing w:before="240" w:after="0" w:line="24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Gajic, I., Tomic, N., Lukovic, B., Jovicevic, M., Kekic, D., Petrovic, M., ... &amp; Opavski, N. (2025). A comprehensive overview of antibacterial agents for combating Multidrug-Resistant bacteria: the current landscape, development, future opportunities, and challenges. </w:t>
      </w:r>
      <w:r>
        <w:rPr>
          <w:rFonts w:ascii="Times New Roman" w:hAnsi="Times New Roman" w:eastAsia="Times New Roman" w:cs="Times New Roman"/>
          <w:i/>
          <w:iCs/>
          <w:sz w:val="24"/>
          <w:szCs w:val="24"/>
        </w:rPr>
        <w:t>Antibiotics</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14</w:t>
      </w:r>
      <w:r>
        <w:rPr>
          <w:rFonts w:ascii="Times New Roman" w:hAnsi="Times New Roman" w:eastAsia="Times New Roman" w:cs="Times New Roman"/>
          <w:sz w:val="24"/>
          <w:szCs w:val="24"/>
        </w:rPr>
        <w:t>(3), 221.</w:t>
      </w:r>
    </w:p>
    <w:p w14:paraId="71B968BC">
      <w:pPr>
        <w:spacing w:before="240" w:after="0" w:line="240" w:lineRule="auto"/>
        <w:ind w:left="720" w:hanging="720"/>
        <w:jc w:val="both"/>
        <w:rPr>
          <w:rFonts w:ascii="Times New Roman" w:hAnsi="Times New Roman" w:eastAsia="Times New Roman" w:cs="Times New Roman"/>
          <w:sz w:val="24"/>
          <w:szCs w:val="24"/>
        </w:rPr>
      </w:pPr>
      <w:bookmarkStart w:id="83" w:name="_Hlk214590859"/>
      <w:r>
        <w:rPr>
          <w:rFonts w:ascii="Times New Roman" w:hAnsi="Times New Roman" w:eastAsia="Times New Roman" w:cs="Times New Roman"/>
          <w:sz w:val="24"/>
          <w:szCs w:val="24"/>
        </w:rPr>
        <w:t xml:space="preserve">Gauba, A., &amp; Rahman, K. M. (2023). </w:t>
      </w:r>
      <w:bookmarkEnd w:id="83"/>
      <w:r>
        <w:rPr>
          <w:rFonts w:ascii="Times New Roman" w:hAnsi="Times New Roman" w:eastAsia="Times New Roman" w:cs="Times New Roman"/>
          <w:sz w:val="24"/>
          <w:szCs w:val="24"/>
        </w:rPr>
        <w:t xml:space="preserve">Evaluation of antibiotic resistance mechanisms in gram-negative bacteria. </w:t>
      </w:r>
      <w:r>
        <w:rPr>
          <w:rFonts w:ascii="Times New Roman" w:hAnsi="Times New Roman" w:eastAsia="Times New Roman" w:cs="Times New Roman"/>
          <w:i/>
          <w:iCs/>
          <w:sz w:val="24"/>
          <w:szCs w:val="24"/>
        </w:rPr>
        <w:t>Antibiotics</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12</w:t>
      </w:r>
      <w:r>
        <w:rPr>
          <w:rFonts w:ascii="Times New Roman" w:hAnsi="Times New Roman" w:eastAsia="Times New Roman" w:cs="Times New Roman"/>
          <w:sz w:val="24"/>
          <w:szCs w:val="24"/>
        </w:rPr>
        <w:t>(11), 1590.</w:t>
      </w:r>
    </w:p>
    <w:p w14:paraId="70F3E4C3">
      <w:pPr>
        <w:spacing w:before="240" w:after="100" w:afterAutospacing="1" w:line="24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Ghosh, S., Roy, P., &amp; Saha, R. (2022). Mechanisms of antibacterial action of plant-derived bioactive compounds. </w:t>
      </w:r>
      <w:r>
        <w:rPr>
          <w:rFonts w:ascii="Times New Roman" w:hAnsi="Times New Roman" w:eastAsia="Times New Roman" w:cs="Times New Roman"/>
          <w:i/>
          <w:iCs/>
          <w:sz w:val="24"/>
          <w:szCs w:val="24"/>
        </w:rPr>
        <w:t>Pharmacognosy Reviews</w:t>
      </w:r>
      <w:r>
        <w:rPr>
          <w:rFonts w:ascii="Times New Roman" w:hAnsi="Times New Roman" w:eastAsia="Times New Roman" w:cs="Times New Roman"/>
          <w:sz w:val="24"/>
          <w:szCs w:val="24"/>
        </w:rPr>
        <w:t>, 16(31), 53–62.</w:t>
      </w:r>
    </w:p>
    <w:p w14:paraId="579BFF67">
      <w:pPr>
        <w:spacing w:before="240" w:after="0" w:line="240" w:lineRule="auto"/>
        <w:ind w:left="720" w:hanging="720"/>
        <w:jc w:val="both"/>
        <w:rPr>
          <w:rFonts w:ascii="Times New Roman" w:hAnsi="Times New Roman" w:eastAsia="Times New Roman" w:cs="Times New Roman"/>
          <w:sz w:val="24"/>
          <w:szCs w:val="24"/>
        </w:rPr>
      </w:pPr>
      <w:bookmarkStart w:id="84" w:name="_Hlk214592699"/>
      <w:r>
        <w:rPr>
          <w:rFonts w:ascii="Times New Roman" w:hAnsi="Times New Roman" w:eastAsia="Times New Roman" w:cs="Times New Roman"/>
          <w:sz w:val="24"/>
          <w:szCs w:val="24"/>
        </w:rPr>
        <w:t>Guchait</w:t>
      </w:r>
      <w:bookmarkEnd w:id="84"/>
      <w:r>
        <w:rPr>
          <w:rFonts w:ascii="Times New Roman" w:hAnsi="Times New Roman" w:eastAsia="Times New Roman" w:cs="Times New Roman"/>
          <w:sz w:val="24"/>
          <w:szCs w:val="24"/>
        </w:rPr>
        <w:t xml:space="preserve">, A., Kumar, A., Singh, R., Joshi, G., &amp; Dwivedi, A. R. (2023). A review on reported phytochemicals as druggable leads with antimalarial potential. </w:t>
      </w:r>
      <w:r>
        <w:rPr>
          <w:rFonts w:ascii="Times New Roman" w:hAnsi="Times New Roman" w:eastAsia="Times New Roman" w:cs="Times New Roman"/>
          <w:i/>
          <w:iCs/>
          <w:sz w:val="24"/>
          <w:szCs w:val="24"/>
        </w:rPr>
        <w:t>Medicinal Chemistry Research</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32</w:t>
      </w:r>
      <w:r>
        <w:rPr>
          <w:rFonts w:ascii="Times New Roman" w:hAnsi="Times New Roman" w:eastAsia="Times New Roman" w:cs="Times New Roman"/>
          <w:sz w:val="24"/>
          <w:szCs w:val="24"/>
        </w:rPr>
        <w:t>(8), 1633-1657.</w:t>
      </w:r>
    </w:p>
    <w:p w14:paraId="16A20848">
      <w:pPr>
        <w:spacing w:before="240" w:after="0" w:line="24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Halilu, E. M. (2024). Characterization of crude saponins from stem bark extract of Parinari curatellifolia and evaluation of its antioxidant and antibacterial activities. </w:t>
      </w:r>
      <w:r>
        <w:rPr>
          <w:rFonts w:ascii="Times New Roman" w:hAnsi="Times New Roman" w:eastAsia="Times New Roman" w:cs="Times New Roman"/>
          <w:i/>
          <w:iCs/>
          <w:sz w:val="24"/>
          <w:szCs w:val="24"/>
        </w:rPr>
        <w:t>Physical Sciences Reviews</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9</w:t>
      </w:r>
      <w:r>
        <w:rPr>
          <w:rFonts w:ascii="Times New Roman" w:hAnsi="Times New Roman" w:eastAsia="Times New Roman" w:cs="Times New Roman"/>
          <w:sz w:val="24"/>
          <w:szCs w:val="24"/>
        </w:rPr>
        <w:t>(5), 2077-2095.</w:t>
      </w:r>
    </w:p>
    <w:p w14:paraId="61248147">
      <w:pPr>
        <w:spacing w:before="240" w:after="0" w:line="240" w:lineRule="auto"/>
        <w:ind w:left="720" w:hanging="720"/>
        <w:jc w:val="both"/>
        <w:rPr>
          <w:rFonts w:ascii="Times New Roman" w:hAnsi="Times New Roman" w:eastAsia="Times New Roman" w:cs="Times New Roman"/>
          <w:sz w:val="24"/>
          <w:szCs w:val="24"/>
        </w:rPr>
      </w:pPr>
      <w:bookmarkStart w:id="85" w:name="_Hlk214593797"/>
      <w:r>
        <w:rPr>
          <w:rFonts w:ascii="Times New Roman" w:hAnsi="Times New Roman" w:eastAsia="Times New Roman" w:cs="Times New Roman"/>
          <w:sz w:val="24"/>
          <w:szCs w:val="24"/>
        </w:rPr>
        <w:t xml:space="preserve">Herman, A., &amp; Herman, A. P. (2023). </w:t>
      </w:r>
      <w:bookmarkEnd w:id="85"/>
      <w:r>
        <w:rPr>
          <w:rFonts w:ascii="Times New Roman" w:hAnsi="Times New Roman" w:eastAsia="Times New Roman" w:cs="Times New Roman"/>
          <w:sz w:val="24"/>
          <w:szCs w:val="24"/>
        </w:rPr>
        <w:t xml:space="preserve">Herbal products and their active constituents used alone and in combination with antibiotics against multidrug-resistant bacteria. </w:t>
      </w:r>
      <w:r>
        <w:rPr>
          <w:rFonts w:ascii="Times New Roman" w:hAnsi="Times New Roman" w:eastAsia="Times New Roman" w:cs="Times New Roman"/>
          <w:i/>
          <w:iCs/>
          <w:sz w:val="24"/>
          <w:szCs w:val="24"/>
        </w:rPr>
        <w:t>Planta Medica</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89</w:t>
      </w:r>
      <w:r>
        <w:rPr>
          <w:rFonts w:ascii="Times New Roman" w:hAnsi="Times New Roman" w:eastAsia="Times New Roman" w:cs="Times New Roman"/>
          <w:sz w:val="24"/>
          <w:szCs w:val="24"/>
        </w:rPr>
        <w:t>(02), 168-182.</w:t>
      </w:r>
    </w:p>
    <w:p w14:paraId="508079CD">
      <w:pPr>
        <w:spacing w:before="240" w:after="0" w:line="240" w:lineRule="auto"/>
        <w:ind w:left="720" w:hanging="720"/>
        <w:jc w:val="both"/>
        <w:rPr>
          <w:rFonts w:ascii="Times New Roman" w:hAnsi="Times New Roman" w:eastAsia="Times New Roman" w:cs="Times New Roman"/>
          <w:sz w:val="24"/>
          <w:szCs w:val="24"/>
        </w:rPr>
      </w:pPr>
      <w:bookmarkStart w:id="86" w:name="_Hlk214666949"/>
      <w:r>
        <w:rPr>
          <w:rFonts w:ascii="Times New Roman" w:hAnsi="Times New Roman" w:eastAsia="Times New Roman" w:cs="Times New Roman"/>
          <w:sz w:val="24"/>
          <w:szCs w:val="24"/>
        </w:rPr>
        <w:t>Jadhav</w:t>
      </w:r>
      <w:bookmarkEnd w:id="86"/>
      <w:r>
        <w:rPr>
          <w:rFonts w:ascii="Times New Roman" w:hAnsi="Times New Roman" w:eastAsia="Times New Roman" w:cs="Times New Roman"/>
          <w:sz w:val="24"/>
          <w:szCs w:val="24"/>
        </w:rPr>
        <w:t xml:space="preserve">, M. M., Chhajed, M., &amp; Saluja, M. S. (2021). Phytochemical, pharmacological investigation and isolation of various extracts fractions of Ficus benjamina leaves. </w:t>
      </w:r>
      <w:r>
        <w:rPr>
          <w:rFonts w:ascii="Times New Roman" w:hAnsi="Times New Roman" w:eastAsia="Times New Roman" w:cs="Times New Roman"/>
          <w:i/>
          <w:iCs/>
          <w:sz w:val="24"/>
          <w:szCs w:val="24"/>
        </w:rPr>
        <w:t>NeuroQuantology</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19</w:t>
      </w:r>
      <w:r>
        <w:rPr>
          <w:rFonts w:ascii="Times New Roman" w:hAnsi="Times New Roman" w:eastAsia="Times New Roman" w:cs="Times New Roman"/>
          <w:sz w:val="24"/>
          <w:szCs w:val="24"/>
        </w:rPr>
        <w:t>(11), 401.</w:t>
      </w:r>
    </w:p>
    <w:p w14:paraId="6BCD94B9">
      <w:pPr>
        <w:spacing w:before="240" w:after="0" w:line="24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Kariuki, S., Kering, K., Wairimu, C., Onsare, R., &amp; Mbae, C. (2022). Antimicrobial resistance rates and surveillance in sub-Saharan Africa: where are we now?. </w:t>
      </w:r>
      <w:r>
        <w:rPr>
          <w:rFonts w:ascii="Times New Roman" w:hAnsi="Times New Roman" w:eastAsia="Times New Roman" w:cs="Times New Roman"/>
          <w:i/>
          <w:iCs/>
          <w:sz w:val="24"/>
          <w:szCs w:val="24"/>
        </w:rPr>
        <w:t>Infection and drug resistance</w:t>
      </w:r>
      <w:r>
        <w:rPr>
          <w:rFonts w:ascii="Times New Roman" w:hAnsi="Times New Roman" w:eastAsia="Times New Roman" w:cs="Times New Roman"/>
          <w:sz w:val="24"/>
          <w:szCs w:val="24"/>
        </w:rPr>
        <w:t>, 3589-3609.</w:t>
      </w:r>
    </w:p>
    <w:p w14:paraId="48CF6296">
      <w:pPr>
        <w:spacing w:before="240" w:after="0" w:line="24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Karonen, M. (2022). Insights into polyphenol–lipid interactions: Chemical methods, molecular aspects and their effects on membrane structures. </w:t>
      </w:r>
      <w:r>
        <w:rPr>
          <w:rFonts w:ascii="Times New Roman" w:hAnsi="Times New Roman" w:eastAsia="Times New Roman" w:cs="Times New Roman"/>
          <w:i/>
          <w:iCs/>
          <w:sz w:val="24"/>
          <w:szCs w:val="24"/>
        </w:rPr>
        <w:t>Plants</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11</w:t>
      </w:r>
      <w:r>
        <w:rPr>
          <w:rFonts w:ascii="Times New Roman" w:hAnsi="Times New Roman" w:eastAsia="Times New Roman" w:cs="Times New Roman"/>
          <w:sz w:val="24"/>
          <w:szCs w:val="24"/>
        </w:rPr>
        <w:t>(14), 1809.</w:t>
      </w:r>
    </w:p>
    <w:p w14:paraId="5705E530">
      <w:pPr>
        <w:spacing w:before="240" w:after="0" w:line="240" w:lineRule="auto"/>
        <w:ind w:left="720" w:hanging="720"/>
        <w:jc w:val="both"/>
        <w:rPr>
          <w:rFonts w:ascii="Times New Roman" w:hAnsi="Times New Roman" w:eastAsia="Times New Roman" w:cs="Times New Roman"/>
          <w:sz w:val="24"/>
          <w:szCs w:val="24"/>
        </w:rPr>
      </w:pPr>
      <w:bookmarkStart w:id="87" w:name="_Hlk214665862"/>
      <w:r>
        <w:rPr>
          <w:rFonts w:ascii="Times New Roman" w:hAnsi="Times New Roman" w:eastAsia="Times New Roman" w:cs="Times New Roman"/>
          <w:sz w:val="24"/>
          <w:szCs w:val="24"/>
        </w:rPr>
        <w:t xml:space="preserve">Kebede, </w:t>
      </w:r>
      <w:bookmarkEnd w:id="87"/>
      <w:r>
        <w:rPr>
          <w:rFonts w:ascii="Times New Roman" w:hAnsi="Times New Roman" w:eastAsia="Times New Roman" w:cs="Times New Roman"/>
          <w:sz w:val="24"/>
          <w:szCs w:val="24"/>
        </w:rPr>
        <w:t xml:space="preserve">T., Gadisa, E., &amp; Tufa, A. (2021). Antimicrobial activities evaluation and phytochemical screening of some selected medicinal plants: A possible alternative in the treatment of multidrug-resistant microbes. </w:t>
      </w:r>
      <w:r>
        <w:rPr>
          <w:rFonts w:ascii="Times New Roman" w:hAnsi="Times New Roman" w:eastAsia="Times New Roman" w:cs="Times New Roman"/>
          <w:i/>
          <w:iCs/>
          <w:sz w:val="24"/>
          <w:szCs w:val="24"/>
        </w:rPr>
        <w:t>PloS one</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16</w:t>
      </w:r>
      <w:r>
        <w:rPr>
          <w:rFonts w:ascii="Times New Roman" w:hAnsi="Times New Roman" w:eastAsia="Times New Roman" w:cs="Times New Roman"/>
          <w:sz w:val="24"/>
          <w:szCs w:val="24"/>
        </w:rPr>
        <w:t>(3), e0249253.</w:t>
      </w:r>
    </w:p>
    <w:p w14:paraId="18365455">
      <w:pPr>
        <w:spacing w:before="240" w:after="0" w:line="24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Khataniar, A., Das, A., &amp; Saikia, R. (2025). Bioactivity profiling of Schefflera venulosa (Wight &amp; Arn.) Harms leaf extracts: insights into antibacterial, antioxidant, and anti-inflammatory potentials. </w:t>
      </w:r>
      <w:r>
        <w:rPr>
          <w:rFonts w:ascii="Times New Roman" w:hAnsi="Times New Roman" w:eastAsia="Times New Roman" w:cs="Times New Roman"/>
          <w:i/>
          <w:iCs/>
          <w:sz w:val="24"/>
          <w:szCs w:val="24"/>
        </w:rPr>
        <w:t>Vegetos</w:t>
      </w:r>
      <w:r>
        <w:rPr>
          <w:rFonts w:ascii="Times New Roman" w:hAnsi="Times New Roman" w:eastAsia="Times New Roman" w:cs="Times New Roman"/>
          <w:sz w:val="24"/>
          <w:szCs w:val="24"/>
        </w:rPr>
        <w:t>, 1-15.</w:t>
      </w:r>
    </w:p>
    <w:p w14:paraId="774DF7F3">
      <w:pPr>
        <w:spacing w:before="240" w:after="0" w:line="24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Liu, Y., Zhu, J., Liu, Z., Zhi, Y., Mei, C., &amp; Wang, H. (2025). Flavonoids as promising natural compounds for combating bacterial infections. </w:t>
      </w:r>
      <w:r>
        <w:rPr>
          <w:rFonts w:ascii="Times New Roman" w:hAnsi="Times New Roman" w:eastAsia="Times New Roman" w:cs="Times New Roman"/>
          <w:i/>
          <w:iCs/>
          <w:sz w:val="24"/>
          <w:szCs w:val="24"/>
        </w:rPr>
        <w:t>International Journal of Molecular Sciences</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26</w:t>
      </w:r>
      <w:r>
        <w:rPr>
          <w:rFonts w:ascii="Times New Roman" w:hAnsi="Times New Roman" w:eastAsia="Times New Roman" w:cs="Times New Roman"/>
          <w:sz w:val="24"/>
          <w:szCs w:val="24"/>
        </w:rPr>
        <w:t>(6), 2455.</w:t>
      </w:r>
    </w:p>
    <w:p w14:paraId="052E1287">
      <w:pPr>
        <w:spacing w:before="240" w:after="0" w:line="24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Mahesh, P. P., Kolape, J., Sultana, H., &amp; Neelakanta, G. (2025). McFarland standards-based spectrophotometry method for calculating approximate multiplicity of infection for an obligate intracellular bacterium Anaplasma phagocytophilum. </w:t>
      </w:r>
      <w:r>
        <w:rPr>
          <w:rFonts w:ascii="Times New Roman" w:hAnsi="Times New Roman" w:eastAsia="Times New Roman" w:cs="Times New Roman"/>
          <w:i/>
          <w:iCs/>
          <w:sz w:val="24"/>
          <w:szCs w:val="24"/>
        </w:rPr>
        <w:t>Microorganisms</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13</w:t>
      </w:r>
      <w:r>
        <w:rPr>
          <w:rFonts w:ascii="Times New Roman" w:hAnsi="Times New Roman" w:eastAsia="Times New Roman" w:cs="Times New Roman"/>
          <w:sz w:val="24"/>
          <w:szCs w:val="24"/>
        </w:rPr>
        <w:t>(3), 662.</w:t>
      </w:r>
    </w:p>
    <w:p w14:paraId="53897239">
      <w:pPr>
        <w:spacing w:before="240" w:after="0" w:line="240" w:lineRule="auto"/>
        <w:ind w:left="720" w:hanging="720"/>
        <w:jc w:val="both"/>
        <w:rPr>
          <w:rFonts w:ascii="Times New Roman" w:hAnsi="Times New Roman" w:eastAsia="Times New Roman" w:cs="Times New Roman"/>
          <w:sz w:val="24"/>
          <w:szCs w:val="24"/>
        </w:rPr>
      </w:pPr>
      <w:bookmarkStart w:id="88" w:name="_Hlk214665389"/>
      <w:r>
        <w:rPr>
          <w:rFonts w:ascii="Times New Roman" w:hAnsi="Times New Roman" w:eastAsia="Times New Roman" w:cs="Times New Roman"/>
          <w:sz w:val="24"/>
          <w:szCs w:val="24"/>
        </w:rPr>
        <w:t>Makarewicz</w:t>
      </w:r>
      <w:bookmarkEnd w:id="88"/>
      <w:r>
        <w:rPr>
          <w:rFonts w:ascii="Times New Roman" w:hAnsi="Times New Roman" w:eastAsia="Times New Roman" w:cs="Times New Roman"/>
          <w:sz w:val="24"/>
          <w:szCs w:val="24"/>
        </w:rPr>
        <w:t xml:space="preserve">, M., Drożdż, I., Tarko, T., &amp; Duda-Chodak, A. (2021). The interactions between polyphenols and microorganisms, especially gut microbiota. </w:t>
      </w:r>
      <w:r>
        <w:rPr>
          <w:rFonts w:ascii="Times New Roman" w:hAnsi="Times New Roman" w:eastAsia="Times New Roman" w:cs="Times New Roman"/>
          <w:i/>
          <w:iCs/>
          <w:sz w:val="24"/>
          <w:szCs w:val="24"/>
        </w:rPr>
        <w:t>Antioxidants</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10</w:t>
      </w:r>
      <w:r>
        <w:rPr>
          <w:rFonts w:ascii="Times New Roman" w:hAnsi="Times New Roman" w:eastAsia="Times New Roman" w:cs="Times New Roman"/>
          <w:sz w:val="24"/>
          <w:szCs w:val="24"/>
        </w:rPr>
        <w:t>(2), 188.</w:t>
      </w:r>
    </w:p>
    <w:p w14:paraId="5AEFE2DA">
      <w:pPr>
        <w:spacing w:before="240" w:after="0" w:line="24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Maļeckis, A., Cvetinska, M., Kirjušina, M., Mežaraupe, L., Kecko, S., Gavarāne, I., ... &amp; Kirilova, E. (2024). A Comparative study of new fluorescent anthraquinone and benzanthrone α-aminophosphonates: synthesis, spectroscopy, toxicology, x-ray crystallography, and microscopy of opisthorchis felineus. </w:t>
      </w:r>
      <w:r>
        <w:rPr>
          <w:rFonts w:ascii="Times New Roman" w:hAnsi="Times New Roman" w:eastAsia="Times New Roman" w:cs="Times New Roman"/>
          <w:i/>
          <w:iCs/>
          <w:sz w:val="24"/>
          <w:szCs w:val="24"/>
        </w:rPr>
        <w:t>Molecules</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29</w:t>
      </w:r>
      <w:r>
        <w:rPr>
          <w:rFonts w:ascii="Times New Roman" w:hAnsi="Times New Roman" w:eastAsia="Times New Roman" w:cs="Times New Roman"/>
          <w:sz w:val="24"/>
          <w:szCs w:val="24"/>
        </w:rPr>
        <w:t>(5), 1143.</w:t>
      </w:r>
    </w:p>
    <w:p w14:paraId="3FDE9F7C">
      <w:pPr>
        <w:spacing w:before="240" w:after="0" w:line="24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Mariia, V. A., Ruban, O. A., Khalavka, M. V., &amp; Hohlova, L. O. (2021). Research of the choice of the basis of a semi-solid medicine with a semi-solid extract of feverfew (Tanacetum parthenium).</w:t>
      </w:r>
    </w:p>
    <w:p w14:paraId="5A992D2A">
      <w:pPr>
        <w:spacing w:before="240" w:after="0" w:line="24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Melkamu, W. W., &amp; Bitew, L. T. (2021). Green synthesis of silver nanoparticles using Hagenia abyssinica (Bruce) JF Gmel plant leaf extract and their antibacterial and anti-oxidant activities. </w:t>
      </w:r>
      <w:r>
        <w:rPr>
          <w:rFonts w:ascii="Times New Roman" w:hAnsi="Times New Roman" w:eastAsia="Times New Roman" w:cs="Times New Roman"/>
          <w:i/>
          <w:iCs/>
          <w:sz w:val="24"/>
          <w:szCs w:val="24"/>
        </w:rPr>
        <w:t>Heliyon</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7</w:t>
      </w:r>
      <w:r>
        <w:rPr>
          <w:rFonts w:ascii="Times New Roman" w:hAnsi="Times New Roman" w:eastAsia="Times New Roman" w:cs="Times New Roman"/>
          <w:sz w:val="24"/>
          <w:szCs w:val="24"/>
        </w:rPr>
        <w:t>(11).</w:t>
      </w:r>
    </w:p>
    <w:p w14:paraId="41668B49">
      <w:pPr>
        <w:spacing w:before="240" w:after="0" w:line="24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Muteeb, G., Rehman, M. T., Shahwan, M., &amp; Aatif, M. (2023). Origin of antibiotics and antibiotic resistance, and their impacts on drug development: A narrative review. </w:t>
      </w:r>
      <w:r>
        <w:rPr>
          <w:rFonts w:ascii="Times New Roman" w:hAnsi="Times New Roman" w:eastAsia="Times New Roman" w:cs="Times New Roman"/>
          <w:i/>
          <w:iCs/>
          <w:sz w:val="24"/>
          <w:szCs w:val="24"/>
        </w:rPr>
        <w:t>Pharmaceuticals</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16</w:t>
      </w:r>
      <w:r>
        <w:rPr>
          <w:rFonts w:ascii="Times New Roman" w:hAnsi="Times New Roman" w:eastAsia="Times New Roman" w:cs="Times New Roman"/>
          <w:sz w:val="24"/>
          <w:szCs w:val="24"/>
        </w:rPr>
        <w:t>(11), 1615.</w:t>
      </w:r>
    </w:p>
    <w:p w14:paraId="15FA3FFF">
      <w:pPr>
        <w:spacing w:before="240" w:after="0" w:line="24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Napagoda, M., &amp; Wijesundara, D. (2022). Medicinal plants as sources of novel therapeutics: The history, present, and future. </w:t>
      </w:r>
      <w:r>
        <w:rPr>
          <w:rFonts w:ascii="Times New Roman" w:hAnsi="Times New Roman" w:eastAsia="Times New Roman" w:cs="Times New Roman"/>
          <w:i/>
          <w:iCs/>
          <w:sz w:val="24"/>
          <w:szCs w:val="24"/>
        </w:rPr>
        <w:t>Chem. Nat. Prod. Phytochem. Pharm. Med. Plants</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3</w:t>
      </w:r>
      <w:r>
        <w:rPr>
          <w:rFonts w:ascii="Times New Roman" w:hAnsi="Times New Roman" w:eastAsia="Times New Roman" w:cs="Times New Roman"/>
          <w:sz w:val="24"/>
          <w:szCs w:val="24"/>
        </w:rPr>
        <w:t>, 4-18.</w:t>
      </w:r>
    </w:p>
    <w:p w14:paraId="3C75D043">
      <w:pPr>
        <w:spacing w:before="240" w:after="0" w:line="24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Obiang, C. S., Mba, T. N., Misso, R. L. N. M., Bourdette, J. O. O., Ondo, J. P., Atome, G. R. N., ... &amp; Emvo, E. N. (2022). Ethnopharmacological Study and Antibacterial Activities of Some Plants Used in Traditional Medicine for the Treatment of Diarrheal Diseases in Gabon. </w:t>
      </w:r>
      <w:r>
        <w:rPr>
          <w:rFonts w:ascii="Times New Roman" w:hAnsi="Times New Roman" w:eastAsia="Times New Roman" w:cs="Times New Roman"/>
          <w:i/>
          <w:iCs/>
          <w:sz w:val="24"/>
          <w:szCs w:val="24"/>
        </w:rPr>
        <w:t>Traditional and Integrative Medicine</w:t>
      </w:r>
      <w:r>
        <w:rPr>
          <w:rFonts w:ascii="Times New Roman" w:hAnsi="Times New Roman" w:eastAsia="Times New Roman" w:cs="Times New Roman"/>
          <w:sz w:val="24"/>
          <w:szCs w:val="24"/>
        </w:rPr>
        <w:t>, 386-401.</w:t>
      </w:r>
    </w:p>
    <w:p w14:paraId="0EC35DC7">
      <w:pPr>
        <w:spacing w:before="240" w:after="0" w:line="240" w:lineRule="auto"/>
        <w:ind w:left="720" w:hanging="720"/>
        <w:jc w:val="both"/>
        <w:rPr>
          <w:rFonts w:ascii="Times New Roman" w:hAnsi="Times New Roman" w:eastAsia="Times New Roman" w:cs="Times New Roman"/>
          <w:sz w:val="24"/>
          <w:szCs w:val="24"/>
        </w:rPr>
      </w:pPr>
      <w:bookmarkStart w:id="89" w:name="_Hlk214594002"/>
      <w:r>
        <w:rPr>
          <w:rFonts w:ascii="Times New Roman" w:hAnsi="Times New Roman" w:eastAsia="Times New Roman" w:cs="Times New Roman"/>
          <w:sz w:val="24"/>
          <w:szCs w:val="24"/>
        </w:rPr>
        <w:t>Ousmane</w:t>
      </w:r>
      <w:bookmarkEnd w:id="89"/>
      <w:r>
        <w:rPr>
          <w:rFonts w:ascii="Times New Roman" w:hAnsi="Times New Roman" w:eastAsia="Times New Roman" w:cs="Times New Roman"/>
          <w:sz w:val="24"/>
          <w:szCs w:val="24"/>
        </w:rPr>
        <w:t xml:space="preserve">, A. R., Inoussa, M. M., Ibrahim, M. L. A., Moussa, A. A., &amp; Bakasso, Y. (2023). Socio-economic values and ecological importance of Balanites aegyptiaca (L.) del. In sahelian agrosystems in western Niger. </w:t>
      </w:r>
      <w:r>
        <w:rPr>
          <w:rFonts w:ascii="Times New Roman" w:hAnsi="Times New Roman" w:eastAsia="Times New Roman" w:cs="Times New Roman"/>
          <w:i/>
          <w:iCs/>
          <w:sz w:val="24"/>
          <w:szCs w:val="24"/>
        </w:rPr>
        <w:t>International Journal of Applied Science</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6</w:t>
      </w:r>
      <w:r>
        <w:rPr>
          <w:rFonts w:ascii="Times New Roman" w:hAnsi="Times New Roman" w:eastAsia="Times New Roman" w:cs="Times New Roman"/>
          <w:sz w:val="24"/>
          <w:szCs w:val="24"/>
        </w:rPr>
        <w:t>(2), p9-p9.</w:t>
      </w:r>
    </w:p>
    <w:p w14:paraId="77F1610C">
      <w:pPr>
        <w:spacing w:before="240" w:after="0" w:line="240" w:lineRule="auto"/>
        <w:ind w:left="720" w:hanging="720"/>
        <w:jc w:val="both"/>
        <w:rPr>
          <w:rFonts w:ascii="Times New Roman" w:hAnsi="Times New Roman" w:eastAsia="Times New Roman" w:cs="Times New Roman"/>
          <w:sz w:val="24"/>
          <w:szCs w:val="24"/>
        </w:rPr>
      </w:pPr>
      <w:bookmarkStart w:id="90" w:name="_Hlk214590684"/>
      <w:r>
        <w:rPr>
          <w:rFonts w:ascii="Times New Roman" w:hAnsi="Times New Roman" w:eastAsia="Times New Roman" w:cs="Times New Roman"/>
          <w:sz w:val="24"/>
          <w:szCs w:val="24"/>
        </w:rPr>
        <w:t>Patil, S. M., &amp; Patel, P. (2021</w:t>
      </w:r>
      <w:bookmarkEnd w:id="90"/>
      <w:r>
        <w:rPr>
          <w:rFonts w:ascii="Times New Roman" w:hAnsi="Times New Roman" w:eastAsia="Times New Roman" w:cs="Times New Roman"/>
          <w:sz w:val="24"/>
          <w:szCs w:val="24"/>
        </w:rPr>
        <w:t xml:space="preserve">). Bactericidal and Bacteriostatic. </w:t>
      </w:r>
      <w:r>
        <w:rPr>
          <w:rFonts w:ascii="Times New Roman" w:hAnsi="Times New Roman" w:eastAsia="Times New Roman" w:cs="Times New Roman"/>
          <w:i/>
          <w:iCs/>
          <w:sz w:val="24"/>
          <w:szCs w:val="24"/>
        </w:rPr>
        <w:t>Infections and sepsis development</w:t>
      </w:r>
      <w:r>
        <w:rPr>
          <w:rFonts w:ascii="Times New Roman" w:hAnsi="Times New Roman" w:eastAsia="Times New Roman" w:cs="Times New Roman"/>
          <w:sz w:val="24"/>
          <w:szCs w:val="24"/>
        </w:rPr>
        <w:t>, 3.</w:t>
      </w:r>
    </w:p>
    <w:p w14:paraId="02250DB0">
      <w:pPr>
        <w:spacing w:before="240" w:after="0" w:line="24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Pikhtirova, A., Pecka-Kiełb, E., &amp; Zigo, F. (2023). Antimicrobial activity of saponin-containing plants: review. </w:t>
      </w:r>
      <w:r>
        <w:rPr>
          <w:rFonts w:ascii="Times New Roman" w:hAnsi="Times New Roman" w:eastAsia="Times New Roman" w:cs="Times New Roman"/>
          <w:i/>
          <w:iCs/>
          <w:sz w:val="24"/>
          <w:szCs w:val="24"/>
        </w:rPr>
        <w:t>J. Dairy Vet. Anim. Res</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2</w:t>
      </w:r>
      <w:r>
        <w:rPr>
          <w:rFonts w:ascii="Times New Roman" w:hAnsi="Times New Roman" w:eastAsia="Times New Roman" w:cs="Times New Roman"/>
          <w:sz w:val="24"/>
          <w:szCs w:val="24"/>
        </w:rPr>
        <w:t>, 121-127.</w:t>
      </w:r>
    </w:p>
    <w:p w14:paraId="628AC405">
      <w:pPr>
        <w:spacing w:before="240" w:after="0" w:line="240" w:lineRule="auto"/>
        <w:ind w:left="720" w:hanging="720"/>
        <w:jc w:val="both"/>
        <w:rPr>
          <w:rFonts w:ascii="Times New Roman" w:hAnsi="Times New Roman" w:eastAsia="Times New Roman" w:cs="Times New Roman"/>
          <w:sz w:val="24"/>
          <w:szCs w:val="24"/>
        </w:rPr>
      </w:pPr>
      <w:bookmarkStart w:id="91" w:name="_Hlk214592800"/>
      <w:r>
        <w:rPr>
          <w:rFonts w:ascii="Times New Roman" w:hAnsi="Times New Roman" w:eastAsia="Times New Roman" w:cs="Times New Roman"/>
          <w:sz w:val="24"/>
          <w:szCs w:val="24"/>
        </w:rPr>
        <w:t>Rahman,</w:t>
      </w:r>
      <w:bookmarkEnd w:id="91"/>
      <w:r>
        <w:rPr>
          <w:rFonts w:ascii="Times New Roman" w:hAnsi="Times New Roman" w:eastAsia="Times New Roman" w:cs="Times New Roman"/>
          <w:sz w:val="24"/>
          <w:szCs w:val="24"/>
        </w:rPr>
        <w:t xml:space="preserve"> M. M., Rahaman, M. S., Islam, M. R., Hossain, M. E., Mannan Mithi, F., Ahmed, M., ... &amp; Sobarzo-Sánchez, E. (2021). Multifunctional therapeutic potential of phytocomplexes and natural extracts for antimicrobial properties. </w:t>
      </w:r>
      <w:r>
        <w:rPr>
          <w:rFonts w:ascii="Times New Roman" w:hAnsi="Times New Roman" w:eastAsia="Times New Roman" w:cs="Times New Roman"/>
          <w:i/>
          <w:iCs/>
          <w:sz w:val="24"/>
          <w:szCs w:val="24"/>
        </w:rPr>
        <w:t>Antibiotics</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10</w:t>
      </w:r>
      <w:r>
        <w:rPr>
          <w:rFonts w:ascii="Times New Roman" w:hAnsi="Times New Roman" w:eastAsia="Times New Roman" w:cs="Times New Roman"/>
          <w:sz w:val="24"/>
          <w:szCs w:val="24"/>
        </w:rPr>
        <w:t>(9), 1076.</w:t>
      </w:r>
    </w:p>
    <w:p w14:paraId="008EDEAC">
      <w:pPr>
        <w:spacing w:before="240" w:after="100" w:afterAutospacing="1" w:line="24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Rahman, S. M., Uddin, M. J., &amp; Chakraborty, A. (2021). Antimicrobial actions of phytochemicals: Mechanistic insights and therapeutic prospects. </w:t>
      </w:r>
      <w:r>
        <w:rPr>
          <w:rFonts w:ascii="Times New Roman" w:hAnsi="Times New Roman" w:eastAsia="Times New Roman" w:cs="Times New Roman"/>
          <w:i/>
          <w:iCs/>
          <w:sz w:val="24"/>
          <w:szCs w:val="24"/>
        </w:rPr>
        <w:t>Journal of Herbal Medicine</w:t>
      </w:r>
      <w:r>
        <w:rPr>
          <w:rFonts w:ascii="Times New Roman" w:hAnsi="Times New Roman" w:eastAsia="Times New Roman" w:cs="Times New Roman"/>
          <w:sz w:val="24"/>
          <w:szCs w:val="24"/>
        </w:rPr>
        <w:t>, 28, 100438.</w:t>
      </w:r>
    </w:p>
    <w:p w14:paraId="0401115A">
      <w:pPr>
        <w:spacing w:before="240" w:after="0" w:line="24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Roy, S., Mandal, B., &amp; Das, B. K. (2025). Ensuring Precision, Reliability, and Compliance. </w:t>
      </w:r>
      <w:r>
        <w:rPr>
          <w:rFonts w:ascii="Times New Roman" w:hAnsi="Times New Roman" w:eastAsia="Times New Roman" w:cs="Times New Roman"/>
          <w:i/>
          <w:iCs/>
          <w:sz w:val="24"/>
          <w:szCs w:val="24"/>
        </w:rPr>
        <w:t>Laboratory Techniques for Fish Disease Diagnosis</w:t>
      </w:r>
      <w:r>
        <w:rPr>
          <w:rFonts w:ascii="Times New Roman" w:hAnsi="Times New Roman" w:eastAsia="Times New Roman" w:cs="Times New Roman"/>
          <w:sz w:val="24"/>
          <w:szCs w:val="24"/>
        </w:rPr>
        <w:t>, 79.</w:t>
      </w:r>
    </w:p>
    <w:p w14:paraId="38036B42">
      <w:pPr>
        <w:spacing w:before="240" w:after="0" w:line="24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Sakyi Opoku, N. Y. P., Mishra, A., Fletcher, H., Nizet, V., &amp; Abdul‐Mutakabbir, J. C. (2025). Enhancing antimicrobial susceptibility testing for acinetobacter baumannii using physiologically relevant culture media and biofilm formation assays. </w:t>
      </w:r>
      <w:r>
        <w:rPr>
          <w:rFonts w:ascii="Times New Roman" w:hAnsi="Times New Roman" w:eastAsia="Times New Roman" w:cs="Times New Roman"/>
          <w:i/>
          <w:iCs/>
          <w:sz w:val="24"/>
          <w:szCs w:val="24"/>
        </w:rPr>
        <w:t>Current Protocols</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5</w:t>
      </w:r>
      <w:r>
        <w:rPr>
          <w:rFonts w:ascii="Times New Roman" w:hAnsi="Times New Roman" w:eastAsia="Times New Roman" w:cs="Times New Roman"/>
          <w:sz w:val="24"/>
          <w:szCs w:val="24"/>
        </w:rPr>
        <w:t>(9), e70207.</w:t>
      </w:r>
    </w:p>
    <w:p w14:paraId="7636A5D6">
      <w:pPr>
        <w:spacing w:before="240" w:after="0" w:line="24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Salam, M. A., Al-Amin, M. Y., Salam, M. T., Pawar, J. S., Akhter, N., Rabaan, A. A., &amp; Alqumber, M. A. (2023). Antimicrobial resistance: a growing serious threat for global public health. In </w:t>
      </w:r>
      <w:r>
        <w:rPr>
          <w:rFonts w:ascii="Times New Roman" w:hAnsi="Times New Roman" w:eastAsia="Times New Roman" w:cs="Times New Roman"/>
          <w:i/>
          <w:iCs/>
          <w:sz w:val="24"/>
          <w:szCs w:val="24"/>
        </w:rPr>
        <w:t>Healthcare</w:t>
      </w:r>
      <w:r>
        <w:rPr>
          <w:rFonts w:ascii="Times New Roman" w:hAnsi="Times New Roman" w:eastAsia="Times New Roman" w:cs="Times New Roman"/>
          <w:sz w:val="24"/>
          <w:szCs w:val="24"/>
        </w:rPr>
        <w:t xml:space="preserve"> (Vol. 11, No. 13, p. 1946). MDPI.</w:t>
      </w:r>
    </w:p>
    <w:p w14:paraId="2985020C">
      <w:pPr>
        <w:spacing w:before="240" w:after="0" w:line="240" w:lineRule="auto"/>
        <w:ind w:left="720" w:hanging="720"/>
        <w:jc w:val="both"/>
        <w:rPr>
          <w:rFonts w:ascii="Times New Roman" w:hAnsi="Times New Roman" w:eastAsia="Times New Roman" w:cs="Times New Roman"/>
          <w:sz w:val="24"/>
          <w:szCs w:val="24"/>
        </w:rPr>
      </w:pPr>
      <w:bookmarkStart w:id="92" w:name="_Hlk214665621"/>
      <w:r>
        <w:rPr>
          <w:rFonts w:ascii="Times New Roman" w:hAnsi="Times New Roman" w:eastAsia="Times New Roman" w:cs="Times New Roman"/>
          <w:sz w:val="24"/>
          <w:szCs w:val="24"/>
        </w:rPr>
        <w:t>Schacter</w:t>
      </w:r>
      <w:bookmarkEnd w:id="92"/>
      <w:r>
        <w:rPr>
          <w:rFonts w:ascii="Times New Roman" w:hAnsi="Times New Roman" w:eastAsia="Times New Roman" w:cs="Times New Roman"/>
          <w:sz w:val="24"/>
          <w:szCs w:val="24"/>
        </w:rPr>
        <w:t xml:space="preserve">, H. L., Lessard, L. M., Kiperman, S., Bakth, F., Ehrhardt, A., &amp; Uganski, J. (2021). Can friendships protect against the health consequences of peer victimization in adolescence? A systematic review. </w:t>
      </w:r>
      <w:r>
        <w:rPr>
          <w:rFonts w:ascii="Times New Roman" w:hAnsi="Times New Roman" w:eastAsia="Times New Roman" w:cs="Times New Roman"/>
          <w:i/>
          <w:iCs/>
          <w:sz w:val="24"/>
          <w:szCs w:val="24"/>
        </w:rPr>
        <w:t>School Mental Health</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13</w:t>
      </w:r>
      <w:r>
        <w:rPr>
          <w:rFonts w:ascii="Times New Roman" w:hAnsi="Times New Roman" w:eastAsia="Times New Roman" w:cs="Times New Roman"/>
          <w:sz w:val="24"/>
          <w:szCs w:val="24"/>
        </w:rPr>
        <w:t>(3), 578-601.</w:t>
      </w:r>
    </w:p>
    <w:p w14:paraId="6EAC5136">
      <w:pPr>
        <w:spacing w:before="240" w:after="0" w:line="24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Senawong, K., Katekaew, S., Juntahum, S., &amp; Laloon, K. (2023). Impact of grinding and sorting particle size on phytochemical yield in Dipterocarpus alatus leaf extract. </w:t>
      </w:r>
      <w:r>
        <w:rPr>
          <w:rFonts w:ascii="Times New Roman" w:hAnsi="Times New Roman" w:eastAsia="Times New Roman" w:cs="Times New Roman"/>
          <w:i/>
          <w:iCs/>
          <w:sz w:val="24"/>
          <w:szCs w:val="24"/>
        </w:rPr>
        <w:t>International Journal of Biomaterials</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2023</w:t>
      </w:r>
      <w:r>
        <w:rPr>
          <w:rFonts w:ascii="Times New Roman" w:hAnsi="Times New Roman" w:eastAsia="Times New Roman" w:cs="Times New Roman"/>
          <w:sz w:val="24"/>
          <w:szCs w:val="24"/>
        </w:rPr>
        <w:t>(1), 4512665.</w:t>
      </w:r>
    </w:p>
    <w:p w14:paraId="63B47010">
      <w:pPr>
        <w:spacing w:before="240" w:after="0" w:line="24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Sun, W., Shahrajabian, M. H., &amp; Cheng, Q. (2021). Fenugreek cultivation with emphasis on historical aspects and its uses in traditional medicine and modern pharmaceutical science. </w:t>
      </w:r>
      <w:r>
        <w:rPr>
          <w:rFonts w:ascii="Times New Roman" w:hAnsi="Times New Roman" w:eastAsia="Times New Roman" w:cs="Times New Roman"/>
          <w:i/>
          <w:iCs/>
          <w:sz w:val="24"/>
          <w:szCs w:val="24"/>
        </w:rPr>
        <w:t>Mini Reviews in Medicinal Chemistry</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21</w:t>
      </w:r>
      <w:r>
        <w:rPr>
          <w:rFonts w:ascii="Times New Roman" w:hAnsi="Times New Roman" w:eastAsia="Times New Roman" w:cs="Times New Roman"/>
          <w:sz w:val="24"/>
          <w:szCs w:val="24"/>
        </w:rPr>
        <w:t>(6), 724-730.</w:t>
      </w:r>
    </w:p>
    <w:p w14:paraId="1C3C01F0">
      <w:pPr>
        <w:spacing w:before="240" w:after="0" w:line="240" w:lineRule="auto"/>
        <w:ind w:left="720" w:hanging="720"/>
        <w:jc w:val="both"/>
        <w:rPr>
          <w:rFonts w:ascii="Times New Roman" w:hAnsi="Times New Roman" w:eastAsia="Times New Roman" w:cs="Times New Roman"/>
          <w:sz w:val="24"/>
          <w:szCs w:val="24"/>
        </w:rPr>
      </w:pPr>
      <w:bookmarkStart w:id="93" w:name="_Hlk214593131"/>
      <w:r>
        <w:rPr>
          <w:rFonts w:ascii="Times New Roman" w:hAnsi="Times New Roman" w:eastAsia="Times New Roman" w:cs="Times New Roman"/>
          <w:sz w:val="24"/>
          <w:szCs w:val="24"/>
        </w:rPr>
        <w:t>Suriyaprom</w:t>
      </w:r>
      <w:bookmarkEnd w:id="93"/>
      <w:r>
        <w:rPr>
          <w:rFonts w:ascii="Times New Roman" w:hAnsi="Times New Roman" w:eastAsia="Times New Roman" w:cs="Times New Roman"/>
          <w:sz w:val="24"/>
          <w:szCs w:val="24"/>
        </w:rPr>
        <w:t xml:space="preserve">, S., Mosoni, P., Leroy, S., Kaewkod, T., Desvaux, M., &amp; Tragoolpua, Y. (2022). Antioxidants of fruit extracts as antimicrobial agents against pathogenic bacteria. </w:t>
      </w:r>
      <w:r>
        <w:rPr>
          <w:rFonts w:ascii="Times New Roman" w:hAnsi="Times New Roman" w:eastAsia="Times New Roman" w:cs="Times New Roman"/>
          <w:i/>
          <w:iCs/>
          <w:sz w:val="24"/>
          <w:szCs w:val="24"/>
        </w:rPr>
        <w:t>Antioxidants</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11</w:t>
      </w:r>
      <w:r>
        <w:rPr>
          <w:rFonts w:ascii="Times New Roman" w:hAnsi="Times New Roman" w:eastAsia="Times New Roman" w:cs="Times New Roman"/>
          <w:sz w:val="24"/>
          <w:szCs w:val="24"/>
        </w:rPr>
        <w:t>(3), 602.</w:t>
      </w:r>
    </w:p>
    <w:p w14:paraId="45230BC9">
      <w:pPr>
        <w:spacing w:before="240" w:after="0" w:line="24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Tang, K. W. K., Millar, B. C., &amp; Moore, J. E. (2023). Antimicrobial resistance (AMR). </w:t>
      </w:r>
      <w:r>
        <w:rPr>
          <w:rFonts w:ascii="Times New Roman" w:hAnsi="Times New Roman" w:eastAsia="Times New Roman" w:cs="Times New Roman"/>
          <w:i/>
          <w:iCs/>
          <w:sz w:val="24"/>
          <w:szCs w:val="24"/>
        </w:rPr>
        <w:t>British journal of biomedical science</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80</w:t>
      </w:r>
      <w:r>
        <w:rPr>
          <w:rFonts w:ascii="Times New Roman" w:hAnsi="Times New Roman" w:eastAsia="Times New Roman" w:cs="Times New Roman"/>
          <w:sz w:val="24"/>
          <w:szCs w:val="24"/>
        </w:rPr>
        <w:t>, 11387.</w:t>
      </w:r>
    </w:p>
    <w:p w14:paraId="6C87EF50">
      <w:pPr>
        <w:spacing w:before="240" w:after="0" w:line="240" w:lineRule="auto"/>
        <w:ind w:left="720" w:hanging="720"/>
        <w:jc w:val="both"/>
        <w:rPr>
          <w:rFonts w:ascii="Times New Roman" w:hAnsi="Times New Roman" w:eastAsia="Times New Roman" w:cs="Times New Roman"/>
          <w:sz w:val="24"/>
          <w:szCs w:val="24"/>
        </w:rPr>
      </w:pPr>
      <w:bookmarkStart w:id="94" w:name="_Hlk214590355"/>
      <w:r>
        <w:rPr>
          <w:rFonts w:ascii="Times New Roman" w:hAnsi="Times New Roman" w:eastAsia="Times New Roman" w:cs="Times New Roman"/>
          <w:sz w:val="24"/>
          <w:szCs w:val="24"/>
        </w:rPr>
        <w:t>Tauchen</w:t>
      </w:r>
      <w:bookmarkEnd w:id="94"/>
      <w:r>
        <w:rPr>
          <w:rFonts w:ascii="Times New Roman" w:hAnsi="Times New Roman" w:eastAsia="Times New Roman" w:cs="Times New Roman"/>
          <w:sz w:val="24"/>
          <w:szCs w:val="24"/>
        </w:rPr>
        <w:t xml:space="preserve">, J., Huml, L., Jurášek, M., Regenstein, J. M., &amp; Ozogul, F. (2025). Synthetic and semi-synthetic antioxidants in medicine and food industry: A review. </w:t>
      </w:r>
      <w:r>
        <w:rPr>
          <w:rFonts w:ascii="Times New Roman" w:hAnsi="Times New Roman" w:eastAsia="Times New Roman" w:cs="Times New Roman"/>
          <w:i/>
          <w:iCs/>
          <w:sz w:val="24"/>
          <w:szCs w:val="24"/>
        </w:rPr>
        <w:t>Frontiers in Pharmacology</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16</w:t>
      </w:r>
      <w:r>
        <w:rPr>
          <w:rFonts w:ascii="Times New Roman" w:hAnsi="Times New Roman" w:eastAsia="Times New Roman" w:cs="Times New Roman"/>
          <w:sz w:val="24"/>
          <w:szCs w:val="24"/>
        </w:rPr>
        <w:t>, 1599816.</w:t>
      </w:r>
    </w:p>
    <w:p w14:paraId="35F4D356">
      <w:pPr>
        <w:spacing w:before="240" w:after="0" w:line="24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Tilahun, M. (2022). Multi-drug resistance profile, prevalence of extended-spectrum beta-lactamase and carbapenemase-producing gram negative bacilli among admitted patients after surgery with suspected of surgical site nosocomial infection north east Ethiopia. </w:t>
      </w:r>
      <w:r>
        <w:rPr>
          <w:rFonts w:ascii="Times New Roman" w:hAnsi="Times New Roman" w:eastAsia="Times New Roman" w:cs="Times New Roman"/>
          <w:i/>
          <w:iCs/>
          <w:sz w:val="24"/>
          <w:szCs w:val="24"/>
        </w:rPr>
        <w:t>Infection and Drug Resistance</w:t>
      </w:r>
      <w:r>
        <w:rPr>
          <w:rFonts w:ascii="Times New Roman" w:hAnsi="Times New Roman" w:eastAsia="Times New Roman" w:cs="Times New Roman"/>
          <w:sz w:val="24"/>
          <w:szCs w:val="24"/>
        </w:rPr>
        <w:t>, 3949-3965.</w:t>
      </w:r>
    </w:p>
    <w:p w14:paraId="0C5C6D13">
      <w:pPr>
        <w:spacing w:before="240" w:after="0" w:line="24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Totaro, V., Guido, G., Cotugno, S., De Vita, E., Asaduzzaman, M., Patti, G., ... &amp; Saracino, A. (2025). Antimicrobial resistance in Sub-Saharan Africa: A comprehensive landscape review. </w:t>
      </w:r>
      <w:r>
        <w:rPr>
          <w:rFonts w:ascii="Times New Roman" w:hAnsi="Times New Roman" w:eastAsia="Times New Roman" w:cs="Times New Roman"/>
          <w:i/>
          <w:iCs/>
          <w:sz w:val="24"/>
          <w:szCs w:val="24"/>
        </w:rPr>
        <w:t>The American Journal of Tropical Medicine and Hygiene</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113</w:t>
      </w:r>
      <w:r>
        <w:rPr>
          <w:rFonts w:ascii="Times New Roman" w:hAnsi="Times New Roman" w:eastAsia="Times New Roman" w:cs="Times New Roman"/>
          <w:sz w:val="24"/>
          <w:szCs w:val="24"/>
        </w:rPr>
        <w:t>(2), 253.</w:t>
      </w:r>
    </w:p>
    <w:p w14:paraId="50D13BC8">
      <w:pPr>
        <w:spacing w:before="240" w:after="0" w:line="24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Tseha, S. T., Mekonnen, Y., Desalegn, A., Eyado, A., &amp; Wondafarsh, M. (2022). Toxicity study and antibacterial effects of the leaves extracts of Boscia coriacea and Uvaria leptocladon. </w:t>
      </w:r>
      <w:r>
        <w:rPr>
          <w:rFonts w:ascii="Times New Roman" w:hAnsi="Times New Roman" w:eastAsia="Times New Roman" w:cs="Times New Roman"/>
          <w:i/>
          <w:iCs/>
          <w:sz w:val="24"/>
          <w:szCs w:val="24"/>
        </w:rPr>
        <w:t>Ethiopian journal of health sciences</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32</w:t>
      </w:r>
      <w:r>
        <w:rPr>
          <w:rFonts w:ascii="Times New Roman" w:hAnsi="Times New Roman" w:eastAsia="Times New Roman" w:cs="Times New Roman"/>
          <w:sz w:val="24"/>
          <w:szCs w:val="24"/>
        </w:rPr>
        <w:t>(4), 823-832.</w:t>
      </w:r>
    </w:p>
    <w:p w14:paraId="05EF453F">
      <w:pPr>
        <w:spacing w:before="240" w:after="0" w:line="240" w:lineRule="auto"/>
        <w:ind w:left="720" w:hanging="720"/>
        <w:jc w:val="both"/>
        <w:rPr>
          <w:rFonts w:ascii="Times New Roman" w:hAnsi="Times New Roman" w:eastAsia="Times New Roman" w:cs="Times New Roman"/>
          <w:sz w:val="24"/>
          <w:szCs w:val="24"/>
        </w:rPr>
      </w:pPr>
      <w:bookmarkStart w:id="95" w:name="_Hlk214591038"/>
      <w:r>
        <w:rPr>
          <w:rFonts w:ascii="Times New Roman" w:hAnsi="Times New Roman" w:eastAsia="Times New Roman" w:cs="Times New Roman"/>
          <w:sz w:val="24"/>
          <w:szCs w:val="24"/>
        </w:rPr>
        <w:t>Vaou</w:t>
      </w:r>
      <w:bookmarkEnd w:id="95"/>
      <w:r>
        <w:rPr>
          <w:rFonts w:ascii="Times New Roman" w:hAnsi="Times New Roman" w:eastAsia="Times New Roman" w:cs="Times New Roman"/>
          <w:sz w:val="24"/>
          <w:szCs w:val="24"/>
        </w:rPr>
        <w:t xml:space="preserve">, N., Stavropoulou, E., Voidarou, C., Tsakris, Z., Rozos, G., Tsigalou, C., &amp; Bezirtzoglou, E. (2022). Interactions between medical plant-derived bioactive compounds: Focus on antimicrobial combination effects. </w:t>
      </w:r>
      <w:r>
        <w:rPr>
          <w:rFonts w:ascii="Times New Roman" w:hAnsi="Times New Roman" w:eastAsia="Times New Roman" w:cs="Times New Roman"/>
          <w:i/>
          <w:iCs/>
          <w:sz w:val="24"/>
          <w:szCs w:val="24"/>
        </w:rPr>
        <w:t>Antibiotics</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11</w:t>
      </w:r>
      <w:r>
        <w:rPr>
          <w:rFonts w:ascii="Times New Roman" w:hAnsi="Times New Roman" w:eastAsia="Times New Roman" w:cs="Times New Roman"/>
          <w:sz w:val="24"/>
          <w:szCs w:val="24"/>
        </w:rPr>
        <w:t>(8), 1014.</w:t>
      </w:r>
    </w:p>
    <w:p w14:paraId="47403058">
      <w:pPr>
        <w:spacing w:before="240" w:after="0" w:line="240" w:lineRule="auto"/>
        <w:ind w:left="720" w:hanging="720"/>
        <w:jc w:val="both"/>
        <w:rPr>
          <w:rFonts w:ascii="Times New Roman" w:hAnsi="Times New Roman" w:eastAsia="Times New Roman" w:cs="Times New Roman"/>
          <w:sz w:val="24"/>
          <w:szCs w:val="24"/>
        </w:rPr>
      </w:pPr>
      <w:bookmarkStart w:id="96" w:name="_Hlk214665523"/>
      <w:r>
        <w:rPr>
          <w:rFonts w:ascii="Times New Roman" w:hAnsi="Times New Roman" w:eastAsia="Times New Roman" w:cs="Times New Roman"/>
          <w:sz w:val="24"/>
          <w:szCs w:val="24"/>
        </w:rPr>
        <w:t>Vaou</w:t>
      </w:r>
      <w:bookmarkEnd w:id="96"/>
      <w:r>
        <w:rPr>
          <w:rFonts w:ascii="Times New Roman" w:hAnsi="Times New Roman" w:eastAsia="Times New Roman" w:cs="Times New Roman"/>
          <w:sz w:val="24"/>
          <w:szCs w:val="24"/>
        </w:rPr>
        <w:t xml:space="preserve">, N., Stavropoulou, E., Voidarou, C., Tsigalou, C., &amp; Bezirtzoglou, E. (2021). Towards advances in medicinal plant antimicrobial activity: A review study on challenges and future perspectives. </w:t>
      </w:r>
      <w:r>
        <w:rPr>
          <w:rFonts w:ascii="Times New Roman" w:hAnsi="Times New Roman" w:eastAsia="Times New Roman" w:cs="Times New Roman"/>
          <w:i/>
          <w:iCs/>
          <w:sz w:val="24"/>
          <w:szCs w:val="24"/>
        </w:rPr>
        <w:t>Microorganisms</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9</w:t>
      </w:r>
      <w:r>
        <w:rPr>
          <w:rFonts w:ascii="Times New Roman" w:hAnsi="Times New Roman" w:eastAsia="Times New Roman" w:cs="Times New Roman"/>
          <w:sz w:val="24"/>
          <w:szCs w:val="24"/>
        </w:rPr>
        <w:t>(10), 2041.</w:t>
      </w:r>
    </w:p>
    <w:p w14:paraId="048B6B20">
      <w:pPr>
        <w:spacing w:before="240" w:after="100" w:afterAutospacing="1" w:line="24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Vougat Ngom, R., Essa, M. A., &amp; Awa, D. N. (2021). Phytochemical composition and antibacterial activity of </w:t>
      </w:r>
      <w:r>
        <w:rPr>
          <w:rFonts w:ascii="Times New Roman" w:hAnsi="Times New Roman" w:eastAsia="Times New Roman" w:cs="Times New Roman"/>
          <w:i/>
          <w:iCs/>
          <w:sz w:val="24"/>
          <w:szCs w:val="24"/>
        </w:rPr>
        <w:t>Boscia angustifolia</w:t>
      </w:r>
      <w:r>
        <w:rPr>
          <w:rFonts w:ascii="Times New Roman" w:hAnsi="Times New Roman" w:eastAsia="Times New Roman" w:cs="Times New Roman"/>
          <w:sz w:val="24"/>
          <w:szCs w:val="24"/>
        </w:rPr>
        <w:t xml:space="preserve"> (Capparaceae) extracts. </w:t>
      </w:r>
      <w:r>
        <w:rPr>
          <w:rFonts w:ascii="Times New Roman" w:hAnsi="Times New Roman" w:eastAsia="Times New Roman" w:cs="Times New Roman"/>
          <w:i/>
          <w:iCs/>
          <w:sz w:val="24"/>
          <w:szCs w:val="24"/>
        </w:rPr>
        <w:t>South African Journal of Botany</w:t>
      </w:r>
      <w:r>
        <w:rPr>
          <w:rFonts w:ascii="Times New Roman" w:hAnsi="Times New Roman" w:eastAsia="Times New Roman" w:cs="Times New Roman"/>
          <w:sz w:val="24"/>
          <w:szCs w:val="24"/>
        </w:rPr>
        <w:t>, 139, 58–65.</w:t>
      </w:r>
    </w:p>
    <w:p w14:paraId="73996537">
      <w:pPr>
        <w:spacing w:before="240" w:after="0" w:line="24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Zafar, N., Uzair, B., Niazi, M. B. K., Menaa, F., Samin, G., Khan, B. A., ... &amp; Menaa, B. (2021). Green synthesis of ciprofloxacin-loaded cerium oxide/chitosan nanocarrier and its activity against MRSA-induced mastitis. </w:t>
      </w:r>
      <w:r>
        <w:rPr>
          <w:rFonts w:ascii="Times New Roman" w:hAnsi="Times New Roman" w:eastAsia="Times New Roman" w:cs="Times New Roman"/>
          <w:i/>
          <w:iCs/>
          <w:sz w:val="24"/>
          <w:szCs w:val="24"/>
        </w:rPr>
        <w:t>Journal of Pharmaceutical Sciences</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110</w:t>
      </w:r>
      <w:r>
        <w:rPr>
          <w:rFonts w:ascii="Times New Roman" w:hAnsi="Times New Roman" w:eastAsia="Times New Roman" w:cs="Times New Roman"/>
          <w:sz w:val="24"/>
          <w:szCs w:val="24"/>
        </w:rPr>
        <w:t>(10), 3471-3483.</w:t>
      </w:r>
    </w:p>
    <w:p w14:paraId="5ECCF0D4">
      <w:pPr>
        <w:spacing w:before="240" w:after="0" w:line="240" w:lineRule="auto"/>
        <w:ind w:left="720" w:hanging="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Zahoor, T., Pandey, A., Singh, P., Sharma, A., &amp; Singh, A. (2025). Colistin resurgence: Revisiting an old antibiotic in the fight against resistant pathogens. </w:t>
      </w:r>
      <w:r>
        <w:rPr>
          <w:rFonts w:ascii="Times New Roman" w:hAnsi="Times New Roman" w:eastAsia="Times New Roman" w:cs="Times New Roman"/>
          <w:i/>
          <w:iCs/>
          <w:sz w:val="24"/>
          <w:szCs w:val="24"/>
        </w:rPr>
        <w:t>Journal of Krishna Institute of Medical Sciences (JKIMSU)</w:t>
      </w:r>
      <w:r>
        <w:rPr>
          <w:rFonts w:ascii="Times New Roman" w:hAnsi="Times New Roman" w:eastAsia="Times New Roman" w:cs="Times New Roman"/>
          <w:sz w:val="24"/>
          <w:szCs w:val="24"/>
        </w:rPr>
        <w:t xml:space="preserve">, </w:t>
      </w:r>
      <w:r>
        <w:rPr>
          <w:rFonts w:ascii="Times New Roman" w:hAnsi="Times New Roman" w:eastAsia="Times New Roman" w:cs="Times New Roman"/>
          <w:i/>
          <w:iCs/>
          <w:sz w:val="24"/>
          <w:szCs w:val="24"/>
        </w:rPr>
        <w:t>14</w:t>
      </w:r>
      <w:r>
        <w:rPr>
          <w:rFonts w:ascii="Times New Roman" w:hAnsi="Times New Roman" w:eastAsia="Times New Roman" w:cs="Times New Roman"/>
          <w:sz w:val="24"/>
          <w:szCs w:val="24"/>
        </w:rPr>
        <w:t>(2).</w:t>
      </w:r>
    </w:p>
    <w:sectPr>
      <w:pgSz w:w="12240" w:h="15840"/>
      <w:pgMar w:top="1440" w:right="1440" w:bottom="1440" w:left="1440" w:header="720" w:footer="720" w:gutter="0"/>
      <w:pgNumType w:start="1"/>
      <w:cols w:space="720"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200247B" w:usb2="00000009" w:usb3="00000000" w:csb0="200001FF" w:csb1="00000000"/>
  </w:font>
  <w:font w:name="等线">
    <w:altName w:val="Arial Unicode MS"/>
    <w:panose1 w:val="00000000000000000000"/>
    <w:charset w:val="86"/>
    <w:family w:val="auto"/>
    <w:pitch w:val="default"/>
    <w:sig w:usb0="00000000" w:usb1="00000000" w:usb2="00000000" w:usb3="00000000" w:csb0="00000000" w:csb1="00000000"/>
  </w:font>
  <w:font w:name="Calibri">
    <w:panose1 w:val="020F0502020204030204"/>
    <w:charset w:val="00"/>
    <w:family w:val="auto"/>
    <w:pitch w:val="default"/>
    <w:sig w:usb0="E4002EFF" w:usb1="C200247B" w:usb2="00000009" w:usb3="00000000" w:csb0="200001FF" w:csb1="00000000"/>
  </w:font>
  <w:font w:name="等线 Light">
    <w:altName w:val="Segoe Print"/>
    <w:panose1 w:val="00000000000000000000"/>
    <w:charset w:val="00"/>
    <w:family w:val="auto"/>
    <w:pitch w:val="default"/>
    <w:sig w:usb0="00000000" w:usb1="00000000" w:usb2="00000000" w:usb3="00000000" w:csb0="00000000" w:csb1="00000000"/>
  </w:font>
  <w:font w:name="Calibri Light">
    <w:panose1 w:val="020F0302020204030204"/>
    <w:charset w:val="00"/>
    <w:family w:val="swiss"/>
    <w:pitch w:val="default"/>
    <w:sig w:usb0="E4002EFF" w:usb1="C200247B" w:usb2="00000009" w:usb3="00000000" w:csb0="200001FF" w:csb1="00000000"/>
  </w:font>
  <w:font w:name="Tahoma">
    <w:panose1 w:val="020B0604030504040204"/>
    <w:charset w:val="00"/>
    <w:family w:val="swiss"/>
    <w:pitch w:val="default"/>
    <w:sig w:usb0="E1002EFF" w:usb1="C000605B" w:usb2="00000029" w:usb3="00000000" w:csb0="200101FF" w:csb1="20280000"/>
  </w:font>
  <w:font w:name="等线">
    <w:altName w:val="Arial Unicode MS"/>
    <w:panose1 w:val="00000000000000000000"/>
    <w:charset w:val="00"/>
    <w:family w:val="auto"/>
    <w:pitch w:val="default"/>
    <w:sig w:usb0="00000000" w:usb1="00000000" w:usb2="00000000" w:usb3="00000000" w:csb0="00000000" w:csb1="00000000"/>
  </w:font>
  <w:font w:name="Symbol">
    <w:panose1 w:val="05050102010706020507"/>
    <w:charset w:val="02"/>
    <w:family w:val="roman"/>
    <w:pitch w:val="default"/>
    <w:sig w:usb0="00000000" w:usb1="00000000" w:usb2="00000000" w:usb3="00000000" w:csb0="80000000" w:csb1="00000000"/>
  </w:font>
  <w:font w:name="Arial Unicode MS">
    <w:panose1 w:val="020B0604020202020204"/>
    <w:charset w:val="86"/>
    <w:family w:val="auto"/>
    <w:pitch w:val="default"/>
    <w:sig w:usb0="FFFFFFFF" w:usb1="E9FFFFFF" w:usb2="0000003F" w:usb3="00000000" w:csb0="603F01FF" w:csb1="FFFF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1953739"/>
      <w:docPartObj>
        <w:docPartGallery w:val="AutoText"/>
      </w:docPartObj>
    </w:sdtPr>
    <w:sdtContent>
      <w:p w14:paraId="649A9363">
        <w:pPr>
          <w:pStyle w:val="16"/>
          <w:jc w:val="center"/>
        </w:pPr>
        <w:r>
          <w:fldChar w:fldCharType="begin"/>
        </w:r>
        <w:r>
          <w:instrText xml:space="preserve"> PAGE   \* MERGEFORMAT </w:instrText>
        </w:r>
        <w:r>
          <w:fldChar w:fldCharType="separate"/>
        </w:r>
        <w:r>
          <w:t>ii</w:t>
        </w:r>
        <w:r>
          <w:fldChar w:fldCharType="end"/>
        </w:r>
      </w:p>
    </w:sdtContent>
  </w:sdt>
  <w:p w14:paraId="39A524E6">
    <w:pPr>
      <w:pStyle w:val="1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9" w:lineRule="auto"/>
      </w:pPr>
      <w:r>
        <w:separator/>
      </w:r>
    </w:p>
  </w:footnote>
  <w:footnote w:type="continuationSeparator" w:id="1">
    <w:p>
      <w:pPr>
        <w:spacing w:before="0" w:after="0" w:line="259"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EFC154D"/>
    <w:multiLevelType w:val="multilevel"/>
    <w:tmpl w:val="0EFC154D"/>
    <w:lvl w:ilvl="0" w:tentative="0">
      <w:start w:val="1"/>
      <w:numFmt w:val="decimal"/>
      <w:lvlText w:val="%1."/>
      <w:lvlJc w:val="left"/>
      <w:pPr>
        <w:tabs>
          <w:tab w:val="left" w:pos="720"/>
        </w:tabs>
        <w:ind w:left="720" w:hanging="360"/>
      </w:p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1">
    <w:nsid w:val="23BA5A0B"/>
    <w:multiLevelType w:val="multilevel"/>
    <w:tmpl w:val="23BA5A0B"/>
    <w:lvl w:ilvl="0" w:tentative="0">
      <w:start w:val="1"/>
      <w:numFmt w:val="decimal"/>
      <w:lvlText w:val="%1."/>
      <w:lvlJc w:val="left"/>
      <w:pPr>
        <w:tabs>
          <w:tab w:val="left" w:pos="720"/>
        </w:tabs>
        <w:ind w:left="720" w:hanging="360"/>
      </w:p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2">
    <w:nsid w:val="2EFB0A59"/>
    <w:multiLevelType w:val="multilevel"/>
    <w:tmpl w:val="2EFB0A59"/>
    <w:lvl w:ilvl="0" w:tentative="0">
      <w:start w:val="1"/>
      <w:numFmt w:val="decimal"/>
      <w:lvlText w:val="%1."/>
      <w:lvlJc w:val="left"/>
      <w:pPr>
        <w:tabs>
          <w:tab w:val="left" w:pos="720"/>
        </w:tabs>
        <w:ind w:left="720" w:hanging="360"/>
      </w:p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3">
    <w:nsid w:val="33CA7A80"/>
    <w:multiLevelType w:val="multilevel"/>
    <w:tmpl w:val="33CA7A80"/>
    <w:lvl w:ilvl="0" w:tentative="0">
      <w:start w:val="1"/>
      <w:numFmt w:val="bullet"/>
      <w:lvlText w:val=""/>
      <w:lvlJc w:val="left"/>
      <w:pPr>
        <w:tabs>
          <w:tab w:val="left" w:pos="720"/>
        </w:tabs>
        <w:ind w:left="720" w:hanging="360"/>
      </w:pPr>
      <w:rPr>
        <w:rFonts w:hint="default" w:ascii="Symbol" w:hAnsi="Symbol"/>
        <w:sz w:val="20"/>
      </w:rPr>
    </w:lvl>
    <w:lvl w:ilvl="1" w:tentative="0">
      <w:start w:val="1"/>
      <w:numFmt w:val="bullet"/>
      <w:lvlText w:val="o"/>
      <w:lvlJc w:val="left"/>
      <w:pPr>
        <w:tabs>
          <w:tab w:val="left" w:pos="1440"/>
        </w:tabs>
        <w:ind w:left="1440" w:hanging="360"/>
      </w:pPr>
      <w:rPr>
        <w:rFonts w:hint="default" w:ascii="Courier New" w:hAnsi="Courier New"/>
        <w:sz w:val="20"/>
      </w:rPr>
    </w:lvl>
    <w:lvl w:ilvl="2" w:tentative="0">
      <w:start w:val="1"/>
      <w:numFmt w:val="bullet"/>
      <w:lvlText w:val=""/>
      <w:lvlJc w:val="left"/>
      <w:pPr>
        <w:tabs>
          <w:tab w:val="left" w:pos="2160"/>
        </w:tabs>
        <w:ind w:left="2160" w:hanging="360"/>
      </w:pPr>
      <w:rPr>
        <w:rFonts w:hint="default" w:ascii="Wingdings" w:hAnsi="Wingdings"/>
        <w:sz w:val="20"/>
      </w:rPr>
    </w:lvl>
    <w:lvl w:ilvl="3" w:tentative="0">
      <w:start w:val="1"/>
      <w:numFmt w:val="bullet"/>
      <w:lvlText w:val=""/>
      <w:lvlJc w:val="left"/>
      <w:pPr>
        <w:tabs>
          <w:tab w:val="left" w:pos="2880"/>
        </w:tabs>
        <w:ind w:left="2880" w:hanging="360"/>
      </w:pPr>
      <w:rPr>
        <w:rFonts w:hint="default" w:ascii="Wingdings" w:hAnsi="Wingdings"/>
        <w:sz w:val="20"/>
      </w:rPr>
    </w:lvl>
    <w:lvl w:ilvl="4" w:tentative="0">
      <w:start w:val="1"/>
      <w:numFmt w:val="bullet"/>
      <w:lvlText w:val=""/>
      <w:lvlJc w:val="left"/>
      <w:pPr>
        <w:tabs>
          <w:tab w:val="left" w:pos="3600"/>
        </w:tabs>
        <w:ind w:left="3600" w:hanging="360"/>
      </w:pPr>
      <w:rPr>
        <w:rFonts w:hint="default" w:ascii="Wingdings" w:hAnsi="Wingdings"/>
        <w:sz w:val="20"/>
      </w:rPr>
    </w:lvl>
    <w:lvl w:ilvl="5" w:tentative="0">
      <w:start w:val="1"/>
      <w:numFmt w:val="bullet"/>
      <w:lvlText w:val=""/>
      <w:lvlJc w:val="left"/>
      <w:pPr>
        <w:tabs>
          <w:tab w:val="left" w:pos="4320"/>
        </w:tabs>
        <w:ind w:left="4320" w:hanging="360"/>
      </w:pPr>
      <w:rPr>
        <w:rFonts w:hint="default" w:ascii="Wingdings" w:hAnsi="Wingdings"/>
        <w:sz w:val="20"/>
      </w:rPr>
    </w:lvl>
    <w:lvl w:ilvl="6" w:tentative="0">
      <w:start w:val="1"/>
      <w:numFmt w:val="bullet"/>
      <w:lvlText w:val=""/>
      <w:lvlJc w:val="left"/>
      <w:pPr>
        <w:tabs>
          <w:tab w:val="left" w:pos="5040"/>
        </w:tabs>
        <w:ind w:left="5040" w:hanging="360"/>
      </w:pPr>
      <w:rPr>
        <w:rFonts w:hint="default" w:ascii="Wingdings" w:hAnsi="Wingdings"/>
        <w:sz w:val="20"/>
      </w:rPr>
    </w:lvl>
    <w:lvl w:ilvl="7" w:tentative="0">
      <w:start w:val="1"/>
      <w:numFmt w:val="bullet"/>
      <w:lvlText w:val=""/>
      <w:lvlJc w:val="left"/>
      <w:pPr>
        <w:tabs>
          <w:tab w:val="left" w:pos="5760"/>
        </w:tabs>
        <w:ind w:left="5760" w:hanging="360"/>
      </w:pPr>
      <w:rPr>
        <w:rFonts w:hint="default" w:ascii="Wingdings" w:hAnsi="Wingdings"/>
        <w:sz w:val="20"/>
      </w:rPr>
    </w:lvl>
    <w:lvl w:ilvl="8" w:tentative="0">
      <w:start w:val="1"/>
      <w:numFmt w:val="bullet"/>
      <w:lvlText w:val=""/>
      <w:lvlJc w:val="left"/>
      <w:pPr>
        <w:tabs>
          <w:tab w:val="left" w:pos="6480"/>
        </w:tabs>
        <w:ind w:left="6480" w:hanging="360"/>
      </w:pPr>
      <w:rPr>
        <w:rFonts w:hint="default" w:ascii="Wingdings" w:hAnsi="Wingdings"/>
        <w:sz w:val="20"/>
      </w:rPr>
    </w:lvl>
  </w:abstractNum>
  <w:num w:numId="1">
    <w:abstractNumId w:val="0"/>
  </w:num>
  <w:num w:numId="2">
    <w:abstractNumId w:val="2"/>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71"/>
  <w:documentProtection w:enforcement="0"/>
  <w:defaultTabStop w:val="720"/>
  <w:characterSpacingControl w:val="doNotCompress"/>
  <w:footnotePr>
    <w:footnote w:id="0"/>
    <w:footnote w:id="1"/>
  </w:footnotePr>
  <w:endnotePr>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D0A46"/>
    <w:rsid w:val="00000ED2"/>
    <w:rsid w:val="00002FB0"/>
    <w:rsid w:val="000103CE"/>
    <w:rsid w:val="000106C2"/>
    <w:rsid w:val="00014833"/>
    <w:rsid w:val="00017122"/>
    <w:rsid w:val="00033500"/>
    <w:rsid w:val="00087BA1"/>
    <w:rsid w:val="00096116"/>
    <w:rsid w:val="00097C7C"/>
    <w:rsid w:val="000C4F2A"/>
    <w:rsid w:val="000E45E5"/>
    <w:rsid w:val="000F5CF5"/>
    <w:rsid w:val="000F7C33"/>
    <w:rsid w:val="00111368"/>
    <w:rsid w:val="00111D40"/>
    <w:rsid w:val="0011660A"/>
    <w:rsid w:val="0012106D"/>
    <w:rsid w:val="00133418"/>
    <w:rsid w:val="001357F0"/>
    <w:rsid w:val="00143031"/>
    <w:rsid w:val="00144819"/>
    <w:rsid w:val="00146B6B"/>
    <w:rsid w:val="001525D1"/>
    <w:rsid w:val="00174B6C"/>
    <w:rsid w:val="0018354B"/>
    <w:rsid w:val="00184692"/>
    <w:rsid w:val="00197E1F"/>
    <w:rsid w:val="001A04B1"/>
    <w:rsid w:val="001A0D6A"/>
    <w:rsid w:val="001A0F6C"/>
    <w:rsid w:val="001A527B"/>
    <w:rsid w:val="001C1328"/>
    <w:rsid w:val="001C16AA"/>
    <w:rsid w:val="001D08A9"/>
    <w:rsid w:val="001D3FEC"/>
    <w:rsid w:val="001F2D92"/>
    <w:rsid w:val="001F31A9"/>
    <w:rsid w:val="001F3895"/>
    <w:rsid w:val="00203707"/>
    <w:rsid w:val="002077A1"/>
    <w:rsid w:val="00231029"/>
    <w:rsid w:val="0023237B"/>
    <w:rsid w:val="00244015"/>
    <w:rsid w:val="00244C67"/>
    <w:rsid w:val="002520B1"/>
    <w:rsid w:val="0026697E"/>
    <w:rsid w:val="00270389"/>
    <w:rsid w:val="0027289B"/>
    <w:rsid w:val="00280838"/>
    <w:rsid w:val="002841E4"/>
    <w:rsid w:val="00287D63"/>
    <w:rsid w:val="002A5724"/>
    <w:rsid w:val="002B2AFD"/>
    <w:rsid w:val="002C27D2"/>
    <w:rsid w:val="002E5C4E"/>
    <w:rsid w:val="002F37B0"/>
    <w:rsid w:val="002F5C94"/>
    <w:rsid w:val="002F6395"/>
    <w:rsid w:val="00321201"/>
    <w:rsid w:val="00322EBD"/>
    <w:rsid w:val="0033552A"/>
    <w:rsid w:val="00345A9D"/>
    <w:rsid w:val="00346104"/>
    <w:rsid w:val="00350503"/>
    <w:rsid w:val="00353E2F"/>
    <w:rsid w:val="0036159A"/>
    <w:rsid w:val="003648F3"/>
    <w:rsid w:val="00367FD2"/>
    <w:rsid w:val="0037171A"/>
    <w:rsid w:val="00372BB8"/>
    <w:rsid w:val="00383C69"/>
    <w:rsid w:val="003865F7"/>
    <w:rsid w:val="00387B12"/>
    <w:rsid w:val="003A571B"/>
    <w:rsid w:val="003C5601"/>
    <w:rsid w:val="003D74D9"/>
    <w:rsid w:val="003E72AD"/>
    <w:rsid w:val="003F77D7"/>
    <w:rsid w:val="00406A6F"/>
    <w:rsid w:val="0041799B"/>
    <w:rsid w:val="0042020F"/>
    <w:rsid w:val="004202A9"/>
    <w:rsid w:val="00431748"/>
    <w:rsid w:val="00432C8B"/>
    <w:rsid w:val="004344DF"/>
    <w:rsid w:val="004619E0"/>
    <w:rsid w:val="00466C20"/>
    <w:rsid w:val="00482078"/>
    <w:rsid w:val="00486305"/>
    <w:rsid w:val="004A6F4F"/>
    <w:rsid w:val="004A7B83"/>
    <w:rsid w:val="004B48C9"/>
    <w:rsid w:val="004C1133"/>
    <w:rsid w:val="004D040E"/>
    <w:rsid w:val="004D37C8"/>
    <w:rsid w:val="004E4F5A"/>
    <w:rsid w:val="004F0AE4"/>
    <w:rsid w:val="004F6AFB"/>
    <w:rsid w:val="00506140"/>
    <w:rsid w:val="0050615F"/>
    <w:rsid w:val="005106DD"/>
    <w:rsid w:val="00513593"/>
    <w:rsid w:val="0052201B"/>
    <w:rsid w:val="00547D17"/>
    <w:rsid w:val="00563117"/>
    <w:rsid w:val="00573C71"/>
    <w:rsid w:val="005760A7"/>
    <w:rsid w:val="00585B4C"/>
    <w:rsid w:val="005933D3"/>
    <w:rsid w:val="005A04EB"/>
    <w:rsid w:val="005A7E31"/>
    <w:rsid w:val="005B6F2D"/>
    <w:rsid w:val="005D0A46"/>
    <w:rsid w:val="005D59FD"/>
    <w:rsid w:val="005E3022"/>
    <w:rsid w:val="005E4AA1"/>
    <w:rsid w:val="0060395E"/>
    <w:rsid w:val="00615BE1"/>
    <w:rsid w:val="00616260"/>
    <w:rsid w:val="006323AB"/>
    <w:rsid w:val="006379B0"/>
    <w:rsid w:val="00643FAA"/>
    <w:rsid w:val="00646CAA"/>
    <w:rsid w:val="00655663"/>
    <w:rsid w:val="00661940"/>
    <w:rsid w:val="00663D34"/>
    <w:rsid w:val="00674396"/>
    <w:rsid w:val="006800E4"/>
    <w:rsid w:val="00690E8B"/>
    <w:rsid w:val="006B5FFC"/>
    <w:rsid w:val="006C3318"/>
    <w:rsid w:val="006C52EE"/>
    <w:rsid w:val="006F385B"/>
    <w:rsid w:val="006F4674"/>
    <w:rsid w:val="0072229E"/>
    <w:rsid w:val="00735A3F"/>
    <w:rsid w:val="0075272A"/>
    <w:rsid w:val="00756F6A"/>
    <w:rsid w:val="00781086"/>
    <w:rsid w:val="00781978"/>
    <w:rsid w:val="0078798C"/>
    <w:rsid w:val="00794C11"/>
    <w:rsid w:val="007977A0"/>
    <w:rsid w:val="007A1175"/>
    <w:rsid w:val="007A5024"/>
    <w:rsid w:val="007B5387"/>
    <w:rsid w:val="007C4C02"/>
    <w:rsid w:val="007E149F"/>
    <w:rsid w:val="007F4CC0"/>
    <w:rsid w:val="00812216"/>
    <w:rsid w:val="00820383"/>
    <w:rsid w:val="008410E6"/>
    <w:rsid w:val="00853D80"/>
    <w:rsid w:val="008751E2"/>
    <w:rsid w:val="00881F53"/>
    <w:rsid w:val="00885C44"/>
    <w:rsid w:val="00895B36"/>
    <w:rsid w:val="008A0B2D"/>
    <w:rsid w:val="008A3D1C"/>
    <w:rsid w:val="008A4E8D"/>
    <w:rsid w:val="008B4608"/>
    <w:rsid w:val="008C2E46"/>
    <w:rsid w:val="008C6776"/>
    <w:rsid w:val="008D01F9"/>
    <w:rsid w:val="008F6269"/>
    <w:rsid w:val="009027C8"/>
    <w:rsid w:val="009136F0"/>
    <w:rsid w:val="00931008"/>
    <w:rsid w:val="00937728"/>
    <w:rsid w:val="0094044B"/>
    <w:rsid w:val="00950F2D"/>
    <w:rsid w:val="00955D5E"/>
    <w:rsid w:val="00957C2D"/>
    <w:rsid w:val="0097185E"/>
    <w:rsid w:val="00974FE6"/>
    <w:rsid w:val="00981753"/>
    <w:rsid w:val="009862FA"/>
    <w:rsid w:val="00990B5B"/>
    <w:rsid w:val="009B5A5D"/>
    <w:rsid w:val="009F5702"/>
    <w:rsid w:val="00A20AF4"/>
    <w:rsid w:val="00A24229"/>
    <w:rsid w:val="00A24A61"/>
    <w:rsid w:val="00A350AA"/>
    <w:rsid w:val="00A350C0"/>
    <w:rsid w:val="00A416A0"/>
    <w:rsid w:val="00A51C69"/>
    <w:rsid w:val="00A543EE"/>
    <w:rsid w:val="00A63751"/>
    <w:rsid w:val="00A65C1D"/>
    <w:rsid w:val="00A74F5D"/>
    <w:rsid w:val="00A765A8"/>
    <w:rsid w:val="00A80921"/>
    <w:rsid w:val="00A80C59"/>
    <w:rsid w:val="00A9102A"/>
    <w:rsid w:val="00AB547A"/>
    <w:rsid w:val="00AB5862"/>
    <w:rsid w:val="00AD0C80"/>
    <w:rsid w:val="00AD4B48"/>
    <w:rsid w:val="00AD62C4"/>
    <w:rsid w:val="00AD7291"/>
    <w:rsid w:val="00AE0748"/>
    <w:rsid w:val="00AE0EB4"/>
    <w:rsid w:val="00AE28AF"/>
    <w:rsid w:val="00AE6AAC"/>
    <w:rsid w:val="00B13FD2"/>
    <w:rsid w:val="00B22303"/>
    <w:rsid w:val="00B33410"/>
    <w:rsid w:val="00B42D1D"/>
    <w:rsid w:val="00B43DD6"/>
    <w:rsid w:val="00B46766"/>
    <w:rsid w:val="00B52F84"/>
    <w:rsid w:val="00B556C8"/>
    <w:rsid w:val="00B56F4D"/>
    <w:rsid w:val="00B62F5B"/>
    <w:rsid w:val="00B63E75"/>
    <w:rsid w:val="00B80504"/>
    <w:rsid w:val="00B838A1"/>
    <w:rsid w:val="00BA7D1E"/>
    <w:rsid w:val="00BD192C"/>
    <w:rsid w:val="00BE48D5"/>
    <w:rsid w:val="00C040DF"/>
    <w:rsid w:val="00C06CD0"/>
    <w:rsid w:val="00C13611"/>
    <w:rsid w:val="00C16CEB"/>
    <w:rsid w:val="00C36FE8"/>
    <w:rsid w:val="00C41958"/>
    <w:rsid w:val="00C56466"/>
    <w:rsid w:val="00C70F6B"/>
    <w:rsid w:val="00C82E69"/>
    <w:rsid w:val="00C91459"/>
    <w:rsid w:val="00CA61A1"/>
    <w:rsid w:val="00CB072B"/>
    <w:rsid w:val="00CB73D3"/>
    <w:rsid w:val="00CE14F9"/>
    <w:rsid w:val="00D034E9"/>
    <w:rsid w:val="00D167DB"/>
    <w:rsid w:val="00D44015"/>
    <w:rsid w:val="00D50839"/>
    <w:rsid w:val="00D56A3C"/>
    <w:rsid w:val="00D627CA"/>
    <w:rsid w:val="00D66184"/>
    <w:rsid w:val="00D66951"/>
    <w:rsid w:val="00D71B60"/>
    <w:rsid w:val="00D71E4A"/>
    <w:rsid w:val="00D7314D"/>
    <w:rsid w:val="00D7637D"/>
    <w:rsid w:val="00D80655"/>
    <w:rsid w:val="00D84D2F"/>
    <w:rsid w:val="00D92220"/>
    <w:rsid w:val="00D96920"/>
    <w:rsid w:val="00D97DBA"/>
    <w:rsid w:val="00DB1AEA"/>
    <w:rsid w:val="00DC057F"/>
    <w:rsid w:val="00DC62B0"/>
    <w:rsid w:val="00DC6A22"/>
    <w:rsid w:val="00DE493B"/>
    <w:rsid w:val="00DF0964"/>
    <w:rsid w:val="00DF74BF"/>
    <w:rsid w:val="00E11024"/>
    <w:rsid w:val="00E12521"/>
    <w:rsid w:val="00E126DA"/>
    <w:rsid w:val="00E16BAF"/>
    <w:rsid w:val="00E1723A"/>
    <w:rsid w:val="00E174B1"/>
    <w:rsid w:val="00E20136"/>
    <w:rsid w:val="00E27874"/>
    <w:rsid w:val="00E317AD"/>
    <w:rsid w:val="00E35898"/>
    <w:rsid w:val="00E419E7"/>
    <w:rsid w:val="00E572CD"/>
    <w:rsid w:val="00E614E7"/>
    <w:rsid w:val="00E73949"/>
    <w:rsid w:val="00E74074"/>
    <w:rsid w:val="00E81E53"/>
    <w:rsid w:val="00E83BB1"/>
    <w:rsid w:val="00E8443F"/>
    <w:rsid w:val="00E9761A"/>
    <w:rsid w:val="00E97DB3"/>
    <w:rsid w:val="00EA1C11"/>
    <w:rsid w:val="00EA1EC7"/>
    <w:rsid w:val="00EA4119"/>
    <w:rsid w:val="00EB076A"/>
    <w:rsid w:val="00EB5DE1"/>
    <w:rsid w:val="00EB7071"/>
    <w:rsid w:val="00EC0B45"/>
    <w:rsid w:val="00EC6386"/>
    <w:rsid w:val="00ED0679"/>
    <w:rsid w:val="00ED6C96"/>
    <w:rsid w:val="00EE0897"/>
    <w:rsid w:val="00EE334C"/>
    <w:rsid w:val="00EF1704"/>
    <w:rsid w:val="00EF4FB3"/>
    <w:rsid w:val="00EF7439"/>
    <w:rsid w:val="00F011A1"/>
    <w:rsid w:val="00F02435"/>
    <w:rsid w:val="00F17016"/>
    <w:rsid w:val="00F263C9"/>
    <w:rsid w:val="00F2647C"/>
    <w:rsid w:val="00F3159A"/>
    <w:rsid w:val="00F331B4"/>
    <w:rsid w:val="00F42115"/>
    <w:rsid w:val="00F42C77"/>
    <w:rsid w:val="00F50B0C"/>
    <w:rsid w:val="00F54660"/>
    <w:rsid w:val="00F6082B"/>
    <w:rsid w:val="00F65294"/>
    <w:rsid w:val="00F6627B"/>
    <w:rsid w:val="00F67AB1"/>
    <w:rsid w:val="00F703C0"/>
    <w:rsid w:val="00F749D1"/>
    <w:rsid w:val="00F82496"/>
    <w:rsid w:val="00F82555"/>
    <w:rsid w:val="00F85ADF"/>
    <w:rsid w:val="00F92F81"/>
    <w:rsid w:val="00F962AF"/>
    <w:rsid w:val="00FB3211"/>
    <w:rsid w:val="00FD2389"/>
    <w:rsid w:val="04C66371"/>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uiPriority="39" w:semiHidden="0" w:name="toc 2"/>
    <w:lsdException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semiHidden="0" w:name="caption"/>
    <w:lsdException w:uiPriority="99" w:semiHidden="0"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9" w:lineRule="auto"/>
    </w:pPr>
    <w:rPr>
      <w:rFonts w:asciiTheme="minorHAnsi" w:hAnsiTheme="minorHAnsi" w:eastAsiaTheme="minorHAnsi" w:cstheme="minorBidi"/>
      <w:kern w:val="0"/>
      <w:sz w:val="22"/>
      <w:szCs w:val="22"/>
      <w:lang w:val="en-US" w:eastAsia="en-US" w:bidi="ar-SA"/>
      <w14:ligatures w14:val="none"/>
    </w:rPr>
  </w:style>
  <w:style w:type="paragraph" w:styleId="2">
    <w:name w:val="heading 1"/>
    <w:basedOn w:val="1"/>
    <w:next w:val="1"/>
    <w:link w:val="28"/>
    <w:qFormat/>
    <w:uiPriority w:val="9"/>
    <w:pPr>
      <w:keepNext/>
      <w:keepLines/>
      <w:spacing w:before="360" w:after="80"/>
      <w:outlineLvl w:val="0"/>
    </w:pPr>
    <w:rPr>
      <w:rFonts w:ascii="Times New Roman" w:hAnsi="Times New Roman" w:eastAsiaTheme="majorEastAsia" w:cstheme="majorBidi"/>
      <w:b/>
      <w:color w:val="000000" w:themeColor="text1"/>
      <w:sz w:val="24"/>
      <w:szCs w:val="40"/>
      <w14:textFill>
        <w14:solidFill>
          <w14:schemeClr w14:val="tx1"/>
        </w14:solidFill>
      </w14:textFill>
    </w:rPr>
  </w:style>
  <w:style w:type="paragraph" w:styleId="3">
    <w:name w:val="heading 2"/>
    <w:basedOn w:val="1"/>
    <w:next w:val="1"/>
    <w:link w:val="29"/>
    <w:unhideWhenUsed/>
    <w:qFormat/>
    <w:uiPriority w:val="9"/>
    <w:pPr>
      <w:keepNext/>
      <w:keepLines/>
      <w:spacing w:before="160" w:after="80"/>
      <w:outlineLvl w:val="1"/>
    </w:pPr>
    <w:rPr>
      <w:rFonts w:asciiTheme="majorHAnsi" w:hAnsiTheme="majorHAnsi" w:eastAsiaTheme="majorEastAsia" w:cstheme="majorBidi"/>
      <w:color w:val="2F5597" w:themeColor="accent1" w:themeShade="BF"/>
      <w:sz w:val="32"/>
      <w:szCs w:val="32"/>
    </w:rPr>
  </w:style>
  <w:style w:type="paragraph" w:styleId="4">
    <w:name w:val="heading 3"/>
    <w:basedOn w:val="1"/>
    <w:next w:val="1"/>
    <w:link w:val="30"/>
    <w:unhideWhenUsed/>
    <w:qFormat/>
    <w:uiPriority w:val="9"/>
    <w:pPr>
      <w:keepNext/>
      <w:keepLines/>
      <w:spacing w:before="160" w:after="80"/>
      <w:outlineLvl w:val="2"/>
    </w:pPr>
    <w:rPr>
      <w:rFonts w:eastAsiaTheme="majorEastAsia" w:cstheme="majorBidi"/>
      <w:color w:val="2F5597" w:themeColor="accent1" w:themeShade="BF"/>
      <w:sz w:val="28"/>
      <w:szCs w:val="28"/>
    </w:rPr>
  </w:style>
  <w:style w:type="paragraph" w:styleId="5">
    <w:name w:val="heading 4"/>
    <w:basedOn w:val="1"/>
    <w:next w:val="1"/>
    <w:link w:val="31"/>
    <w:semiHidden/>
    <w:unhideWhenUsed/>
    <w:qFormat/>
    <w:uiPriority w:val="9"/>
    <w:pPr>
      <w:keepNext/>
      <w:keepLines/>
      <w:spacing w:before="80" w:after="40"/>
      <w:outlineLvl w:val="3"/>
    </w:pPr>
    <w:rPr>
      <w:rFonts w:eastAsiaTheme="majorEastAsia" w:cstheme="majorBidi"/>
      <w:i/>
      <w:iCs/>
      <w:color w:val="2F5597" w:themeColor="accent1" w:themeShade="BF"/>
    </w:rPr>
  </w:style>
  <w:style w:type="paragraph" w:styleId="6">
    <w:name w:val="heading 5"/>
    <w:basedOn w:val="1"/>
    <w:next w:val="1"/>
    <w:link w:val="32"/>
    <w:semiHidden/>
    <w:unhideWhenUsed/>
    <w:qFormat/>
    <w:uiPriority w:val="9"/>
    <w:pPr>
      <w:keepNext/>
      <w:keepLines/>
      <w:spacing w:before="80" w:after="40"/>
      <w:outlineLvl w:val="4"/>
    </w:pPr>
    <w:rPr>
      <w:rFonts w:eastAsiaTheme="majorEastAsia" w:cstheme="majorBidi"/>
      <w:color w:val="2F5597" w:themeColor="accent1" w:themeShade="BF"/>
    </w:rPr>
  </w:style>
  <w:style w:type="paragraph" w:styleId="7">
    <w:name w:val="heading 6"/>
    <w:basedOn w:val="1"/>
    <w:next w:val="1"/>
    <w:link w:val="33"/>
    <w:semiHidden/>
    <w:unhideWhenUsed/>
    <w:qFormat/>
    <w:uiPriority w:val="9"/>
    <w:pPr>
      <w:keepNext/>
      <w:keepLines/>
      <w:spacing w:before="40" w:after="0"/>
      <w:outlineLvl w:val="5"/>
    </w:pPr>
    <w:rPr>
      <w:rFonts w:eastAsiaTheme="majorEastAsia" w:cstheme="majorBidi"/>
      <w:i/>
      <w:iCs/>
      <w:color w:val="595959" w:themeColor="text1" w:themeTint="A6"/>
      <w14:textFill>
        <w14:solidFill>
          <w14:schemeClr w14:val="tx1">
            <w14:lumMod w14:val="65000"/>
            <w14:lumOff w14:val="35000"/>
          </w14:schemeClr>
        </w14:solidFill>
      </w14:textFill>
    </w:rPr>
  </w:style>
  <w:style w:type="paragraph" w:styleId="8">
    <w:name w:val="heading 7"/>
    <w:basedOn w:val="1"/>
    <w:next w:val="1"/>
    <w:link w:val="34"/>
    <w:semiHidden/>
    <w:unhideWhenUsed/>
    <w:qFormat/>
    <w:uiPriority w:val="9"/>
    <w:pPr>
      <w:keepNext/>
      <w:keepLines/>
      <w:spacing w:before="40" w:after="0"/>
      <w:outlineLvl w:val="6"/>
    </w:pPr>
    <w:rPr>
      <w:rFonts w:eastAsiaTheme="majorEastAsia" w:cstheme="majorBidi"/>
      <w:color w:val="595959" w:themeColor="text1" w:themeTint="A6"/>
      <w14:textFill>
        <w14:solidFill>
          <w14:schemeClr w14:val="tx1">
            <w14:lumMod w14:val="65000"/>
            <w14:lumOff w14:val="35000"/>
          </w14:schemeClr>
        </w14:solidFill>
      </w14:textFill>
    </w:rPr>
  </w:style>
  <w:style w:type="paragraph" w:styleId="9">
    <w:name w:val="heading 8"/>
    <w:basedOn w:val="1"/>
    <w:next w:val="1"/>
    <w:link w:val="35"/>
    <w:semiHidden/>
    <w:unhideWhenUsed/>
    <w:qFormat/>
    <w:uiPriority w:val="9"/>
    <w:pPr>
      <w:keepNext/>
      <w:keepLines/>
      <w:spacing w:after="0"/>
      <w:outlineLvl w:val="7"/>
    </w:pPr>
    <w:rPr>
      <w:rFonts w:eastAsiaTheme="majorEastAsia" w:cstheme="majorBidi"/>
      <w:i/>
      <w:iCs/>
      <w:color w:val="262626" w:themeColor="text1" w:themeTint="D9"/>
      <w14:textFill>
        <w14:solidFill>
          <w14:schemeClr w14:val="tx1">
            <w14:lumMod w14:val="85000"/>
            <w14:lumOff w14:val="15000"/>
          </w14:schemeClr>
        </w14:solidFill>
      </w14:textFill>
    </w:rPr>
  </w:style>
  <w:style w:type="paragraph" w:styleId="10">
    <w:name w:val="heading 9"/>
    <w:basedOn w:val="1"/>
    <w:next w:val="1"/>
    <w:link w:val="36"/>
    <w:semiHidden/>
    <w:unhideWhenUsed/>
    <w:qFormat/>
    <w:uiPriority w:val="9"/>
    <w:pPr>
      <w:keepNext/>
      <w:keepLines/>
      <w:spacing w:after="0"/>
      <w:outlineLvl w:val="8"/>
    </w:pPr>
    <w:rPr>
      <w:rFonts w:eastAsiaTheme="majorEastAsia" w:cstheme="majorBidi"/>
      <w:color w:val="262626" w:themeColor="text1" w:themeTint="D9"/>
      <w14:textFill>
        <w14:solidFill>
          <w14:schemeClr w14:val="tx1">
            <w14:lumMod w14:val="85000"/>
            <w14:lumOff w14:val="15000"/>
          </w14:schemeClr>
        </w14:solidFill>
      </w14:textFill>
    </w:rPr>
  </w:style>
  <w:style w:type="character" w:default="1" w:styleId="11">
    <w:name w:val="Default Paragraph Font"/>
    <w:semiHidden/>
    <w:unhideWhenUsed/>
    <w:qFormat/>
    <w:uiPriority w:val="1"/>
  </w:style>
  <w:style w:type="table" w:default="1" w:styleId="12">
    <w:name w:val="Normal Table"/>
    <w:semiHidden/>
    <w:unhideWhenUsed/>
    <w:uiPriority w:val="99"/>
    <w:tblPr>
      <w:tblCellMar>
        <w:top w:w="0" w:type="dxa"/>
        <w:left w:w="108" w:type="dxa"/>
        <w:bottom w:w="0" w:type="dxa"/>
        <w:right w:w="108" w:type="dxa"/>
      </w:tblCellMar>
    </w:tblPr>
  </w:style>
  <w:style w:type="paragraph" w:styleId="13">
    <w:name w:val="Balloon Text"/>
    <w:basedOn w:val="1"/>
    <w:link w:val="50"/>
    <w:semiHidden/>
    <w:unhideWhenUsed/>
    <w:uiPriority w:val="99"/>
    <w:pPr>
      <w:spacing w:after="0" w:line="240" w:lineRule="auto"/>
    </w:pPr>
    <w:rPr>
      <w:rFonts w:ascii="Tahoma" w:hAnsi="Tahoma" w:cs="Tahoma"/>
      <w:sz w:val="16"/>
      <w:szCs w:val="16"/>
    </w:rPr>
  </w:style>
  <w:style w:type="paragraph" w:styleId="14">
    <w:name w:val="caption"/>
    <w:basedOn w:val="1"/>
    <w:next w:val="1"/>
    <w:unhideWhenUsed/>
    <w:qFormat/>
    <w:uiPriority w:val="35"/>
    <w:pPr>
      <w:spacing w:after="200" w:line="240" w:lineRule="auto"/>
    </w:pPr>
    <w:rPr>
      <w:i/>
      <w:iCs/>
      <w:color w:val="44546A" w:themeColor="text2"/>
      <w:sz w:val="18"/>
      <w:szCs w:val="18"/>
      <w14:textFill>
        <w14:solidFill>
          <w14:schemeClr w14:val="tx2"/>
        </w14:solidFill>
      </w14:textFill>
    </w:rPr>
  </w:style>
  <w:style w:type="character" w:styleId="15">
    <w:name w:val="Emphasis"/>
    <w:basedOn w:val="11"/>
    <w:qFormat/>
    <w:uiPriority w:val="20"/>
    <w:rPr>
      <w:i/>
      <w:iCs/>
    </w:rPr>
  </w:style>
  <w:style w:type="paragraph" w:styleId="16">
    <w:name w:val="footer"/>
    <w:basedOn w:val="1"/>
    <w:link w:val="47"/>
    <w:unhideWhenUsed/>
    <w:uiPriority w:val="99"/>
    <w:pPr>
      <w:tabs>
        <w:tab w:val="center" w:pos="4680"/>
        <w:tab w:val="right" w:pos="9360"/>
      </w:tabs>
      <w:spacing w:after="0" w:line="240" w:lineRule="auto"/>
    </w:pPr>
  </w:style>
  <w:style w:type="paragraph" w:styleId="17">
    <w:name w:val="header"/>
    <w:basedOn w:val="1"/>
    <w:link w:val="46"/>
    <w:unhideWhenUsed/>
    <w:uiPriority w:val="99"/>
    <w:pPr>
      <w:tabs>
        <w:tab w:val="center" w:pos="4680"/>
        <w:tab w:val="right" w:pos="9360"/>
      </w:tabs>
      <w:spacing w:after="0" w:line="240" w:lineRule="auto"/>
    </w:pPr>
  </w:style>
  <w:style w:type="character" w:styleId="18">
    <w:name w:val="Hyperlink"/>
    <w:basedOn w:val="11"/>
    <w:unhideWhenUsed/>
    <w:uiPriority w:val="99"/>
    <w:rPr>
      <w:color w:val="0563C1" w:themeColor="hyperlink"/>
      <w:u w:val="single"/>
      <w14:textFill>
        <w14:solidFill>
          <w14:schemeClr w14:val="hlink"/>
        </w14:solidFill>
      </w14:textFill>
    </w:rPr>
  </w:style>
  <w:style w:type="paragraph" w:styleId="19">
    <w:name w:val="Normal (Web)"/>
    <w:basedOn w:val="1"/>
    <w:unhideWhenUsed/>
    <w:uiPriority w:val="99"/>
    <w:pPr>
      <w:spacing w:before="100" w:beforeAutospacing="1" w:after="100" w:afterAutospacing="1" w:line="240" w:lineRule="auto"/>
    </w:pPr>
    <w:rPr>
      <w:rFonts w:ascii="Times New Roman" w:hAnsi="Times New Roman" w:eastAsia="Times New Roman" w:cs="Times New Roman"/>
      <w:sz w:val="24"/>
      <w:szCs w:val="24"/>
    </w:rPr>
  </w:style>
  <w:style w:type="character" w:styleId="20">
    <w:name w:val="Strong"/>
    <w:basedOn w:val="11"/>
    <w:qFormat/>
    <w:uiPriority w:val="22"/>
    <w:rPr>
      <w:b/>
      <w:bCs/>
    </w:rPr>
  </w:style>
  <w:style w:type="paragraph" w:styleId="21">
    <w:name w:val="Subtitle"/>
    <w:basedOn w:val="1"/>
    <w:next w:val="1"/>
    <w:link w:val="38"/>
    <w:qFormat/>
    <w:uiPriority w:val="11"/>
    <w:rPr>
      <w:rFonts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table" w:styleId="22">
    <w:name w:val="Table Grid"/>
    <w:basedOn w:val="12"/>
    <w:uiPriority w:val="59"/>
    <w:pPr>
      <w:spacing w:after="0" w:line="240" w:lineRule="auto"/>
    </w:pPr>
    <w:rPr>
      <w:kern w:val="0"/>
      <w:sz w:val="22"/>
      <w:szCs w:val="22"/>
      <w14:ligatures w14:val="none"/>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paragraph" w:styleId="23">
    <w:name w:val="table of figures"/>
    <w:basedOn w:val="1"/>
    <w:next w:val="1"/>
    <w:unhideWhenUsed/>
    <w:uiPriority w:val="99"/>
    <w:pPr>
      <w:spacing w:after="0"/>
    </w:pPr>
  </w:style>
  <w:style w:type="paragraph" w:styleId="24">
    <w:name w:val="Title"/>
    <w:basedOn w:val="1"/>
    <w:next w:val="1"/>
    <w:link w:val="37"/>
    <w:qFormat/>
    <w:uiPriority w:val="10"/>
    <w:pPr>
      <w:spacing w:after="80" w:line="240" w:lineRule="auto"/>
      <w:contextualSpacing/>
    </w:pPr>
    <w:rPr>
      <w:rFonts w:asciiTheme="majorHAnsi" w:hAnsiTheme="majorHAnsi" w:eastAsiaTheme="majorEastAsia" w:cstheme="majorBidi"/>
      <w:spacing w:val="-10"/>
      <w:kern w:val="28"/>
      <w:sz w:val="56"/>
      <w:szCs w:val="56"/>
    </w:rPr>
  </w:style>
  <w:style w:type="paragraph" w:styleId="25">
    <w:name w:val="toc 1"/>
    <w:basedOn w:val="1"/>
    <w:next w:val="1"/>
    <w:autoRedefine/>
    <w:unhideWhenUsed/>
    <w:qFormat/>
    <w:uiPriority w:val="39"/>
    <w:pPr>
      <w:spacing w:after="100"/>
    </w:pPr>
  </w:style>
  <w:style w:type="paragraph" w:styleId="26">
    <w:name w:val="toc 2"/>
    <w:basedOn w:val="1"/>
    <w:next w:val="1"/>
    <w:autoRedefine/>
    <w:unhideWhenUsed/>
    <w:uiPriority w:val="39"/>
    <w:pPr>
      <w:spacing w:after="100"/>
      <w:ind w:left="220"/>
    </w:pPr>
  </w:style>
  <w:style w:type="paragraph" w:styleId="27">
    <w:name w:val="toc 3"/>
    <w:basedOn w:val="1"/>
    <w:next w:val="1"/>
    <w:autoRedefine/>
    <w:unhideWhenUsed/>
    <w:uiPriority w:val="39"/>
    <w:pPr>
      <w:tabs>
        <w:tab w:val="right" w:leader="dot" w:pos="0"/>
      </w:tabs>
      <w:spacing w:after="100"/>
    </w:pPr>
  </w:style>
  <w:style w:type="character" w:customStyle="1" w:styleId="28">
    <w:name w:val="Heading 1 Char"/>
    <w:basedOn w:val="11"/>
    <w:link w:val="2"/>
    <w:qFormat/>
    <w:uiPriority w:val="9"/>
    <w:rPr>
      <w:rFonts w:ascii="Times New Roman" w:hAnsi="Times New Roman" w:eastAsiaTheme="majorEastAsia" w:cstheme="majorBidi"/>
      <w:b/>
      <w:color w:val="000000" w:themeColor="text1"/>
      <w:kern w:val="0"/>
      <w:szCs w:val="40"/>
      <w14:textFill>
        <w14:solidFill>
          <w14:schemeClr w14:val="tx1"/>
        </w14:solidFill>
      </w14:textFill>
      <w14:ligatures w14:val="none"/>
    </w:rPr>
  </w:style>
  <w:style w:type="character" w:customStyle="1" w:styleId="29">
    <w:name w:val="Heading 2 Char"/>
    <w:basedOn w:val="11"/>
    <w:link w:val="3"/>
    <w:qFormat/>
    <w:uiPriority w:val="9"/>
    <w:rPr>
      <w:rFonts w:asciiTheme="majorHAnsi" w:hAnsiTheme="majorHAnsi" w:eastAsiaTheme="majorEastAsia" w:cstheme="majorBidi"/>
      <w:color w:val="2F5597" w:themeColor="accent1" w:themeShade="BF"/>
      <w:sz w:val="32"/>
      <w:szCs w:val="32"/>
    </w:rPr>
  </w:style>
  <w:style w:type="character" w:customStyle="1" w:styleId="30">
    <w:name w:val="Heading 3 Char"/>
    <w:basedOn w:val="11"/>
    <w:link w:val="4"/>
    <w:uiPriority w:val="9"/>
    <w:rPr>
      <w:rFonts w:eastAsiaTheme="majorEastAsia" w:cstheme="majorBidi"/>
      <w:color w:val="2F5597" w:themeColor="accent1" w:themeShade="BF"/>
      <w:sz w:val="28"/>
      <w:szCs w:val="28"/>
    </w:rPr>
  </w:style>
  <w:style w:type="character" w:customStyle="1" w:styleId="31">
    <w:name w:val="Heading 4 Char"/>
    <w:basedOn w:val="11"/>
    <w:link w:val="5"/>
    <w:semiHidden/>
    <w:uiPriority w:val="9"/>
    <w:rPr>
      <w:rFonts w:eastAsiaTheme="majorEastAsia" w:cstheme="majorBidi"/>
      <w:i/>
      <w:iCs/>
      <w:color w:val="2F5597" w:themeColor="accent1" w:themeShade="BF"/>
    </w:rPr>
  </w:style>
  <w:style w:type="character" w:customStyle="1" w:styleId="32">
    <w:name w:val="Heading 5 Char"/>
    <w:basedOn w:val="11"/>
    <w:link w:val="6"/>
    <w:semiHidden/>
    <w:qFormat/>
    <w:uiPriority w:val="9"/>
    <w:rPr>
      <w:rFonts w:eastAsiaTheme="majorEastAsia" w:cstheme="majorBidi"/>
      <w:color w:val="2F5597" w:themeColor="accent1" w:themeShade="BF"/>
    </w:rPr>
  </w:style>
  <w:style w:type="character" w:customStyle="1" w:styleId="33">
    <w:name w:val="Heading 6 Char"/>
    <w:basedOn w:val="11"/>
    <w:link w:val="7"/>
    <w:semiHidden/>
    <w:uiPriority w:val="9"/>
    <w:rPr>
      <w:rFonts w:eastAsiaTheme="majorEastAsia" w:cstheme="majorBidi"/>
      <w:i/>
      <w:iCs/>
      <w:color w:val="595959" w:themeColor="text1" w:themeTint="A6"/>
      <w14:textFill>
        <w14:solidFill>
          <w14:schemeClr w14:val="tx1">
            <w14:lumMod w14:val="65000"/>
            <w14:lumOff w14:val="35000"/>
          </w14:schemeClr>
        </w14:solidFill>
      </w14:textFill>
    </w:rPr>
  </w:style>
  <w:style w:type="character" w:customStyle="1" w:styleId="34">
    <w:name w:val="Heading 7 Char"/>
    <w:basedOn w:val="11"/>
    <w:link w:val="8"/>
    <w:semiHidden/>
    <w:uiPriority w:val="9"/>
    <w:rPr>
      <w:rFonts w:eastAsiaTheme="majorEastAsia" w:cstheme="majorBidi"/>
      <w:color w:val="595959" w:themeColor="text1" w:themeTint="A6"/>
      <w14:textFill>
        <w14:solidFill>
          <w14:schemeClr w14:val="tx1">
            <w14:lumMod w14:val="65000"/>
            <w14:lumOff w14:val="35000"/>
          </w14:schemeClr>
        </w14:solidFill>
      </w14:textFill>
    </w:rPr>
  </w:style>
  <w:style w:type="character" w:customStyle="1" w:styleId="35">
    <w:name w:val="Heading 8 Char"/>
    <w:basedOn w:val="11"/>
    <w:link w:val="9"/>
    <w:semiHidden/>
    <w:uiPriority w:val="9"/>
    <w:rPr>
      <w:rFonts w:eastAsiaTheme="majorEastAsia" w:cstheme="majorBidi"/>
      <w:i/>
      <w:iCs/>
      <w:color w:val="262626" w:themeColor="text1" w:themeTint="D9"/>
      <w14:textFill>
        <w14:solidFill>
          <w14:schemeClr w14:val="tx1">
            <w14:lumMod w14:val="85000"/>
            <w14:lumOff w14:val="15000"/>
          </w14:schemeClr>
        </w14:solidFill>
      </w14:textFill>
    </w:rPr>
  </w:style>
  <w:style w:type="character" w:customStyle="1" w:styleId="36">
    <w:name w:val="Heading 9 Char"/>
    <w:basedOn w:val="11"/>
    <w:link w:val="10"/>
    <w:semiHidden/>
    <w:uiPriority w:val="9"/>
    <w:rPr>
      <w:rFonts w:eastAsiaTheme="majorEastAsia" w:cstheme="majorBidi"/>
      <w:color w:val="262626" w:themeColor="text1" w:themeTint="D9"/>
      <w14:textFill>
        <w14:solidFill>
          <w14:schemeClr w14:val="tx1">
            <w14:lumMod w14:val="85000"/>
            <w14:lumOff w14:val="15000"/>
          </w14:schemeClr>
        </w14:solidFill>
      </w14:textFill>
    </w:rPr>
  </w:style>
  <w:style w:type="character" w:customStyle="1" w:styleId="37">
    <w:name w:val="Title Char"/>
    <w:basedOn w:val="11"/>
    <w:link w:val="24"/>
    <w:uiPriority w:val="10"/>
    <w:rPr>
      <w:rFonts w:asciiTheme="majorHAnsi" w:hAnsiTheme="majorHAnsi" w:eastAsiaTheme="majorEastAsia" w:cstheme="majorBidi"/>
      <w:spacing w:val="-10"/>
      <w:kern w:val="28"/>
      <w:sz w:val="56"/>
      <w:szCs w:val="56"/>
    </w:rPr>
  </w:style>
  <w:style w:type="character" w:customStyle="1" w:styleId="38">
    <w:name w:val="Subtitle Char"/>
    <w:basedOn w:val="11"/>
    <w:link w:val="21"/>
    <w:uiPriority w:val="11"/>
    <w:rPr>
      <w:rFonts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39">
    <w:name w:val="Quote"/>
    <w:basedOn w:val="1"/>
    <w:next w:val="1"/>
    <w:link w:val="40"/>
    <w:qFormat/>
    <w:uiPriority w:val="29"/>
    <w:pPr>
      <w:spacing w:before="160"/>
      <w:jc w:val="center"/>
    </w:pPr>
    <w:rPr>
      <w:i/>
      <w:iCs/>
      <w:color w:val="404040" w:themeColor="text1" w:themeTint="BF"/>
      <w14:textFill>
        <w14:solidFill>
          <w14:schemeClr w14:val="tx1">
            <w14:lumMod w14:val="75000"/>
            <w14:lumOff w14:val="25000"/>
          </w14:schemeClr>
        </w14:solidFill>
      </w14:textFill>
    </w:rPr>
  </w:style>
  <w:style w:type="character" w:customStyle="1" w:styleId="40">
    <w:name w:val="Quote Char"/>
    <w:basedOn w:val="11"/>
    <w:link w:val="39"/>
    <w:uiPriority w:val="29"/>
    <w:rPr>
      <w:i/>
      <w:iCs/>
      <w:color w:val="404040" w:themeColor="text1" w:themeTint="BF"/>
      <w14:textFill>
        <w14:solidFill>
          <w14:schemeClr w14:val="tx1">
            <w14:lumMod w14:val="75000"/>
            <w14:lumOff w14:val="25000"/>
          </w14:schemeClr>
        </w14:solidFill>
      </w14:textFill>
    </w:rPr>
  </w:style>
  <w:style w:type="paragraph" w:styleId="41">
    <w:name w:val="List Paragraph"/>
    <w:basedOn w:val="1"/>
    <w:qFormat/>
    <w:uiPriority w:val="34"/>
    <w:pPr>
      <w:ind w:left="720"/>
      <w:contextualSpacing/>
    </w:pPr>
  </w:style>
  <w:style w:type="character" w:customStyle="1" w:styleId="42">
    <w:name w:val="Intense Emphasis"/>
    <w:basedOn w:val="11"/>
    <w:qFormat/>
    <w:uiPriority w:val="21"/>
    <w:rPr>
      <w:i/>
      <w:iCs/>
      <w:color w:val="2F5597" w:themeColor="accent1" w:themeShade="BF"/>
    </w:rPr>
  </w:style>
  <w:style w:type="paragraph" w:styleId="43">
    <w:name w:val="Intense Quote"/>
    <w:basedOn w:val="1"/>
    <w:next w:val="1"/>
    <w:link w:val="44"/>
    <w:qFormat/>
    <w:uiPriority w:val="30"/>
    <w:pPr>
      <w:pBdr>
        <w:top w:val="single" w:color="2F5496" w:themeColor="accent1" w:themeShade="BF" w:sz="4" w:space="10"/>
        <w:bottom w:val="single" w:color="2F5496" w:themeColor="accent1" w:themeShade="BF" w:sz="4" w:space="10"/>
      </w:pBdr>
      <w:spacing w:before="360" w:after="360"/>
      <w:ind w:left="864" w:right="864"/>
      <w:jc w:val="center"/>
    </w:pPr>
    <w:rPr>
      <w:i/>
      <w:iCs/>
      <w:color w:val="2F5597" w:themeColor="accent1" w:themeShade="BF"/>
    </w:rPr>
  </w:style>
  <w:style w:type="character" w:customStyle="1" w:styleId="44">
    <w:name w:val="Intense Quote Char"/>
    <w:basedOn w:val="11"/>
    <w:link w:val="43"/>
    <w:uiPriority w:val="30"/>
    <w:rPr>
      <w:i/>
      <w:iCs/>
      <w:color w:val="2F5597" w:themeColor="accent1" w:themeShade="BF"/>
    </w:rPr>
  </w:style>
  <w:style w:type="character" w:customStyle="1" w:styleId="45">
    <w:name w:val="Intense Reference"/>
    <w:basedOn w:val="11"/>
    <w:qFormat/>
    <w:uiPriority w:val="32"/>
    <w:rPr>
      <w:b/>
      <w:bCs/>
      <w:smallCaps/>
      <w:color w:val="2F5597" w:themeColor="accent1" w:themeShade="BF"/>
      <w:spacing w:val="5"/>
    </w:rPr>
  </w:style>
  <w:style w:type="character" w:customStyle="1" w:styleId="46">
    <w:name w:val="Header Char"/>
    <w:basedOn w:val="11"/>
    <w:link w:val="17"/>
    <w:uiPriority w:val="99"/>
    <w:rPr>
      <w:kern w:val="0"/>
      <w:sz w:val="22"/>
      <w:szCs w:val="22"/>
      <w14:ligatures w14:val="none"/>
    </w:rPr>
  </w:style>
  <w:style w:type="character" w:customStyle="1" w:styleId="47">
    <w:name w:val="Footer Char"/>
    <w:basedOn w:val="11"/>
    <w:link w:val="16"/>
    <w:uiPriority w:val="99"/>
    <w:rPr>
      <w:kern w:val="0"/>
      <w:sz w:val="22"/>
      <w:szCs w:val="22"/>
      <w14:ligatures w14:val="none"/>
    </w:rPr>
  </w:style>
  <w:style w:type="character" w:customStyle="1" w:styleId="48">
    <w:name w:val="Unresolved Mention1"/>
    <w:basedOn w:val="11"/>
    <w:semiHidden/>
    <w:unhideWhenUsed/>
    <w:uiPriority w:val="99"/>
    <w:rPr>
      <w:color w:val="605E5C"/>
      <w:shd w:val="clear" w:color="auto" w:fill="E1DFDD"/>
    </w:rPr>
  </w:style>
  <w:style w:type="paragraph" w:customStyle="1" w:styleId="49">
    <w:name w:val="TOC Heading"/>
    <w:basedOn w:val="2"/>
    <w:next w:val="1"/>
    <w:unhideWhenUsed/>
    <w:qFormat/>
    <w:uiPriority w:val="39"/>
    <w:pPr>
      <w:spacing w:before="240" w:after="0"/>
      <w:outlineLvl w:val="9"/>
    </w:pPr>
    <w:rPr>
      <w:sz w:val="32"/>
      <w:szCs w:val="32"/>
    </w:rPr>
  </w:style>
  <w:style w:type="character" w:customStyle="1" w:styleId="50">
    <w:name w:val="Balloon Text Char"/>
    <w:basedOn w:val="11"/>
    <w:link w:val="13"/>
    <w:semiHidden/>
    <w:uiPriority w:val="99"/>
    <w:rPr>
      <w:rFonts w:ascii="Tahoma" w:hAnsi="Tahoma" w:cs="Tahoma"/>
      <w:kern w:val="0"/>
      <w:sz w:val="16"/>
      <w:szCs w:val="16"/>
      <w14:ligatures w14:val="none"/>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36074E5-ED09-4191-8EB0-2FE054F1C993}">
  <ds:schemaRefs/>
</ds:datastoreItem>
</file>

<file path=docProps/app.xml><?xml version="1.0" encoding="utf-8"?>
<Properties xmlns="http://schemas.openxmlformats.org/officeDocument/2006/extended-properties" xmlns:vt="http://schemas.openxmlformats.org/officeDocument/2006/docPropsVTypes">
  <Template>Normal</Template>
  <Pages>39</Pages>
  <Words>9136</Words>
  <Characters>52076</Characters>
  <Lines>433</Lines>
  <Paragraphs>122</Paragraphs>
  <TotalTime>27</TotalTime>
  <ScaleCrop>false</ScaleCrop>
  <LinksUpToDate>false</LinksUpToDate>
  <CharactersWithSpaces>61090</CharactersWithSpaces>
  <Application>WPS Office_12.2.0.23196_F1E327BC-269C-435d-A152-05C5408002CA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2025-11-27T09:06:00Z</dcterms:created>
  <dc:creator>Mohammed Abubakar Suleiman</dc:creator>
  <cp:lastModifiedBy>Elibrary</cp:lastModifiedBy>
  <cp:lastPrinted>2026-03-07T12:38:22Z</cp:lastPrinted>
  <dcterms:modified xsi:type="dcterms:W3CDTF">2026-03-07T13:04:58Z</dcterms:modified>
  <cp:revision>30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1033-12.2.0.23196</vt:lpwstr>
  </property>
  <property fmtid="{D5CDD505-2E9C-101B-9397-08002B2CF9AE}" pid="3" name="ICV">
    <vt:lpwstr>B4AFC779F1DB48C9B3C396A1DA965269_12</vt:lpwstr>
  </property>
</Properties>
</file>