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05B7" w:rsidRDefault="00670731">
      <w:pPr>
        <w:jc w:val="center"/>
        <w:outlineLvl w:val="0"/>
        <w:rPr>
          <w:rFonts w:eastAsia="Times New Roman" w:cs="Times New Roman"/>
          <w:b/>
          <w:bCs/>
          <w:kern w:val="36"/>
          <w:szCs w:val="24"/>
        </w:rPr>
      </w:pPr>
      <w:bookmarkStart w:id="0" w:name="_GoBack"/>
      <w:bookmarkEnd w:id="0"/>
      <w:r>
        <w:rPr>
          <w:rFonts w:eastAsia="Times New Roman" w:cs="Times New Roman"/>
          <w:b/>
          <w:bCs/>
          <w:kern w:val="36"/>
          <w:szCs w:val="24"/>
        </w:rPr>
        <w:t xml:space="preserve">HYPOGLYCEMIC EFFECT OF METHANOL STEM EXTRACT OF </w:t>
      </w:r>
      <w:r>
        <w:rPr>
          <w:rFonts w:eastAsia="Times New Roman" w:cs="Times New Roman"/>
          <w:b/>
          <w:bCs/>
          <w:i/>
          <w:iCs/>
          <w:kern w:val="36"/>
          <w:szCs w:val="24"/>
        </w:rPr>
        <w:t>DIOSPYRUS</w:t>
      </w:r>
      <w:r>
        <w:rPr>
          <w:rFonts w:eastAsia="Times New Roman" w:cs="Times New Roman"/>
          <w:b/>
          <w:bCs/>
          <w:kern w:val="36"/>
          <w:szCs w:val="24"/>
        </w:rPr>
        <w:t xml:space="preserve"> </w:t>
      </w:r>
      <w:r>
        <w:rPr>
          <w:rFonts w:eastAsia="Times New Roman" w:cs="Times New Roman"/>
          <w:b/>
          <w:bCs/>
          <w:i/>
          <w:iCs/>
          <w:kern w:val="36"/>
          <w:szCs w:val="24"/>
        </w:rPr>
        <w:t>MESPILIFORMIS, (</w:t>
      </w:r>
      <w:r>
        <w:rPr>
          <w:rFonts w:eastAsia="Times New Roman" w:cs="Times New Roman"/>
          <w:b/>
          <w:bCs/>
          <w:kern w:val="36"/>
          <w:szCs w:val="24"/>
        </w:rPr>
        <w:t xml:space="preserve">KAIWA) ON DIABETES INDUCED </w:t>
      </w:r>
      <w:r>
        <w:rPr>
          <w:rFonts w:eastAsia="Times New Roman" w:cs="Times New Roman"/>
          <w:b/>
          <w:bCs/>
          <w:i/>
          <w:iCs/>
          <w:kern w:val="36"/>
          <w:szCs w:val="24"/>
        </w:rPr>
        <w:t xml:space="preserve">DROSOPHILA MELANOGASTER </w:t>
      </w:r>
    </w:p>
    <w:p w:rsidR="003C05B7" w:rsidRDefault="003C05B7">
      <w:pP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670731">
      <w:pPr>
        <w:jc w:val="center"/>
        <w:outlineLvl w:val="0"/>
        <w:rPr>
          <w:rFonts w:eastAsia="Times New Roman" w:cs="Times New Roman"/>
          <w:b/>
          <w:bCs/>
          <w:kern w:val="36"/>
          <w:szCs w:val="24"/>
        </w:rPr>
      </w:pPr>
      <w:r>
        <w:rPr>
          <w:rFonts w:eastAsia="Times New Roman" w:cs="Times New Roman"/>
          <w:b/>
          <w:bCs/>
          <w:kern w:val="36"/>
          <w:szCs w:val="24"/>
        </w:rPr>
        <w:t>BY</w:t>
      </w:r>
    </w:p>
    <w:p w:rsidR="003C05B7" w:rsidRDefault="00670731">
      <w:pPr>
        <w:jc w:val="center"/>
        <w:outlineLvl w:val="0"/>
        <w:rPr>
          <w:rFonts w:eastAsia="Times New Roman" w:cs="Times New Roman"/>
          <w:b/>
          <w:bCs/>
          <w:kern w:val="36"/>
          <w:szCs w:val="24"/>
        </w:rPr>
      </w:pPr>
      <w:r>
        <w:rPr>
          <w:rFonts w:eastAsia="Times New Roman" w:cs="Times New Roman"/>
          <w:b/>
          <w:bCs/>
          <w:kern w:val="36"/>
          <w:szCs w:val="24"/>
        </w:rPr>
        <w:t xml:space="preserve">SANI, Maryam Muhammad </w:t>
      </w:r>
    </w:p>
    <w:p w:rsidR="003C05B7" w:rsidRDefault="00670731">
      <w:pPr>
        <w:jc w:val="center"/>
        <w:outlineLvl w:val="0"/>
        <w:rPr>
          <w:rFonts w:eastAsia="Times New Roman" w:cs="Times New Roman"/>
          <w:b/>
          <w:bCs/>
          <w:kern w:val="36"/>
          <w:szCs w:val="24"/>
        </w:rPr>
      </w:pPr>
      <w:r>
        <w:rPr>
          <w:rFonts w:eastAsia="Times New Roman" w:cs="Times New Roman"/>
          <w:b/>
          <w:bCs/>
          <w:kern w:val="36"/>
          <w:szCs w:val="24"/>
        </w:rPr>
        <w:t>ADMISSION NUMBER: 2010304041</w:t>
      </w: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670731">
      <w:pPr>
        <w:jc w:val="center"/>
        <w:outlineLvl w:val="0"/>
        <w:rPr>
          <w:rFonts w:eastAsia="Times New Roman" w:cs="Times New Roman"/>
          <w:b/>
          <w:bCs/>
          <w:kern w:val="36"/>
          <w:szCs w:val="24"/>
        </w:rPr>
      </w:pPr>
      <w:r>
        <w:rPr>
          <w:rFonts w:eastAsia="Times New Roman" w:cs="Times New Roman"/>
          <w:b/>
          <w:bCs/>
          <w:kern w:val="36"/>
          <w:szCs w:val="24"/>
        </w:rPr>
        <w:t>A RESEARCH PROJECT</w:t>
      </w:r>
      <w:r>
        <w:rPr>
          <w:rFonts w:eastAsia="Times New Roman" w:cs="Times New Roman"/>
          <w:b/>
          <w:bCs/>
          <w:kern w:val="36"/>
          <w:szCs w:val="24"/>
        </w:rPr>
        <w:t xml:space="preserve"> SUBMITTED TO THE DEPARTMENT OF BIOCHEMISTRY AMD MOLECULAR BIOLOGY, FACULTY OF CHEMICAL AND LIFE SCIENCES, USMANU DANFODIYO UNIVERSITY, SOKOTO </w:t>
      </w:r>
    </w:p>
    <w:p w:rsidR="003C05B7" w:rsidRDefault="00670731">
      <w:pPr>
        <w:jc w:val="center"/>
        <w:outlineLvl w:val="0"/>
        <w:rPr>
          <w:rFonts w:eastAsia="Times New Roman" w:cs="Times New Roman"/>
          <w:b/>
          <w:bCs/>
          <w:kern w:val="36"/>
          <w:szCs w:val="24"/>
        </w:rPr>
      </w:pPr>
      <w:r>
        <w:rPr>
          <w:rFonts w:eastAsia="Times New Roman" w:cs="Times New Roman"/>
          <w:b/>
          <w:bCs/>
          <w:kern w:val="36"/>
          <w:szCs w:val="24"/>
        </w:rPr>
        <w:t>IN PARTIAL FULFILMENT OF THE AWARD OF B.Sc. (Hons) DEGREE IN BIOCHEMISTRY</w:t>
      </w: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670731">
      <w:pPr>
        <w:jc w:val="center"/>
        <w:outlineLvl w:val="0"/>
        <w:rPr>
          <w:rFonts w:eastAsia="Times New Roman" w:cs="Times New Roman"/>
          <w:b/>
          <w:bCs/>
          <w:kern w:val="36"/>
          <w:szCs w:val="24"/>
        </w:rPr>
      </w:pPr>
      <w:r>
        <w:rPr>
          <w:rFonts w:eastAsia="Times New Roman" w:cs="Times New Roman"/>
          <w:b/>
          <w:bCs/>
          <w:kern w:val="36"/>
          <w:szCs w:val="24"/>
        </w:rPr>
        <w:t>DECEMBER, 2025</w:t>
      </w: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670731">
      <w:pPr>
        <w:rPr>
          <w:rFonts w:eastAsia="Times New Roman" w:cs="Times New Roman"/>
          <w:b/>
          <w:bCs/>
          <w:kern w:val="36"/>
          <w:szCs w:val="24"/>
        </w:rPr>
      </w:pPr>
      <w:r>
        <w:rPr>
          <w:rFonts w:eastAsia="Times New Roman" w:cs="Times New Roman"/>
          <w:b/>
          <w:bCs/>
          <w:kern w:val="36"/>
          <w:szCs w:val="24"/>
        </w:rPr>
        <w:br w:type="page"/>
      </w:r>
    </w:p>
    <w:p w:rsidR="003C05B7" w:rsidRDefault="00670731">
      <w:pPr>
        <w:jc w:val="center"/>
        <w:outlineLvl w:val="0"/>
        <w:rPr>
          <w:rFonts w:eastAsia="Times New Roman" w:cs="Times New Roman"/>
          <w:b/>
          <w:bCs/>
          <w:kern w:val="36"/>
          <w:szCs w:val="24"/>
        </w:rPr>
      </w:pPr>
      <w:r>
        <w:rPr>
          <w:rFonts w:eastAsia="Times New Roman" w:cs="Times New Roman"/>
          <w:b/>
          <w:bCs/>
          <w:kern w:val="36"/>
          <w:szCs w:val="24"/>
        </w:rPr>
        <w:lastRenderedPageBreak/>
        <w:t>CERTIFICATION</w:t>
      </w:r>
    </w:p>
    <w:p w:rsidR="003C05B7" w:rsidRDefault="00670731">
      <w:pPr>
        <w:jc w:val="both"/>
        <w:rPr>
          <w:rFonts w:eastAsia="Times New Roman" w:cs="Times New Roman"/>
          <w:kern w:val="36"/>
          <w:szCs w:val="24"/>
        </w:rPr>
      </w:pPr>
      <w:r>
        <w:rPr>
          <w:rFonts w:eastAsia="Times New Roman" w:cs="Times New Roman"/>
          <w:b/>
          <w:bCs/>
          <w:kern w:val="36"/>
          <w:szCs w:val="24"/>
        </w:rPr>
        <w:t xml:space="preserve"> </w:t>
      </w:r>
      <w:r>
        <w:rPr>
          <w:rFonts w:eastAsia="Aptos"/>
          <w:szCs w:val="24"/>
        </w:rPr>
        <w:t>This is to certify that the research project have been conducted by SANI, Maryam Muhammad (2010304041) and has been approved as meeting part of the requirements for the award of Bachelor of Science (B.Sc) degree in Biochemistry of Usmanu Danfodiyo Univer</w:t>
      </w:r>
      <w:r>
        <w:rPr>
          <w:rFonts w:eastAsia="Aptos"/>
          <w:szCs w:val="24"/>
        </w:rPr>
        <w:t>sity, Sokoto.</w:t>
      </w:r>
    </w:p>
    <w:p w:rsidR="003C05B7" w:rsidRDefault="003C05B7">
      <w:pPr>
        <w:spacing w:line="240" w:lineRule="auto"/>
        <w:rPr>
          <w:rFonts w:eastAsia="Times New Roman" w:cs="Times New Roman"/>
          <w:kern w:val="36"/>
          <w:szCs w:val="24"/>
        </w:rPr>
      </w:pPr>
    </w:p>
    <w:p w:rsidR="003C05B7" w:rsidRDefault="003C05B7">
      <w:pPr>
        <w:spacing w:line="240" w:lineRule="auto"/>
        <w:rPr>
          <w:rFonts w:eastAsia="Times New Roman" w:cs="Times New Roman"/>
          <w:kern w:val="36"/>
          <w:szCs w:val="24"/>
        </w:rPr>
      </w:pPr>
    </w:p>
    <w:p w:rsidR="003C05B7" w:rsidRDefault="003C05B7">
      <w:pPr>
        <w:spacing w:line="240" w:lineRule="auto"/>
        <w:rPr>
          <w:rFonts w:eastAsia="Times New Roman" w:cs="Times New Roman"/>
          <w:kern w:val="36"/>
          <w:szCs w:val="24"/>
        </w:rPr>
      </w:pPr>
    </w:p>
    <w:p w:rsidR="003C05B7" w:rsidRDefault="00670731">
      <w:pPr>
        <w:spacing w:line="240" w:lineRule="auto"/>
        <w:rPr>
          <w:rFonts w:eastAsia="Times New Roman" w:cs="Times New Roman"/>
          <w:kern w:val="36"/>
          <w:szCs w:val="24"/>
        </w:rPr>
      </w:pPr>
      <w:r>
        <w:rPr>
          <w:rFonts w:eastAsia="Aptos"/>
          <w:szCs w:val="24"/>
        </w:rPr>
        <w:t>________________________                                                                            _____________</w:t>
      </w:r>
    </w:p>
    <w:p w:rsidR="003C05B7" w:rsidRDefault="00670731">
      <w:pPr>
        <w:spacing w:line="240" w:lineRule="auto"/>
        <w:rPr>
          <w:rFonts w:eastAsia="Times New Roman" w:cs="Times New Roman"/>
          <w:kern w:val="36"/>
          <w:szCs w:val="24"/>
        </w:rPr>
      </w:pPr>
      <w:r>
        <w:rPr>
          <w:rFonts w:eastAsia="Aptos"/>
          <w:szCs w:val="24"/>
        </w:rPr>
        <w:t>Prof Aliyu Abdullahi Turaki</w:t>
      </w:r>
      <w:r>
        <w:tab/>
      </w:r>
      <w:r>
        <w:tab/>
      </w:r>
      <w:r>
        <w:tab/>
      </w:r>
      <w:r>
        <w:tab/>
      </w:r>
      <w:r>
        <w:tab/>
      </w:r>
      <w:r>
        <w:tab/>
      </w:r>
      <w:r>
        <w:tab/>
      </w:r>
      <w:r>
        <w:tab/>
      </w:r>
      <w:r>
        <w:rPr>
          <w:rFonts w:eastAsia="Aptos"/>
          <w:szCs w:val="24"/>
        </w:rPr>
        <w:t xml:space="preserve">    Date</w:t>
      </w:r>
    </w:p>
    <w:p w:rsidR="003C05B7" w:rsidRDefault="00670731">
      <w:pPr>
        <w:spacing w:line="240" w:lineRule="auto"/>
        <w:rPr>
          <w:rFonts w:eastAsia="Times New Roman" w:cs="Times New Roman"/>
          <w:kern w:val="36"/>
          <w:szCs w:val="24"/>
        </w:rPr>
      </w:pPr>
      <w:r>
        <w:rPr>
          <w:rFonts w:eastAsia="Aptos"/>
          <w:szCs w:val="24"/>
        </w:rPr>
        <w:t xml:space="preserve">(External Examiner)                                        </w:t>
      </w:r>
      <w:r>
        <w:rPr>
          <w:rFonts w:eastAsia="Aptos"/>
          <w:szCs w:val="24"/>
        </w:rPr>
        <w:t xml:space="preserve">                                                                 </w:t>
      </w:r>
    </w:p>
    <w:p w:rsidR="003C05B7" w:rsidRDefault="003C05B7">
      <w:pPr>
        <w:spacing w:line="240" w:lineRule="auto"/>
        <w:rPr>
          <w:rFonts w:eastAsia="Times New Roman" w:cs="Times New Roman"/>
          <w:kern w:val="36"/>
          <w:szCs w:val="24"/>
        </w:rPr>
      </w:pPr>
    </w:p>
    <w:p w:rsidR="003C05B7" w:rsidRDefault="003C05B7">
      <w:pPr>
        <w:spacing w:line="240" w:lineRule="auto"/>
        <w:rPr>
          <w:rFonts w:eastAsia="Times New Roman" w:cs="Times New Roman"/>
          <w:kern w:val="36"/>
          <w:szCs w:val="24"/>
        </w:rPr>
      </w:pPr>
    </w:p>
    <w:p w:rsidR="003C05B7" w:rsidRDefault="003C05B7">
      <w:pPr>
        <w:rPr>
          <w:rFonts w:eastAsia="Times New Roman" w:cs="Times New Roman"/>
          <w:kern w:val="36"/>
          <w:szCs w:val="24"/>
        </w:rPr>
      </w:pPr>
    </w:p>
    <w:p w:rsidR="003C05B7" w:rsidRDefault="00670731">
      <w:pPr>
        <w:spacing w:line="240" w:lineRule="auto"/>
        <w:rPr>
          <w:rFonts w:eastAsia="Times New Roman" w:cs="Times New Roman"/>
          <w:kern w:val="36"/>
          <w:szCs w:val="24"/>
        </w:rPr>
      </w:pPr>
      <w:r>
        <w:rPr>
          <w:rFonts w:eastAsia="Aptos"/>
          <w:szCs w:val="24"/>
        </w:rPr>
        <w:t>_____________________                                                                                    ____________</w:t>
      </w:r>
    </w:p>
    <w:p w:rsidR="003C05B7" w:rsidRDefault="00670731">
      <w:pPr>
        <w:spacing w:line="240" w:lineRule="auto"/>
        <w:rPr>
          <w:rFonts w:eastAsia="Times New Roman" w:cs="Times New Roman"/>
          <w:kern w:val="36"/>
          <w:szCs w:val="24"/>
        </w:rPr>
      </w:pPr>
      <w:r>
        <w:rPr>
          <w:rFonts w:eastAsia="Aptos"/>
          <w:szCs w:val="24"/>
        </w:rPr>
        <w:t xml:space="preserve">Prof. M. U. Imam                                                     </w:t>
      </w:r>
      <w:r>
        <w:rPr>
          <w:rFonts w:eastAsia="Aptos"/>
          <w:szCs w:val="24"/>
        </w:rPr>
        <w:t xml:space="preserve">                                                           Date                                                                                            </w:t>
      </w:r>
    </w:p>
    <w:p w:rsidR="003C05B7" w:rsidRDefault="00670731">
      <w:pPr>
        <w:spacing w:line="240" w:lineRule="auto"/>
        <w:rPr>
          <w:rFonts w:eastAsia="Times New Roman" w:cs="Times New Roman"/>
          <w:kern w:val="36"/>
          <w:szCs w:val="24"/>
        </w:rPr>
      </w:pPr>
      <w:r>
        <w:rPr>
          <w:rFonts w:eastAsia="Aptos"/>
          <w:szCs w:val="24"/>
        </w:rPr>
        <w:t>(Project Supervisor)</w:t>
      </w:r>
    </w:p>
    <w:p w:rsidR="003C05B7" w:rsidRDefault="003C05B7">
      <w:pPr>
        <w:rPr>
          <w:rFonts w:eastAsia="Times New Roman" w:cs="Times New Roman"/>
          <w:kern w:val="36"/>
          <w:szCs w:val="24"/>
        </w:rPr>
      </w:pPr>
    </w:p>
    <w:p w:rsidR="003C05B7" w:rsidRDefault="003C05B7">
      <w:pPr>
        <w:spacing w:line="240" w:lineRule="auto"/>
        <w:rPr>
          <w:rFonts w:eastAsia="Times New Roman" w:cs="Times New Roman"/>
          <w:kern w:val="36"/>
          <w:szCs w:val="24"/>
        </w:rPr>
      </w:pPr>
    </w:p>
    <w:p w:rsidR="003C05B7" w:rsidRDefault="003C05B7">
      <w:pPr>
        <w:spacing w:line="240" w:lineRule="auto"/>
        <w:rPr>
          <w:rFonts w:eastAsia="Times New Roman" w:cs="Times New Roman"/>
          <w:kern w:val="36"/>
          <w:szCs w:val="24"/>
        </w:rPr>
      </w:pPr>
    </w:p>
    <w:p w:rsidR="003C05B7" w:rsidRDefault="003C05B7">
      <w:pPr>
        <w:spacing w:line="240" w:lineRule="auto"/>
        <w:rPr>
          <w:rFonts w:eastAsia="Times New Roman" w:cs="Times New Roman"/>
          <w:kern w:val="36"/>
          <w:szCs w:val="24"/>
        </w:rPr>
      </w:pPr>
    </w:p>
    <w:p w:rsidR="003C05B7" w:rsidRDefault="00670731">
      <w:pPr>
        <w:spacing w:line="240" w:lineRule="auto"/>
        <w:rPr>
          <w:rFonts w:eastAsia="Times New Roman" w:cs="Times New Roman"/>
          <w:kern w:val="36"/>
          <w:szCs w:val="24"/>
        </w:rPr>
      </w:pPr>
      <w:r>
        <w:rPr>
          <w:rFonts w:eastAsia="Aptos"/>
          <w:szCs w:val="24"/>
        </w:rPr>
        <w:t xml:space="preserve">______________________                                                     </w:t>
      </w:r>
      <w:r>
        <w:rPr>
          <w:rFonts w:eastAsia="Aptos"/>
          <w:szCs w:val="24"/>
        </w:rPr>
        <w:t xml:space="preserve">                           _____________</w:t>
      </w:r>
    </w:p>
    <w:p w:rsidR="003C05B7" w:rsidRDefault="00670731">
      <w:pPr>
        <w:spacing w:line="240" w:lineRule="auto"/>
        <w:rPr>
          <w:rFonts w:eastAsia="Times New Roman" w:cs="Times New Roman"/>
          <w:kern w:val="36"/>
          <w:szCs w:val="24"/>
        </w:rPr>
      </w:pPr>
      <w:r>
        <w:rPr>
          <w:rFonts w:eastAsia="Aptos"/>
          <w:szCs w:val="24"/>
        </w:rPr>
        <w:t>Dr. A. Lawal                                                                                                                   Date</w:t>
      </w:r>
    </w:p>
    <w:p w:rsidR="003C05B7" w:rsidRDefault="00670731">
      <w:pPr>
        <w:spacing w:line="240" w:lineRule="auto"/>
        <w:rPr>
          <w:rFonts w:eastAsia="Times New Roman" w:cs="Times New Roman"/>
          <w:kern w:val="36"/>
          <w:szCs w:val="24"/>
        </w:rPr>
      </w:pPr>
      <w:r>
        <w:rPr>
          <w:rFonts w:eastAsia="Aptos"/>
          <w:szCs w:val="24"/>
        </w:rPr>
        <w:t>(Head of Department)</w:t>
      </w:r>
    </w:p>
    <w:p w:rsidR="003C05B7" w:rsidRDefault="003C05B7">
      <w:pPr>
        <w:jc w:val="both"/>
        <w:outlineLvl w:val="0"/>
        <w:rPr>
          <w:rFonts w:eastAsia="Times New Roman" w:cs="Times New Roman"/>
          <w:kern w:val="36"/>
          <w:szCs w:val="24"/>
        </w:rPr>
      </w:pPr>
    </w:p>
    <w:p w:rsidR="003C05B7" w:rsidRDefault="003C05B7">
      <w:pPr>
        <w:jc w:val="both"/>
        <w:outlineLvl w:val="0"/>
        <w:rPr>
          <w:rFonts w:eastAsia="Times New Roman" w:cs="Times New Roman"/>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670731">
      <w:pPr>
        <w:pStyle w:val="Heading1"/>
        <w:rPr>
          <w:rFonts w:eastAsia="Times New Roman"/>
          <w:b w:val="0"/>
          <w:kern w:val="36"/>
          <w:szCs w:val="24"/>
        </w:rPr>
      </w:pPr>
      <w:r>
        <w:t>DEDICATION</w:t>
      </w:r>
    </w:p>
    <w:p w:rsidR="003C05B7" w:rsidRDefault="00670731">
      <w:pPr>
        <w:pStyle w:val="Heading1"/>
        <w:jc w:val="left"/>
      </w:pPr>
      <w:r>
        <w:rPr>
          <w:rFonts w:eastAsia="Times New Roman"/>
          <w:b w:val="0"/>
          <w:kern w:val="36"/>
          <w:szCs w:val="24"/>
        </w:rPr>
        <w:t xml:space="preserve">This work is dedicated to my family  for their prayers ,sacrifices encouragement and </w:t>
      </w:r>
      <w:r>
        <w:rPr>
          <w:rFonts w:eastAsia="Times New Roman"/>
          <w:kern w:val="36"/>
          <w:szCs w:val="24"/>
        </w:rPr>
        <w:t xml:space="preserve"> </w:t>
      </w:r>
      <w:r>
        <w:rPr>
          <w:rFonts w:eastAsia="Times New Roman"/>
          <w:b w:val="0"/>
          <w:kern w:val="36"/>
          <w:szCs w:val="24"/>
        </w:rPr>
        <w:t>Support.</w:t>
      </w:r>
    </w:p>
    <w:p w:rsidR="003C05B7" w:rsidRDefault="003C05B7">
      <w:pPr>
        <w:pStyle w:val="Heading1"/>
        <w:jc w:val="left"/>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670731">
      <w:pPr>
        <w:rPr>
          <w:rFonts w:eastAsia="Times New Roman" w:cs="Times New Roman"/>
          <w:b/>
          <w:bCs/>
          <w:kern w:val="36"/>
          <w:szCs w:val="24"/>
        </w:rPr>
      </w:pPr>
      <w:r>
        <w:rPr>
          <w:rFonts w:eastAsia="Times New Roman" w:cs="Times New Roman"/>
          <w:b/>
          <w:bCs/>
          <w:kern w:val="36"/>
          <w:szCs w:val="24"/>
        </w:rPr>
        <w:br w:type="page"/>
      </w:r>
    </w:p>
    <w:p w:rsidR="003C05B7" w:rsidRDefault="00670731">
      <w:pPr>
        <w:jc w:val="center"/>
        <w:outlineLvl w:val="0"/>
        <w:rPr>
          <w:rFonts w:eastAsia="Times New Roman" w:cs="Times New Roman"/>
          <w:b/>
          <w:bCs/>
          <w:kern w:val="36"/>
          <w:szCs w:val="24"/>
        </w:rPr>
      </w:pPr>
      <w:r>
        <w:rPr>
          <w:rFonts w:eastAsia="Times New Roman" w:cs="Times New Roman"/>
          <w:b/>
          <w:bCs/>
          <w:kern w:val="36"/>
          <w:szCs w:val="24"/>
        </w:rPr>
        <w:t>ACKNOWLEDGEMENT</w:t>
      </w:r>
    </w:p>
    <w:p w:rsidR="003C05B7" w:rsidRDefault="00670731">
      <w:pPr>
        <w:jc w:val="both"/>
        <w:outlineLvl w:val="0"/>
        <w:rPr>
          <w:rFonts w:eastAsia="Times New Roman" w:cs="Times New Roman"/>
          <w:kern w:val="36"/>
          <w:szCs w:val="24"/>
        </w:rPr>
      </w:pPr>
      <w:r>
        <w:rPr>
          <w:rFonts w:eastAsia="Times New Roman" w:cs="Times New Roman"/>
          <w:kern w:val="36"/>
          <w:szCs w:val="24"/>
        </w:rPr>
        <w:t xml:space="preserve">All praise is due to Allah, the Most Gracious and Merciful, for His guidance and blessings throughout this project. May peace </w:t>
      </w:r>
      <w:r>
        <w:rPr>
          <w:rFonts w:eastAsia="Times New Roman" w:cs="Times New Roman"/>
          <w:kern w:val="36"/>
          <w:szCs w:val="24"/>
        </w:rPr>
        <w:t>and blessings be upon His final messenger, Muhammad (S.A.W).</w:t>
      </w:r>
    </w:p>
    <w:p w:rsidR="003C05B7" w:rsidRDefault="00670731">
      <w:pPr>
        <w:jc w:val="both"/>
        <w:outlineLvl w:val="0"/>
        <w:rPr>
          <w:rFonts w:eastAsia="Times New Roman" w:cs="Times New Roman"/>
          <w:kern w:val="36"/>
          <w:szCs w:val="24"/>
        </w:rPr>
      </w:pPr>
      <w:r>
        <w:rPr>
          <w:rFonts w:eastAsia="Times New Roman" w:cs="Times New Roman"/>
          <w:kern w:val="36"/>
          <w:szCs w:val="24"/>
        </w:rPr>
        <w:t>I am deeply grateful to my supervisor, Prof. M. U. Imam, for his invaluable guidance, patience, and constructive criticism throughout this research. I am equally thankful to my co-supervisor, Mr.</w:t>
      </w:r>
      <w:r>
        <w:rPr>
          <w:rFonts w:eastAsia="Times New Roman" w:cs="Times New Roman"/>
          <w:kern w:val="36"/>
          <w:szCs w:val="24"/>
        </w:rPr>
        <w:t xml:space="preserve"> Abdulbari Ogrima, for his dedication, insightful contributions, and continuous support and to Mallam Isah for his guidance and assistance during the pratical aspect of this work.</w:t>
      </w:r>
    </w:p>
    <w:p w:rsidR="003C05B7" w:rsidRDefault="00670731">
      <w:pPr>
        <w:jc w:val="both"/>
        <w:outlineLvl w:val="0"/>
        <w:rPr>
          <w:rFonts w:eastAsia="Times New Roman" w:cs="Times New Roman"/>
          <w:kern w:val="36"/>
          <w:szCs w:val="24"/>
        </w:rPr>
      </w:pPr>
      <w:r>
        <w:rPr>
          <w:rFonts w:eastAsia="Times New Roman" w:cs="Times New Roman"/>
          <w:kern w:val="36"/>
          <w:szCs w:val="24"/>
        </w:rPr>
        <w:t xml:space="preserve">My heartfelt appreciation goes to my beloved parents, Mall. Hassan Muhammad </w:t>
      </w:r>
      <w:r>
        <w:rPr>
          <w:rFonts w:eastAsia="Times New Roman" w:cs="Times New Roman"/>
          <w:kern w:val="36"/>
          <w:szCs w:val="24"/>
        </w:rPr>
        <w:t xml:space="preserve">Sani and Maimunat Abubakar, and to my siblings whose prayers, sacrifices, encouragement, and unconditional support have been my greatest strength. I am forever grateful for your love and guidance. </w:t>
      </w:r>
    </w:p>
    <w:p w:rsidR="003C05B7" w:rsidRDefault="00670731">
      <w:pPr>
        <w:jc w:val="both"/>
        <w:outlineLvl w:val="0"/>
        <w:rPr>
          <w:rFonts w:eastAsia="Times New Roman" w:cs="Times New Roman"/>
          <w:kern w:val="36"/>
          <w:szCs w:val="24"/>
        </w:rPr>
      </w:pPr>
      <w:r>
        <w:rPr>
          <w:rFonts w:eastAsia="Times New Roman" w:cs="Times New Roman"/>
          <w:kern w:val="36"/>
          <w:szCs w:val="24"/>
        </w:rPr>
        <w:t>I also sincerely acknowledge my aunt, Hauwa’u Suleiman Abu</w:t>
      </w:r>
      <w:r>
        <w:rPr>
          <w:rFonts w:eastAsia="Times New Roman" w:cs="Times New Roman"/>
          <w:kern w:val="36"/>
          <w:szCs w:val="24"/>
        </w:rPr>
        <w:t>bakar, my uncles, Mall. Yunusa Abubakar and Alh. Suleiman Sadiku, and my cousins,Mrs. Saidat Lawal and Mrs.Nana Fatima Muhammad Aliyu, for their constant support, encouragement, and motivation. May Allah reward you abundantly.</w:t>
      </w:r>
    </w:p>
    <w:p w:rsidR="003C05B7" w:rsidRDefault="00670731">
      <w:pPr>
        <w:jc w:val="both"/>
        <w:outlineLvl w:val="0"/>
        <w:rPr>
          <w:rFonts w:eastAsia="Times New Roman" w:cs="Times New Roman"/>
          <w:kern w:val="36"/>
          <w:szCs w:val="24"/>
        </w:rPr>
      </w:pPr>
      <w:r>
        <w:rPr>
          <w:rFonts w:eastAsia="Times New Roman" w:cs="Times New Roman"/>
          <w:kern w:val="36"/>
          <w:szCs w:val="24"/>
        </w:rPr>
        <w:t>I appreciate all the staff of</w:t>
      </w:r>
      <w:r>
        <w:rPr>
          <w:rFonts w:eastAsia="Times New Roman" w:cs="Times New Roman"/>
          <w:kern w:val="36"/>
          <w:szCs w:val="24"/>
        </w:rPr>
        <w:t xml:space="preserve"> the Department of Biochemistry for their assistance, encouragement, and the knowledge they imparted to me throughout my academic years.</w:t>
      </w:r>
    </w:p>
    <w:p w:rsidR="003C05B7" w:rsidRDefault="00670731">
      <w:pPr>
        <w:jc w:val="both"/>
        <w:outlineLvl w:val="0"/>
        <w:rPr>
          <w:rFonts w:eastAsia="Times New Roman" w:cs="Times New Roman"/>
          <w:kern w:val="36"/>
          <w:szCs w:val="24"/>
        </w:rPr>
      </w:pPr>
      <w:r>
        <w:rPr>
          <w:rFonts w:eastAsia="Times New Roman" w:cs="Times New Roman"/>
          <w:kern w:val="36"/>
          <w:szCs w:val="24"/>
        </w:rPr>
        <w:t>Finally, a special thank you to my homegirls, whose friendship, support, and constant motivation made this journey easi</w:t>
      </w:r>
      <w:r>
        <w:rPr>
          <w:rFonts w:eastAsia="Times New Roman" w:cs="Times New Roman"/>
          <w:kern w:val="36"/>
          <w:szCs w:val="24"/>
        </w:rPr>
        <w:t>er and more memorable. I truly appreciate you all,and my Allah SWT bless you all (Amin).</w:t>
      </w:r>
    </w:p>
    <w:p w:rsidR="003C05B7" w:rsidRDefault="003C05B7">
      <w:pPr>
        <w:jc w:val="both"/>
        <w:outlineLvl w:val="0"/>
        <w:rPr>
          <w:rFonts w:eastAsia="Times New Roman" w:cs="Times New Roman"/>
          <w:b/>
          <w:bCs/>
          <w:kern w:val="36"/>
          <w:szCs w:val="24"/>
        </w:rPr>
      </w:pPr>
    </w:p>
    <w:p w:rsidR="003C05B7" w:rsidRDefault="003C05B7">
      <w:pPr>
        <w:jc w:val="both"/>
        <w:outlineLvl w:val="0"/>
        <w:rPr>
          <w:rFonts w:eastAsia="Times New Roman" w:cs="Times New Roman"/>
          <w:b/>
          <w:bCs/>
          <w:kern w:val="36"/>
          <w:szCs w:val="24"/>
        </w:rPr>
      </w:pPr>
    </w:p>
    <w:p w:rsidR="003C05B7" w:rsidRDefault="003C05B7">
      <w:pPr>
        <w:jc w:val="both"/>
        <w:outlineLvl w:val="0"/>
        <w:rPr>
          <w:rFonts w:eastAsia="Times New Roman" w:cs="Times New Roman"/>
          <w:b/>
          <w:bCs/>
          <w:kern w:val="36"/>
          <w:szCs w:val="24"/>
        </w:rPr>
      </w:pPr>
    </w:p>
    <w:p w:rsidR="003C05B7" w:rsidRDefault="003C05B7">
      <w:pPr>
        <w:outlineLvl w:val="0"/>
        <w:rPr>
          <w:rFonts w:eastAsia="Times New Roman" w:cs="Times New Roman"/>
          <w:b/>
          <w:bCs/>
          <w:kern w:val="36"/>
          <w:szCs w:val="24"/>
        </w:rPr>
      </w:pPr>
    </w:p>
    <w:p w:rsidR="003C05B7" w:rsidRDefault="00670731">
      <w:pPr>
        <w:pStyle w:val="Heading1"/>
      </w:pPr>
      <w:r>
        <w:t>TABLE OF CONTENT</w:t>
      </w:r>
    </w:p>
    <w:p w:rsidR="003C05B7" w:rsidRDefault="00670731">
      <w:pPr>
        <w:outlineLvl w:val="0"/>
        <w:rPr>
          <w:rFonts w:eastAsia="Times New Roman" w:cs="Times New Roman"/>
          <w:kern w:val="36"/>
          <w:szCs w:val="24"/>
        </w:rPr>
      </w:pPr>
      <w:r>
        <w:rPr>
          <w:rFonts w:eastAsia="Times New Roman" w:cs="Times New Roman"/>
          <w:kern w:val="36"/>
          <w:szCs w:val="24"/>
        </w:rPr>
        <w:t>Title page………………………………………………………………………………………i</w:t>
      </w:r>
    </w:p>
    <w:p w:rsidR="003C05B7" w:rsidRDefault="00670731">
      <w:pPr>
        <w:outlineLvl w:val="0"/>
        <w:rPr>
          <w:rFonts w:eastAsia="Times New Roman" w:cs="Times New Roman"/>
          <w:kern w:val="36"/>
          <w:szCs w:val="24"/>
        </w:rPr>
      </w:pPr>
      <w:r>
        <w:rPr>
          <w:rFonts w:eastAsia="Times New Roman" w:cs="Times New Roman"/>
          <w:kern w:val="36"/>
          <w:szCs w:val="24"/>
        </w:rPr>
        <w:t>Certification ………………………………………………………………………….……….ii</w:t>
      </w:r>
    </w:p>
    <w:p w:rsidR="003C05B7" w:rsidRDefault="00670731">
      <w:pPr>
        <w:outlineLvl w:val="0"/>
        <w:rPr>
          <w:rFonts w:eastAsia="Times New Roman" w:cs="Times New Roman"/>
          <w:kern w:val="36"/>
          <w:szCs w:val="24"/>
        </w:rPr>
      </w:pPr>
      <w:r>
        <w:rPr>
          <w:rFonts w:eastAsia="Times New Roman" w:cs="Times New Roman"/>
          <w:kern w:val="36"/>
          <w:szCs w:val="24"/>
        </w:rPr>
        <w:t>Dedication ……………………………………………………………………………………iii</w:t>
      </w:r>
    </w:p>
    <w:p w:rsidR="003C05B7" w:rsidRDefault="00670731">
      <w:pPr>
        <w:outlineLvl w:val="0"/>
        <w:rPr>
          <w:rFonts w:eastAsia="Times New Roman" w:cs="Times New Roman"/>
          <w:kern w:val="36"/>
          <w:szCs w:val="24"/>
        </w:rPr>
      </w:pPr>
      <w:r>
        <w:rPr>
          <w:rFonts w:eastAsia="Times New Roman" w:cs="Times New Roman"/>
          <w:kern w:val="36"/>
          <w:szCs w:val="24"/>
        </w:rPr>
        <w:t>Ackn</w:t>
      </w:r>
      <w:r>
        <w:rPr>
          <w:rFonts w:eastAsia="Times New Roman" w:cs="Times New Roman"/>
          <w:kern w:val="36"/>
          <w:szCs w:val="24"/>
        </w:rPr>
        <w:t>owledgement ……………………………………………………………………………iv</w:t>
      </w:r>
    </w:p>
    <w:p w:rsidR="003C05B7" w:rsidRDefault="00670731">
      <w:pPr>
        <w:outlineLvl w:val="0"/>
        <w:rPr>
          <w:rFonts w:eastAsia="Times New Roman" w:cs="Times New Roman"/>
          <w:kern w:val="36"/>
          <w:szCs w:val="24"/>
        </w:rPr>
      </w:pPr>
      <w:r>
        <w:rPr>
          <w:rFonts w:eastAsia="Times New Roman" w:cs="Times New Roman"/>
          <w:kern w:val="36"/>
          <w:szCs w:val="24"/>
        </w:rPr>
        <w:t>Abstract ……………………………………………………………………………………….v</w:t>
      </w:r>
    </w:p>
    <w:p w:rsidR="003C05B7" w:rsidRDefault="00670731">
      <w:pPr>
        <w:outlineLvl w:val="0"/>
        <w:rPr>
          <w:rFonts w:eastAsia="Times New Roman" w:cs="Times New Roman"/>
          <w:kern w:val="36"/>
          <w:szCs w:val="24"/>
        </w:rPr>
      </w:pPr>
      <w:r>
        <w:rPr>
          <w:rFonts w:eastAsia="Times New Roman" w:cs="Times New Roman"/>
          <w:kern w:val="36"/>
          <w:szCs w:val="24"/>
        </w:rPr>
        <w:t>Table of contents.......................................................................................................................vi</w:t>
      </w:r>
    </w:p>
    <w:p w:rsidR="003C05B7" w:rsidRDefault="00670731">
      <w:pPr>
        <w:outlineLvl w:val="0"/>
        <w:rPr>
          <w:rFonts w:eastAsia="Times New Roman" w:cs="Times New Roman"/>
          <w:kern w:val="36"/>
          <w:szCs w:val="24"/>
        </w:rPr>
      </w:pPr>
      <w:r>
        <w:rPr>
          <w:rFonts w:eastAsia="Times New Roman" w:cs="Times New Roman"/>
          <w:kern w:val="36"/>
          <w:szCs w:val="24"/>
        </w:rPr>
        <w:t>List of tables..............</w:t>
      </w:r>
      <w:r>
        <w:rPr>
          <w:rFonts w:eastAsia="Times New Roman" w:cs="Times New Roman"/>
          <w:kern w:val="36"/>
          <w:szCs w:val="24"/>
        </w:rPr>
        <w:t>..............................................................................................................vii</w:t>
      </w:r>
    </w:p>
    <w:p w:rsidR="003C05B7" w:rsidRDefault="00670731">
      <w:pPr>
        <w:outlineLvl w:val="0"/>
        <w:rPr>
          <w:rFonts w:eastAsia="Times New Roman" w:cs="Times New Roman"/>
          <w:kern w:val="36"/>
          <w:szCs w:val="24"/>
        </w:rPr>
      </w:pPr>
      <w:r>
        <w:rPr>
          <w:rFonts w:eastAsia="Times New Roman" w:cs="Times New Roman"/>
          <w:kern w:val="36"/>
          <w:szCs w:val="24"/>
        </w:rPr>
        <w:t>CHAPTER ONE………………………………………………………………………………1</w:t>
      </w:r>
    </w:p>
    <w:p w:rsidR="003C05B7" w:rsidRDefault="00670731">
      <w:pPr>
        <w:pStyle w:val="ListParagraph"/>
        <w:numPr>
          <w:ilvl w:val="0"/>
          <w:numId w:val="1"/>
        </w:numPr>
        <w:outlineLvl w:val="0"/>
        <w:rPr>
          <w:rFonts w:eastAsia="Times New Roman" w:cs="Times New Roman"/>
          <w:kern w:val="36"/>
          <w:szCs w:val="24"/>
        </w:rPr>
      </w:pPr>
      <w:r>
        <w:rPr>
          <w:rFonts w:eastAsia="Times New Roman" w:cs="Times New Roman"/>
          <w:kern w:val="36"/>
          <w:szCs w:val="24"/>
        </w:rPr>
        <w:t>Introduction ………………………………………………………………………………1</w:t>
      </w:r>
    </w:p>
    <w:p w:rsidR="003C05B7" w:rsidRDefault="00670731">
      <w:pPr>
        <w:outlineLvl w:val="0"/>
        <w:rPr>
          <w:rFonts w:eastAsia="Times New Roman" w:cs="Times New Roman"/>
          <w:kern w:val="36"/>
          <w:szCs w:val="24"/>
        </w:rPr>
      </w:pPr>
      <w:r>
        <w:rPr>
          <w:rFonts w:eastAsia="Times New Roman" w:cs="Times New Roman"/>
          <w:kern w:val="36"/>
          <w:szCs w:val="24"/>
        </w:rPr>
        <w:t>1.1 Background of study ……………………………………………………………………..1</w:t>
      </w:r>
    </w:p>
    <w:p w:rsidR="003C05B7" w:rsidRDefault="00670731">
      <w:pPr>
        <w:outlineLvl w:val="0"/>
        <w:rPr>
          <w:rFonts w:eastAsia="Times New Roman" w:cs="Times New Roman"/>
          <w:kern w:val="36"/>
          <w:szCs w:val="24"/>
        </w:rPr>
      </w:pPr>
      <w:r>
        <w:rPr>
          <w:rFonts w:eastAsia="Times New Roman" w:cs="Times New Roman"/>
          <w:kern w:val="36"/>
          <w:szCs w:val="24"/>
        </w:rPr>
        <w:t>1.2 Statement of problem……………………………………………………………………..4</w:t>
      </w:r>
    </w:p>
    <w:p w:rsidR="003C05B7" w:rsidRDefault="00670731">
      <w:pPr>
        <w:outlineLvl w:val="0"/>
        <w:rPr>
          <w:rFonts w:eastAsia="Times New Roman" w:cs="Times New Roman"/>
          <w:kern w:val="36"/>
          <w:szCs w:val="24"/>
        </w:rPr>
      </w:pPr>
      <w:r>
        <w:rPr>
          <w:rFonts w:eastAsia="Times New Roman" w:cs="Times New Roman"/>
          <w:kern w:val="36"/>
          <w:szCs w:val="24"/>
        </w:rPr>
        <w:t>1.3 Justification of study …………………………………………………………………… 4</w:t>
      </w:r>
    </w:p>
    <w:p w:rsidR="003C05B7" w:rsidRDefault="00670731">
      <w:pPr>
        <w:outlineLvl w:val="0"/>
        <w:rPr>
          <w:rFonts w:eastAsia="Times New Roman" w:cs="Times New Roman"/>
          <w:kern w:val="36"/>
          <w:szCs w:val="24"/>
        </w:rPr>
      </w:pPr>
      <w:r>
        <w:rPr>
          <w:rFonts w:eastAsia="Times New Roman" w:cs="Times New Roman"/>
          <w:kern w:val="36"/>
          <w:szCs w:val="24"/>
        </w:rPr>
        <w:t>1.4 Aim and objective ……………………………………………………………………….5</w:t>
      </w:r>
    </w:p>
    <w:p w:rsidR="003C05B7" w:rsidRDefault="00670731">
      <w:pPr>
        <w:outlineLvl w:val="0"/>
        <w:rPr>
          <w:rFonts w:eastAsia="Times New Roman" w:cs="Times New Roman"/>
          <w:kern w:val="36"/>
          <w:szCs w:val="24"/>
        </w:rPr>
      </w:pPr>
      <w:r>
        <w:rPr>
          <w:rFonts w:eastAsia="Times New Roman" w:cs="Times New Roman"/>
          <w:kern w:val="36"/>
          <w:szCs w:val="24"/>
        </w:rPr>
        <w:t xml:space="preserve">CHAPTER TWO……………………………………………………………………………..6 </w:t>
      </w:r>
    </w:p>
    <w:p w:rsidR="003C05B7" w:rsidRDefault="00670731">
      <w:pPr>
        <w:outlineLvl w:val="0"/>
        <w:rPr>
          <w:rFonts w:eastAsia="Times New Roman" w:cs="Times New Roman"/>
          <w:kern w:val="36"/>
          <w:szCs w:val="24"/>
        </w:rPr>
      </w:pPr>
      <w:r>
        <w:rPr>
          <w:rFonts w:eastAsia="Times New Roman" w:cs="Times New Roman"/>
          <w:kern w:val="36"/>
          <w:szCs w:val="24"/>
        </w:rPr>
        <w:t>2.0 Literature review ………………………………………………………………………</w:t>
      </w:r>
      <w:r>
        <w:rPr>
          <w:rFonts w:eastAsia="Times New Roman" w:cs="Times New Roman"/>
          <w:kern w:val="36"/>
          <w:szCs w:val="24"/>
        </w:rPr>
        <w:t xml:space="preserve">…6 </w:t>
      </w:r>
    </w:p>
    <w:p w:rsidR="003C05B7" w:rsidRDefault="00670731">
      <w:pPr>
        <w:outlineLvl w:val="0"/>
        <w:rPr>
          <w:rFonts w:eastAsia="Times New Roman" w:cs="Times New Roman"/>
          <w:kern w:val="36"/>
          <w:szCs w:val="24"/>
        </w:rPr>
      </w:pPr>
      <w:r>
        <w:rPr>
          <w:rFonts w:eastAsia="Times New Roman" w:cs="Times New Roman"/>
          <w:kern w:val="36"/>
          <w:szCs w:val="24"/>
        </w:rPr>
        <w:t>2.1 Overview of diabetes Mellitus ……………………………………………………..….…6</w:t>
      </w:r>
    </w:p>
    <w:p w:rsidR="003C05B7" w:rsidRDefault="00670731">
      <w:pPr>
        <w:outlineLvl w:val="0"/>
        <w:rPr>
          <w:rFonts w:eastAsia="Times New Roman" w:cs="Times New Roman"/>
          <w:kern w:val="36"/>
          <w:szCs w:val="24"/>
        </w:rPr>
      </w:pPr>
      <w:r>
        <w:rPr>
          <w:rFonts w:eastAsia="Times New Roman" w:cs="Times New Roman"/>
          <w:kern w:val="36"/>
          <w:szCs w:val="24"/>
        </w:rPr>
        <w:t xml:space="preserve">2.2 Hypoglycemic agent and mechanism ……………………………………………………7 </w:t>
      </w:r>
    </w:p>
    <w:p w:rsidR="003C05B7" w:rsidRDefault="00670731">
      <w:pPr>
        <w:outlineLvl w:val="0"/>
        <w:rPr>
          <w:rFonts w:eastAsia="Times New Roman" w:cs="Times New Roman"/>
          <w:kern w:val="36"/>
          <w:szCs w:val="24"/>
        </w:rPr>
      </w:pPr>
      <w:r>
        <w:rPr>
          <w:rFonts w:eastAsia="Times New Roman" w:cs="Times New Roman"/>
          <w:kern w:val="36"/>
          <w:szCs w:val="24"/>
        </w:rPr>
        <w:t>2.2.1 Sulfonylureas …………………………………………………………………………..7</w:t>
      </w:r>
    </w:p>
    <w:p w:rsidR="003C05B7" w:rsidRDefault="00670731">
      <w:pPr>
        <w:outlineLvl w:val="0"/>
        <w:rPr>
          <w:rFonts w:eastAsia="Times New Roman" w:cs="Times New Roman"/>
          <w:kern w:val="36"/>
          <w:szCs w:val="24"/>
        </w:rPr>
      </w:pPr>
      <w:r>
        <w:rPr>
          <w:rFonts w:eastAsia="Times New Roman" w:cs="Times New Roman"/>
          <w:kern w:val="36"/>
          <w:szCs w:val="24"/>
        </w:rPr>
        <w:t>2.2.2 Meglitinides ……………………………………………………………………………8</w:t>
      </w:r>
    </w:p>
    <w:p w:rsidR="003C05B7" w:rsidRDefault="00670731">
      <w:pPr>
        <w:outlineLvl w:val="0"/>
        <w:rPr>
          <w:rFonts w:eastAsia="Times New Roman" w:cs="Times New Roman"/>
          <w:kern w:val="36"/>
          <w:szCs w:val="24"/>
        </w:rPr>
      </w:pPr>
      <w:r>
        <w:rPr>
          <w:rFonts w:eastAsia="Times New Roman" w:cs="Times New Roman"/>
          <w:kern w:val="36"/>
          <w:szCs w:val="24"/>
        </w:rPr>
        <w:t xml:space="preserve">2.2.3 Biguanides ……………………………………………………………………………..8 </w:t>
      </w:r>
    </w:p>
    <w:p w:rsidR="003C05B7" w:rsidRDefault="00670731">
      <w:pPr>
        <w:outlineLvl w:val="0"/>
        <w:rPr>
          <w:rFonts w:eastAsia="Times New Roman" w:cs="Times New Roman"/>
          <w:kern w:val="36"/>
          <w:szCs w:val="24"/>
        </w:rPr>
      </w:pPr>
      <w:r>
        <w:rPr>
          <w:rFonts w:eastAsia="Times New Roman" w:cs="Times New Roman"/>
          <w:kern w:val="36"/>
          <w:szCs w:val="24"/>
        </w:rPr>
        <w:t xml:space="preserve">2.2.4 Thiazolidinediones …………………………………………………………………….8 </w:t>
      </w:r>
    </w:p>
    <w:p w:rsidR="003C05B7" w:rsidRDefault="00670731">
      <w:pPr>
        <w:outlineLvl w:val="0"/>
        <w:rPr>
          <w:rFonts w:eastAsia="Times New Roman" w:cs="Times New Roman"/>
          <w:kern w:val="36"/>
          <w:szCs w:val="24"/>
        </w:rPr>
      </w:pPr>
      <w:r>
        <w:rPr>
          <w:rFonts w:eastAsia="Times New Roman" w:cs="Times New Roman"/>
          <w:kern w:val="36"/>
          <w:szCs w:val="24"/>
        </w:rPr>
        <w:t xml:space="preserve">2.2.5 </w:t>
      </w:r>
      <m:oMath>
        <m:r>
          <w:rPr>
            <w:rFonts w:ascii="Cambria Math" w:eastAsia="Times New Roman" w:hAnsi="Cambria Math" w:cs="Times New Roman"/>
            <w:kern w:val="36"/>
            <w:szCs w:val="24"/>
          </w:rPr>
          <m:t>α</m:t>
        </m:r>
      </m:oMath>
      <w:r>
        <w:rPr>
          <w:rFonts w:eastAsia="Times New Roman" w:cs="Times New Roman"/>
          <w:kern w:val="36"/>
          <w:szCs w:val="24"/>
        </w:rPr>
        <w:t xml:space="preserve"> -Glucosidases inhibitors …………………………………………………………….9</w:t>
      </w:r>
    </w:p>
    <w:p w:rsidR="003C05B7" w:rsidRDefault="00670731">
      <w:pPr>
        <w:outlineLvl w:val="0"/>
        <w:rPr>
          <w:rFonts w:eastAsia="Times New Roman" w:cs="Times New Roman"/>
          <w:kern w:val="36"/>
          <w:szCs w:val="24"/>
        </w:rPr>
      </w:pPr>
      <w:r>
        <w:rPr>
          <w:rFonts w:eastAsia="Times New Roman" w:cs="Times New Roman"/>
          <w:kern w:val="36"/>
          <w:szCs w:val="24"/>
        </w:rPr>
        <w:t>2.2.6 Dipeptides peptidase -4 (DPP-4) inhibitors …………………………………………. 9</w:t>
      </w:r>
    </w:p>
    <w:p w:rsidR="003C05B7" w:rsidRDefault="00670731">
      <w:pPr>
        <w:outlineLvl w:val="0"/>
        <w:rPr>
          <w:rFonts w:eastAsia="Times New Roman" w:cs="Times New Roman"/>
          <w:kern w:val="36"/>
          <w:szCs w:val="24"/>
        </w:rPr>
      </w:pPr>
      <w:r>
        <w:rPr>
          <w:rFonts w:eastAsia="Times New Roman" w:cs="Times New Roman"/>
          <w:kern w:val="36"/>
          <w:szCs w:val="24"/>
        </w:rPr>
        <w:t>2.2.7 Sodium – Glucos</w:t>
      </w:r>
      <w:r>
        <w:rPr>
          <w:rFonts w:eastAsia="Times New Roman" w:cs="Times New Roman"/>
          <w:kern w:val="36"/>
          <w:szCs w:val="24"/>
        </w:rPr>
        <w:t>e cotransporter – 2 inhibitors  (SGLT-2)……………………………9</w:t>
      </w:r>
    </w:p>
    <w:p w:rsidR="003C05B7" w:rsidRDefault="00670731">
      <w:pPr>
        <w:outlineLvl w:val="0"/>
        <w:rPr>
          <w:rFonts w:eastAsia="Times New Roman" w:cs="Times New Roman"/>
          <w:kern w:val="36"/>
          <w:szCs w:val="24"/>
        </w:rPr>
      </w:pPr>
      <w:r>
        <w:rPr>
          <w:rFonts w:eastAsia="Times New Roman" w:cs="Times New Roman"/>
          <w:kern w:val="36"/>
          <w:szCs w:val="24"/>
        </w:rPr>
        <w:t>2.2.8 Cycloset …………………………………………………………………………… .. 10</w:t>
      </w:r>
    </w:p>
    <w:p w:rsidR="003C05B7" w:rsidRDefault="00670731">
      <w:pPr>
        <w:outlineLvl w:val="0"/>
        <w:rPr>
          <w:rFonts w:eastAsia="Times New Roman" w:cs="Times New Roman"/>
          <w:kern w:val="36"/>
          <w:szCs w:val="24"/>
        </w:rPr>
      </w:pPr>
      <w:r>
        <w:rPr>
          <w:rFonts w:eastAsia="Times New Roman" w:cs="Times New Roman"/>
          <w:kern w:val="36"/>
          <w:szCs w:val="24"/>
        </w:rPr>
        <w:t xml:space="preserve">2.2.9 Limitations of current therapy ……………………………………………………….10 </w:t>
      </w:r>
    </w:p>
    <w:p w:rsidR="003C05B7" w:rsidRDefault="00670731">
      <w:pPr>
        <w:outlineLvl w:val="0"/>
        <w:rPr>
          <w:rFonts w:eastAsia="Times New Roman" w:cs="Times New Roman"/>
          <w:kern w:val="36"/>
          <w:szCs w:val="24"/>
        </w:rPr>
      </w:pPr>
      <w:r>
        <w:rPr>
          <w:rFonts w:eastAsia="Times New Roman" w:cs="Times New Roman"/>
          <w:kern w:val="36"/>
          <w:szCs w:val="24"/>
        </w:rPr>
        <w:t>2.3 Ethnopharmacology of</w:t>
      </w:r>
      <w:r>
        <w:rPr>
          <w:rFonts w:eastAsia="Times New Roman" w:cs="Times New Roman"/>
          <w:i/>
          <w:iCs/>
          <w:kern w:val="36"/>
          <w:szCs w:val="24"/>
        </w:rPr>
        <w:t xml:space="preserve"> Diospyros mespiliformis </w:t>
      </w:r>
      <w:r>
        <w:rPr>
          <w:rFonts w:eastAsia="Times New Roman" w:cs="Times New Roman"/>
          <w:kern w:val="36"/>
          <w:szCs w:val="24"/>
        </w:rPr>
        <w:t>………………………………………11</w:t>
      </w:r>
    </w:p>
    <w:p w:rsidR="003C05B7" w:rsidRDefault="00670731">
      <w:pPr>
        <w:outlineLvl w:val="0"/>
        <w:rPr>
          <w:rFonts w:eastAsia="Times New Roman" w:cs="Times New Roman"/>
          <w:kern w:val="36"/>
          <w:szCs w:val="24"/>
        </w:rPr>
      </w:pPr>
      <w:r>
        <w:rPr>
          <w:rFonts w:eastAsia="Times New Roman" w:cs="Times New Roman"/>
          <w:kern w:val="36"/>
          <w:szCs w:val="24"/>
        </w:rPr>
        <w:t xml:space="preserve">2.4 Bioactive phytochemical in </w:t>
      </w:r>
      <w:r>
        <w:rPr>
          <w:rFonts w:eastAsia="Times New Roman" w:cs="Times New Roman"/>
          <w:i/>
          <w:iCs/>
          <w:kern w:val="36"/>
          <w:szCs w:val="24"/>
        </w:rPr>
        <w:t xml:space="preserve">Diospyros mespiliformis </w:t>
      </w:r>
      <w:r>
        <w:rPr>
          <w:rFonts w:eastAsia="Times New Roman" w:cs="Times New Roman"/>
          <w:kern w:val="36"/>
          <w:szCs w:val="24"/>
        </w:rPr>
        <w:t>…………………………….……12</w:t>
      </w:r>
    </w:p>
    <w:p w:rsidR="003C05B7" w:rsidRDefault="00670731">
      <w:pPr>
        <w:outlineLvl w:val="0"/>
        <w:rPr>
          <w:rFonts w:eastAsia="Times New Roman" w:cs="Times New Roman"/>
          <w:kern w:val="36"/>
          <w:szCs w:val="24"/>
        </w:rPr>
      </w:pPr>
      <w:r>
        <w:rPr>
          <w:rFonts w:eastAsia="Times New Roman" w:cs="Times New Roman"/>
          <w:kern w:val="36"/>
          <w:szCs w:val="24"/>
        </w:rPr>
        <w:t xml:space="preserve">2.5 </w:t>
      </w:r>
      <w:r>
        <w:rPr>
          <w:rFonts w:eastAsia="Times New Roman" w:cs="Times New Roman"/>
          <w:i/>
          <w:iCs/>
          <w:kern w:val="36"/>
          <w:szCs w:val="24"/>
        </w:rPr>
        <w:t xml:space="preserve">Drosophila melanogaster </w:t>
      </w:r>
      <w:r>
        <w:rPr>
          <w:rFonts w:eastAsia="Times New Roman" w:cs="Times New Roman"/>
          <w:kern w:val="36"/>
          <w:szCs w:val="24"/>
        </w:rPr>
        <w:t xml:space="preserve"> as a model organism in metabolic research ……………….. 13</w:t>
      </w:r>
    </w:p>
    <w:p w:rsidR="003C05B7" w:rsidRDefault="00670731">
      <w:pPr>
        <w:outlineLvl w:val="0"/>
        <w:rPr>
          <w:rFonts w:eastAsia="Times New Roman" w:cs="Times New Roman"/>
          <w:kern w:val="36"/>
          <w:szCs w:val="24"/>
        </w:rPr>
      </w:pPr>
      <w:r>
        <w:rPr>
          <w:rFonts w:eastAsia="Times New Roman" w:cs="Times New Roman"/>
          <w:kern w:val="36"/>
          <w:szCs w:val="24"/>
        </w:rPr>
        <w:t>CHAPTER THREE………………………………………………………………………….16</w:t>
      </w:r>
    </w:p>
    <w:p w:rsidR="003C05B7" w:rsidRDefault="00670731">
      <w:pPr>
        <w:outlineLvl w:val="0"/>
        <w:rPr>
          <w:rFonts w:eastAsia="Times New Roman" w:cs="Times New Roman"/>
          <w:kern w:val="36"/>
          <w:szCs w:val="24"/>
        </w:rPr>
      </w:pPr>
      <w:r>
        <w:rPr>
          <w:rFonts w:eastAsia="Times New Roman" w:cs="Times New Roman"/>
          <w:kern w:val="36"/>
          <w:szCs w:val="24"/>
        </w:rPr>
        <w:t>3.0 Materials and method ………………………………………………………………..… 16</w:t>
      </w:r>
    </w:p>
    <w:p w:rsidR="003C05B7" w:rsidRDefault="00670731">
      <w:pPr>
        <w:outlineLvl w:val="0"/>
        <w:rPr>
          <w:rFonts w:eastAsia="Times New Roman" w:cs="Times New Roman"/>
          <w:kern w:val="36"/>
          <w:szCs w:val="24"/>
        </w:rPr>
      </w:pPr>
      <w:r>
        <w:rPr>
          <w:rFonts w:eastAsia="Times New Roman" w:cs="Times New Roman"/>
          <w:kern w:val="36"/>
          <w:szCs w:val="24"/>
        </w:rPr>
        <w:t>3.1 Extracts ………………………………………………………………………………… 18</w:t>
      </w:r>
    </w:p>
    <w:p w:rsidR="003C05B7" w:rsidRDefault="00670731">
      <w:pPr>
        <w:outlineLvl w:val="0"/>
        <w:rPr>
          <w:rFonts w:eastAsia="Times New Roman" w:cs="Times New Roman"/>
          <w:kern w:val="36"/>
          <w:szCs w:val="24"/>
        </w:rPr>
      </w:pPr>
      <w:r>
        <w:rPr>
          <w:rFonts w:eastAsia="Times New Roman" w:cs="Times New Roman"/>
          <w:kern w:val="36"/>
          <w:szCs w:val="24"/>
        </w:rPr>
        <w:t>3.2 Fly stock and husbandry …………………………………………………………………18</w:t>
      </w:r>
    </w:p>
    <w:p w:rsidR="003C05B7" w:rsidRDefault="00670731">
      <w:pPr>
        <w:outlineLvl w:val="0"/>
        <w:rPr>
          <w:rFonts w:eastAsia="Times New Roman" w:cs="Times New Roman"/>
          <w:kern w:val="36"/>
          <w:szCs w:val="24"/>
        </w:rPr>
      </w:pPr>
      <w:r>
        <w:rPr>
          <w:rFonts w:eastAsia="Times New Roman" w:cs="Times New Roman"/>
          <w:kern w:val="36"/>
          <w:szCs w:val="24"/>
        </w:rPr>
        <w:t>3.3 Experimental design  …………………………………………………………………….18</w:t>
      </w:r>
    </w:p>
    <w:p w:rsidR="003C05B7" w:rsidRDefault="00670731">
      <w:pPr>
        <w:outlineLvl w:val="0"/>
        <w:rPr>
          <w:rFonts w:eastAsia="Times New Roman" w:cs="Times New Roman"/>
          <w:kern w:val="36"/>
          <w:szCs w:val="24"/>
        </w:rPr>
      </w:pPr>
      <w:r>
        <w:rPr>
          <w:rFonts w:eastAsia="Times New Roman" w:cs="Times New Roman"/>
          <w:kern w:val="36"/>
          <w:szCs w:val="24"/>
        </w:rPr>
        <w:t>3.4 Measurement of body weight ……………………………………………………………20</w:t>
      </w:r>
    </w:p>
    <w:p w:rsidR="003C05B7" w:rsidRDefault="00670731">
      <w:pPr>
        <w:outlineLvl w:val="0"/>
        <w:rPr>
          <w:rFonts w:eastAsia="Times New Roman" w:cs="Times New Roman"/>
          <w:kern w:val="36"/>
          <w:szCs w:val="24"/>
        </w:rPr>
      </w:pPr>
      <w:r>
        <w:rPr>
          <w:rFonts w:eastAsia="Times New Roman" w:cs="Times New Roman"/>
          <w:kern w:val="36"/>
          <w:szCs w:val="24"/>
        </w:rPr>
        <w:t>3.5 Climbing assay ………………………………………………………</w:t>
      </w:r>
      <w:r>
        <w:rPr>
          <w:rFonts w:eastAsia="Times New Roman" w:cs="Times New Roman"/>
          <w:kern w:val="36"/>
          <w:szCs w:val="24"/>
        </w:rPr>
        <w:t>…………………. 20</w:t>
      </w:r>
    </w:p>
    <w:p w:rsidR="003C05B7" w:rsidRDefault="00670731">
      <w:pPr>
        <w:outlineLvl w:val="0"/>
        <w:rPr>
          <w:rFonts w:eastAsia="Times New Roman" w:cs="Times New Roman"/>
          <w:kern w:val="36"/>
          <w:szCs w:val="24"/>
        </w:rPr>
      </w:pPr>
      <w:r>
        <w:rPr>
          <w:rFonts w:eastAsia="Times New Roman" w:cs="Times New Roman"/>
          <w:kern w:val="36"/>
          <w:szCs w:val="24"/>
        </w:rPr>
        <w:t>3.6 Haemolymph Extraction …………………………………………………………………20</w:t>
      </w:r>
    </w:p>
    <w:p w:rsidR="003C05B7" w:rsidRDefault="00670731">
      <w:pPr>
        <w:outlineLvl w:val="0"/>
        <w:rPr>
          <w:rFonts w:eastAsia="Times New Roman" w:cs="Times New Roman"/>
          <w:kern w:val="36"/>
          <w:szCs w:val="24"/>
        </w:rPr>
      </w:pPr>
      <w:r>
        <w:rPr>
          <w:rFonts w:eastAsia="Times New Roman" w:cs="Times New Roman"/>
          <w:kern w:val="36"/>
          <w:szCs w:val="24"/>
        </w:rPr>
        <w:t>3.7 Biochemical Assay ………………………………………………………………………20</w:t>
      </w:r>
    </w:p>
    <w:p w:rsidR="003C05B7" w:rsidRDefault="00670731">
      <w:pPr>
        <w:outlineLvl w:val="0"/>
        <w:rPr>
          <w:rFonts w:eastAsia="Times New Roman" w:cs="Times New Roman"/>
          <w:kern w:val="36"/>
          <w:szCs w:val="24"/>
        </w:rPr>
      </w:pPr>
      <w:r>
        <w:rPr>
          <w:rFonts w:eastAsia="Times New Roman" w:cs="Times New Roman"/>
          <w:b/>
          <w:bCs/>
          <w:kern w:val="36"/>
          <w:szCs w:val="24"/>
        </w:rPr>
        <w:t xml:space="preserve">3.7.1 </w:t>
      </w:r>
      <w:r>
        <w:rPr>
          <w:rFonts w:eastAsia="Times New Roman" w:cs="Times New Roman"/>
          <w:kern w:val="36"/>
          <w:szCs w:val="24"/>
        </w:rPr>
        <w:t>Quantification of Glucose …………………………………………………….……….20</w:t>
      </w:r>
    </w:p>
    <w:p w:rsidR="003C05B7" w:rsidRDefault="00670731">
      <w:pPr>
        <w:outlineLvl w:val="0"/>
        <w:rPr>
          <w:rFonts w:eastAsia="Times New Roman" w:cs="Times New Roman"/>
          <w:kern w:val="36"/>
          <w:szCs w:val="24"/>
        </w:rPr>
      </w:pPr>
      <w:r>
        <w:rPr>
          <w:rFonts w:eastAsia="Times New Roman" w:cs="Times New Roman"/>
          <w:kern w:val="36"/>
          <w:szCs w:val="24"/>
        </w:rPr>
        <w:t>3.7.2 Trehalose Assay ……………………………………………………………………….21</w:t>
      </w:r>
    </w:p>
    <w:p w:rsidR="003C05B7" w:rsidRDefault="00670731">
      <w:pPr>
        <w:outlineLvl w:val="0"/>
        <w:rPr>
          <w:rFonts w:eastAsia="Times New Roman" w:cs="Times New Roman"/>
          <w:kern w:val="36"/>
          <w:szCs w:val="24"/>
        </w:rPr>
      </w:pPr>
      <w:r>
        <w:rPr>
          <w:rFonts w:eastAsia="Times New Roman" w:cs="Times New Roman"/>
          <w:kern w:val="36"/>
          <w:szCs w:val="24"/>
        </w:rPr>
        <w:t>3.7.3 Glycogen Assay …………</w:t>
      </w:r>
      <w:r>
        <w:rPr>
          <w:rFonts w:eastAsia="Times New Roman" w:cs="Times New Roman"/>
          <w:kern w:val="36"/>
          <w:szCs w:val="24"/>
        </w:rPr>
        <w:t>………………………………………………………..…..21</w:t>
      </w:r>
    </w:p>
    <w:p w:rsidR="003C05B7" w:rsidRDefault="00670731">
      <w:pPr>
        <w:outlineLvl w:val="0"/>
        <w:rPr>
          <w:rFonts w:eastAsia="Times New Roman" w:cs="Times New Roman"/>
          <w:kern w:val="36"/>
          <w:szCs w:val="24"/>
        </w:rPr>
      </w:pPr>
      <w:r>
        <w:rPr>
          <w:rFonts w:eastAsia="Times New Roman" w:cs="Times New Roman"/>
          <w:kern w:val="36"/>
          <w:szCs w:val="24"/>
        </w:rPr>
        <w:t>3.8 Statistical Analysis …………………………………………………………………..…..20</w:t>
      </w:r>
    </w:p>
    <w:p w:rsidR="003C05B7" w:rsidRDefault="00670731">
      <w:pPr>
        <w:outlineLvl w:val="0"/>
        <w:rPr>
          <w:rFonts w:eastAsia="Times New Roman" w:cs="Times New Roman"/>
          <w:kern w:val="36"/>
          <w:szCs w:val="24"/>
        </w:rPr>
      </w:pPr>
      <w:r>
        <w:rPr>
          <w:rFonts w:eastAsia="Times New Roman" w:cs="Times New Roman"/>
          <w:kern w:val="36"/>
          <w:szCs w:val="24"/>
        </w:rPr>
        <w:t>CHAPTER FOUR ……………………………………………………………………….…..23</w:t>
      </w:r>
    </w:p>
    <w:p w:rsidR="003C05B7" w:rsidRDefault="00670731">
      <w:pPr>
        <w:outlineLvl w:val="0"/>
        <w:rPr>
          <w:rFonts w:eastAsia="Times New Roman" w:cs="Times New Roman"/>
          <w:kern w:val="36"/>
          <w:szCs w:val="24"/>
        </w:rPr>
      </w:pPr>
      <w:r>
        <w:rPr>
          <w:rFonts w:eastAsia="Times New Roman" w:cs="Times New Roman"/>
          <w:kern w:val="36"/>
          <w:szCs w:val="24"/>
        </w:rPr>
        <w:t>4.0 Result …………………………………………………………………………………….23</w:t>
      </w:r>
    </w:p>
    <w:p w:rsidR="003C05B7" w:rsidRDefault="00670731">
      <w:pPr>
        <w:outlineLvl w:val="0"/>
        <w:rPr>
          <w:rFonts w:eastAsia="Times New Roman" w:cs="Times New Roman"/>
          <w:kern w:val="36"/>
          <w:szCs w:val="24"/>
        </w:rPr>
      </w:pPr>
      <w:r>
        <w:rPr>
          <w:rFonts w:eastAsia="Times New Roman" w:cs="Times New Roman"/>
          <w:kern w:val="36"/>
          <w:szCs w:val="24"/>
        </w:rPr>
        <w:t>4.1 Assessment of Glucose levels after induction of diabetes ………………………………23</w:t>
      </w:r>
    </w:p>
    <w:p w:rsidR="003C05B7" w:rsidRDefault="00670731">
      <w:pPr>
        <w:outlineLvl w:val="0"/>
        <w:rPr>
          <w:rFonts w:eastAsia="Times New Roman" w:cs="Times New Roman"/>
          <w:kern w:val="36"/>
          <w:szCs w:val="24"/>
        </w:rPr>
      </w:pPr>
      <w:r>
        <w:rPr>
          <w:rFonts w:eastAsia="Times New Roman" w:cs="Times New Roman"/>
          <w:kern w:val="36"/>
          <w:szCs w:val="24"/>
        </w:rPr>
        <w:t>4.2 Evaluation of weight and locomotor parameters ………………………………………..25</w:t>
      </w:r>
    </w:p>
    <w:p w:rsidR="003C05B7" w:rsidRDefault="00670731">
      <w:pPr>
        <w:outlineLvl w:val="0"/>
        <w:rPr>
          <w:rFonts w:eastAsia="Times New Roman" w:cs="Times New Roman"/>
          <w:kern w:val="36"/>
          <w:szCs w:val="24"/>
        </w:rPr>
      </w:pPr>
      <w:r>
        <w:rPr>
          <w:rFonts w:eastAsia="Times New Roman" w:cs="Times New Roman"/>
          <w:kern w:val="36"/>
          <w:szCs w:val="24"/>
        </w:rPr>
        <w:t>4.3 Effect of MSEDM on HSD induced hyperglycemia and carbohydrate metabolic deregulation…………………………………………………………………………………..27</w:t>
      </w:r>
    </w:p>
    <w:p w:rsidR="003C05B7" w:rsidRDefault="00670731">
      <w:pPr>
        <w:rPr>
          <w:rFonts w:eastAsia="Times New Roman" w:cs="Times New Roman"/>
          <w:kern w:val="36"/>
          <w:szCs w:val="24"/>
        </w:rPr>
      </w:pPr>
      <w:r>
        <w:rPr>
          <w:rFonts w:eastAsia="Times New Roman" w:cs="Times New Roman"/>
          <w:kern w:val="36"/>
          <w:szCs w:val="24"/>
        </w:rPr>
        <w:br w:type="page"/>
      </w:r>
    </w:p>
    <w:p w:rsidR="003C05B7" w:rsidRDefault="00670731">
      <w:pPr>
        <w:outlineLvl w:val="0"/>
        <w:rPr>
          <w:rFonts w:eastAsia="Times New Roman" w:cs="Times New Roman"/>
          <w:kern w:val="36"/>
          <w:szCs w:val="24"/>
        </w:rPr>
      </w:pPr>
      <w:r>
        <w:rPr>
          <w:rFonts w:eastAsia="Times New Roman" w:cs="Times New Roman"/>
          <w:kern w:val="36"/>
          <w:szCs w:val="24"/>
        </w:rPr>
        <w:t>CHAPTER FIVE……………………………………………………………………………..29</w:t>
      </w:r>
    </w:p>
    <w:p w:rsidR="003C05B7" w:rsidRDefault="00670731">
      <w:pPr>
        <w:outlineLvl w:val="0"/>
        <w:rPr>
          <w:rFonts w:eastAsia="Times New Roman" w:cs="Times New Roman"/>
          <w:kern w:val="36"/>
          <w:szCs w:val="24"/>
        </w:rPr>
      </w:pPr>
      <w:r>
        <w:rPr>
          <w:rFonts w:eastAsia="Times New Roman" w:cs="Times New Roman"/>
          <w:kern w:val="36"/>
          <w:szCs w:val="24"/>
        </w:rPr>
        <w:t xml:space="preserve">5.1 </w:t>
      </w:r>
      <w:r>
        <w:rPr>
          <w:rFonts w:eastAsia="Times New Roman" w:cs="Times New Roman"/>
          <w:kern w:val="36"/>
          <w:szCs w:val="24"/>
        </w:rPr>
        <w:t>Discussion  ………………………………………………………………………………29</w:t>
      </w:r>
    </w:p>
    <w:p w:rsidR="003C05B7" w:rsidRDefault="00670731">
      <w:pPr>
        <w:outlineLvl w:val="0"/>
        <w:rPr>
          <w:rFonts w:eastAsia="Times New Roman" w:cs="Times New Roman"/>
          <w:kern w:val="36"/>
          <w:szCs w:val="24"/>
        </w:rPr>
      </w:pPr>
      <w:r>
        <w:rPr>
          <w:rFonts w:eastAsia="Times New Roman" w:cs="Times New Roman"/>
          <w:kern w:val="36"/>
          <w:szCs w:val="24"/>
        </w:rPr>
        <w:t>5.2 Conclusion ………………………………………………………………………………31</w:t>
      </w:r>
    </w:p>
    <w:p w:rsidR="003C05B7" w:rsidRDefault="00670731">
      <w:pPr>
        <w:outlineLvl w:val="0"/>
        <w:rPr>
          <w:rFonts w:eastAsia="Times New Roman" w:cs="Times New Roman"/>
          <w:kern w:val="36"/>
          <w:szCs w:val="24"/>
        </w:rPr>
      </w:pPr>
      <w:r>
        <w:rPr>
          <w:rFonts w:eastAsia="Times New Roman" w:cs="Times New Roman"/>
          <w:kern w:val="36"/>
          <w:szCs w:val="24"/>
        </w:rPr>
        <w:t>5.3 Recommendation …………………………………………………………………...……31</w:t>
      </w:r>
    </w:p>
    <w:p w:rsidR="003C05B7" w:rsidRDefault="00670731">
      <w:pPr>
        <w:outlineLvl w:val="0"/>
        <w:rPr>
          <w:rFonts w:eastAsia="Times New Roman" w:cs="Times New Roman"/>
          <w:kern w:val="36"/>
          <w:szCs w:val="24"/>
        </w:rPr>
      </w:pPr>
      <w:r>
        <w:rPr>
          <w:rFonts w:eastAsia="Times New Roman" w:cs="Times New Roman"/>
          <w:kern w:val="36"/>
          <w:szCs w:val="24"/>
        </w:rPr>
        <w:t>5.4 Limitations …………………………………………………………………………….…32</w:t>
      </w:r>
    </w:p>
    <w:p w:rsidR="003C05B7" w:rsidRDefault="00670731">
      <w:pPr>
        <w:outlineLvl w:val="0"/>
        <w:rPr>
          <w:rFonts w:eastAsia="Times New Roman" w:cs="Times New Roman"/>
          <w:kern w:val="36"/>
          <w:szCs w:val="24"/>
        </w:rPr>
      </w:pPr>
      <w:r>
        <w:rPr>
          <w:rFonts w:eastAsia="Times New Roman" w:cs="Times New Roman"/>
          <w:kern w:val="36"/>
          <w:szCs w:val="24"/>
        </w:rPr>
        <w:t xml:space="preserve">References ……………………………………………………………………………...……33 </w:t>
      </w:r>
      <w:r>
        <w:rPr>
          <w:rFonts w:eastAsia="Times New Roman" w:cs="Times New Roman"/>
          <w:b/>
          <w:bCs/>
          <w:kern w:val="36"/>
          <w:szCs w:val="24"/>
        </w:rPr>
        <w:t xml:space="preserve"> </w:t>
      </w: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670731">
      <w:pPr>
        <w:pStyle w:val="Heading1"/>
      </w:pPr>
      <w:r>
        <w:t>LIST OF TABLES</w:t>
      </w:r>
    </w:p>
    <w:p w:rsidR="003C05B7" w:rsidRDefault="003C05B7">
      <w:pPr>
        <w:jc w:val="center"/>
        <w:outlineLvl w:val="0"/>
        <w:rPr>
          <w:rFonts w:eastAsia="Times New Roman" w:cs="Times New Roman"/>
          <w:b/>
          <w:bCs/>
          <w:kern w:val="36"/>
          <w:szCs w:val="24"/>
        </w:rPr>
      </w:pPr>
    </w:p>
    <w:p w:rsidR="003C05B7" w:rsidRDefault="00670731">
      <w:pPr>
        <w:pStyle w:val="Heading1"/>
        <w:jc w:val="left"/>
        <w:rPr>
          <w:b w:val="0"/>
        </w:rPr>
      </w:pPr>
      <w:r>
        <w:rPr>
          <w:b w:val="0"/>
        </w:rPr>
        <w:t>Table 3.1.: List of materials used in the study………………………………………..16</w:t>
      </w:r>
    </w:p>
    <w:p w:rsidR="003C05B7" w:rsidRDefault="00670731">
      <w:pPr>
        <w:pStyle w:val="Heading1"/>
        <w:jc w:val="left"/>
        <w:rPr>
          <w:b w:val="0"/>
        </w:rPr>
      </w:pPr>
      <w:r>
        <w:rPr>
          <w:b w:val="0"/>
        </w:rPr>
        <w:t>Table 3.2: Nutritional composition of experimental groups………………………….19</w:t>
      </w:r>
    </w:p>
    <w:p w:rsidR="003C05B7" w:rsidRDefault="00670731">
      <w:pPr>
        <w:pStyle w:val="Heading1"/>
        <w:jc w:val="left"/>
        <w:rPr>
          <w:b w:val="0"/>
        </w:rPr>
      </w:pPr>
      <w:r>
        <w:rPr>
          <w:b w:val="0"/>
        </w:rPr>
        <w:t>Table. 4.1: Effect of MSEDM on Weight and Locomotive Performance…………….26</w:t>
      </w:r>
    </w:p>
    <w:p w:rsidR="003C05B7" w:rsidRDefault="003C05B7">
      <w:pP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3C05B7">
      <w:pPr>
        <w:jc w:val="center"/>
        <w:outlineLvl w:val="0"/>
        <w:rPr>
          <w:rFonts w:eastAsia="Times New Roman" w:cs="Times New Roman"/>
          <w:b/>
          <w:bCs/>
          <w:kern w:val="36"/>
          <w:szCs w:val="24"/>
        </w:rPr>
      </w:pPr>
    </w:p>
    <w:p w:rsidR="003C05B7" w:rsidRDefault="00670731">
      <w:pPr>
        <w:rPr>
          <w:rFonts w:eastAsia="Times New Roman" w:cs="Times New Roman"/>
          <w:b/>
          <w:bCs/>
          <w:kern w:val="36"/>
          <w:szCs w:val="24"/>
        </w:rPr>
      </w:pPr>
      <w:r>
        <w:rPr>
          <w:rFonts w:eastAsia="Times New Roman" w:cs="Times New Roman"/>
          <w:b/>
          <w:bCs/>
          <w:kern w:val="36"/>
          <w:szCs w:val="24"/>
        </w:rPr>
        <w:br w:type="page"/>
      </w:r>
    </w:p>
    <w:p w:rsidR="003C05B7" w:rsidRDefault="003C05B7">
      <w:pPr>
        <w:pStyle w:val="Heading1"/>
      </w:pPr>
    </w:p>
    <w:p w:rsidR="003C05B7" w:rsidRDefault="00670731">
      <w:pPr>
        <w:pStyle w:val="Heading1"/>
      </w:pPr>
      <w:r>
        <w:t>ABSTRACT</w:t>
      </w:r>
    </w:p>
    <w:p w:rsidR="003C05B7" w:rsidRDefault="00670731">
      <w:pPr>
        <w:spacing w:line="240" w:lineRule="auto"/>
        <w:jc w:val="both"/>
        <w:outlineLvl w:val="0"/>
        <w:rPr>
          <w:rFonts w:eastAsia="Times New Roman" w:cs="Times New Roman"/>
          <w:kern w:val="36"/>
          <w:szCs w:val="24"/>
        </w:rPr>
      </w:pPr>
      <w:r>
        <w:rPr>
          <w:rFonts w:eastAsia="Times New Roman" w:cs="Times New Roman"/>
          <w:kern w:val="36"/>
          <w:szCs w:val="24"/>
        </w:rPr>
        <w:t xml:space="preserve">Diabetes mellitus is a chronic metabolic disorder associated with impaired glucose regulation. This study evaluated the hypoglycemic effect of </w:t>
      </w:r>
      <w:r>
        <w:rPr>
          <w:rFonts w:eastAsia="Times New Roman" w:cs="Times New Roman"/>
          <w:i/>
          <w:kern w:val="36"/>
          <w:szCs w:val="24"/>
        </w:rPr>
        <w:t>Diospyros mespiliformis</w:t>
      </w:r>
      <w:r>
        <w:rPr>
          <w:rFonts w:eastAsia="Times New Roman" w:cs="Times New Roman"/>
          <w:kern w:val="36"/>
          <w:szCs w:val="24"/>
        </w:rPr>
        <w:t xml:space="preserve"> stem bark extract on diabetes-induced </w:t>
      </w:r>
      <w:r>
        <w:rPr>
          <w:rFonts w:eastAsia="Times New Roman" w:cs="Times New Roman"/>
          <w:i/>
          <w:kern w:val="36"/>
          <w:szCs w:val="24"/>
        </w:rPr>
        <w:t xml:space="preserve">Drosophila melanogaster </w:t>
      </w:r>
      <w:r>
        <w:rPr>
          <w:rFonts w:eastAsia="Times New Roman" w:cs="Times New Roman"/>
          <w:kern w:val="36"/>
          <w:szCs w:val="24"/>
        </w:rPr>
        <w:t xml:space="preserve">. Adult flies were exposed </w:t>
      </w:r>
      <w:r>
        <w:rPr>
          <w:rFonts w:eastAsia="Times New Roman" w:cs="Times New Roman"/>
          <w:kern w:val="36"/>
          <w:szCs w:val="24"/>
        </w:rPr>
        <w:t>to a high-sugar diet (30% sucrose) for 14 days to induce hyperglycemia. Experimental groups received extract-supplemented diet (MSEDM) or metformin, while controls were maintained on a standard diet. Glucose, trehalose and glycogen levels, as well as weigh</w:t>
      </w:r>
      <w:r>
        <w:rPr>
          <w:rFonts w:eastAsia="Times New Roman" w:cs="Times New Roman"/>
          <w:kern w:val="36"/>
          <w:szCs w:val="24"/>
        </w:rPr>
        <w:t>t and locomotor activity, were assessed.The high-sugar diet caused a significant rise in glucose concentration (p &lt; 0.05), increased body weight (p &lt; 0.05), and reduced locomotor performance (p &lt; 0.05). Treatment with</w:t>
      </w:r>
      <w:r>
        <w:rPr>
          <w:rFonts w:eastAsia="Times New Roman" w:cs="Times New Roman"/>
          <w:i/>
          <w:kern w:val="36"/>
          <w:szCs w:val="24"/>
        </w:rPr>
        <w:t xml:space="preserve"> Diospyros mespiliformis</w:t>
      </w:r>
      <w:r>
        <w:rPr>
          <w:rFonts w:eastAsia="Times New Roman" w:cs="Times New Roman"/>
          <w:kern w:val="36"/>
          <w:szCs w:val="24"/>
        </w:rPr>
        <w:t xml:space="preserve"> significantly </w:t>
      </w:r>
      <w:r>
        <w:rPr>
          <w:rFonts w:eastAsia="Times New Roman" w:cs="Times New Roman"/>
          <w:kern w:val="36"/>
          <w:szCs w:val="24"/>
        </w:rPr>
        <w:t>reduced glucose levels (p &lt; 0.05) and trehalose levels (p &lt; 0.05) compared with the diabetic group, showing antihyperglycemic activity comparable to metformin. Both MSEDM and metformin also produced a significant reduction in glycogen content relative to t</w:t>
      </w:r>
      <w:r>
        <w:rPr>
          <w:rFonts w:eastAsia="Times New Roman" w:cs="Times New Roman"/>
          <w:kern w:val="36"/>
          <w:szCs w:val="24"/>
        </w:rPr>
        <w:t xml:space="preserve">he high-sugar group (p &lt; 0.05). Locomotor activity improved markedly in extract-treated flies (p &lt; 0.05), and weight gain was reduced (p &lt; 0.05).These results demonstrate that </w:t>
      </w:r>
      <w:r>
        <w:rPr>
          <w:rFonts w:eastAsia="Times New Roman" w:cs="Times New Roman"/>
          <w:i/>
          <w:kern w:val="36"/>
          <w:szCs w:val="24"/>
        </w:rPr>
        <w:t xml:space="preserve">Diospyros mespiliformis </w:t>
      </w:r>
      <w:r>
        <w:rPr>
          <w:rFonts w:eastAsia="Times New Roman" w:cs="Times New Roman"/>
          <w:kern w:val="36"/>
          <w:szCs w:val="24"/>
        </w:rPr>
        <w:t xml:space="preserve">possesses hypoglycemic properties and offers protection </w:t>
      </w:r>
      <w:r>
        <w:rPr>
          <w:rFonts w:eastAsia="Times New Roman" w:cs="Times New Roman"/>
          <w:kern w:val="36"/>
          <w:szCs w:val="24"/>
        </w:rPr>
        <w:t>against diet-induced metabolic disturbances, supporting its potential as a natural antidiabetic candidate.</w:t>
      </w:r>
    </w:p>
    <w:p w:rsidR="003C05B7" w:rsidRDefault="003C05B7">
      <w:pPr>
        <w:jc w:val="both"/>
        <w:outlineLvl w:val="0"/>
        <w:rPr>
          <w:rFonts w:eastAsia="Times New Roman" w:cs="Times New Roman"/>
          <w:b/>
          <w:bCs/>
          <w:kern w:val="36"/>
          <w:szCs w:val="24"/>
        </w:rPr>
      </w:pPr>
    </w:p>
    <w:p w:rsidR="003C05B7" w:rsidRDefault="003C05B7">
      <w:pPr>
        <w:sectPr w:rsidR="003C05B7">
          <w:footerReference w:type="default" r:id="rId9"/>
          <w:pgSz w:w="11907" w:h="16840" w:code="9"/>
          <w:pgMar w:top="1440" w:right="1440" w:bottom="1440" w:left="1440" w:header="709" w:footer="709" w:gutter="0"/>
          <w:pgNumType w:fmt="lowerRoman" w:start="1"/>
          <w:cols w:space="708"/>
          <w:docGrid w:linePitch="360"/>
        </w:sectPr>
      </w:pPr>
    </w:p>
    <w:p w:rsidR="003C05B7" w:rsidRDefault="00670731">
      <w:pPr>
        <w:pStyle w:val="Heading1"/>
      </w:pPr>
      <w:r>
        <w:t>CHAPTER ONE</w:t>
      </w:r>
    </w:p>
    <w:p w:rsidR="003C05B7" w:rsidRDefault="00670731">
      <w:pPr>
        <w:pStyle w:val="Heading1"/>
        <w:jc w:val="left"/>
      </w:pPr>
      <w:r>
        <w:t xml:space="preserve">1.0 </w:t>
      </w:r>
      <w:r>
        <w:t>Introduction</w:t>
      </w:r>
    </w:p>
    <w:p w:rsidR="003C05B7" w:rsidRDefault="00670731">
      <w:pPr>
        <w:pStyle w:val="Heading1"/>
        <w:jc w:val="left"/>
      </w:pPr>
      <w:r>
        <w:t>1.1 Background of the Study</w:t>
      </w:r>
    </w:p>
    <w:p w:rsidR="003C05B7" w:rsidRDefault="00670731">
      <w:pPr>
        <w:jc w:val="both"/>
        <w:outlineLvl w:val="2"/>
        <w:rPr>
          <w:rFonts w:eastAsia="Times New Roman" w:cs="Times New Roman"/>
          <w:szCs w:val="24"/>
        </w:rPr>
      </w:pPr>
      <w:r>
        <w:rPr>
          <w:rFonts w:eastAsia="Times New Roman" w:cs="Times New Roman"/>
          <w:szCs w:val="24"/>
        </w:rPr>
        <w:t>Diabetes mellitus is a major public health problem worldwide. Current global estimates indicate that this condition affects about 415 million people and is projected to escalate to 642 million by the year 2040 (Al-L</w:t>
      </w:r>
      <w:r>
        <w:rPr>
          <w:rFonts w:eastAsia="Times New Roman" w:cs="Times New Roman"/>
          <w:szCs w:val="24"/>
        </w:rPr>
        <w:t>awati, 2017). Diabetes Mellitus is growing worldwide, but it remains an underestimated health threat, comprising about 366 million people globally (Schwandt, 2012). Diabetes is one of the top 10 causes of death globally, and together with cardiovascular di</w:t>
      </w:r>
      <w:r>
        <w:rPr>
          <w:rFonts w:eastAsia="Times New Roman" w:cs="Times New Roman"/>
          <w:szCs w:val="24"/>
        </w:rPr>
        <w:t xml:space="preserve">sease, cancer, and respiratory disease, these conditions account for over 80% of all premature non communicable disease (NCD) deaths (Lin </w:t>
      </w:r>
      <w:r>
        <w:rPr>
          <w:rFonts w:eastAsia="Times New Roman" w:cs="Times New Roman"/>
          <w:i/>
          <w:iCs/>
          <w:szCs w:val="24"/>
        </w:rPr>
        <w:t>et al</w:t>
      </w:r>
      <w:r>
        <w:rPr>
          <w:rFonts w:eastAsia="Times New Roman" w:cs="Times New Roman"/>
          <w:szCs w:val="24"/>
        </w:rPr>
        <w:t>., 2020). Individuals with diabetes have a 2–3-fold higher risk of all-cause mortality, and its presence is assoc</w:t>
      </w:r>
      <w:r>
        <w:rPr>
          <w:rFonts w:eastAsia="Times New Roman" w:cs="Times New Roman"/>
          <w:szCs w:val="24"/>
        </w:rPr>
        <w:t xml:space="preserve">iated with increased mortality from infections, cardiovascular disease, stroke, chronic kidney disease, chronic liver disease, and cancer (Yang </w:t>
      </w:r>
      <w:r>
        <w:rPr>
          <w:rFonts w:eastAsia="Times New Roman" w:cs="Times New Roman"/>
          <w:i/>
          <w:iCs/>
          <w:szCs w:val="24"/>
        </w:rPr>
        <w:t xml:space="preserve">et al., </w:t>
      </w:r>
      <w:r>
        <w:rPr>
          <w:rFonts w:eastAsia="Times New Roman" w:cs="Times New Roman"/>
          <w:szCs w:val="24"/>
        </w:rPr>
        <w:t xml:space="preserve">2019; Bragg </w:t>
      </w:r>
      <w:r>
        <w:rPr>
          <w:rFonts w:eastAsia="Times New Roman" w:cs="Times New Roman"/>
          <w:i/>
          <w:iCs/>
          <w:szCs w:val="24"/>
        </w:rPr>
        <w:t>et</w:t>
      </w:r>
      <w:r>
        <w:rPr>
          <w:rFonts w:eastAsia="Times New Roman" w:cs="Times New Roman"/>
          <w:szCs w:val="24"/>
        </w:rPr>
        <w:t xml:space="preserve"> </w:t>
      </w:r>
      <w:r>
        <w:rPr>
          <w:rFonts w:eastAsia="Times New Roman" w:cs="Times New Roman"/>
          <w:i/>
          <w:iCs/>
          <w:szCs w:val="24"/>
        </w:rPr>
        <w:t>al</w:t>
      </w:r>
      <w:r>
        <w:rPr>
          <w:rFonts w:eastAsia="Times New Roman" w:cs="Times New Roman"/>
          <w:szCs w:val="24"/>
        </w:rPr>
        <w:t>., 2017). Although significant progress has been made in promoting population health an</w:t>
      </w:r>
      <w:r>
        <w:rPr>
          <w:rFonts w:eastAsia="Times New Roman" w:cs="Times New Roman"/>
          <w:szCs w:val="24"/>
        </w:rPr>
        <w:t xml:space="preserve">d extending life expectancy, diabetes remains the second biggest negative contributor to global health-adjusted life expectancy (Chen et al., 2019). Furthermore, diabetes Mellitus imposes a significant economic burden encompassing both direct and indirect </w:t>
      </w:r>
      <w:r>
        <w:rPr>
          <w:rFonts w:eastAsia="Times New Roman" w:cs="Times New Roman"/>
          <w:szCs w:val="24"/>
        </w:rPr>
        <w:t>costs, as patients often spend large portions of their income on drugs, diagnostic tests, and hospital visits (Koronkwo</w:t>
      </w:r>
      <w:r>
        <w:rPr>
          <w:rFonts w:eastAsia="Times New Roman" w:cs="Times New Roman"/>
          <w:i/>
          <w:iCs/>
          <w:szCs w:val="24"/>
        </w:rPr>
        <w:t xml:space="preserve"> et al.</w:t>
      </w:r>
      <w:r>
        <w:rPr>
          <w:rFonts w:eastAsia="Times New Roman" w:cs="Times New Roman"/>
          <w:szCs w:val="24"/>
        </w:rPr>
        <w:t>, 2015).</w:t>
      </w:r>
    </w:p>
    <w:p w:rsidR="003C05B7" w:rsidRDefault="00670731">
      <w:pPr>
        <w:jc w:val="both"/>
        <w:outlineLvl w:val="2"/>
        <w:rPr>
          <w:rFonts w:eastAsia="Times New Roman" w:cs="Times New Roman"/>
          <w:szCs w:val="24"/>
        </w:rPr>
      </w:pPr>
      <w:r>
        <w:rPr>
          <w:rFonts w:eastAsia="Times New Roman" w:cs="Times New Roman"/>
          <w:szCs w:val="24"/>
        </w:rPr>
        <w:t>In Nigeria, the burden of diabetes is also alarming. According to the International Diabetes Federation (2021), approxima</w:t>
      </w:r>
      <w:r>
        <w:rPr>
          <w:rFonts w:eastAsia="Times New Roman" w:cs="Times New Roman"/>
          <w:szCs w:val="24"/>
        </w:rPr>
        <w:t>tely 3.62 million Nigerians aged 20–79 years are living with diabetes, and about 53% of these cases remain undiagnosed. Similarly, recent reports estimate that more than 11 million Nigerians may be living with diabetes, with many cases yet to be detected (</w:t>
      </w:r>
      <w:r>
        <w:rPr>
          <w:rFonts w:eastAsia="Times New Roman" w:cs="Times New Roman"/>
          <w:szCs w:val="24"/>
        </w:rPr>
        <w:t>Independent Newspaper Nigeria, 2024; Nigerian Tracker, 2025).</w:t>
      </w:r>
    </w:p>
    <w:p w:rsidR="003C05B7" w:rsidRDefault="00670731">
      <w:pPr>
        <w:jc w:val="both"/>
        <w:outlineLvl w:val="2"/>
        <w:rPr>
          <w:rFonts w:eastAsia="Times New Roman" w:cs="Times New Roman"/>
          <w:szCs w:val="24"/>
        </w:rPr>
      </w:pPr>
      <w:r>
        <w:rPr>
          <w:rFonts w:eastAsia="Times New Roman" w:cs="Times New Roman"/>
          <w:szCs w:val="24"/>
        </w:rPr>
        <w:t>Diabetes mellitus can be classified into two major categories: Type 1 and Type 2 diabetes, where Type 2 diabetes accounts for about 90% of all cases. Type 1 diabetes, previously known as insulin</w:t>
      </w:r>
      <w:r>
        <w:rPr>
          <w:rFonts w:eastAsia="Times New Roman" w:cs="Times New Roman"/>
          <w:szCs w:val="24"/>
        </w:rPr>
        <w:t xml:space="preserve">-dependent diabetes, is an autoimmune disorder that occurs due to the destruction of the pancreatic beta cells, leading to significantly reduced secretion of insulin (Katsaru </w:t>
      </w:r>
      <w:r>
        <w:rPr>
          <w:rFonts w:eastAsia="Times New Roman" w:cs="Times New Roman"/>
          <w:i/>
          <w:iCs/>
          <w:szCs w:val="24"/>
        </w:rPr>
        <w:t>et al.</w:t>
      </w:r>
      <w:r>
        <w:rPr>
          <w:rFonts w:eastAsia="Times New Roman" w:cs="Times New Roman"/>
          <w:szCs w:val="24"/>
        </w:rPr>
        <w:t xml:space="preserve">, 2017). Type 2 diabetes, also known as non-insulin-dependent diabetes, is </w:t>
      </w:r>
      <w:r>
        <w:rPr>
          <w:rFonts w:eastAsia="Times New Roman" w:cs="Times New Roman"/>
          <w:szCs w:val="24"/>
        </w:rPr>
        <w:t>the most common form of diabetes, with its prevalence rapidly rising worldwide. It is a hereditary condition resulting from insulin resistance, insufficient insulin secretion, or a combination of both, largely affecting an older population than Type 1 diab</w:t>
      </w:r>
      <w:r>
        <w:rPr>
          <w:rFonts w:eastAsia="Times New Roman" w:cs="Times New Roman"/>
          <w:szCs w:val="24"/>
        </w:rPr>
        <w:t xml:space="preserve">etes (DeFronzo </w:t>
      </w:r>
      <w:r>
        <w:rPr>
          <w:rFonts w:eastAsia="Times New Roman" w:cs="Times New Roman"/>
          <w:i/>
          <w:iCs/>
          <w:szCs w:val="24"/>
        </w:rPr>
        <w:t>et al</w:t>
      </w:r>
      <w:r>
        <w:rPr>
          <w:rFonts w:eastAsia="Times New Roman" w:cs="Times New Roman"/>
          <w:szCs w:val="24"/>
        </w:rPr>
        <w:t xml:space="preserve">., 2015). Diabetes confers a huge economic burden due to its management costs, and its complications continue to rise. The conventional medications used in diabetes treatment, which focus on insulin secretion and insulin sensitization, </w:t>
      </w:r>
      <w:r>
        <w:rPr>
          <w:rFonts w:eastAsia="Times New Roman" w:cs="Times New Roman"/>
          <w:szCs w:val="24"/>
        </w:rPr>
        <w:t xml:space="preserve">often cause unwanted side effects that lead to poor compliance and treatment failure (Tan </w:t>
      </w:r>
      <w:r>
        <w:rPr>
          <w:rFonts w:eastAsia="Times New Roman" w:cs="Times New Roman"/>
          <w:i/>
          <w:iCs/>
          <w:szCs w:val="24"/>
        </w:rPr>
        <w:t xml:space="preserve">et al., </w:t>
      </w:r>
      <w:r>
        <w:rPr>
          <w:rFonts w:eastAsia="Times New Roman" w:cs="Times New Roman"/>
          <w:szCs w:val="24"/>
        </w:rPr>
        <w:t>2019).</w:t>
      </w:r>
    </w:p>
    <w:p w:rsidR="003C05B7" w:rsidRDefault="00670731">
      <w:pPr>
        <w:jc w:val="both"/>
        <w:outlineLvl w:val="2"/>
        <w:rPr>
          <w:rFonts w:eastAsia="Times New Roman" w:cs="Times New Roman"/>
          <w:szCs w:val="24"/>
        </w:rPr>
      </w:pPr>
      <w:r>
        <w:rPr>
          <w:rFonts w:eastAsia="Times New Roman" w:cs="Times New Roman"/>
          <w:szCs w:val="24"/>
        </w:rPr>
        <w:t>Available therapies currently in use for the treatment and management of diabetes include insulin and several oral hypoglycemic agents such as metformi</w:t>
      </w:r>
      <w:r>
        <w:rPr>
          <w:rFonts w:eastAsia="Times New Roman" w:cs="Times New Roman"/>
          <w:szCs w:val="24"/>
        </w:rPr>
        <w:t xml:space="preserve">n, sulfonylureas, α-glucosidase inhibitors, and meglitinides (Ansari </w:t>
      </w:r>
      <w:r>
        <w:rPr>
          <w:rFonts w:eastAsia="Times New Roman" w:cs="Times New Roman"/>
          <w:i/>
          <w:iCs/>
          <w:szCs w:val="24"/>
        </w:rPr>
        <w:t>et al</w:t>
      </w:r>
      <w:r>
        <w:rPr>
          <w:rFonts w:eastAsia="Times New Roman" w:cs="Times New Roman"/>
          <w:szCs w:val="24"/>
        </w:rPr>
        <w:t>., 2019). However, these drug intended to boost insulin sensitivity and increase insulin secretion along with reducing plasma glucose levels by increasing glucose excretion or uptake</w:t>
      </w:r>
      <w:r>
        <w:rPr>
          <w:rFonts w:eastAsia="Times New Roman" w:cs="Times New Roman"/>
          <w:szCs w:val="24"/>
        </w:rPr>
        <w:t xml:space="preserve"> in adipose tissue are usually associated with many side effects (Patel </w:t>
      </w:r>
      <w:r>
        <w:rPr>
          <w:rFonts w:eastAsia="Times New Roman" w:cs="Times New Roman"/>
          <w:i/>
          <w:iCs/>
          <w:szCs w:val="24"/>
        </w:rPr>
        <w:t>et</w:t>
      </w:r>
      <w:r>
        <w:rPr>
          <w:rFonts w:eastAsia="Times New Roman" w:cs="Times New Roman"/>
          <w:szCs w:val="24"/>
        </w:rPr>
        <w:t xml:space="preserve"> </w:t>
      </w:r>
      <w:r>
        <w:rPr>
          <w:rFonts w:eastAsia="Times New Roman" w:cs="Times New Roman"/>
          <w:i/>
          <w:iCs/>
          <w:szCs w:val="24"/>
        </w:rPr>
        <w:t>al</w:t>
      </w:r>
      <w:r>
        <w:rPr>
          <w:rFonts w:eastAsia="Times New Roman" w:cs="Times New Roman"/>
          <w:szCs w:val="24"/>
        </w:rPr>
        <w:t>., 2012). These include weight gain, hypoglycemia, gastrointestinal disturbances, liver injury, renal failure, hypersensitivity reactions, flatulence, diarrhea, and abdominal bloating. In addition, these drugs have other disadvantages, including drug resis</w:t>
      </w:r>
      <w:r>
        <w:rPr>
          <w:rFonts w:eastAsia="Times New Roman" w:cs="Times New Roman"/>
          <w:szCs w:val="24"/>
        </w:rPr>
        <w:t xml:space="preserve">tance and a lack of therapies to prevent long-term complications of the disease (Ansari </w:t>
      </w:r>
      <w:r>
        <w:rPr>
          <w:rFonts w:eastAsia="Times New Roman" w:cs="Times New Roman"/>
          <w:i/>
          <w:iCs/>
          <w:szCs w:val="24"/>
        </w:rPr>
        <w:t>et al.</w:t>
      </w:r>
      <w:r>
        <w:rPr>
          <w:rFonts w:eastAsia="Times New Roman" w:cs="Times New Roman"/>
          <w:szCs w:val="24"/>
        </w:rPr>
        <w:t>, 2022).</w:t>
      </w:r>
    </w:p>
    <w:p w:rsidR="003C05B7" w:rsidRDefault="00670731">
      <w:pPr>
        <w:jc w:val="both"/>
        <w:outlineLvl w:val="2"/>
        <w:rPr>
          <w:rFonts w:eastAsia="Times New Roman" w:cs="Times New Roman"/>
          <w:szCs w:val="24"/>
        </w:rPr>
      </w:pPr>
      <w:r>
        <w:rPr>
          <w:rFonts w:eastAsia="Times New Roman" w:cs="Times New Roman"/>
          <w:szCs w:val="24"/>
        </w:rPr>
        <w:t>The complications associated with insulin and oral antidiabetic agents, together with limited drug tolerability, adverse effects, and high costs, have ac</w:t>
      </w:r>
      <w:r>
        <w:rPr>
          <w:rFonts w:eastAsia="Times New Roman" w:cs="Times New Roman"/>
          <w:szCs w:val="24"/>
        </w:rPr>
        <w:t>celerated the search for alternative medicines with better efficacy, potency, and fewer side effects (Gaokar and Hullati, 2020). There has been an increase in interest in drug discovery research focused on natural antidiabetic agents, particularly those de</w:t>
      </w:r>
      <w:r>
        <w:rPr>
          <w:rFonts w:eastAsia="Times New Roman" w:cs="Times New Roman"/>
          <w:szCs w:val="24"/>
        </w:rPr>
        <w:t>rived from medicinal plants, which could enhance β-cell function and treat diabetes-associated complications with fewer adverse effects (Oh, 2015). Medicinal plants have been used traditionally throughout the ages to treat various ailments due to their ava</w:t>
      </w:r>
      <w:r>
        <w:rPr>
          <w:rFonts w:eastAsia="Times New Roman" w:cs="Times New Roman"/>
          <w:szCs w:val="24"/>
        </w:rPr>
        <w:t>ilability and safety (Gaokar and Hullati, 2020). Ethnomedicine is a traditional health-care practice followed by indigenous people and is considered the origin of systems such as Ayurveda, Siddha, Unani, Nature Cure, and even modern medicine (Vedavathy, 20</w:t>
      </w:r>
      <w:r>
        <w:rPr>
          <w:rFonts w:eastAsia="Times New Roman" w:cs="Times New Roman"/>
          <w:szCs w:val="24"/>
        </w:rPr>
        <w:t>03).</w:t>
      </w:r>
    </w:p>
    <w:p w:rsidR="003C05B7" w:rsidRDefault="00670731">
      <w:pPr>
        <w:jc w:val="both"/>
        <w:outlineLvl w:val="2"/>
        <w:rPr>
          <w:rFonts w:eastAsia="Times New Roman" w:cs="Times New Roman"/>
          <w:szCs w:val="24"/>
        </w:rPr>
      </w:pPr>
      <w:r>
        <w:rPr>
          <w:rFonts w:eastAsia="Times New Roman" w:cs="Times New Roman"/>
          <w:szCs w:val="24"/>
        </w:rPr>
        <w:t>Traditional natural medicines are extensively prescribed in many Asian countries (Dar et al., 2017). Nearly 75% of globally used herbal medicines have been developed based on traditional medical knowledge (Ansari, 2021). Biologically active components</w:t>
      </w:r>
      <w:r>
        <w:rPr>
          <w:rFonts w:eastAsia="Times New Roman" w:cs="Times New Roman"/>
          <w:szCs w:val="24"/>
        </w:rPr>
        <w:t xml:space="preserve"> derived from medicinal plants have yielded several clinically used drugs and continue to play a crucial role in drug discovery (Gu </w:t>
      </w:r>
      <w:r>
        <w:rPr>
          <w:rFonts w:eastAsia="Times New Roman" w:cs="Times New Roman"/>
          <w:i/>
          <w:iCs/>
          <w:szCs w:val="24"/>
        </w:rPr>
        <w:t>et al.</w:t>
      </w:r>
      <w:r>
        <w:rPr>
          <w:rFonts w:eastAsia="Times New Roman" w:cs="Times New Roman"/>
          <w:szCs w:val="24"/>
        </w:rPr>
        <w:t>, 2013). The commonly prescribed synthetic drug metformin, which possesses glucose-lowering properties in Type 2 diabe</w:t>
      </w:r>
      <w:r>
        <w:rPr>
          <w:rFonts w:eastAsia="Times New Roman" w:cs="Times New Roman"/>
          <w:szCs w:val="24"/>
        </w:rPr>
        <w:t xml:space="preserve">tes, was derived from plant sources, and the search for similar plant-based drugs continues (Osadebe </w:t>
      </w:r>
      <w:r>
        <w:rPr>
          <w:rFonts w:eastAsia="Times New Roman" w:cs="Times New Roman"/>
          <w:i/>
          <w:iCs/>
          <w:szCs w:val="24"/>
        </w:rPr>
        <w:t>et al</w:t>
      </w:r>
      <w:r>
        <w:rPr>
          <w:rFonts w:eastAsia="Times New Roman" w:cs="Times New Roman"/>
          <w:szCs w:val="24"/>
        </w:rPr>
        <w:t>., 2014). The management of diabetes using herbal medicines has proven to be more advantageous than synthetic drugs due to their accessibility, afford</w:t>
      </w:r>
      <w:r>
        <w:rPr>
          <w:rFonts w:eastAsia="Times New Roman" w:cs="Times New Roman"/>
          <w:szCs w:val="24"/>
        </w:rPr>
        <w:t>ability, reduced complications, and fewer side effects (Gaokar and Hullati, 2020). The convenience of availability, lower cost, and relatively low risks of adverse reactions have made plant-based medicines an important alternative treatment option, especia</w:t>
      </w:r>
      <w:r>
        <w:rPr>
          <w:rFonts w:eastAsia="Times New Roman" w:cs="Times New Roman"/>
          <w:szCs w:val="24"/>
        </w:rPr>
        <w:t>lly in rural or developing regions (Salehi, 2019). Unlike synthetic drugs, plant-based medicines do not interrupt the body’s natural healing process; rather, they support and enhance it, leading to steady and holistic recovery (Kaur &amp; Valecha, 2014).</w:t>
      </w:r>
    </w:p>
    <w:p w:rsidR="003C05B7" w:rsidRDefault="00670731">
      <w:pPr>
        <w:jc w:val="both"/>
        <w:outlineLvl w:val="2"/>
        <w:rPr>
          <w:rFonts w:eastAsia="Times New Roman" w:cs="Times New Roman"/>
          <w:szCs w:val="24"/>
        </w:rPr>
      </w:pPr>
      <w:r>
        <w:rPr>
          <w:rFonts w:eastAsia="Times New Roman" w:cs="Times New Roman"/>
          <w:i/>
          <w:iCs/>
          <w:szCs w:val="24"/>
        </w:rPr>
        <w:t>Diosp</w:t>
      </w:r>
      <w:r>
        <w:rPr>
          <w:rFonts w:eastAsia="Times New Roman" w:cs="Times New Roman"/>
          <w:i/>
          <w:iCs/>
          <w:szCs w:val="24"/>
        </w:rPr>
        <w:t>yros mespiliformis</w:t>
      </w:r>
      <w:r>
        <w:rPr>
          <w:rFonts w:eastAsia="Times New Roman" w:cs="Times New Roman"/>
          <w:szCs w:val="24"/>
        </w:rPr>
        <w:t>, commonly known as African ebony, Jackal-berry, or Monkey guava, is a large deciduous tree mainly found in the African savannah. It can grow up to 25 meters in height and has a dense evergreen canopy (Ahmad and Mahmud, 2017). Different p</w:t>
      </w:r>
      <w:r>
        <w:rPr>
          <w:rFonts w:eastAsia="Times New Roman" w:cs="Times New Roman"/>
          <w:szCs w:val="24"/>
        </w:rPr>
        <w:t>arts of the plant have been widely documented in ethnobotanical use for treating bacterial, fungal, viral, parasitic, and inflammatory-related ailments (Ramadwa and Meddows, 2023). The bark, roots, and stem are traditionally used for the management of diab</w:t>
      </w:r>
      <w:r>
        <w:rPr>
          <w:rFonts w:eastAsia="Times New Roman" w:cs="Times New Roman"/>
          <w:szCs w:val="24"/>
        </w:rPr>
        <w:t xml:space="preserve">etes mellitus (Mudau </w:t>
      </w:r>
      <w:r>
        <w:rPr>
          <w:rFonts w:eastAsia="Times New Roman" w:cs="Times New Roman"/>
          <w:i/>
          <w:iCs/>
          <w:szCs w:val="24"/>
        </w:rPr>
        <w:t>et al.</w:t>
      </w:r>
      <w:r>
        <w:rPr>
          <w:rFonts w:eastAsia="Times New Roman" w:cs="Times New Roman"/>
          <w:szCs w:val="24"/>
        </w:rPr>
        <w:t xml:space="preserve">, 2022). </w:t>
      </w:r>
      <w:r>
        <w:rPr>
          <w:rFonts w:eastAsia="Times New Roman" w:cs="Times New Roman"/>
          <w:i/>
          <w:szCs w:val="24"/>
        </w:rPr>
        <w:t>D.</w:t>
      </w:r>
      <w:r>
        <w:rPr>
          <w:rFonts w:eastAsia="Times New Roman" w:cs="Times New Roman"/>
          <w:i/>
          <w:iCs/>
          <w:szCs w:val="24"/>
        </w:rPr>
        <w:t>mespiliformis</w:t>
      </w:r>
      <w:r>
        <w:rPr>
          <w:rFonts w:eastAsia="Times New Roman" w:cs="Times New Roman"/>
          <w:szCs w:val="24"/>
        </w:rPr>
        <w:t xml:space="preserve"> has reported antidiabetic properties, and isolated compounds such as plumbagin, lupeol, and betulin have shown inhibitory activity in α-glucosidase enzyme inhibition assays (Mohammed </w:t>
      </w:r>
      <w:r>
        <w:rPr>
          <w:rFonts w:eastAsia="Times New Roman" w:cs="Times New Roman"/>
          <w:i/>
          <w:iCs/>
          <w:szCs w:val="24"/>
        </w:rPr>
        <w:t>et al.</w:t>
      </w:r>
      <w:r>
        <w:rPr>
          <w:rFonts w:eastAsia="Times New Roman" w:cs="Times New Roman"/>
          <w:szCs w:val="24"/>
        </w:rPr>
        <w:t>, 2009).</w:t>
      </w:r>
    </w:p>
    <w:p w:rsidR="003C05B7" w:rsidRDefault="00670731">
      <w:pPr>
        <w:jc w:val="both"/>
        <w:outlineLvl w:val="2"/>
        <w:rPr>
          <w:rFonts w:eastAsia="Times New Roman" w:cs="Times New Roman"/>
          <w:szCs w:val="24"/>
        </w:rPr>
      </w:pPr>
      <w:r>
        <w:rPr>
          <w:rFonts w:eastAsia="Times New Roman" w:cs="Times New Roman"/>
          <w:szCs w:val="24"/>
        </w:rPr>
        <w:t>Howeve</w:t>
      </w:r>
      <w:r>
        <w:rPr>
          <w:rFonts w:eastAsia="Times New Roman" w:cs="Times New Roman"/>
          <w:szCs w:val="24"/>
        </w:rPr>
        <w:t xml:space="preserve">r, existing reviews conclude that the pharmacological effects of several compounds identified in </w:t>
      </w:r>
      <w:r>
        <w:rPr>
          <w:rFonts w:eastAsia="Times New Roman" w:cs="Times New Roman"/>
          <w:i/>
          <w:szCs w:val="24"/>
        </w:rPr>
        <w:t xml:space="preserve">D.mespiliformis </w:t>
      </w:r>
      <w:r>
        <w:rPr>
          <w:rFonts w:eastAsia="Times New Roman" w:cs="Times New Roman"/>
          <w:szCs w:val="24"/>
        </w:rPr>
        <w:t xml:space="preserve"> have not been fully investigated, and further research is still needed to understand the molecular mechanisms underlying the reported pharmaco</w:t>
      </w:r>
      <w:r>
        <w:rPr>
          <w:rFonts w:eastAsia="Times New Roman" w:cs="Times New Roman"/>
          <w:szCs w:val="24"/>
        </w:rPr>
        <w:t>logical activities of its extracts and isolated compounds (Ramadwa and Meddows, 2023).</w:t>
      </w:r>
    </w:p>
    <w:p w:rsidR="003C05B7" w:rsidRDefault="00670731">
      <w:pPr>
        <w:pStyle w:val="Heading1"/>
        <w:jc w:val="left"/>
      </w:pPr>
      <w:r>
        <w:t>1.2 Statement of the Problem</w:t>
      </w:r>
    </w:p>
    <w:p w:rsidR="003C05B7" w:rsidRDefault="00670731">
      <w:pPr>
        <w:jc w:val="both"/>
        <w:outlineLvl w:val="2"/>
        <w:rPr>
          <w:rFonts w:eastAsia="Times New Roman" w:cs="Times New Roman"/>
          <w:szCs w:val="24"/>
        </w:rPr>
      </w:pPr>
      <w:r>
        <w:rPr>
          <w:rFonts w:eastAsia="Times New Roman" w:cs="Times New Roman"/>
          <w:szCs w:val="24"/>
        </w:rPr>
        <w:t>Diabetes mellitus remains a major global health concern, yet the effectiveness of conventional antidiabetic drugs is often limited by side e</w:t>
      </w:r>
      <w:r>
        <w:rPr>
          <w:rFonts w:eastAsia="Times New Roman" w:cs="Times New Roman"/>
          <w:szCs w:val="24"/>
        </w:rPr>
        <w:t xml:space="preserve">ffects, high cost, and poor long-term tolerability (Patel </w:t>
      </w:r>
      <w:r>
        <w:rPr>
          <w:rFonts w:eastAsia="Times New Roman" w:cs="Times New Roman"/>
          <w:i/>
          <w:iCs/>
          <w:szCs w:val="24"/>
        </w:rPr>
        <w:t>et al</w:t>
      </w:r>
      <w:r>
        <w:rPr>
          <w:rFonts w:eastAsia="Times New Roman" w:cs="Times New Roman"/>
          <w:szCs w:val="24"/>
        </w:rPr>
        <w:t xml:space="preserve">., 2012; Tan </w:t>
      </w:r>
      <w:r>
        <w:rPr>
          <w:rFonts w:eastAsia="Times New Roman" w:cs="Times New Roman"/>
          <w:i/>
          <w:iCs/>
          <w:szCs w:val="24"/>
        </w:rPr>
        <w:t xml:space="preserve">et al., </w:t>
      </w:r>
      <w:r>
        <w:rPr>
          <w:rFonts w:eastAsia="Times New Roman" w:cs="Times New Roman"/>
          <w:szCs w:val="24"/>
        </w:rPr>
        <w:t xml:space="preserve">2019; Ansari </w:t>
      </w:r>
      <w:r>
        <w:rPr>
          <w:rFonts w:eastAsia="Times New Roman" w:cs="Times New Roman"/>
          <w:i/>
          <w:iCs/>
          <w:szCs w:val="24"/>
        </w:rPr>
        <w:t>et al</w:t>
      </w:r>
      <w:r>
        <w:rPr>
          <w:rFonts w:eastAsia="Times New Roman" w:cs="Times New Roman"/>
          <w:szCs w:val="24"/>
        </w:rPr>
        <w:t xml:space="preserve">., 2022). Although </w:t>
      </w:r>
      <w:r>
        <w:rPr>
          <w:rFonts w:eastAsia="Times New Roman" w:cs="Times New Roman"/>
          <w:i/>
          <w:szCs w:val="24"/>
        </w:rPr>
        <w:t xml:space="preserve">D. mespiliformis </w:t>
      </w:r>
      <w:r>
        <w:rPr>
          <w:rFonts w:eastAsia="Times New Roman" w:cs="Times New Roman"/>
          <w:szCs w:val="24"/>
        </w:rPr>
        <w:t>has been traditionally used for managing diabetes and contains bioactive compounds with reported antidiabetic properti</w:t>
      </w:r>
      <w:r>
        <w:rPr>
          <w:rFonts w:eastAsia="Times New Roman" w:cs="Times New Roman"/>
          <w:szCs w:val="24"/>
        </w:rPr>
        <w:t>es (Mohammed</w:t>
      </w:r>
      <w:r>
        <w:rPr>
          <w:rFonts w:eastAsia="Times New Roman" w:cs="Times New Roman"/>
          <w:i/>
          <w:iCs/>
          <w:szCs w:val="24"/>
        </w:rPr>
        <w:t xml:space="preserve"> et al</w:t>
      </w:r>
      <w:r>
        <w:rPr>
          <w:rFonts w:eastAsia="Times New Roman" w:cs="Times New Roman"/>
          <w:szCs w:val="24"/>
        </w:rPr>
        <w:t xml:space="preserve">., 2009; Mudau </w:t>
      </w:r>
      <w:r>
        <w:rPr>
          <w:rFonts w:eastAsia="Times New Roman" w:cs="Times New Roman"/>
          <w:i/>
          <w:iCs/>
          <w:szCs w:val="24"/>
        </w:rPr>
        <w:t>et al.</w:t>
      </w:r>
      <w:r>
        <w:rPr>
          <w:rFonts w:eastAsia="Times New Roman" w:cs="Times New Roman"/>
          <w:szCs w:val="24"/>
        </w:rPr>
        <w:t>, 2022), there is still insufficient scientific evidence confirming the hypoglycemic activity of its fruit, Kaiwa. Furthermore, its mechanism of action has not been evaluated in a controlled experimental model (Ramadw</w:t>
      </w:r>
      <w:r>
        <w:rPr>
          <w:rFonts w:eastAsia="Times New Roman" w:cs="Times New Roman"/>
          <w:szCs w:val="24"/>
        </w:rPr>
        <w:t xml:space="preserve">a and Meddows-Taylor, 2023). Therefore, this study aims to investigate the antihyperglycemic potential and safety of Kaiwa fruit extract using a high-sugar diet-induced diabetic </w:t>
      </w:r>
      <w:r>
        <w:rPr>
          <w:rFonts w:eastAsia="Times New Roman" w:cs="Times New Roman"/>
          <w:i/>
          <w:szCs w:val="24"/>
        </w:rPr>
        <w:t xml:space="preserve">Drosophila melanogaster </w:t>
      </w:r>
      <w:r>
        <w:rPr>
          <w:rFonts w:eastAsia="Times New Roman" w:cs="Times New Roman"/>
          <w:szCs w:val="24"/>
        </w:rPr>
        <w:t xml:space="preserve"> model.</w:t>
      </w:r>
    </w:p>
    <w:p w:rsidR="003C05B7" w:rsidRDefault="00670731">
      <w:pPr>
        <w:pStyle w:val="Heading1"/>
        <w:jc w:val="left"/>
      </w:pPr>
      <w:r>
        <w:t>1.3 Justification/Significance of the Study</w:t>
      </w:r>
    </w:p>
    <w:p w:rsidR="003C05B7" w:rsidRDefault="00670731">
      <w:pPr>
        <w:jc w:val="both"/>
        <w:outlineLvl w:val="2"/>
        <w:rPr>
          <w:rFonts w:eastAsia="Times New Roman" w:cs="Times New Roman"/>
          <w:szCs w:val="24"/>
        </w:rPr>
      </w:pPr>
      <w:r>
        <w:rPr>
          <w:rFonts w:eastAsia="Times New Roman" w:cs="Times New Roman"/>
          <w:szCs w:val="24"/>
        </w:rPr>
        <w:t>Di</w:t>
      </w:r>
      <w:r>
        <w:rPr>
          <w:rFonts w:eastAsia="Times New Roman" w:cs="Times New Roman"/>
          <w:szCs w:val="24"/>
        </w:rPr>
        <w:t xml:space="preserve">abetes mellitus remains a major global health burden, and the limitations of conventional antidiabetic drugs highlight the need for safer, affordable alternatives (IDF, 2023; Atanu </w:t>
      </w:r>
      <w:r>
        <w:rPr>
          <w:rFonts w:eastAsia="Times New Roman" w:cs="Times New Roman"/>
          <w:i/>
          <w:iCs/>
          <w:szCs w:val="24"/>
        </w:rPr>
        <w:t>et al</w:t>
      </w:r>
      <w:r>
        <w:rPr>
          <w:rFonts w:eastAsia="Times New Roman" w:cs="Times New Roman"/>
          <w:szCs w:val="24"/>
        </w:rPr>
        <w:t xml:space="preserve">., 2020). </w:t>
      </w:r>
      <w:r>
        <w:rPr>
          <w:rFonts w:eastAsia="Times New Roman" w:cs="Times New Roman"/>
          <w:i/>
          <w:szCs w:val="24"/>
        </w:rPr>
        <w:t xml:space="preserve">D. </w:t>
      </w:r>
      <w:r>
        <w:rPr>
          <w:rFonts w:eastAsia="Times New Roman" w:cs="Times New Roman"/>
          <w:i/>
          <w:iCs/>
          <w:szCs w:val="24"/>
        </w:rPr>
        <w:t>mespiliformis</w:t>
      </w:r>
      <w:r>
        <w:rPr>
          <w:rFonts w:eastAsia="Times New Roman" w:cs="Times New Roman"/>
          <w:szCs w:val="24"/>
        </w:rPr>
        <w:t xml:space="preserve"> (Kaiwa) is traditionally used for managing </w:t>
      </w:r>
      <w:r>
        <w:rPr>
          <w:rFonts w:eastAsia="Times New Roman" w:cs="Times New Roman"/>
          <w:szCs w:val="24"/>
        </w:rPr>
        <w:t xml:space="preserve">diabetes and contains phytochemicals with potential glucose-lowering properties, but scientific evidence supporting its effectiveness is still limited (Mukhtar </w:t>
      </w:r>
      <w:r>
        <w:rPr>
          <w:rFonts w:eastAsia="Times New Roman" w:cs="Times New Roman"/>
          <w:i/>
          <w:iCs/>
          <w:szCs w:val="24"/>
        </w:rPr>
        <w:t>et al</w:t>
      </w:r>
      <w:r>
        <w:rPr>
          <w:rFonts w:eastAsia="Times New Roman" w:cs="Times New Roman"/>
          <w:szCs w:val="24"/>
        </w:rPr>
        <w:t xml:space="preserve">., 2022; Adewoye </w:t>
      </w:r>
      <w:r>
        <w:rPr>
          <w:rFonts w:eastAsia="Times New Roman" w:cs="Times New Roman"/>
          <w:i/>
          <w:iCs/>
          <w:szCs w:val="24"/>
        </w:rPr>
        <w:t>et al</w:t>
      </w:r>
      <w:r>
        <w:rPr>
          <w:rFonts w:eastAsia="Times New Roman" w:cs="Times New Roman"/>
          <w:szCs w:val="24"/>
        </w:rPr>
        <w:t>., 2021). The use of</w:t>
      </w:r>
      <w:r>
        <w:rPr>
          <w:rFonts w:eastAsia="Times New Roman" w:cs="Times New Roman"/>
          <w:i/>
          <w:szCs w:val="24"/>
        </w:rPr>
        <w:t xml:space="preserve"> D. </w:t>
      </w:r>
      <w:r>
        <w:rPr>
          <w:rFonts w:eastAsia="Times New Roman" w:cs="Times New Roman"/>
          <w:i/>
          <w:iCs/>
          <w:szCs w:val="24"/>
        </w:rPr>
        <w:t>melanogaster</w:t>
      </w:r>
      <w:r>
        <w:rPr>
          <w:rFonts w:eastAsia="Times New Roman" w:cs="Times New Roman"/>
          <w:szCs w:val="24"/>
        </w:rPr>
        <w:t xml:space="preserve"> as a diabetic model is appropria</w:t>
      </w:r>
      <w:r>
        <w:rPr>
          <w:rFonts w:eastAsia="Times New Roman" w:cs="Times New Roman"/>
          <w:szCs w:val="24"/>
        </w:rPr>
        <w:t xml:space="preserve">te because its metabolic pathways closely resemble those of mammals and it is efficient for evaluating hypoglycemic activity (Musselman </w:t>
      </w:r>
      <w:r>
        <w:rPr>
          <w:rFonts w:eastAsia="Times New Roman" w:cs="Times New Roman"/>
          <w:i/>
          <w:iCs/>
          <w:szCs w:val="24"/>
        </w:rPr>
        <w:t xml:space="preserve">et al., </w:t>
      </w:r>
      <w:r>
        <w:rPr>
          <w:rFonts w:eastAsia="Times New Roman" w:cs="Times New Roman"/>
          <w:szCs w:val="24"/>
        </w:rPr>
        <w:t>2018; Pasco and Leopold, 2012). Therefore, this study is justified by the need to experimentally validate the hy</w:t>
      </w:r>
      <w:r>
        <w:rPr>
          <w:rFonts w:eastAsia="Times New Roman" w:cs="Times New Roman"/>
          <w:szCs w:val="24"/>
        </w:rPr>
        <w:t xml:space="preserve">poglycemic potential and mechanisms of </w:t>
      </w:r>
      <w:r>
        <w:rPr>
          <w:rFonts w:eastAsia="Times New Roman" w:cs="Times New Roman"/>
          <w:i/>
          <w:szCs w:val="24"/>
        </w:rPr>
        <w:t xml:space="preserve">D. </w:t>
      </w:r>
      <w:r>
        <w:rPr>
          <w:rFonts w:eastAsia="Times New Roman" w:cs="Times New Roman"/>
          <w:i/>
          <w:iCs/>
          <w:szCs w:val="24"/>
        </w:rPr>
        <w:t>mespiliformis</w:t>
      </w:r>
      <w:r>
        <w:rPr>
          <w:rFonts w:eastAsia="Times New Roman" w:cs="Times New Roman"/>
          <w:szCs w:val="24"/>
        </w:rPr>
        <w:t xml:space="preserve"> using a diabetic-induced</w:t>
      </w:r>
      <w:r>
        <w:rPr>
          <w:rFonts w:eastAsia="Times New Roman" w:cs="Times New Roman"/>
          <w:i/>
          <w:szCs w:val="24"/>
        </w:rPr>
        <w:t xml:space="preserve"> Drosophila</w:t>
      </w:r>
      <w:r>
        <w:rPr>
          <w:rFonts w:eastAsia="Times New Roman" w:cs="Times New Roman"/>
          <w:szCs w:val="24"/>
        </w:rPr>
        <w:t xml:space="preserve"> model</w:t>
      </w:r>
    </w:p>
    <w:p w:rsidR="003C05B7" w:rsidRDefault="003C05B7">
      <w:pPr>
        <w:jc w:val="both"/>
        <w:outlineLvl w:val="2"/>
        <w:rPr>
          <w:rFonts w:eastAsia="Times New Roman" w:cs="Times New Roman"/>
          <w:b/>
          <w:bCs/>
          <w:szCs w:val="24"/>
        </w:rPr>
      </w:pPr>
    </w:p>
    <w:p w:rsidR="003C05B7" w:rsidRDefault="00670731">
      <w:pPr>
        <w:pStyle w:val="Heading1"/>
        <w:jc w:val="left"/>
      </w:pPr>
      <w:r>
        <w:t>1.4 Aim and Objectives of the Study</w:t>
      </w:r>
    </w:p>
    <w:p w:rsidR="003C05B7" w:rsidRDefault="00670731">
      <w:pPr>
        <w:pStyle w:val="Heading1"/>
        <w:jc w:val="left"/>
      </w:pPr>
      <w:r>
        <w:t>1.4.1: Aim</w:t>
      </w:r>
    </w:p>
    <w:p w:rsidR="003C05B7" w:rsidRDefault="00670731">
      <w:pPr>
        <w:jc w:val="both"/>
        <w:rPr>
          <w:rFonts w:eastAsia="Times New Roman" w:cs="Times New Roman"/>
          <w:szCs w:val="24"/>
        </w:rPr>
      </w:pPr>
      <w:r>
        <w:rPr>
          <w:rFonts w:eastAsia="Times New Roman" w:cs="Times New Roman"/>
          <w:szCs w:val="24"/>
        </w:rPr>
        <w:t>To investigate the hypoglycemic effect of methanol stem extract of kaiwa (</w:t>
      </w:r>
      <w:r>
        <w:rPr>
          <w:rFonts w:eastAsia="Times New Roman" w:cs="Times New Roman"/>
          <w:i/>
          <w:szCs w:val="24"/>
        </w:rPr>
        <w:t>D. mespiliformis</w:t>
      </w:r>
      <w:r>
        <w:rPr>
          <w:rFonts w:eastAsia="Times New Roman" w:cs="Times New Roman"/>
          <w:szCs w:val="24"/>
        </w:rPr>
        <w:t>) on Diabetes Induce</w:t>
      </w:r>
      <w:r>
        <w:rPr>
          <w:rFonts w:eastAsia="Times New Roman" w:cs="Times New Roman"/>
          <w:szCs w:val="24"/>
        </w:rPr>
        <w:t>d fruits fly</w:t>
      </w:r>
    </w:p>
    <w:p w:rsidR="003C05B7" w:rsidRDefault="00670731">
      <w:pPr>
        <w:jc w:val="both"/>
        <w:rPr>
          <w:rFonts w:eastAsia="Times New Roman" w:cs="Times New Roman"/>
          <w:szCs w:val="24"/>
        </w:rPr>
      </w:pPr>
      <w:r>
        <w:rPr>
          <w:rFonts w:eastAsia="Times New Roman" w:cs="Times New Roman"/>
          <w:b/>
          <w:bCs/>
          <w:szCs w:val="24"/>
        </w:rPr>
        <w:t>1.4.2: Specific Objectives:</w:t>
      </w:r>
    </w:p>
    <w:p w:rsidR="003C05B7" w:rsidRDefault="00670731">
      <w:pPr>
        <w:pStyle w:val="ListParagraph"/>
        <w:numPr>
          <w:ilvl w:val="0"/>
          <w:numId w:val="2"/>
        </w:numPr>
        <w:jc w:val="both"/>
        <w:rPr>
          <w:rFonts w:eastAsia="Times New Roman" w:cs="Times New Roman"/>
          <w:i/>
          <w:szCs w:val="24"/>
        </w:rPr>
      </w:pPr>
      <w:r>
        <w:rPr>
          <w:rFonts w:eastAsia="Times New Roman" w:cs="Times New Roman"/>
          <w:szCs w:val="24"/>
        </w:rPr>
        <w:t xml:space="preserve">To induce diabetes mellitus (Type II) model in </w:t>
      </w:r>
      <w:r>
        <w:rPr>
          <w:rFonts w:eastAsia="Times New Roman" w:cs="Times New Roman"/>
          <w:i/>
          <w:szCs w:val="24"/>
        </w:rPr>
        <w:t>Drosophila</w:t>
      </w:r>
    </w:p>
    <w:p w:rsidR="003C05B7" w:rsidRDefault="00670731">
      <w:pPr>
        <w:pStyle w:val="ListParagraph"/>
        <w:numPr>
          <w:ilvl w:val="0"/>
          <w:numId w:val="2"/>
        </w:numPr>
        <w:jc w:val="both"/>
        <w:rPr>
          <w:rFonts w:eastAsia="Times New Roman" w:cs="Times New Roman"/>
          <w:szCs w:val="24"/>
        </w:rPr>
      </w:pPr>
      <w:r>
        <w:rPr>
          <w:rFonts w:eastAsia="Times New Roman" w:cs="Times New Roman"/>
          <w:szCs w:val="24"/>
        </w:rPr>
        <w:t>To assess the physical parameters including weight and locomotory performance after treatment with extract.</w:t>
      </w:r>
    </w:p>
    <w:p w:rsidR="003C05B7" w:rsidRDefault="00670731">
      <w:pPr>
        <w:pStyle w:val="ListParagraph"/>
        <w:numPr>
          <w:ilvl w:val="0"/>
          <w:numId w:val="2"/>
        </w:numPr>
        <w:jc w:val="both"/>
        <w:rPr>
          <w:rFonts w:eastAsia="Times New Roman" w:cs="Times New Roman"/>
          <w:szCs w:val="24"/>
        </w:rPr>
      </w:pPr>
      <w:r>
        <w:rPr>
          <w:rFonts w:eastAsia="Times New Roman" w:cs="Times New Roman"/>
          <w:szCs w:val="24"/>
        </w:rPr>
        <w:t xml:space="preserve">To assess the biochemical parameters including </w:t>
      </w:r>
      <w:r>
        <w:rPr>
          <w:rFonts w:eastAsia="Times New Roman" w:cs="Times New Roman"/>
          <w:szCs w:val="24"/>
        </w:rPr>
        <w:t>Glucose,Trehalose and Glycogen after treatment with extract.</w:t>
      </w:r>
    </w:p>
    <w:p w:rsidR="003C05B7" w:rsidRDefault="003C05B7">
      <w:pPr>
        <w:jc w:val="both"/>
        <w:outlineLvl w:val="2"/>
        <w:rPr>
          <w:rFonts w:eastAsia="Times New Roman" w:cs="Times New Roman"/>
          <w:b/>
          <w:bCs/>
          <w:szCs w:val="24"/>
        </w:rPr>
      </w:pPr>
    </w:p>
    <w:p w:rsidR="003C05B7" w:rsidRDefault="00670731">
      <w:pPr>
        <w:jc w:val="both"/>
        <w:rPr>
          <w:rFonts w:cs="Times New Roman"/>
          <w:szCs w:val="24"/>
        </w:rPr>
      </w:pPr>
      <w:r>
        <w:rPr>
          <w:rFonts w:cs="Times New Roman"/>
          <w:szCs w:val="24"/>
        </w:rPr>
        <w:br w:type="page"/>
      </w:r>
    </w:p>
    <w:p w:rsidR="003C05B7" w:rsidRDefault="00670731">
      <w:pPr>
        <w:pStyle w:val="Heading1"/>
        <w:rPr>
          <w:rStyle w:val="Strong"/>
          <w:b/>
          <w:bCs w:val="0"/>
        </w:rPr>
      </w:pPr>
      <w:r>
        <w:rPr>
          <w:rStyle w:val="Strong"/>
          <w:b/>
          <w:bCs w:val="0"/>
        </w:rPr>
        <w:t>CHAPTER TWO</w:t>
      </w:r>
    </w:p>
    <w:p w:rsidR="003C05B7" w:rsidRDefault="00670731">
      <w:pPr>
        <w:pStyle w:val="Heading1"/>
        <w:jc w:val="left"/>
      </w:pPr>
      <w:r>
        <w:rPr>
          <w:rStyle w:val="Strong"/>
          <w:b/>
          <w:bCs w:val="0"/>
        </w:rPr>
        <w:t>2.0 LITERATURE REVIEW</w:t>
      </w:r>
    </w:p>
    <w:p w:rsidR="003C05B7" w:rsidRDefault="00670731">
      <w:pPr>
        <w:pStyle w:val="Heading3"/>
        <w:spacing w:before="0" w:beforeAutospacing="0" w:after="0" w:afterAutospacing="0" w:line="480" w:lineRule="auto"/>
        <w:jc w:val="both"/>
        <w:rPr>
          <w:b w:val="0"/>
          <w:bCs w:val="0"/>
          <w:sz w:val="24"/>
          <w:szCs w:val="24"/>
        </w:rPr>
      </w:pPr>
      <w:r>
        <w:rPr>
          <w:rStyle w:val="Strong"/>
          <w:sz w:val="24"/>
          <w:szCs w:val="24"/>
        </w:rPr>
        <w:t xml:space="preserve">2.1 Overview of Diabetes Mellitus and metabolic implications </w:t>
      </w:r>
    </w:p>
    <w:p w:rsidR="003C05B7" w:rsidRDefault="00670731">
      <w:pPr>
        <w:pStyle w:val="Heading3"/>
        <w:spacing w:before="0" w:beforeAutospacing="0" w:after="0" w:afterAutospacing="0" w:line="480" w:lineRule="auto"/>
        <w:jc w:val="both"/>
        <w:rPr>
          <w:b w:val="0"/>
          <w:bCs w:val="0"/>
          <w:sz w:val="24"/>
          <w:szCs w:val="24"/>
        </w:rPr>
      </w:pPr>
      <w:r>
        <w:rPr>
          <w:rStyle w:val="Strong"/>
          <w:sz w:val="24"/>
          <w:szCs w:val="24"/>
        </w:rPr>
        <w:t>Diabetes mellitus is a serious, chronic metabolic disorder that's characterized by high sugar le</w:t>
      </w:r>
      <w:r>
        <w:rPr>
          <w:rStyle w:val="Strong"/>
          <w:sz w:val="24"/>
          <w:szCs w:val="24"/>
        </w:rPr>
        <w:t>vel either when the pancreas does not produce enough insulin, or when the body cannot effectively use insulin (Bereda,2021). Type 2 diabetes Mellitus (T2DM) which results from the body's inability to respond properly to the action of insulin produced by th</w:t>
      </w:r>
      <w:r>
        <w:rPr>
          <w:rStyle w:val="Strong"/>
          <w:sz w:val="24"/>
          <w:szCs w:val="24"/>
        </w:rPr>
        <w:t>e pancreas (Amin, 2018). T2DM constitutes about 85–95% of all diabetes in high-income countries with a higher percentage in low- and middle-income countries due to rapid sociocultural changes, ageing populations, increasing urbanization, reduced physical a</w:t>
      </w:r>
      <w:r>
        <w:rPr>
          <w:rStyle w:val="Strong"/>
          <w:sz w:val="24"/>
          <w:szCs w:val="24"/>
        </w:rPr>
        <w:t>ctivity and unhealthy lifestyle and behavioral patterns (WHO,2019). The International Diabetes Federation report of 2017 suggested that 451 million adults globally had diabetes in 2017, and 693 million individuals are expected to suffer from Diabetes melli</w:t>
      </w:r>
      <w:r>
        <w:rPr>
          <w:rStyle w:val="Strong"/>
          <w:sz w:val="24"/>
          <w:szCs w:val="24"/>
        </w:rPr>
        <w:t>tus by 2045 (IDF,2017). The World Health Organization (WHO) also estimates that more than 19% of the world’s total adult population will suffer from Diabetes mellitus by the year 2030(Danaei</w:t>
      </w:r>
      <w:r>
        <w:rPr>
          <w:rStyle w:val="Strong"/>
          <w:i/>
          <w:sz w:val="24"/>
          <w:szCs w:val="24"/>
        </w:rPr>
        <w:t xml:space="preserve"> et al.,</w:t>
      </w:r>
      <w:r>
        <w:rPr>
          <w:rStyle w:val="Strong"/>
          <w:sz w:val="24"/>
          <w:szCs w:val="24"/>
        </w:rPr>
        <w:t>2011). The pathophysiology of T2DM involves insulin resist</w:t>
      </w:r>
      <w:r>
        <w:rPr>
          <w:rStyle w:val="Strong"/>
          <w:sz w:val="24"/>
          <w:szCs w:val="24"/>
        </w:rPr>
        <w:t xml:space="preserve">ance and β-cell dysfunction. Insulin-sensitive tissues fail to respond effectively to insulin, while pancreatic β-cells produce insufficient insulin to maintain normal glucose levels, together leading to persistent hyperglycemia (Galicia-Garcia </w:t>
      </w:r>
      <w:r>
        <w:rPr>
          <w:rStyle w:val="Strong"/>
          <w:i/>
          <w:iCs/>
          <w:sz w:val="24"/>
          <w:szCs w:val="24"/>
        </w:rPr>
        <w:t>et al</w:t>
      </w:r>
      <w:r>
        <w:rPr>
          <w:rStyle w:val="Strong"/>
          <w:sz w:val="24"/>
          <w:szCs w:val="24"/>
        </w:rPr>
        <w:t>., 202</w:t>
      </w:r>
      <w:r>
        <w:rPr>
          <w:rStyle w:val="Strong"/>
          <w:sz w:val="24"/>
          <w:szCs w:val="24"/>
        </w:rPr>
        <w:t>0; Roden and Shulman, 2019). This hyperglycemic state is exacerbated by dysregulated glucagon secretion from pancreatic alpha-cells, which inappropriately stimulates hepatic glucose output even in the fed state (Dunning and Gerich, 2007). Furthermore, a ch</w:t>
      </w:r>
      <w:r>
        <w:rPr>
          <w:rStyle w:val="Strong"/>
          <w:sz w:val="24"/>
          <w:szCs w:val="24"/>
        </w:rPr>
        <w:t>aracteristic dyslipidemia is common, typified by elevated triglycerides, low levels of high-density lipoprotein (HDL) cholesterol, and a preponderance of small, dense low-density lipoprotein (LDL) particles (Feingold and Grunfeld, 2023).</w:t>
      </w:r>
    </w:p>
    <w:p w:rsidR="003C05B7" w:rsidRDefault="00670731">
      <w:pPr>
        <w:pStyle w:val="Heading3"/>
        <w:spacing w:before="0" w:beforeAutospacing="0" w:after="0" w:afterAutospacing="0" w:line="480" w:lineRule="auto"/>
        <w:jc w:val="both"/>
        <w:rPr>
          <w:b w:val="0"/>
          <w:bCs w:val="0"/>
          <w:sz w:val="24"/>
          <w:szCs w:val="24"/>
        </w:rPr>
      </w:pPr>
      <w:r>
        <w:rPr>
          <w:rStyle w:val="Strong"/>
          <w:sz w:val="24"/>
          <w:szCs w:val="24"/>
        </w:rPr>
        <w:t>The long-term impl</w:t>
      </w:r>
      <w:r>
        <w:rPr>
          <w:rStyle w:val="Strong"/>
          <w:sz w:val="24"/>
          <w:szCs w:val="24"/>
        </w:rPr>
        <w:t>ications of these metabolic disturbances are severe and underscore the necessity for effective interventions. Chronic hyperglycemia drives the development of microvascular complications, including retinopathy, nephropathy, and neuropathy, which are leading</w:t>
      </w:r>
      <w:r>
        <w:rPr>
          <w:rStyle w:val="Strong"/>
          <w:sz w:val="24"/>
          <w:szCs w:val="24"/>
        </w:rPr>
        <w:t xml:space="preserve"> causes of blindness, kidney failure, and lower-limb amputations, respectively (Cole and Florez, 2020). Additionally, T2DM is a major risk factor for macrovascular complications, such as atherosclerotic cardiovascular disease, stroke, and heart failure, wh</w:t>
      </w:r>
      <w:r>
        <w:rPr>
          <w:rStyle w:val="Strong"/>
          <w:sz w:val="24"/>
          <w:szCs w:val="24"/>
        </w:rPr>
        <w:t xml:space="preserve">ich account for the majority of mortality in this patient population (Arnett </w:t>
      </w:r>
      <w:r>
        <w:rPr>
          <w:rStyle w:val="Strong"/>
          <w:i/>
          <w:iCs/>
          <w:sz w:val="24"/>
          <w:szCs w:val="24"/>
        </w:rPr>
        <w:t>et al.,</w:t>
      </w:r>
      <w:r>
        <w:rPr>
          <w:rStyle w:val="Strong"/>
          <w:sz w:val="24"/>
          <w:szCs w:val="24"/>
        </w:rPr>
        <w:t xml:space="preserve"> 2019).</w:t>
      </w:r>
    </w:p>
    <w:p w:rsidR="003C05B7" w:rsidRDefault="003C05B7">
      <w:pPr>
        <w:pStyle w:val="Heading3"/>
        <w:spacing w:before="0" w:beforeAutospacing="0" w:after="0" w:afterAutospacing="0" w:line="480" w:lineRule="auto"/>
        <w:jc w:val="both"/>
        <w:rPr>
          <w:b w:val="0"/>
          <w:bCs w:val="0"/>
          <w:sz w:val="24"/>
          <w:szCs w:val="24"/>
        </w:rPr>
      </w:pPr>
    </w:p>
    <w:p w:rsidR="003C05B7" w:rsidRDefault="00670731">
      <w:pPr>
        <w:pStyle w:val="Heading1"/>
        <w:jc w:val="left"/>
      </w:pPr>
      <w:r>
        <w:t xml:space="preserve">2.2 Hypoglycemic agent and mechanism of action </w:t>
      </w:r>
    </w:p>
    <w:p w:rsidR="003C05B7" w:rsidRDefault="00670731">
      <w:pPr>
        <w:jc w:val="both"/>
        <w:outlineLvl w:val="2"/>
        <w:rPr>
          <w:rFonts w:eastAsia="Times New Roman" w:cs="Times New Roman"/>
          <w:szCs w:val="24"/>
        </w:rPr>
      </w:pPr>
      <w:r>
        <w:rPr>
          <w:rFonts w:eastAsia="Times New Roman" w:cs="Times New Roman"/>
          <w:szCs w:val="24"/>
        </w:rPr>
        <w:t>The effective management of diabetes mellitus requires an interprofessional approach that integrates lifestyle modi</w:t>
      </w:r>
      <w:r>
        <w:rPr>
          <w:rFonts w:eastAsia="Times New Roman" w:cs="Times New Roman"/>
          <w:szCs w:val="24"/>
        </w:rPr>
        <w:t>fication including diet and physical activity with pharmacologic therapy to achieve individualized glycemic goals (Liu and Ang, 2019). As type 2 diabetes mellitus progresses and pancreatic β-cell function continues to decline, healthcare providers often em</w:t>
      </w:r>
      <w:r>
        <w:rPr>
          <w:rFonts w:eastAsia="Times New Roman" w:cs="Times New Roman"/>
          <w:szCs w:val="24"/>
        </w:rPr>
        <w:t xml:space="preserve">phasize the need for patients to combine lifestyle changes with oral hypoglycemic medications for optimal glycemic control (Gatwood </w:t>
      </w:r>
      <w:r>
        <w:rPr>
          <w:rFonts w:eastAsia="Times New Roman" w:cs="Times New Roman"/>
          <w:i/>
          <w:iCs/>
          <w:szCs w:val="24"/>
        </w:rPr>
        <w:t>et al.</w:t>
      </w:r>
      <w:r>
        <w:rPr>
          <w:rFonts w:eastAsia="Times New Roman" w:cs="Times New Roman"/>
          <w:szCs w:val="24"/>
        </w:rPr>
        <w:t>, 2018). A wide range of oral antidiabetic agents is available, each with distinct mechanisms that target various meta</w:t>
      </w:r>
      <w:r>
        <w:rPr>
          <w:rFonts w:eastAsia="Times New Roman" w:cs="Times New Roman"/>
          <w:szCs w:val="24"/>
        </w:rPr>
        <w:t xml:space="preserve">bolic defects in T2DM (Ganesan </w:t>
      </w:r>
      <w:r>
        <w:rPr>
          <w:rFonts w:eastAsia="Times New Roman" w:cs="Times New Roman"/>
          <w:i/>
          <w:iCs/>
          <w:szCs w:val="24"/>
        </w:rPr>
        <w:t>et al.,</w:t>
      </w:r>
      <w:r>
        <w:rPr>
          <w:rFonts w:eastAsia="Times New Roman" w:cs="Times New Roman"/>
          <w:szCs w:val="24"/>
        </w:rPr>
        <w:t xml:space="preserve"> 2023). These include sulfonylureas, meglitinides, biguanides, thiazolidinediones, α-glucosidase inhibitors, DPP-4 inhibitors, SGLT2 inhibitors, and bromocriptine (Cycloset).</w:t>
      </w:r>
    </w:p>
    <w:p w:rsidR="003C05B7" w:rsidRDefault="00670731">
      <w:pPr>
        <w:pStyle w:val="Heading1"/>
        <w:jc w:val="left"/>
      </w:pPr>
      <w:r>
        <w:t>2.2.1 Sulfonylureas</w:t>
      </w:r>
    </w:p>
    <w:p w:rsidR="003C05B7" w:rsidRDefault="00670731">
      <w:pPr>
        <w:jc w:val="both"/>
        <w:outlineLvl w:val="2"/>
        <w:rPr>
          <w:rFonts w:eastAsia="Times New Roman" w:cs="Times New Roman"/>
          <w:szCs w:val="24"/>
        </w:rPr>
      </w:pPr>
      <w:r>
        <w:rPr>
          <w:rFonts w:eastAsia="Times New Roman" w:cs="Times New Roman"/>
          <w:szCs w:val="24"/>
        </w:rPr>
        <w:t>Sulfonylureas (e.g., gl</w:t>
      </w:r>
      <w:r>
        <w:rPr>
          <w:rFonts w:eastAsia="Times New Roman" w:cs="Times New Roman"/>
          <w:szCs w:val="24"/>
        </w:rPr>
        <w:t xml:space="preserve">ipizide, glyburide, gliclazide, glimepiride) are among the earliest and most widely used oral antidiabetic drugs (Thulé and Umpierrez, 2014). They function as insulin secretagogues by stimulating glucose-independent insulin release from pancreatic β-cells </w:t>
      </w:r>
      <w:r>
        <w:rPr>
          <w:rFonts w:eastAsia="Times New Roman" w:cs="Times New Roman"/>
          <w:szCs w:val="24"/>
        </w:rPr>
        <w:t>(Timmons and Boyle, 2022). Their mechanism involves binding to ATP-sensitive potassium (K-ATP) channels on β-cells, leading to channel inhibition, membrane depolarization, calcium influx, and subsequent insulin secretion (de Wet and Proks, 2015).</w:t>
      </w:r>
    </w:p>
    <w:p w:rsidR="003C05B7" w:rsidRDefault="00670731">
      <w:pPr>
        <w:pStyle w:val="Heading1"/>
        <w:jc w:val="left"/>
      </w:pPr>
      <w:r>
        <w:t>2.2.2. Me</w:t>
      </w:r>
      <w:r>
        <w:t>glitinides</w:t>
      </w:r>
    </w:p>
    <w:p w:rsidR="003C05B7" w:rsidRDefault="00670731">
      <w:pPr>
        <w:jc w:val="both"/>
        <w:outlineLvl w:val="2"/>
        <w:rPr>
          <w:rFonts w:eastAsia="Times New Roman" w:cs="Times New Roman"/>
          <w:szCs w:val="24"/>
        </w:rPr>
      </w:pPr>
      <w:r>
        <w:rPr>
          <w:rFonts w:eastAsia="Times New Roman" w:cs="Times New Roman"/>
          <w:szCs w:val="24"/>
        </w:rPr>
        <w:t>Meglitinides (repaglinide and nateglinide) are also insulin secretagogues but have a faster onset and shorter duration of action than sulfonylureas, making them particularly effective for controlling post-prandial hyperglycemia (Guardado-Mendoza</w:t>
      </w:r>
      <w:r>
        <w:rPr>
          <w:rFonts w:eastAsia="Times New Roman" w:cs="Times New Roman"/>
          <w:szCs w:val="24"/>
        </w:rPr>
        <w:t xml:space="preserve"> </w:t>
      </w:r>
      <w:r>
        <w:rPr>
          <w:rFonts w:eastAsia="Times New Roman" w:cs="Times New Roman"/>
          <w:i/>
          <w:iCs/>
          <w:szCs w:val="24"/>
        </w:rPr>
        <w:t>et al.</w:t>
      </w:r>
      <w:r>
        <w:rPr>
          <w:rFonts w:eastAsia="Times New Roman" w:cs="Times New Roman"/>
          <w:szCs w:val="24"/>
        </w:rPr>
        <w:t xml:space="preserve">, 2013). They bind to a distinct site on the SUR1 subunit of the K-ATP channel separate from the sulfonylurea binding site yet ultimately produce the same cascade of cell depolarization, calcium influx, and insulin release (Tahrani </w:t>
      </w:r>
      <w:r>
        <w:rPr>
          <w:rFonts w:eastAsia="Times New Roman" w:cs="Times New Roman"/>
          <w:i/>
          <w:iCs/>
          <w:szCs w:val="24"/>
        </w:rPr>
        <w:t>et</w:t>
      </w:r>
      <w:r>
        <w:rPr>
          <w:rFonts w:eastAsia="Times New Roman" w:cs="Times New Roman"/>
          <w:szCs w:val="24"/>
        </w:rPr>
        <w:t xml:space="preserve"> </w:t>
      </w:r>
      <w:r>
        <w:rPr>
          <w:rFonts w:eastAsia="Times New Roman" w:cs="Times New Roman"/>
          <w:i/>
          <w:iCs/>
          <w:szCs w:val="24"/>
        </w:rPr>
        <w:t>al</w:t>
      </w:r>
      <w:r>
        <w:rPr>
          <w:rFonts w:eastAsia="Times New Roman" w:cs="Times New Roman"/>
          <w:szCs w:val="24"/>
        </w:rPr>
        <w:t xml:space="preserve">., 2016; Tran </w:t>
      </w:r>
      <w:r>
        <w:rPr>
          <w:rFonts w:eastAsia="Times New Roman" w:cs="Times New Roman"/>
          <w:i/>
          <w:iCs/>
          <w:szCs w:val="24"/>
        </w:rPr>
        <w:t>et al</w:t>
      </w:r>
      <w:r>
        <w:rPr>
          <w:rFonts w:eastAsia="Times New Roman" w:cs="Times New Roman"/>
          <w:szCs w:val="24"/>
        </w:rPr>
        <w:t>., 2015).</w:t>
      </w:r>
    </w:p>
    <w:p w:rsidR="003C05B7" w:rsidRDefault="00670731">
      <w:pPr>
        <w:pStyle w:val="Heading1"/>
        <w:jc w:val="left"/>
      </w:pPr>
      <w:r>
        <w:t>2.2.3 Biguanides</w:t>
      </w:r>
    </w:p>
    <w:p w:rsidR="003C05B7" w:rsidRDefault="00670731">
      <w:pPr>
        <w:jc w:val="both"/>
        <w:outlineLvl w:val="2"/>
        <w:rPr>
          <w:rFonts w:eastAsia="Times New Roman" w:cs="Times New Roman"/>
          <w:szCs w:val="24"/>
        </w:rPr>
      </w:pPr>
      <w:r>
        <w:rPr>
          <w:rFonts w:eastAsia="Times New Roman" w:cs="Times New Roman"/>
          <w:szCs w:val="24"/>
        </w:rPr>
        <w:t xml:space="preserve">Metformin, the only biguanide currently in use, is the most commonly prescribed first-line medication for T2DM due to its strong efficacy and safety profile (Tehrani </w:t>
      </w:r>
      <w:r>
        <w:rPr>
          <w:rFonts w:eastAsia="Times New Roman" w:cs="Times New Roman"/>
          <w:i/>
          <w:iCs/>
          <w:szCs w:val="24"/>
        </w:rPr>
        <w:t xml:space="preserve">et al., </w:t>
      </w:r>
      <w:r>
        <w:rPr>
          <w:rFonts w:eastAsia="Times New Roman" w:cs="Times New Roman"/>
          <w:szCs w:val="24"/>
        </w:rPr>
        <w:t xml:space="preserve">2016). It primarily reduces hepatic </w:t>
      </w:r>
      <w:r>
        <w:rPr>
          <w:rFonts w:eastAsia="Times New Roman" w:cs="Times New Roman"/>
          <w:szCs w:val="24"/>
        </w:rPr>
        <w:t xml:space="preserve">glucose production and enhances hepatic insulin sensitivity, while having modest effects on peripheral glucose uptake (Rena </w:t>
      </w:r>
      <w:r>
        <w:rPr>
          <w:rFonts w:eastAsia="Times New Roman" w:cs="Times New Roman"/>
          <w:i/>
          <w:iCs/>
          <w:szCs w:val="24"/>
        </w:rPr>
        <w:t>et al</w:t>
      </w:r>
      <w:r>
        <w:rPr>
          <w:rFonts w:eastAsia="Times New Roman" w:cs="Times New Roman"/>
          <w:szCs w:val="24"/>
        </w:rPr>
        <w:t>., 2017). Metformin also reduces hyperinsulinemia, lowers fasting glucose levels, increases intestinal glucose utilization, and</w:t>
      </w:r>
      <w:r>
        <w:rPr>
          <w:rFonts w:eastAsia="Times New Roman" w:cs="Times New Roman"/>
          <w:szCs w:val="24"/>
        </w:rPr>
        <w:t xml:space="preserve"> stimulates GLP-1 secretion, although its complete cellular mechanisms are still not fully understood (Foretz </w:t>
      </w:r>
      <w:r>
        <w:rPr>
          <w:rFonts w:eastAsia="Times New Roman" w:cs="Times New Roman"/>
          <w:i/>
          <w:iCs/>
          <w:szCs w:val="24"/>
        </w:rPr>
        <w:t>et al.,</w:t>
      </w:r>
      <w:r>
        <w:rPr>
          <w:rFonts w:eastAsia="Times New Roman" w:cs="Times New Roman"/>
          <w:szCs w:val="24"/>
        </w:rPr>
        <w:t xml:space="preserve"> 2014).</w:t>
      </w:r>
    </w:p>
    <w:p w:rsidR="003C05B7" w:rsidRDefault="00670731">
      <w:pPr>
        <w:pStyle w:val="Heading1"/>
        <w:jc w:val="left"/>
      </w:pPr>
      <w:r>
        <w:t>2.2.4 Thiazolidinediones (TZDs)</w:t>
      </w:r>
    </w:p>
    <w:p w:rsidR="003C05B7" w:rsidRDefault="00670731">
      <w:pPr>
        <w:jc w:val="both"/>
        <w:outlineLvl w:val="2"/>
        <w:rPr>
          <w:rFonts w:eastAsia="Times New Roman" w:cs="Times New Roman"/>
          <w:szCs w:val="24"/>
        </w:rPr>
      </w:pPr>
      <w:r>
        <w:rPr>
          <w:rFonts w:eastAsia="Times New Roman" w:cs="Times New Roman"/>
          <w:szCs w:val="24"/>
        </w:rPr>
        <w:t>Thiazolidinediones (pioglitazone and rosiglitazone) are insulin sensitizers that act on intracellul</w:t>
      </w:r>
      <w:r>
        <w:rPr>
          <w:rFonts w:eastAsia="Times New Roman" w:cs="Times New Roman"/>
          <w:szCs w:val="24"/>
        </w:rPr>
        <w:t>ar pathways to improve insulin action in adipose tissue, liver, and muscle (Yamanouchi, 2010). Their primary mechanism is the activation of peroxisome proliferator-activated receptor-gamma (PPAR-γ), a nuclear receptor that enhances glucose uptake and incre</w:t>
      </w:r>
      <w:r>
        <w:rPr>
          <w:rFonts w:eastAsia="Times New Roman" w:cs="Times New Roman"/>
          <w:szCs w:val="24"/>
        </w:rPr>
        <w:t xml:space="preserve">ases adiponectin levels thereby improving insulin sensitivity and promoting fatty acid oxidation (Gor </w:t>
      </w:r>
      <w:r>
        <w:rPr>
          <w:rFonts w:eastAsia="Times New Roman" w:cs="Times New Roman"/>
          <w:i/>
          <w:iCs/>
          <w:szCs w:val="24"/>
        </w:rPr>
        <w:t>et al</w:t>
      </w:r>
      <w:r>
        <w:rPr>
          <w:rFonts w:eastAsia="Times New Roman" w:cs="Times New Roman"/>
          <w:szCs w:val="24"/>
        </w:rPr>
        <w:t xml:space="preserve">., 2020; Viera </w:t>
      </w:r>
      <w:r>
        <w:rPr>
          <w:rFonts w:eastAsia="Times New Roman" w:cs="Times New Roman"/>
          <w:i/>
          <w:iCs/>
          <w:szCs w:val="24"/>
        </w:rPr>
        <w:t>et al</w:t>
      </w:r>
      <w:r>
        <w:rPr>
          <w:rFonts w:eastAsia="Times New Roman" w:cs="Times New Roman"/>
          <w:szCs w:val="24"/>
        </w:rPr>
        <w:t>., 2019).</w:t>
      </w:r>
    </w:p>
    <w:p w:rsidR="003C05B7" w:rsidRDefault="00670731">
      <w:pPr>
        <w:pStyle w:val="Heading1"/>
        <w:jc w:val="left"/>
      </w:pPr>
      <w:r>
        <w:t>2.2.5 α-Glucosidase Inhibitors (AGIs)</w:t>
      </w:r>
    </w:p>
    <w:p w:rsidR="003C05B7" w:rsidRDefault="00670731">
      <w:pPr>
        <w:jc w:val="both"/>
        <w:outlineLvl w:val="2"/>
        <w:rPr>
          <w:rFonts w:eastAsia="Times New Roman" w:cs="Times New Roman"/>
          <w:szCs w:val="24"/>
        </w:rPr>
      </w:pPr>
      <w:r>
        <w:rPr>
          <w:rFonts w:eastAsia="Times New Roman" w:cs="Times New Roman"/>
          <w:szCs w:val="24"/>
        </w:rPr>
        <w:t>Agents such as acarbose, miglitol, and voglibose delay carbohydrate digestion and</w:t>
      </w:r>
      <w:r>
        <w:rPr>
          <w:rFonts w:eastAsia="Times New Roman" w:cs="Times New Roman"/>
          <w:szCs w:val="24"/>
        </w:rPr>
        <w:t xml:space="preserve"> absorption by inhibiting key enzymes (glucoamylase, sucrase, maltase, and isomaltase) in the small intestine (Derosa </w:t>
      </w:r>
      <w:r>
        <w:rPr>
          <w:rFonts w:eastAsia="Times New Roman" w:cs="Times New Roman"/>
          <w:i/>
          <w:iCs/>
          <w:szCs w:val="24"/>
        </w:rPr>
        <w:t>et al.</w:t>
      </w:r>
      <w:r>
        <w:rPr>
          <w:rFonts w:eastAsia="Times New Roman" w:cs="Times New Roman"/>
          <w:szCs w:val="24"/>
        </w:rPr>
        <w:t>, 2012). This slows the breakdown of complex carbohydrates to simple sugars and reduces post-prandial blood glucose spikes by approx</w:t>
      </w:r>
      <w:r>
        <w:rPr>
          <w:rFonts w:eastAsia="Times New Roman" w:cs="Times New Roman"/>
          <w:szCs w:val="24"/>
        </w:rPr>
        <w:t xml:space="preserve">imately 3 mmol/L (Kumar </w:t>
      </w:r>
      <w:r>
        <w:rPr>
          <w:rFonts w:eastAsia="Times New Roman" w:cs="Times New Roman"/>
          <w:i/>
          <w:iCs/>
          <w:szCs w:val="24"/>
        </w:rPr>
        <w:t>et al</w:t>
      </w:r>
      <w:r>
        <w:rPr>
          <w:rFonts w:eastAsia="Times New Roman" w:cs="Times New Roman"/>
          <w:szCs w:val="24"/>
        </w:rPr>
        <w:t xml:space="preserve">., 2011). AGIs are especially useful for patients with elevated post-meal glucose excursions (Akmal </w:t>
      </w:r>
      <w:r>
        <w:rPr>
          <w:rFonts w:eastAsia="Times New Roman" w:cs="Times New Roman"/>
          <w:i/>
          <w:iCs/>
          <w:szCs w:val="24"/>
        </w:rPr>
        <w:t>et al.,</w:t>
      </w:r>
      <w:r>
        <w:rPr>
          <w:rFonts w:eastAsia="Times New Roman" w:cs="Times New Roman"/>
          <w:szCs w:val="24"/>
        </w:rPr>
        <w:t xml:space="preserve"> 2024).</w:t>
      </w:r>
    </w:p>
    <w:p w:rsidR="003C05B7" w:rsidRDefault="00670731">
      <w:pPr>
        <w:outlineLvl w:val="2"/>
        <w:rPr>
          <w:rFonts w:eastAsia="Times New Roman" w:cs="Times New Roman"/>
          <w:szCs w:val="24"/>
        </w:rPr>
      </w:pPr>
      <w:r>
        <w:rPr>
          <w:rFonts w:eastAsia="Times New Roman" w:cs="Times New Roman"/>
          <w:b/>
          <w:bCs/>
          <w:szCs w:val="24"/>
        </w:rPr>
        <w:t>2.2.6 Dipeptidyl Peptidase-4 (DPP-4) Inhibitors</w:t>
      </w:r>
    </w:p>
    <w:p w:rsidR="003C05B7" w:rsidRDefault="00670731">
      <w:pPr>
        <w:jc w:val="both"/>
        <w:outlineLvl w:val="2"/>
        <w:rPr>
          <w:rFonts w:eastAsia="Times New Roman" w:cs="Times New Roman"/>
          <w:szCs w:val="24"/>
        </w:rPr>
      </w:pPr>
      <w:r>
        <w:rPr>
          <w:rFonts w:eastAsia="Times New Roman" w:cs="Times New Roman"/>
          <w:szCs w:val="24"/>
        </w:rPr>
        <w:t xml:space="preserve">DPP-4 inhibitors (e.g., sitagliptin, vildagliptin, saxagliptin, </w:t>
      </w:r>
      <w:r>
        <w:rPr>
          <w:rFonts w:eastAsia="Times New Roman" w:cs="Times New Roman"/>
          <w:szCs w:val="24"/>
        </w:rPr>
        <w:t xml:space="preserve">linagliptin) enhance incretin activity by preventing the degradation of GLP-1 and GIP two hormones that stimulate insulin secretion and suppress glucagon release (Capuano </w:t>
      </w:r>
      <w:r>
        <w:rPr>
          <w:rFonts w:eastAsia="Times New Roman" w:cs="Times New Roman"/>
          <w:i/>
          <w:iCs/>
          <w:szCs w:val="24"/>
        </w:rPr>
        <w:t>et al</w:t>
      </w:r>
      <w:r>
        <w:rPr>
          <w:rFonts w:eastAsia="Times New Roman" w:cs="Times New Roman"/>
          <w:szCs w:val="24"/>
        </w:rPr>
        <w:t>., 2013). GLP-1, secreted by intestinal L-cells, has a short natural half-life o</w:t>
      </w:r>
      <w:r>
        <w:rPr>
          <w:rFonts w:eastAsia="Times New Roman" w:cs="Times New Roman"/>
          <w:szCs w:val="24"/>
        </w:rPr>
        <w:t xml:space="preserve">f less than 2 minutes (Pathak </w:t>
      </w:r>
      <w:r>
        <w:rPr>
          <w:rFonts w:eastAsia="Times New Roman" w:cs="Times New Roman"/>
          <w:i/>
          <w:iCs/>
          <w:szCs w:val="24"/>
        </w:rPr>
        <w:t xml:space="preserve">et al., </w:t>
      </w:r>
      <w:r>
        <w:rPr>
          <w:rFonts w:eastAsia="Times New Roman" w:cs="Times New Roman"/>
          <w:szCs w:val="24"/>
        </w:rPr>
        <w:t>2010), while GIP, produced by K-cells, has a half-life of 5–7 minutes (Gupta, 2011). By prolonging incretin activity, DPP-4 inhibitors improve glucose homeostasis without causing hypoglycemia and are valuable in managi</w:t>
      </w:r>
      <w:r>
        <w:rPr>
          <w:rFonts w:eastAsia="Times New Roman" w:cs="Times New Roman"/>
          <w:szCs w:val="24"/>
        </w:rPr>
        <w:t>ng patients at cardiovascular risk (Katsina and Baharadhi, 2023).</w:t>
      </w:r>
    </w:p>
    <w:p w:rsidR="003C05B7" w:rsidRDefault="003C05B7">
      <w:pPr>
        <w:jc w:val="both"/>
        <w:outlineLvl w:val="2"/>
        <w:rPr>
          <w:rFonts w:eastAsia="Times New Roman" w:cs="Times New Roman"/>
          <w:szCs w:val="24"/>
        </w:rPr>
      </w:pPr>
    </w:p>
    <w:p w:rsidR="003C05B7" w:rsidRDefault="00670731">
      <w:pPr>
        <w:pStyle w:val="Heading1"/>
        <w:jc w:val="left"/>
      </w:pPr>
      <w:r>
        <w:t>2.2.7 Sodium-glucose cotransporter-2 inhibitors (SGL2)</w:t>
      </w:r>
    </w:p>
    <w:p w:rsidR="003C05B7" w:rsidRDefault="00670731">
      <w:pPr>
        <w:jc w:val="both"/>
        <w:outlineLvl w:val="2"/>
        <w:rPr>
          <w:rFonts w:eastAsia="Times New Roman" w:cs="Times New Roman"/>
          <w:szCs w:val="24"/>
        </w:rPr>
      </w:pPr>
      <w:r>
        <w:rPr>
          <w:rFonts w:eastAsia="Times New Roman" w:cs="Times New Roman"/>
          <w:szCs w:val="24"/>
        </w:rPr>
        <w:t xml:space="preserve">SGLT2 inhibitors such as dapagliflozin, canagliflozin, empagliflozin, and ertugliflozin—lower blood glucose by reducing renal glucose </w:t>
      </w:r>
      <w:r>
        <w:rPr>
          <w:rFonts w:eastAsia="Times New Roman" w:cs="Times New Roman"/>
          <w:szCs w:val="24"/>
        </w:rPr>
        <w:t xml:space="preserve">reabsorption in the proximal convoluted tubule, thereby increasing urinary glucose excretion (Fonseca-Correa and Correa, 2021). These drugs inhibit SGLT2 transporters, reducing glucose reabsorption by 30–60% and lowering HbA1c by 0.5–1.0% (Plosker, 2014). </w:t>
      </w:r>
      <w:r>
        <w:rPr>
          <w:rFonts w:eastAsia="Times New Roman" w:cs="Times New Roman"/>
          <w:szCs w:val="24"/>
        </w:rPr>
        <w:t xml:space="preserve">Beyond glycemic control, they also provide cardiovascular and renal protective benefits (Padda </w:t>
      </w:r>
      <w:r>
        <w:rPr>
          <w:rFonts w:eastAsia="Times New Roman" w:cs="Times New Roman"/>
          <w:i/>
          <w:iCs/>
          <w:szCs w:val="24"/>
        </w:rPr>
        <w:t>et al.</w:t>
      </w:r>
      <w:r>
        <w:rPr>
          <w:rFonts w:eastAsia="Times New Roman" w:cs="Times New Roman"/>
          <w:szCs w:val="24"/>
        </w:rPr>
        <w:t>, 2025).</w:t>
      </w:r>
    </w:p>
    <w:p w:rsidR="003C05B7" w:rsidRDefault="003C05B7">
      <w:pPr>
        <w:jc w:val="both"/>
        <w:outlineLvl w:val="2"/>
        <w:rPr>
          <w:rFonts w:eastAsia="Times New Roman" w:cs="Times New Roman"/>
          <w:b/>
          <w:bCs/>
          <w:szCs w:val="24"/>
        </w:rPr>
      </w:pPr>
    </w:p>
    <w:p w:rsidR="003C05B7" w:rsidRDefault="00670731">
      <w:pPr>
        <w:jc w:val="both"/>
        <w:outlineLvl w:val="2"/>
        <w:rPr>
          <w:rFonts w:eastAsia="Times New Roman" w:cs="Times New Roman"/>
          <w:szCs w:val="24"/>
        </w:rPr>
      </w:pPr>
      <w:r>
        <w:rPr>
          <w:rFonts w:eastAsia="Times New Roman" w:cs="Times New Roman"/>
          <w:b/>
          <w:bCs/>
          <w:szCs w:val="24"/>
        </w:rPr>
        <w:t>2.2.8</w:t>
      </w:r>
      <w:r>
        <w:rPr>
          <w:rFonts w:eastAsia="Times New Roman" w:cs="Times New Roman"/>
          <w:szCs w:val="24"/>
        </w:rPr>
        <w:t xml:space="preserve"> </w:t>
      </w:r>
      <w:r>
        <w:rPr>
          <w:rFonts w:eastAsia="Times New Roman" w:cs="Times New Roman"/>
          <w:b/>
          <w:bCs/>
          <w:szCs w:val="24"/>
        </w:rPr>
        <w:t>Cycloset (Bromocriptine</w:t>
      </w:r>
      <w:r>
        <w:rPr>
          <w:rFonts w:eastAsia="Times New Roman" w:cs="Times New Roman"/>
          <w:szCs w:val="24"/>
        </w:rPr>
        <w:t>)</w:t>
      </w:r>
    </w:p>
    <w:p w:rsidR="003C05B7" w:rsidRDefault="00670731">
      <w:pPr>
        <w:jc w:val="both"/>
        <w:outlineLvl w:val="2"/>
        <w:rPr>
          <w:rFonts w:eastAsia="Times New Roman" w:cs="Times New Roman"/>
          <w:szCs w:val="24"/>
        </w:rPr>
      </w:pPr>
      <w:r>
        <w:rPr>
          <w:rFonts w:eastAsia="Times New Roman" w:cs="Times New Roman"/>
          <w:szCs w:val="24"/>
        </w:rPr>
        <w:t>Cycloset is a quick-release dopamine D2 receptor agonist that exerts central effects on the hypothalamus, particul</w:t>
      </w:r>
      <w:r>
        <w:rPr>
          <w:rFonts w:eastAsia="Times New Roman" w:cs="Times New Roman"/>
          <w:szCs w:val="24"/>
        </w:rPr>
        <w:t>arly the suprachiasmatic nucleus, to restore normal circadian dopaminergic activity (FDA, 2020). This improves insulin sensitivity, reduces hepatic glucose output, and attenuates excessive sympathetic tone without stimulating insulin secretion or causing h</w:t>
      </w:r>
      <w:r>
        <w:rPr>
          <w:rFonts w:eastAsia="Times New Roman" w:cs="Times New Roman"/>
          <w:szCs w:val="24"/>
        </w:rPr>
        <w:t>ypoglycemia (Veroscience, 2023; AAFP, 2013). Cycloset provides a unique, centrally mediated mechanism of glucose control compared to other antidiabetic agents.</w:t>
      </w:r>
    </w:p>
    <w:p w:rsidR="003C05B7" w:rsidRDefault="00670731">
      <w:pPr>
        <w:jc w:val="both"/>
        <w:outlineLvl w:val="2"/>
        <w:rPr>
          <w:rFonts w:eastAsia="Times New Roman" w:cs="Times New Roman"/>
          <w:b/>
          <w:bCs/>
          <w:szCs w:val="24"/>
        </w:rPr>
      </w:pPr>
      <w:r>
        <w:rPr>
          <w:rFonts w:eastAsia="Times New Roman" w:cs="Times New Roman"/>
          <w:b/>
          <w:bCs/>
          <w:szCs w:val="24"/>
        </w:rPr>
        <w:t xml:space="preserve">2.2.9 Limitations of current therapy </w:t>
      </w:r>
    </w:p>
    <w:p w:rsidR="003C05B7" w:rsidRDefault="00670731">
      <w:pPr>
        <w:jc w:val="both"/>
        <w:outlineLvl w:val="2"/>
        <w:rPr>
          <w:rFonts w:eastAsia="Times New Roman" w:cs="Times New Roman"/>
          <w:szCs w:val="24"/>
        </w:rPr>
      </w:pPr>
      <w:r>
        <w:rPr>
          <w:rFonts w:eastAsia="Times New Roman" w:cs="Times New Roman"/>
          <w:szCs w:val="24"/>
        </w:rPr>
        <w:t>Despite their widespread use, current oral antihyperglycae</w:t>
      </w:r>
      <w:r>
        <w:rPr>
          <w:rFonts w:eastAsia="Times New Roman" w:cs="Times New Roman"/>
          <w:szCs w:val="24"/>
        </w:rPr>
        <w:t xml:space="preserve">mic agents are hampered by significant limitations. A major concern is their side effect profile; for instance, sulphonylureas are associated with hypoglycaemia and weight gain (Silbert </w:t>
      </w:r>
      <w:r>
        <w:rPr>
          <w:rFonts w:eastAsia="Times New Roman" w:cs="Times New Roman"/>
          <w:i/>
          <w:iCs/>
          <w:szCs w:val="24"/>
        </w:rPr>
        <w:t>et</w:t>
      </w:r>
      <w:r>
        <w:rPr>
          <w:rFonts w:eastAsia="Times New Roman" w:cs="Times New Roman"/>
          <w:szCs w:val="24"/>
        </w:rPr>
        <w:t xml:space="preserve"> </w:t>
      </w:r>
      <w:r>
        <w:rPr>
          <w:rFonts w:eastAsia="Times New Roman" w:cs="Times New Roman"/>
          <w:i/>
          <w:iCs/>
          <w:szCs w:val="24"/>
        </w:rPr>
        <w:t>al</w:t>
      </w:r>
      <w:r>
        <w:rPr>
          <w:rFonts w:eastAsia="Times New Roman" w:cs="Times New Roman"/>
          <w:szCs w:val="24"/>
        </w:rPr>
        <w:t>.,2018) while the weight-neutral metformin (Sanchez-Rangel and In</w:t>
      </w:r>
      <w:r>
        <w:rPr>
          <w:rFonts w:eastAsia="Times New Roman" w:cs="Times New Roman"/>
          <w:szCs w:val="24"/>
        </w:rPr>
        <w:t xml:space="preserve">zucchi 2017) frequently causes gastrointestinal upset. TZDs can lead to weight gain, oedema, and heart failure (yau </w:t>
      </w:r>
      <w:r>
        <w:rPr>
          <w:rFonts w:eastAsia="Times New Roman" w:cs="Times New Roman"/>
          <w:i/>
          <w:iCs/>
          <w:szCs w:val="24"/>
        </w:rPr>
        <w:t>et al.</w:t>
      </w:r>
      <w:r>
        <w:rPr>
          <w:rFonts w:eastAsia="Times New Roman" w:cs="Times New Roman"/>
          <w:szCs w:val="24"/>
        </w:rPr>
        <w:t>,2013). and the AGIs acarbose causes Gastrointestinal effects such as abdominal pain, bloating, flatulence, and diarrhoea (He</w:t>
      </w:r>
      <w:r>
        <w:rPr>
          <w:rFonts w:eastAsia="Times New Roman" w:cs="Times New Roman"/>
          <w:i/>
          <w:iCs/>
          <w:szCs w:val="24"/>
        </w:rPr>
        <w:t xml:space="preserve"> et al.</w:t>
      </w:r>
      <w:r>
        <w:rPr>
          <w:rFonts w:eastAsia="Times New Roman" w:cs="Times New Roman"/>
          <w:szCs w:val="24"/>
        </w:rPr>
        <w:t>,2</w:t>
      </w:r>
      <w:r>
        <w:rPr>
          <w:rFonts w:eastAsia="Times New Roman" w:cs="Times New Roman"/>
          <w:szCs w:val="24"/>
        </w:rPr>
        <w:t xml:space="preserve">014). Newer classes also present challenges: DPP-4 inhibitors may produce allergic reactions as serious as angioedema and anaphylaxis ( Karagiannis </w:t>
      </w:r>
      <w:r>
        <w:rPr>
          <w:rFonts w:eastAsia="Times New Roman" w:cs="Times New Roman"/>
          <w:i/>
          <w:iCs/>
          <w:szCs w:val="24"/>
        </w:rPr>
        <w:t>et al.</w:t>
      </w:r>
      <w:r>
        <w:rPr>
          <w:rFonts w:eastAsia="Times New Roman" w:cs="Times New Roman"/>
          <w:szCs w:val="24"/>
        </w:rPr>
        <w:t>,2014), while SGL2 inhibitors can cause polyuria resulting in dehydration with postural hypotension (S</w:t>
      </w:r>
      <w:r>
        <w:rPr>
          <w:rFonts w:eastAsia="Times New Roman" w:cs="Times New Roman"/>
          <w:szCs w:val="24"/>
        </w:rPr>
        <w:t xml:space="preserve">hi </w:t>
      </w:r>
      <w:r>
        <w:rPr>
          <w:rFonts w:eastAsia="Times New Roman" w:cs="Times New Roman"/>
          <w:i/>
          <w:iCs/>
          <w:szCs w:val="24"/>
        </w:rPr>
        <w:t>et al</w:t>
      </w:r>
      <w:r>
        <w:rPr>
          <w:rFonts w:eastAsia="Times New Roman" w:cs="Times New Roman"/>
          <w:szCs w:val="24"/>
        </w:rPr>
        <w:t>.,2020) .Furthermore, the cardiovascular safety of several agents is a major concern for physicians and regulatory bodies, as highlighted by the unexpected outcomes with rosiglitazone(Alhamdramy, 2016).Cost is another critical factor, with many new</w:t>
      </w:r>
      <w:r>
        <w:rPr>
          <w:rFonts w:eastAsia="Times New Roman" w:cs="Times New Roman"/>
          <w:szCs w:val="24"/>
        </w:rPr>
        <w:t>er agents being expensive, although generic metformin and SU provide a cheap and effective alternative (Vaughan</w:t>
      </w:r>
      <w:r>
        <w:rPr>
          <w:rFonts w:eastAsia="Times New Roman" w:cs="Times New Roman"/>
          <w:i/>
          <w:iCs/>
          <w:szCs w:val="24"/>
        </w:rPr>
        <w:t xml:space="preserve"> et al.,</w:t>
      </w:r>
      <w:r>
        <w:rPr>
          <w:rFonts w:eastAsia="Times New Roman" w:cs="Times New Roman"/>
          <w:szCs w:val="24"/>
        </w:rPr>
        <w:t>2020)). Perhaps most critically, many patients still fail to achieve optimal glycemic control, as monotherapies like metformin have a cum</w:t>
      </w:r>
      <w:r>
        <w:rPr>
          <w:rFonts w:eastAsia="Times New Roman" w:cs="Times New Roman"/>
          <w:szCs w:val="24"/>
        </w:rPr>
        <w:t xml:space="preserve">ulative incidence of secondary failure of 21% at 5 years, a figure that is even higher for sulphonylureas (jeon </w:t>
      </w:r>
      <w:r>
        <w:rPr>
          <w:rFonts w:eastAsia="Times New Roman" w:cs="Times New Roman"/>
          <w:i/>
          <w:iCs/>
          <w:szCs w:val="24"/>
        </w:rPr>
        <w:t>et al</w:t>
      </w:r>
      <w:r>
        <w:rPr>
          <w:rFonts w:eastAsia="Times New Roman" w:cs="Times New Roman"/>
          <w:szCs w:val="24"/>
        </w:rPr>
        <w:t>.,2018). These collective limitations encompassing a wide range of side effects, cost, cardiovascular risks, and inadequate long-term effic</w:t>
      </w:r>
      <w:r>
        <w:rPr>
          <w:rFonts w:eastAsia="Times New Roman" w:cs="Times New Roman"/>
          <w:szCs w:val="24"/>
        </w:rPr>
        <w:t>acy create a compelling rationale for investigating alternative treatments, such as natural products, for the management of T2DM.</w:t>
      </w:r>
    </w:p>
    <w:p w:rsidR="003C05B7" w:rsidRDefault="00670731">
      <w:pPr>
        <w:jc w:val="both"/>
        <w:outlineLvl w:val="2"/>
        <w:rPr>
          <w:rFonts w:eastAsia="Times New Roman" w:cs="Times New Roman"/>
          <w:b/>
          <w:bCs/>
          <w:i/>
          <w:szCs w:val="24"/>
        </w:rPr>
      </w:pPr>
      <w:r>
        <w:rPr>
          <w:rFonts w:eastAsia="Times New Roman" w:cs="Times New Roman"/>
          <w:b/>
          <w:bCs/>
          <w:szCs w:val="24"/>
        </w:rPr>
        <w:t>2.3 Ethnopharmacology of</w:t>
      </w:r>
      <w:r>
        <w:rPr>
          <w:rFonts w:eastAsia="Times New Roman" w:cs="Times New Roman"/>
          <w:b/>
          <w:bCs/>
          <w:i/>
          <w:szCs w:val="24"/>
        </w:rPr>
        <w:t xml:space="preserve"> Diospyros mespiliformis</w:t>
      </w:r>
    </w:p>
    <w:p w:rsidR="003C05B7" w:rsidRDefault="00670731">
      <w:pPr>
        <w:jc w:val="both"/>
        <w:outlineLvl w:val="2"/>
        <w:rPr>
          <w:rFonts w:eastAsia="Times New Roman" w:cs="Times New Roman"/>
          <w:szCs w:val="24"/>
        </w:rPr>
      </w:pPr>
      <w:r>
        <w:rPr>
          <w:rFonts w:eastAsia="Times New Roman" w:cs="Times New Roman"/>
          <w:i/>
          <w:szCs w:val="24"/>
        </w:rPr>
        <w:t>D.mespiliformis</w:t>
      </w:r>
      <w:r>
        <w:rPr>
          <w:rFonts w:eastAsia="Times New Roman" w:cs="Times New Roman"/>
          <w:szCs w:val="24"/>
        </w:rPr>
        <w:t xml:space="preserve"> Hochsr. ex. A. DC, commonly known as Jackal Berry or African Ebony In Nigeria, the plant is popularly known in Hausa as Kanya and in Yoruba as Igidudu., is a member of the Ebenaceae plant family</w:t>
      </w:r>
      <w:r>
        <w:rPr>
          <w:rFonts w:eastAsia="Times New Roman" w:cs="Times New Roman"/>
          <w:i/>
          <w:szCs w:val="24"/>
        </w:rPr>
        <w:t>. Diospyros</w:t>
      </w:r>
      <w:r>
        <w:rPr>
          <w:rFonts w:eastAsia="Times New Roman" w:cs="Times New Roman"/>
          <w:szCs w:val="24"/>
        </w:rPr>
        <w:t xml:space="preserve"> is a general name that means “divine”, and mespil</w:t>
      </w:r>
      <w:r>
        <w:rPr>
          <w:rFonts w:eastAsia="Times New Roman" w:cs="Times New Roman"/>
          <w:szCs w:val="24"/>
        </w:rPr>
        <w:t>iformis comes from the Greek words “mesos”, which means “half”, and “pilos”, which means “bullets”. The plant is widely distributed throughout Africa, Asia, and parts of Europe (Ramadwa and Meddows-Taylor,2023). The leaves are simple and alternate in arran</w:t>
      </w:r>
      <w:r>
        <w:rPr>
          <w:rFonts w:eastAsia="Times New Roman" w:cs="Times New Roman"/>
          <w:szCs w:val="24"/>
        </w:rPr>
        <w:t xml:space="preserve">gement and dark green in coloration. The plant is dioecious and flowers in the months of April and May and matured fruits are large yellow berries  (Dangoggo </w:t>
      </w:r>
      <w:r>
        <w:rPr>
          <w:rFonts w:eastAsia="Times New Roman" w:cs="Times New Roman"/>
          <w:i/>
          <w:iCs/>
          <w:szCs w:val="24"/>
        </w:rPr>
        <w:t>et al</w:t>
      </w:r>
      <w:r>
        <w:rPr>
          <w:rFonts w:eastAsia="Times New Roman" w:cs="Times New Roman"/>
          <w:szCs w:val="24"/>
        </w:rPr>
        <w:t>.,2012).The fruits of the species are edible, while the bark, leaves, stem and roots are empl</w:t>
      </w:r>
      <w:r>
        <w:rPr>
          <w:rFonts w:eastAsia="Times New Roman" w:cs="Times New Roman"/>
          <w:szCs w:val="24"/>
        </w:rPr>
        <w:t xml:space="preserve">oyed for various purposes (Gnonlonfin </w:t>
      </w:r>
      <w:r>
        <w:rPr>
          <w:rFonts w:eastAsia="Times New Roman" w:cs="Times New Roman"/>
          <w:i/>
          <w:iCs/>
          <w:szCs w:val="24"/>
        </w:rPr>
        <w:t>et al.</w:t>
      </w:r>
      <w:r>
        <w:rPr>
          <w:rFonts w:eastAsia="Times New Roman" w:cs="Times New Roman"/>
          <w:szCs w:val="24"/>
        </w:rPr>
        <w:t xml:space="preserve">, 2018).Traditionally, different parts of this plant including its leaves, stem bark, roots, and fruits have been extensively used(Ebbo </w:t>
      </w:r>
      <w:r>
        <w:rPr>
          <w:rFonts w:eastAsia="Times New Roman" w:cs="Times New Roman"/>
          <w:i/>
          <w:iCs/>
          <w:szCs w:val="24"/>
        </w:rPr>
        <w:t>et al</w:t>
      </w:r>
      <w:r>
        <w:rPr>
          <w:rFonts w:eastAsia="Times New Roman" w:cs="Times New Roman"/>
          <w:szCs w:val="24"/>
        </w:rPr>
        <w:t>.,2020).The ethnopharmacological relevance of D. mespiliformis stems fr</w:t>
      </w:r>
      <w:r>
        <w:rPr>
          <w:rFonts w:eastAsia="Times New Roman" w:cs="Times New Roman"/>
          <w:szCs w:val="24"/>
        </w:rPr>
        <w:t xml:space="preserve">om its rich phytochemical diversity, which includes alkaloids, flavonoids, tannins, saponins, cardiac glycosides, phenolic acids, terpenoids, and steroids (Aliyu </w:t>
      </w:r>
      <w:r>
        <w:rPr>
          <w:rFonts w:eastAsia="Times New Roman" w:cs="Times New Roman"/>
          <w:i/>
          <w:iCs/>
          <w:szCs w:val="24"/>
        </w:rPr>
        <w:t>et al</w:t>
      </w:r>
      <w:r>
        <w:rPr>
          <w:rFonts w:eastAsia="Times New Roman" w:cs="Times New Roman"/>
          <w:szCs w:val="24"/>
        </w:rPr>
        <w:t xml:space="preserve">., 2009; Lawal </w:t>
      </w:r>
      <w:r>
        <w:rPr>
          <w:rFonts w:eastAsia="Times New Roman" w:cs="Times New Roman"/>
          <w:i/>
          <w:iCs/>
          <w:szCs w:val="24"/>
        </w:rPr>
        <w:t>et al</w:t>
      </w:r>
      <w:r>
        <w:rPr>
          <w:rFonts w:eastAsia="Times New Roman" w:cs="Times New Roman"/>
          <w:szCs w:val="24"/>
        </w:rPr>
        <w:t>., 2017).These compounds are known to contribute to its broad spectru</w:t>
      </w:r>
      <w:r>
        <w:rPr>
          <w:rFonts w:eastAsia="Times New Roman" w:cs="Times New Roman"/>
          <w:szCs w:val="24"/>
        </w:rPr>
        <w:t xml:space="preserve">m of biological activities, including antioxidant, antimicrobial, anti-inflammatory, antimalarial, hepatoprotective, and antidiabetic effects (Bello </w:t>
      </w:r>
      <w:r>
        <w:rPr>
          <w:rFonts w:eastAsia="Times New Roman" w:cs="Times New Roman"/>
          <w:i/>
          <w:iCs/>
          <w:szCs w:val="24"/>
        </w:rPr>
        <w:t>et al.</w:t>
      </w:r>
      <w:r>
        <w:rPr>
          <w:rFonts w:eastAsia="Times New Roman" w:cs="Times New Roman"/>
          <w:szCs w:val="24"/>
        </w:rPr>
        <w:t>, 2019). Flavonoids and phenolics in particular are recognized for their ability to modulate oxidativ</w:t>
      </w:r>
      <w:r>
        <w:rPr>
          <w:rFonts w:eastAsia="Times New Roman" w:cs="Times New Roman"/>
          <w:szCs w:val="24"/>
        </w:rPr>
        <w:t>e stress, a central factor in diabetic pathophysiology, by scavenging reactive oxygen species and enhancing endogenous antioxidant defenses (Egharevba and Kunle, 2010). In African traditional medicine, decoctions or infusions of</w:t>
      </w:r>
      <w:r>
        <w:rPr>
          <w:rFonts w:eastAsia="Times New Roman" w:cs="Times New Roman"/>
          <w:i/>
          <w:szCs w:val="24"/>
        </w:rPr>
        <w:t xml:space="preserve"> D. </w:t>
      </w:r>
      <w:r>
        <w:rPr>
          <w:rFonts w:eastAsia="Times New Roman" w:cs="Times New Roman"/>
          <w:i/>
          <w:iCs/>
          <w:szCs w:val="24"/>
        </w:rPr>
        <w:t>mespiliformis</w:t>
      </w:r>
      <w:r>
        <w:rPr>
          <w:rFonts w:eastAsia="Times New Roman" w:cs="Times New Roman"/>
          <w:szCs w:val="24"/>
        </w:rPr>
        <w:t xml:space="preserve"> bark and r</w:t>
      </w:r>
      <w:r>
        <w:rPr>
          <w:rFonts w:eastAsia="Times New Roman" w:cs="Times New Roman"/>
          <w:szCs w:val="24"/>
        </w:rPr>
        <w:t>oots are commonly used to lower blood sugar levels and restore vitality in individuals exhibiting symptoms of diabetes. The use of this plant in ethnomedicine aligns with scientific reports demonstrating its antihyperglycemic activity in diabetic animal mo</w:t>
      </w:r>
      <w:r>
        <w:rPr>
          <w:rFonts w:eastAsia="Times New Roman" w:cs="Times New Roman"/>
          <w:szCs w:val="24"/>
        </w:rPr>
        <w:t xml:space="preserve">dels (Ebbo </w:t>
      </w:r>
      <w:r>
        <w:rPr>
          <w:rFonts w:eastAsia="Times New Roman" w:cs="Times New Roman"/>
          <w:i/>
          <w:iCs/>
          <w:szCs w:val="24"/>
        </w:rPr>
        <w:t>et al.,</w:t>
      </w:r>
      <w:r>
        <w:rPr>
          <w:rFonts w:eastAsia="Times New Roman" w:cs="Times New Roman"/>
          <w:szCs w:val="24"/>
        </w:rPr>
        <w:t xml:space="preserve"> 2020). Methanol extracts of the stem bark have been shown to significantly reduce fasting blood glucose, improve insulin sensitivity, and enhance glycogen storage, indicating possible modulation of carbohydrate metabolism and pancreatic </w:t>
      </w:r>
      <w:r>
        <w:rPr>
          <w:rFonts w:eastAsia="Times New Roman" w:cs="Times New Roman"/>
          <w:szCs w:val="24"/>
        </w:rPr>
        <w:t xml:space="preserve">function (Adebayo </w:t>
      </w:r>
      <w:r>
        <w:rPr>
          <w:rFonts w:eastAsia="Times New Roman" w:cs="Times New Roman"/>
          <w:i/>
          <w:iCs/>
          <w:szCs w:val="24"/>
        </w:rPr>
        <w:t>et al.</w:t>
      </w:r>
      <w:r>
        <w:rPr>
          <w:rFonts w:eastAsia="Times New Roman" w:cs="Times New Roman"/>
          <w:szCs w:val="24"/>
        </w:rPr>
        <w:t>, 2020). Furthermore, the antioxidant constituents of</w:t>
      </w:r>
      <w:r>
        <w:rPr>
          <w:rFonts w:eastAsia="Times New Roman" w:cs="Times New Roman"/>
          <w:i/>
          <w:szCs w:val="24"/>
        </w:rPr>
        <w:t xml:space="preserve"> D.</w:t>
      </w:r>
      <w:r>
        <w:rPr>
          <w:rFonts w:eastAsia="Times New Roman" w:cs="Times New Roman"/>
          <w:szCs w:val="24"/>
        </w:rPr>
        <w:t xml:space="preserve"> </w:t>
      </w:r>
      <w:r>
        <w:rPr>
          <w:rFonts w:eastAsia="Times New Roman" w:cs="Times New Roman"/>
          <w:i/>
          <w:iCs/>
          <w:szCs w:val="24"/>
        </w:rPr>
        <w:t xml:space="preserve">mespiliformis </w:t>
      </w:r>
      <w:r>
        <w:rPr>
          <w:rFonts w:eastAsia="Times New Roman" w:cs="Times New Roman"/>
          <w:szCs w:val="24"/>
        </w:rPr>
        <w:t>such as quercetin, betulinic acid, lupeol, and tannins are believed to contribute to its hypoglycemic mechanism by protecting pancreatic β-cells from oxidative d</w:t>
      </w:r>
      <w:r>
        <w:rPr>
          <w:rFonts w:eastAsia="Times New Roman" w:cs="Times New Roman"/>
          <w:szCs w:val="24"/>
        </w:rPr>
        <w:t xml:space="preserve">amage and preserving insulin secretion (Aliyu </w:t>
      </w:r>
      <w:r>
        <w:rPr>
          <w:rFonts w:eastAsia="Times New Roman" w:cs="Times New Roman"/>
          <w:i/>
          <w:iCs/>
          <w:szCs w:val="24"/>
        </w:rPr>
        <w:t>et al</w:t>
      </w:r>
      <w:r>
        <w:rPr>
          <w:rFonts w:eastAsia="Times New Roman" w:cs="Times New Roman"/>
          <w:szCs w:val="24"/>
        </w:rPr>
        <w:t>., 2009; Bello et al., 2019). These bioactive compounds may also exert peripheral effects by enhancing glucose uptake in muscle and adipose tissue or inhibiting intestinal α-glucosidase enzymes, thereby re</w:t>
      </w:r>
      <w:r>
        <w:rPr>
          <w:rFonts w:eastAsia="Times New Roman" w:cs="Times New Roman"/>
          <w:szCs w:val="24"/>
        </w:rPr>
        <w:t xml:space="preserve">ducing postprandial hyperglycemia (Adebayo </w:t>
      </w:r>
      <w:r>
        <w:rPr>
          <w:rFonts w:eastAsia="Times New Roman" w:cs="Times New Roman"/>
          <w:i/>
          <w:iCs/>
          <w:szCs w:val="24"/>
        </w:rPr>
        <w:t>et al.</w:t>
      </w:r>
      <w:r>
        <w:rPr>
          <w:rFonts w:eastAsia="Times New Roman" w:cs="Times New Roman"/>
          <w:szCs w:val="24"/>
        </w:rPr>
        <w:t>, 2020).</w:t>
      </w:r>
    </w:p>
    <w:p w:rsidR="003C05B7" w:rsidRDefault="003C05B7">
      <w:pPr>
        <w:jc w:val="both"/>
        <w:outlineLvl w:val="2"/>
        <w:rPr>
          <w:rFonts w:eastAsia="Times New Roman" w:cs="Times New Roman"/>
          <w:b/>
          <w:bCs/>
          <w:szCs w:val="24"/>
        </w:rPr>
      </w:pPr>
    </w:p>
    <w:p w:rsidR="003C05B7" w:rsidRDefault="00670731">
      <w:pPr>
        <w:rPr>
          <w:rStyle w:val="Strong"/>
          <w:rFonts w:cs="Times New Roman"/>
          <w:b w:val="0"/>
          <w:bCs w:val="0"/>
          <w:i/>
          <w:szCs w:val="24"/>
        </w:rPr>
      </w:pPr>
      <w:r>
        <w:rPr>
          <w:b/>
          <w:bCs/>
          <w:szCs w:val="24"/>
        </w:rPr>
        <w:t>2.4</w:t>
      </w:r>
      <w:r>
        <w:rPr>
          <w:szCs w:val="24"/>
        </w:rPr>
        <w:t xml:space="preserve"> </w:t>
      </w:r>
      <w:r>
        <w:rPr>
          <w:b/>
          <w:bCs/>
          <w:szCs w:val="24"/>
        </w:rPr>
        <w:t>Bioactive Phytochemicals in</w:t>
      </w:r>
      <w:r>
        <w:rPr>
          <w:b/>
          <w:bCs/>
          <w:i/>
          <w:szCs w:val="24"/>
        </w:rPr>
        <w:t xml:space="preserve"> Diospyros mespiliformis</w:t>
      </w:r>
    </w:p>
    <w:p w:rsidR="003C05B7" w:rsidRDefault="00670731">
      <w:pPr>
        <w:jc w:val="both"/>
        <w:rPr>
          <w:rStyle w:val="Strong"/>
          <w:b w:val="0"/>
          <w:bCs w:val="0"/>
          <w:szCs w:val="24"/>
        </w:rPr>
      </w:pPr>
      <w:r>
        <w:rPr>
          <w:rStyle w:val="Strong"/>
          <w:b w:val="0"/>
          <w:bCs w:val="0"/>
          <w:szCs w:val="24"/>
        </w:rPr>
        <w:t xml:space="preserve">The hypoglycemic potential of </w:t>
      </w:r>
      <w:r>
        <w:rPr>
          <w:rStyle w:val="Strong"/>
          <w:b w:val="0"/>
          <w:bCs w:val="0"/>
          <w:i/>
          <w:szCs w:val="24"/>
        </w:rPr>
        <w:t xml:space="preserve">D.mespiliformis </w:t>
      </w:r>
      <w:r>
        <w:rPr>
          <w:rStyle w:val="Strong"/>
          <w:b w:val="0"/>
          <w:bCs w:val="0"/>
          <w:szCs w:val="24"/>
        </w:rPr>
        <w:t xml:space="preserve"> is strongly associated with its rich profile of bioactive phytochemicals (Ebbo</w:t>
      </w:r>
      <w:r>
        <w:rPr>
          <w:rStyle w:val="Strong"/>
          <w:b w:val="0"/>
          <w:bCs w:val="0"/>
          <w:i/>
          <w:iCs/>
          <w:szCs w:val="24"/>
        </w:rPr>
        <w:t xml:space="preserve"> et al., </w:t>
      </w:r>
      <w:r>
        <w:rPr>
          <w:rStyle w:val="Strong"/>
          <w:b w:val="0"/>
          <w:bCs w:val="0"/>
          <w:szCs w:val="24"/>
        </w:rPr>
        <w:t>2019). The plant contains several classes of secondary metabolites, including flavonoids, phenolic compounds, tannins, saponins, alkaloids, terpenoids, and anthraquinones, which collectively contribute to its glucose-lowering effects (Shamsuddeen, 2023). T</w:t>
      </w:r>
      <w:r>
        <w:rPr>
          <w:rStyle w:val="Strong"/>
          <w:b w:val="0"/>
          <w:bCs w:val="0"/>
          <w:szCs w:val="24"/>
        </w:rPr>
        <w:t xml:space="preserve">hese phytochemicals play important biochemical roles that can influence carbohydrate metabolism in diabetes-induced </w:t>
      </w:r>
      <w:r>
        <w:rPr>
          <w:rStyle w:val="Strong"/>
          <w:b w:val="0"/>
          <w:bCs w:val="0"/>
          <w:i/>
          <w:szCs w:val="24"/>
        </w:rPr>
        <w:t>D</w:t>
      </w:r>
      <w:r>
        <w:rPr>
          <w:rStyle w:val="Strong"/>
          <w:b w:val="0"/>
          <w:bCs w:val="0"/>
          <w:szCs w:val="24"/>
        </w:rPr>
        <w:t xml:space="preserve">. </w:t>
      </w:r>
      <w:r>
        <w:rPr>
          <w:rStyle w:val="Strong"/>
          <w:b w:val="0"/>
          <w:bCs w:val="0"/>
          <w:i/>
          <w:iCs/>
          <w:szCs w:val="24"/>
        </w:rPr>
        <w:t>melanogaster</w:t>
      </w:r>
      <w:r>
        <w:rPr>
          <w:rStyle w:val="Strong"/>
          <w:b w:val="0"/>
          <w:bCs w:val="0"/>
          <w:szCs w:val="24"/>
        </w:rPr>
        <w:t xml:space="preserve"> (Birse </w:t>
      </w:r>
      <w:r>
        <w:rPr>
          <w:rStyle w:val="Strong"/>
          <w:b w:val="0"/>
          <w:bCs w:val="0"/>
          <w:i/>
          <w:iCs/>
          <w:szCs w:val="24"/>
        </w:rPr>
        <w:t>et al.,</w:t>
      </w:r>
      <w:r>
        <w:rPr>
          <w:rStyle w:val="Strong"/>
          <w:b w:val="0"/>
          <w:bCs w:val="0"/>
          <w:szCs w:val="24"/>
        </w:rPr>
        <w:t xml:space="preserve"> 2020). Flavonoids in </w:t>
      </w:r>
      <w:r>
        <w:rPr>
          <w:rStyle w:val="Strong"/>
          <w:b w:val="0"/>
          <w:bCs w:val="0"/>
          <w:i/>
          <w:szCs w:val="24"/>
        </w:rPr>
        <w:t>D</w:t>
      </w:r>
      <w:r>
        <w:rPr>
          <w:rStyle w:val="Strong"/>
          <w:b w:val="0"/>
          <w:bCs w:val="0"/>
          <w:szCs w:val="24"/>
        </w:rPr>
        <w:t xml:space="preserve">. </w:t>
      </w:r>
      <w:r>
        <w:rPr>
          <w:rStyle w:val="Strong"/>
          <w:b w:val="0"/>
          <w:bCs w:val="0"/>
          <w:i/>
          <w:iCs/>
          <w:szCs w:val="24"/>
        </w:rPr>
        <w:t>mespiliformis</w:t>
      </w:r>
      <w:r>
        <w:rPr>
          <w:rStyle w:val="Strong"/>
          <w:b w:val="0"/>
          <w:bCs w:val="0"/>
          <w:szCs w:val="24"/>
        </w:rPr>
        <w:t xml:space="preserve"> are particularly important for its hypoglycemic activity (Agbadoronye </w:t>
      </w:r>
      <w:r>
        <w:rPr>
          <w:rStyle w:val="Strong"/>
          <w:b w:val="0"/>
          <w:bCs w:val="0"/>
          <w:i/>
          <w:iCs/>
          <w:szCs w:val="24"/>
        </w:rPr>
        <w:t>e</w:t>
      </w:r>
      <w:r>
        <w:rPr>
          <w:rStyle w:val="Strong"/>
          <w:b w:val="0"/>
          <w:bCs w:val="0"/>
          <w:i/>
          <w:iCs/>
          <w:szCs w:val="24"/>
        </w:rPr>
        <w:t>t al.</w:t>
      </w:r>
      <w:r>
        <w:rPr>
          <w:rStyle w:val="Strong"/>
          <w:b w:val="0"/>
          <w:bCs w:val="0"/>
          <w:szCs w:val="24"/>
        </w:rPr>
        <w:t>, 2021). Compounds such as quercetin, catechin, and kaempferol derivatives have been identified in various parts of the plant, as Shamsuddeen (2023) reported. These molecules improve glucose handling by enhancing insulin-like signaling, increasing per</w:t>
      </w:r>
      <w:r>
        <w:rPr>
          <w:rStyle w:val="Strong"/>
          <w:b w:val="0"/>
          <w:bCs w:val="0"/>
          <w:szCs w:val="24"/>
        </w:rPr>
        <w:t>ipheral glucose uptake, and modulating pathways that regulate trehalose and glycogen metabolism in</w:t>
      </w:r>
      <w:r>
        <w:rPr>
          <w:rStyle w:val="Strong"/>
          <w:b w:val="0"/>
          <w:bCs w:val="0"/>
          <w:i/>
          <w:szCs w:val="24"/>
        </w:rPr>
        <w:t xml:space="preserve"> Drosophila </w:t>
      </w:r>
      <w:r>
        <w:rPr>
          <w:rStyle w:val="Strong"/>
          <w:b w:val="0"/>
          <w:bCs w:val="0"/>
          <w:szCs w:val="24"/>
        </w:rPr>
        <w:t xml:space="preserve">according to Birse </w:t>
      </w:r>
      <w:r>
        <w:rPr>
          <w:rStyle w:val="Strong"/>
          <w:b w:val="0"/>
          <w:bCs w:val="0"/>
          <w:i/>
          <w:iCs/>
          <w:szCs w:val="24"/>
        </w:rPr>
        <w:t>et al</w:t>
      </w:r>
      <w:r>
        <w:rPr>
          <w:rStyle w:val="Strong"/>
          <w:b w:val="0"/>
          <w:bCs w:val="0"/>
          <w:szCs w:val="24"/>
        </w:rPr>
        <w:t>. (2020). Flavonoids also inhibit digestive enzymes like α-amylase and α-glucosidase, reducing glucose spikes after feedin</w:t>
      </w:r>
      <w:r>
        <w:rPr>
          <w:rStyle w:val="Strong"/>
          <w:b w:val="0"/>
          <w:bCs w:val="0"/>
          <w:szCs w:val="24"/>
        </w:rPr>
        <w:t>g a mechanism relevant to high-sucrose-diet (HSD) induced diabetic flies (Jibril, 2023).</w:t>
      </w:r>
    </w:p>
    <w:p w:rsidR="003C05B7" w:rsidRDefault="00670731">
      <w:pPr>
        <w:jc w:val="both"/>
        <w:rPr>
          <w:rStyle w:val="Strong"/>
          <w:b w:val="0"/>
          <w:bCs w:val="0"/>
          <w:szCs w:val="24"/>
        </w:rPr>
      </w:pPr>
      <w:r>
        <w:rPr>
          <w:rStyle w:val="Strong"/>
          <w:b w:val="0"/>
          <w:bCs w:val="0"/>
          <w:szCs w:val="24"/>
        </w:rPr>
        <w:t xml:space="preserve">The phenols in </w:t>
      </w:r>
      <w:r>
        <w:rPr>
          <w:rStyle w:val="Strong"/>
          <w:b w:val="0"/>
          <w:bCs w:val="0"/>
          <w:i/>
          <w:szCs w:val="24"/>
        </w:rPr>
        <w:t>D</w:t>
      </w:r>
      <w:r>
        <w:rPr>
          <w:rStyle w:val="Strong"/>
          <w:b w:val="0"/>
          <w:bCs w:val="0"/>
          <w:szCs w:val="24"/>
        </w:rPr>
        <w:t xml:space="preserve">. </w:t>
      </w:r>
      <w:r>
        <w:rPr>
          <w:rStyle w:val="Strong"/>
          <w:b w:val="0"/>
          <w:bCs w:val="0"/>
          <w:i/>
          <w:iCs/>
          <w:szCs w:val="24"/>
        </w:rPr>
        <w:t>mespiliformis</w:t>
      </w:r>
      <w:r>
        <w:rPr>
          <w:rStyle w:val="Strong"/>
          <w:b w:val="0"/>
          <w:bCs w:val="0"/>
          <w:szCs w:val="24"/>
        </w:rPr>
        <w:t xml:space="preserve"> scavenge reactive oxygen species and restoring redox balance, which supports more efficient glucose utilization (Bababe, 2024). Tannins</w:t>
      </w:r>
      <w:r>
        <w:rPr>
          <w:rStyle w:val="Strong"/>
          <w:b w:val="0"/>
          <w:bCs w:val="0"/>
          <w:szCs w:val="24"/>
        </w:rPr>
        <w:t xml:space="preserve"> possess anti-inflammatory and enzyme-modulating activities, which may improve insulin sensitivity and reduce metabolic stress associated with diabetes,and also by reducing systemic oxidative stress and inflammation, tannins can support restoration of norm</w:t>
      </w:r>
      <w:r>
        <w:rPr>
          <w:rStyle w:val="Strong"/>
          <w:b w:val="0"/>
          <w:bCs w:val="0"/>
          <w:szCs w:val="24"/>
        </w:rPr>
        <w:t xml:space="preserve">al carbohydrate metabolism in </w:t>
      </w:r>
      <w:r>
        <w:rPr>
          <w:rStyle w:val="Strong"/>
          <w:b w:val="0"/>
          <w:bCs w:val="0"/>
          <w:i/>
          <w:szCs w:val="24"/>
        </w:rPr>
        <w:t xml:space="preserve">Drosophila </w:t>
      </w:r>
      <w:r>
        <w:rPr>
          <w:rStyle w:val="Strong"/>
          <w:b w:val="0"/>
          <w:bCs w:val="0"/>
          <w:szCs w:val="24"/>
        </w:rPr>
        <w:t xml:space="preserve">(Adamu </w:t>
      </w:r>
      <w:r>
        <w:rPr>
          <w:rStyle w:val="Strong"/>
          <w:b w:val="0"/>
          <w:bCs w:val="0"/>
          <w:i/>
          <w:iCs/>
          <w:szCs w:val="24"/>
        </w:rPr>
        <w:t>et al.</w:t>
      </w:r>
      <w:r>
        <w:rPr>
          <w:rStyle w:val="Strong"/>
          <w:b w:val="0"/>
          <w:bCs w:val="0"/>
          <w:szCs w:val="24"/>
        </w:rPr>
        <w:t>, 2023)</w:t>
      </w:r>
    </w:p>
    <w:p w:rsidR="003C05B7" w:rsidRDefault="00670731">
      <w:pPr>
        <w:jc w:val="both"/>
        <w:rPr>
          <w:rStyle w:val="Strong"/>
          <w:b w:val="0"/>
          <w:bCs w:val="0"/>
          <w:szCs w:val="24"/>
        </w:rPr>
      </w:pPr>
      <w:r>
        <w:rPr>
          <w:rStyle w:val="Strong"/>
          <w:b w:val="0"/>
          <w:bCs w:val="0"/>
          <w:szCs w:val="24"/>
        </w:rPr>
        <w:t>Saponins in</w:t>
      </w:r>
      <w:r>
        <w:rPr>
          <w:rStyle w:val="Strong"/>
          <w:b w:val="0"/>
          <w:bCs w:val="0"/>
          <w:i/>
          <w:szCs w:val="24"/>
        </w:rPr>
        <w:t xml:space="preserve"> D. </w:t>
      </w:r>
      <w:r>
        <w:rPr>
          <w:rStyle w:val="Strong"/>
          <w:b w:val="0"/>
          <w:bCs w:val="0"/>
          <w:i/>
          <w:iCs/>
          <w:szCs w:val="24"/>
        </w:rPr>
        <w:t>mespiliformis</w:t>
      </w:r>
      <w:r>
        <w:rPr>
          <w:rStyle w:val="Strong"/>
          <w:b w:val="0"/>
          <w:bCs w:val="0"/>
          <w:szCs w:val="24"/>
        </w:rPr>
        <w:t xml:space="preserve"> play an additional role in hypoglycemic action (Agbadoronye </w:t>
      </w:r>
      <w:r>
        <w:rPr>
          <w:rStyle w:val="Strong"/>
          <w:b w:val="0"/>
          <w:bCs w:val="0"/>
          <w:i/>
          <w:iCs/>
          <w:szCs w:val="24"/>
        </w:rPr>
        <w:t>et al.</w:t>
      </w:r>
      <w:r>
        <w:rPr>
          <w:rStyle w:val="Strong"/>
          <w:b w:val="0"/>
          <w:bCs w:val="0"/>
          <w:szCs w:val="24"/>
        </w:rPr>
        <w:t>, 2021). They are known to reduce intestinal glucose absorption, protect insulin-producing cells, a</w:t>
      </w:r>
      <w:r>
        <w:rPr>
          <w:rStyle w:val="Strong"/>
          <w:b w:val="0"/>
          <w:bCs w:val="0"/>
          <w:szCs w:val="24"/>
        </w:rPr>
        <w:t xml:space="preserve">nd modulate lipid and carbohydrate pathways, according to Ebbo et al. (2019). In </w:t>
      </w:r>
      <w:r>
        <w:rPr>
          <w:rStyle w:val="Strong"/>
          <w:b w:val="0"/>
          <w:bCs w:val="0"/>
          <w:i/>
          <w:szCs w:val="24"/>
        </w:rPr>
        <w:t>Drosophila</w:t>
      </w:r>
      <w:r>
        <w:rPr>
          <w:rStyle w:val="Strong"/>
          <w:b w:val="0"/>
          <w:bCs w:val="0"/>
          <w:szCs w:val="24"/>
        </w:rPr>
        <w:t xml:space="preserve">, saponins may help suppress excessive trehalose production and prevent abnormal glycogen accumulation associated with insulin pathway disruption, as Birse </w:t>
      </w:r>
      <w:r>
        <w:rPr>
          <w:rStyle w:val="Strong"/>
          <w:b w:val="0"/>
          <w:bCs w:val="0"/>
          <w:i/>
          <w:iCs/>
          <w:szCs w:val="24"/>
        </w:rPr>
        <w:t>et al.</w:t>
      </w:r>
      <w:r>
        <w:rPr>
          <w:rStyle w:val="Strong"/>
          <w:b w:val="0"/>
          <w:bCs w:val="0"/>
          <w:szCs w:val="24"/>
        </w:rPr>
        <w:t xml:space="preserve"> (2</w:t>
      </w:r>
      <w:r>
        <w:rPr>
          <w:rStyle w:val="Strong"/>
          <w:b w:val="0"/>
          <w:bCs w:val="0"/>
          <w:szCs w:val="24"/>
        </w:rPr>
        <w:t>020) described. Other bioactives, including alkaloids, terpenoids, and anthraquinones, contribute antimicrobial, anti-inflammatory, and cytoprotective properties that support overall metabolic stability (Shamsuddeen, 2023). These compounds can enhance surv</w:t>
      </w:r>
      <w:r>
        <w:rPr>
          <w:rStyle w:val="Strong"/>
          <w:b w:val="0"/>
          <w:bCs w:val="0"/>
          <w:szCs w:val="24"/>
        </w:rPr>
        <w:t>ival, improve physiological resilience, and indirectly support glucose regulation in diabetic flies (Kabré, 2024).</w:t>
      </w:r>
    </w:p>
    <w:p w:rsidR="003C05B7" w:rsidRDefault="00670731">
      <w:pPr>
        <w:pStyle w:val="NormalWeb"/>
        <w:spacing w:before="0" w:beforeAutospacing="0" w:after="0" w:afterAutospacing="0" w:line="480" w:lineRule="auto"/>
        <w:ind w:left="720" w:hanging="720"/>
        <w:jc w:val="both"/>
        <w:rPr>
          <w:b/>
          <w:bCs/>
        </w:rPr>
      </w:pPr>
      <w:r>
        <w:rPr>
          <w:b/>
          <w:bCs/>
        </w:rPr>
        <w:t xml:space="preserve">2.5 </w:t>
      </w:r>
      <w:r>
        <w:rPr>
          <w:b/>
          <w:bCs/>
          <w:i/>
        </w:rPr>
        <w:t xml:space="preserve">Drosophila melanogaster </w:t>
      </w:r>
      <w:r>
        <w:rPr>
          <w:b/>
          <w:bCs/>
        </w:rPr>
        <w:t xml:space="preserve"> as a Model Organism in Metabolic Research</w:t>
      </w:r>
    </w:p>
    <w:p w:rsidR="003C05B7" w:rsidRDefault="00670731">
      <w:pPr>
        <w:pStyle w:val="NormalWeb"/>
        <w:spacing w:before="0" w:beforeAutospacing="0" w:after="0" w:afterAutospacing="0" w:line="480" w:lineRule="auto"/>
        <w:jc w:val="both"/>
      </w:pPr>
      <w:r>
        <w:rPr>
          <w:i/>
        </w:rPr>
        <w:t>D</w:t>
      </w:r>
      <w:r>
        <w:t xml:space="preserve">. </w:t>
      </w:r>
      <w:r>
        <w:rPr>
          <w:i/>
          <w:iCs/>
        </w:rPr>
        <w:t>melanogaster</w:t>
      </w:r>
      <w:r>
        <w:t xml:space="preserve">, commonly known as the fruit fly or vinegar fly, is a </w:t>
      </w:r>
      <w:r>
        <w:t>premier model organism with a research history spanning over a century (Giansanti</w:t>
      </w:r>
      <w:r>
        <w:rPr>
          <w:i/>
          <w:iCs/>
        </w:rPr>
        <w:t xml:space="preserve"> et al</w:t>
      </w:r>
      <w:r>
        <w:t xml:space="preserve">., 2025). Its adoption in laboratories was driven by practical advantages: it is cost-effective due to its high reproductive rate (30–50 eggs per day), short generation </w:t>
      </w:r>
      <w:r>
        <w:t>time (approximately ten days at 25 °C), and minimal space requirements (Kaufman, 2017). Furthermore, its short lifespan (an average of three months) facilitates efficient longevity and lifespan assays (Pandey and Nichols, 2011).</w:t>
      </w:r>
    </w:p>
    <w:p w:rsidR="003C05B7" w:rsidRDefault="00670731">
      <w:pPr>
        <w:pStyle w:val="NormalWeb"/>
        <w:spacing w:before="0" w:beforeAutospacing="0" w:after="0" w:afterAutospacing="0" w:line="480" w:lineRule="auto"/>
        <w:jc w:val="both"/>
      </w:pPr>
      <w:r>
        <w:t xml:space="preserve">The utility of </w:t>
      </w:r>
      <w:r>
        <w:rPr>
          <w:i/>
        </w:rPr>
        <w:t>D</w:t>
      </w:r>
      <w:r>
        <w:t xml:space="preserve">. </w:t>
      </w:r>
      <w:r>
        <w:rPr>
          <w:i/>
          <w:iCs/>
        </w:rPr>
        <w:t>melanogas</w:t>
      </w:r>
      <w:r>
        <w:rPr>
          <w:i/>
          <w:iCs/>
        </w:rPr>
        <w:t>ter</w:t>
      </w:r>
      <w:r>
        <w:t xml:space="preserve"> extends far beyond genetics and developmental biology (Tolwinski, 2017) to become a powerful system for studying human physiology and disease. A key strength is the high degree of evolutionary conservation; approximately 60% of fly genes are conserved </w:t>
      </w:r>
      <w:r>
        <w:t>with humans, and about 75% of these have matches to known human disease genes (Reiter</w:t>
      </w:r>
      <w:r>
        <w:rPr>
          <w:i/>
          <w:iCs/>
        </w:rPr>
        <w:t xml:space="preserve"> et al., </w:t>
      </w:r>
      <w:r>
        <w:t>2001).</w:t>
      </w:r>
    </w:p>
    <w:p w:rsidR="003C05B7" w:rsidRDefault="00670731">
      <w:pPr>
        <w:pStyle w:val="NormalWeb"/>
        <w:spacing w:before="0" w:beforeAutospacing="0" w:after="0" w:afterAutospacing="0" w:line="480" w:lineRule="auto"/>
        <w:jc w:val="both"/>
      </w:pPr>
      <w:r>
        <w:t xml:space="preserve">Critically for metabolic research, </w:t>
      </w:r>
      <w:r>
        <w:rPr>
          <w:i/>
        </w:rPr>
        <w:t>Drosophila</w:t>
      </w:r>
      <w:r>
        <w:t xml:space="preserve"> possesses tissues and systemic pathways that are analogous to those in mammals. For instance, while it lacks </w:t>
      </w:r>
      <w:r>
        <w:t xml:space="preserve">a discrete liver, its fat body performs equivalent functions in energy storage, metabolism, and immune response, making it a valid model for studying hepatic diseases (Victor </w:t>
      </w:r>
      <w:r>
        <w:rPr>
          <w:i/>
          <w:iCs/>
        </w:rPr>
        <w:t>et al.,</w:t>
      </w:r>
      <w:r>
        <w:t xml:space="preserve"> 2025). The fly’s insulin signaling pathway is also remarkably similar to </w:t>
      </w:r>
      <w:r>
        <w:t xml:space="preserve">humans. Despite having seven insulin-like peptides with partially redundant functions, the core pathway components are conserved and have been instrumental in studying various aspects of diabetes and the diabetic state (Álvarez-Rendón </w:t>
      </w:r>
      <w:r>
        <w:rPr>
          <w:i/>
          <w:iCs/>
        </w:rPr>
        <w:t>et al.,</w:t>
      </w:r>
      <w:r>
        <w:t xml:space="preserve"> 2018). These </w:t>
      </w:r>
      <w:r>
        <w:t>similarities extend to fundamental metabolic regulation, including nutrient sensing and energy homeostasis, allowing</w:t>
      </w:r>
      <w:r>
        <w:rPr>
          <w:i/>
        </w:rPr>
        <w:t xml:space="preserve"> Drosophila</w:t>
      </w:r>
      <w:r>
        <w:t xml:space="preserve"> to effectively model disorders like diabetes and obesity (Garofalo, 2002; Owusu-Ansah and Perrimon, 2014; Chatterjee and Perrimo</w:t>
      </w:r>
      <w:r>
        <w:t>n, 2021).</w:t>
      </w:r>
    </w:p>
    <w:p w:rsidR="003C05B7" w:rsidRDefault="00670731">
      <w:pPr>
        <w:pStyle w:val="NormalWeb"/>
        <w:spacing w:before="0" w:beforeAutospacing="0" w:after="0" w:afterAutospacing="0" w:line="480" w:lineRule="auto"/>
        <w:jc w:val="both"/>
      </w:pPr>
      <w:r>
        <w:t>As a result</w:t>
      </w:r>
      <w:r>
        <w:rPr>
          <w:i/>
        </w:rPr>
        <w:t>, D.</w:t>
      </w:r>
      <w:r>
        <w:rPr>
          <w:i/>
          <w:iCs/>
        </w:rPr>
        <w:t>melanogaster</w:t>
      </w:r>
      <w:r>
        <w:t xml:space="preserve">  has emerged as a very versatile and potent model in recent years for investigating metabolism and metabolic disorders, including both type 1 and type 2 diabetes (Álvarez-Rendón </w:t>
      </w:r>
      <w:r>
        <w:rPr>
          <w:i/>
          <w:iCs/>
        </w:rPr>
        <w:t xml:space="preserve">et al., </w:t>
      </w:r>
      <w:r>
        <w:t>2018). It provides an invaluable</w:t>
      </w:r>
      <w:r>
        <w:t xml:space="preserve"> system for modeling a wide range of human pathologies, from neurodegenerative disorders and cancer to cardiac conditions and muscular diseases (Victor </w:t>
      </w:r>
      <w:r>
        <w:rPr>
          <w:i/>
          <w:iCs/>
        </w:rPr>
        <w:t>et al.</w:t>
      </w:r>
      <w:r>
        <w:t xml:space="preserve">, 2025). Its relatively simple nervous system further makes it an ideal model for studying neurodevelopment, neurodegeneration, and associated locomotor activity using automated systems (Tello </w:t>
      </w:r>
      <w:r>
        <w:rPr>
          <w:i/>
          <w:iCs/>
        </w:rPr>
        <w:t xml:space="preserve">et al., </w:t>
      </w:r>
      <w:r>
        <w:t>2022). In summary, due to its genetic power, physiologi</w:t>
      </w:r>
      <w:r>
        <w:t>cal parallels, and experimental practicality,</w:t>
      </w:r>
      <w:r>
        <w:rPr>
          <w:i/>
        </w:rPr>
        <w:t xml:space="preserve"> D.</w:t>
      </w:r>
      <w:r>
        <w:t xml:space="preserve"> </w:t>
      </w:r>
      <w:r>
        <w:rPr>
          <w:i/>
          <w:iCs/>
        </w:rPr>
        <w:t>melanogaster</w:t>
      </w:r>
      <w:r>
        <w:t xml:space="preserve"> stands as a robust and effective animal model for studying metabolic homeostasis and related human diseases (Chatterjee </w:t>
      </w:r>
      <w:r>
        <w:rPr>
          <w:i/>
          <w:iCs/>
        </w:rPr>
        <w:t>et al.</w:t>
      </w:r>
      <w:r>
        <w:t xml:space="preserve">, 2021; Reiter </w:t>
      </w:r>
      <w:r>
        <w:rPr>
          <w:i/>
          <w:iCs/>
        </w:rPr>
        <w:t>et al</w:t>
      </w:r>
      <w:r>
        <w:t>., 2001).</w:t>
      </w:r>
    </w:p>
    <w:p w:rsidR="003C05B7" w:rsidRDefault="003C05B7">
      <w:pPr>
        <w:pStyle w:val="NormalWeb"/>
        <w:spacing w:before="0" w:beforeAutospacing="0" w:after="0" w:afterAutospacing="0" w:line="480" w:lineRule="auto"/>
        <w:jc w:val="both"/>
      </w:pPr>
    </w:p>
    <w:p w:rsidR="003C05B7" w:rsidRDefault="003C05B7">
      <w:pPr>
        <w:pStyle w:val="NormalWeb"/>
        <w:spacing w:before="0" w:beforeAutospacing="0" w:after="0" w:afterAutospacing="0" w:line="480" w:lineRule="auto"/>
        <w:jc w:val="both"/>
      </w:pPr>
    </w:p>
    <w:p w:rsidR="003C05B7" w:rsidRDefault="003C05B7">
      <w:pPr>
        <w:pStyle w:val="NormalWeb"/>
        <w:spacing w:before="0" w:beforeAutospacing="0" w:after="0" w:afterAutospacing="0" w:line="480" w:lineRule="auto"/>
        <w:jc w:val="both"/>
      </w:pP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jc w:val="center"/>
        <w:rPr>
          <w:b/>
          <w:bCs/>
        </w:rPr>
      </w:pPr>
    </w:p>
    <w:p w:rsidR="003C05B7" w:rsidRDefault="003C05B7">
      <w:pPr>
        <w:pStyle w:val="NormalWeb"/>
        <w:spacing w:before="0" w:beforeAutospacing="0" w:after="0" w:afterAutospacing="0" w:line="480" w:lineRule="auto"/>
        <w:jc w:val="center"/>
        <w:rPr>
          <w:b/>
          <w:bCs/>
        </w:rPr>
      </w:pPr>
    </w:p>
    <w:p w:rsidR="003C05B7" w:rsidRDefault="003C05B7">
      <w:pPr>
        <w:pStyle w:val="NormalWeb"/>
        <w:spacing w:before="0" w:beforeAutospacing="0" w:after="0" w:afterAutospacing="0" w:line="480" w:lineRule="auto"/>
        <w:jc w:val="center"/>
        <w:rPr>
          <w:b/>
          <w:bCs/>
        </w:rPr>
      </w:pPr>
    </w:p>
    <w:p w:rsidR="003C05B7" w:rsidRDefault="003C05B7">
      <w:pPr>
        <w:pStyle w:val="NormalWeb"/>
        <w:spacing w:before="0" w:beforeAutospacing="0" w:after="0" w:afterAutospacing="0" w:line="480" w:lineRule="auto"/>
        <w:jc w:val="center"/>
        <w:rPr>
          <w:b/>
          <w:bCs/>
        </w:rPr>
      </w:pPr>
    </w:p>
    <w:p w:rsidR="003C05B7" w:rsidRDefault="003C05B7">
      <w:pPr>
        <w:pStyle w:val="NormalWeb"/>
        <w:spacing w:before="0" w:beforeAutospacing="0" w:after="0" w:afterAutospacing="0" w:line="480" w:lineRule="auto"/>
        <w:jc w:val="center"/>
        <w:rPr>
          <w:b/>
          <w:bCs/>
        </w:rPr>
      </w:pPr>
    </w:p>
    <w:p w:rsidR="003C05B7" w:rsidRDefault="003C05B7">
      <w:pPr>
        <w:pStyle w:val="NormalWeb"/>
        <w:spacing w:before="0" w:beforeAutospacing="0" w:after="0" w:afterAutospacing="0" w:line="480" w:lineRule="auto"/>
        <w:jc w:val="center"/>
        <w:rPr>
          <w:b/>
          <w:bCs/>
        </w:rPr>
      </w:pPr>
    </w:p>
    <w:p w:rsidR="003C05B7" w:rsidRDefault="003C05B7">
      <w:pPr>
        <w:pStyle w:val="NormalWeb"/>
        <w:spacing w:before="0" w:beforeAutospacing="0" w:after="0" w:afterAutospacing="0" w:line="480" w:lineRule="auto"/>
        <w:rPr>
          <w:b/>
          <w:bCs/>
        </w:rPr>
      </w:pPr>
    </w:p>
    <w:p w:rsidR="003C05B7" w:rsidRDefault="00670731">
      <w:pPr>
        <w:keepNext/>
        <w:keepLines/>
        <w:spacing w:before="240"/>
        <w:jc w:val="center"/>
        <w:outlineLvl w:val="0"/>
        <w:rPr>
          <w:rFonts w:eastAsia="DengXian Light" w:cs="Times New Roman"/>
          <w:b/>
          <w:szCs w:val="24"/>
        </w:rPr>
      </w:pPr>
      <w:bookmarkStart w:id="1" w:name="_Toc173317881"/>
      <w:r>
        <w:rPr>
          <w:rFonts w:eastAsia="DengXian Light" w:cs="Times New Roman"/>
          <w:b/>
          <w:szCs w:val="24"/>
        </w:rPr>
        <w:t>CHAPTER THREE</w:t>
      </w:r>
      <w:bookmarkEnd w:id="1"/>
    </w:p>
    <w:p w:rsidR="003C05B7" w:rsidRDefault="00670731">
      <w:pPr>
        <w:keepNext/>
        <w:keepLines/>
        <w:spacing w:before="40"/>
        <w:outlineLvl w:val="1"/>
        <w:rPr>
          <w:rFonts w:eastAsia="DengXian Light" w:cs="Times New Roman"/>
          <w:b/>
          <w:szCs w:val="24"/>
        </w:rPr>
      </w:pPr>
      <w:bookmarkStart w:id="2" w:name="_Toc173317882"/>
      <w:r>
        <w:rPr>
          <w:rFonts w:eastAsia="DengXian Light" w:cs="Times New Roman"/>
          <w:b/>
          <w:szCs w:val="24"/>
        </w:rPr>
        <w:t xml:space="preserve">3.0 </w:t>
      </w:r>
      <w:r>
        <w:rPr>
          <w:rFonts w:eastAsia="DengXian Light" w:cs="Times New Roman"/>
          <w:b/>
          <w:szCs w:val="24"/>
        </w:rPr>
        <w:t>MATERIALS AND METHODS</w:t>
      </w:r>
      <w:bookmarkEnd w:id="2"/>
    </w:p>
    <w:p w:rsidR="003C05B7" w:rsidRDefault="00670731">
      <w:pPr>
        <w:tabs>
          <w:tab w:val="left" w:pos="284"/>
        </w:tabs>
        <w:rPr>
          <w:rFonts w:cs="Times New Roman"/>
          <w:szCs w:val="24"/>
        </w:rPr>
      </w:pPr>
      <w:r>
        <w:rPr>
          <w:rFonts w:cs="Times New Roman"/>
          <w:szCs w:val="24"/>
        </w:rPr>
        <w:t>The materials used in this study are listed in Table 3.1</w:t>
      </w:r>
    </w:p>
    <w:p w:rsidR="003C05B7" w:rsidRDefault="00670731">
      <w:pPr>
        <w:pStyle w:val="Heading1"/>
        <w:jc w:val="left"/>
      </w:pPr>
      <w:r>
        <w:t>Table 3.1.: List of materials used in the study</w:t>
      </w:r>
    </w:p>
    <w:tbl>
      <w:tblPr>
        <w:tblW w:w="11340" w:type="dxa"/>
        <w:tblInd w:w="-905" w:type="dxa"/>
        <w:tblBorders>
          <w:top w:val="single" w:sz="4" w:space="0" w:color="auto"/>
          <w:bottom w:val="single" w:sz="4" w:space="0" w:color="auto"/>
        </w:tblBorders>
        <w:tblLayout w:type="fixed"/>
        <w:tblLook w:val="04A0" w:firstRow="1" w:lastRow="0" w:firstColumn="1" w:lastColumn="0" w:noHBand="0" w:noVBand="1"/>
      </w:tblPr>
      <w:tblGrid>
        <w:gridCol w:w="590"/>
        <w:gridCol w:w="2470"/>
        <w:gridCol w:w="1890"/>
        <w:gridCol w:w="1800"/>
        <w:gridCol w:w="2610"/>
        <w:gridCol w:w="1980"/>
      </w:tblGrid>
      <w:tr w:rsidR="003C05B7">
        <w:tc>
          <w:tcPr>
            <w:tcW w:w="590" w:type="dxa"/>
            <w:tcBorders>
              <w:top w:val="single" w:sz="4" w:space="0" w:color="auto"/>
              <w:left w:val="nil"/>
              <w:bottom w:val="single" w:sz="4" w:space="0" w:color="auto"/>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S/N</w:t>
            </w:r>
          </w:p>
        </w:tc>
        <w:tc>
          <w:tcPr>
            <w:tcW w:w="2470" w:type="dxa"/>
            <w:tcBorders>
              <w:top w:val="single" w:sz="4" w:space="0" w:color="auto"/>
              <w:left w:val="nil"/>
              <w:bottom w:val="single" w:sz="4" w:space="0" w:color="auto"/>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Materials/Equipment/Reagents</w:t>
            </w:r>
          </w:p>
        </w:tc>
        <w:tc>
          <w:tcPr>
            <w:tcW w:w="1890" w:type="dxa"/>
            <w:tcBorders>
              <w:top w:val="single" w:sz="4" w:space="0" w:color="auto"/>
              <w:left w:val="nil"/>
              <w:bottom w:val="single" w:sz="4" w:space="0" w:color="auto"/>
              <w:right w:val="nil"/>
            </w:tcBorders>
          </w:tcPr>
          <w:p w:rsidR="003C05B7" w:rsidRDefault="00670731">
            <w:pPr>
              <w:tabs>
                <w:tab w:val="left" w:pos="284"/>
              </w:tabs>
              <w:spacing w:after="160" w:line="240" w:lineRule="auto"/>
              <w:ind w:right="-5705"/>
              <w:rPr>
                <w:rFonts w:cs="Times New Roman"/>
                <w:b/>
                <w:bCs/>
                <w:szCs w:val="24"/>
              </w:rPr>
            </w:pPr>
            <w:r>
              <w:rPr>
                <w:rFonts w:cs="Times New Roman"/>
                <w:b/>
                <w:bCs/>
                <w:szCs w:val="24"/>
              </w:rPr>
              <w:t>Types/Size</w:t>
            </w:r>
          </w:p>
        </w:tc>
        <w:tc>
          <w:tcPr>
            <w:tcW w:w="1800" w:type="dxa"/>
            <w:tcBorders>
              <w:top w:val="single" w:sz="4" w:space="0" w:color="auto"/>
              <w:left w:val="nil"/>
              <w:bottom w:val="single" w:sz="4" w:space="0" w:color="auto"/>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Manufacturer/Sources</w:t>
            </w:r>
          </w:p>
        </w:tc>
        <w:tc>
          <w:tcPr>
            <w:tcW w:w="2610" w:type="dxa"/>
            <w:tcBorders>
              <w:top w:val="single" w:sz="4" w:space="0" w:color="auto"/>
              <w:left w:val="nil"/>
              <w:bottom w:val="single" w:sz="4" w:space="0" w:color="auto"/>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Cities/States/Provinces</w:t>
            </w:r>
          </w:p>
        </w:tc>
        <w:tc>
          <w:tcPr>
            <w:tcW w:w="1980" w:type="dxa"/>
            <w:tcBorders>
              <w:top w:val="single" w:sz="4" w:space="0" w:color="auto"/>
              <w:left w:val="nil"/>
              <w:bottom w:val="single" w:sz="4" w:space="0" w:color="auto"/>
              <w:right w:val="nil"/>
            </w:tcBorders>
          </w:tcPr>
          <w:p w:rsidR="003C05B7" w:rsidRDefault="00670731">
            <w:pPr>
              <w:tabs>
                <w:tab w:val="left" w:pos="284"/>
              </w:tabs>
              <w:spacing w:after="160" w:line="240" w:lineRule="auto"/>
              <w:ind w:left="-20" w:firstLine="20"/>
              <w:rPr>
                <w:rFonts w:cs="Times New Roman"/>
                <w:b/>
                <w:bCs/>
                <w:szCs w:val="24"/>
              </w:rPr>
            </w:pPr>
            <w:r>
              <w:rPr>
                <w:rFonts w:cs="Times New Roman"/>
                <w:b/>
                <w:bCs/>
                <w:szCs w:val="24"/>
              </w:rPr>
              <w:t>Countries</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1</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ELISA plate reader</w:t>
            </w:r>
          </w:p>
        </w:tc>
        <w:tc>
          <w:tcPr>
            <w:tcW w:w="189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S/N:IFTDL231007015</w:t>
            </w:r>
          </w:p>
        </w:tc>
        <w:tc>
          <w:tcPr>
            <w:tcW w:w="180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Infitek</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Lixia</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China</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2</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Centrifuge</w:t>
            </w:r>
          </w:p>
        </w:tc>
        <w:tc>
          <w:tcPr>
            <w:tcW w:w="189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S/NBEPDL230809001</w:t>
            </w:r>
          </w:p>
        </w:tc>
        <w:tc>
          <w:tcPr>
            <w:tcW w:w="180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Bioevopeak</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Lixia</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China</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3</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Eppendorf tube</w:t>
            </w:r>
          </w:p>
        </w:tc>
        <w:tc>
          <w:tcPr>
            <w:tcW w:w="189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1.5ml (500 pieces) LOT NO: 202301</w:t>
            </w:r>
          </w:p>
        </w:tc>
        <w:tc>
          <w:tcPr>
            <w:tcW w:w="1800" w:type="dxa"/>
            <w:tcBorders>
              <w:top w:val="nil"/>
              <w:left w:val="nil"/>
              <w:bottom w:val="nil"/>
              <w:right w:val="nil"/>
            </w:tcBorders>
          </w:tcPr>
          <w:p w:rsidR="003C05B7" w:rsidRDefault="003C05B7">
            <w:pPr>
              <w:tabs>
                <w:tab w:val="left" w:pos="284"/>
              </w:tabs>
              <w:spacing w:after="160" w:line="240" w:lineRule="auto"/>
              <w:rPr>
                <w:rFonts w:cs="Times New Roman"/>
                <w:szCs w:val="24"/>
              </w:rPr>
            </w:pPr>
          </w:p>
        </w:tc>
        <w:tc>
          <w:tcPr>
            <w:tcW w:w="2610" w:type="dxa"/>
            <w:tcBorders>
              <w:top w:val="nil"/>
              <w:left w:val="nil"/>
              <w:bottom w:val="nil"/>
              <w:right w:val="nil"/>
            </w:tcBorders>
          </w:tcPr>
          <w:p w:rsidR="003C05B7" w:rsidRDefault="003C05B7">
            <w:pPr>
              <w:tabs>
                <w:tab w:val="left" w:pos="284"/>
              </w:tabs>
              <w:spacing w:after="160" w:line="240" w:lineRule="auto"/>
              <w:rPr>
                <w:rFonts w:cs="Times New Roman"/>
                <w:szCs w:val="24"/>
              </w:rPr>
            </w:pP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Germany</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4</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Water Distiller machine</w:t>
            </w:r>
          </w:p>
        </w:tc>
        <w:tc>
          <w:tcPr>
            <w:tcW w:w="189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LWDB-400M</w:t>
            </w:r>
          </w:p>
        </w:tc>
        <w:tc>
          <w:tcPr>
            <w:tcW w:w="180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Laboid International, Solan</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Pradesh</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India</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5</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Absolute Ethanol</w:t>
            </w:r>
          </w:p>
        </w:tc>
        <w:tc>
          <w:tcPr>
            <w:tcW w:w="189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283041</w:t>
            </w:r>
          </w:p>
          <w:p w:rsidR="003C05B7" w:rsidRDefault="00670731">
            <w:pPr>
              <w:tabs>
                <w:tab w:val="left" w:pos="284"/>
              </w:tabs>
              <w:spacing w:after="160" w:line="240" w:lineRule="auto"/>
              <w:rPr>
                <w:rFonts w:cs="Times New Roman"/>
                <w:szCs w:val="24"/>
              </w:rPr>
            </w:pPr>
            <w:r>
              <w:rPr>
                <w:rFonts w:cs="Times New Roman"/>
                <w:szCs w:val="24"/>
              </w:rPr>
              <w:t>5 litres</w:t>
            </w:r>
          </w:p>
        </w:tc>
        <w:tc>
          <w:tcPr>
            <w:tcW w:w="180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Loba-chemie pvt Ltd</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Mumbai</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India</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6</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Pipette</w:t>
            </w:r>
          </w:p>
        </w:tc>
        <w:tc>
          <w:tcPr>
            <w:tcW w:w="189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1000µl, 200 µl, 100 µl, and 10 µl</w:t>
            </w:r>
          </w:p>
        </w:tc>
        <w:tc>
          <w:tcPr>
            <w:tcW w:w="180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Eppendorf AG</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 xml:space="preserve">Hamburg </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Germany</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7</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Pipette tips</w:t>
            </w:r>
          </w:p>
        </w:tc>
        <w:tc>
          <w:tcPr>
            <w:tcW w:w="189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Pt1000-1-BS, PT0200-9-45</w:t>
            </w:r>
          </w:p>
          <w:p w:rsidR="003C05B7" w:rsidRDefault="00670731">
            <w:pPr>
              <w:tabs>
                <w:tab w:val="left" w:pos="284"/>
              </w:tabs>
              <w:spacing w:line="240" w:lineRule="auto"/>
              <w:rPr>
                <w:rFonts w:cs="Times New Roman"/>
                <w:szCs w:val="24"/>
              </w:rPr>
            </w:pPr>
            <w:r>
              <w:rPr>
                <w:rFonts w:cs="Times New Roman"/>
                <w:szCs w:val="24"/>
              </w:rPr>
              <w:t>F1670801</w:t>
            </w:r>
          </w:p>
          <w:p w:rsidR="003C05B7" w:rsidRDefault="00670731">
            <w:pPr>
              <w:tabs>
                <w:tab w:val="left" w:pos="284"/>
              </w:tabs>
              <w:spacing w:after="160" w:line="240" w:lineRule="auto"/>
              <w:rPr>
                <w:rFonts w:cs="Times New Roman"/>
                <w:szCs w:val="24"/>
              </w:rPr>
            </w:pPr>
            <w:r>
              <w:rPr>
                <w:rFonts w:cs="Times New Roman"/>
                <w:szCs w:val="24"/>
              </w:rPr>
              <w:t>1000µl, 200 µl, 100 µl, and 10 µl</w:t>
            </w:r>
          </w:p>
        </w:tc>
        <w:tc>
          <w:tcPr>
            <w:tcW w:w="180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Shanghai Gene</w:t>
            </w:r>
          </w:p>
          <w:p w:rsidR="003C05B7" w:rsidRDefault="00670731">
            <w:pPr>
              <w:tabs>
                <w:tab w:val="left" w:pos="284"/>
              </w:tabs>
              <w:spacing w:after="160" w:line="240" w:lineRule="auto"/>
              <w:rPr>
                <w:rFonts w:cs="Times New Roman"/>
                <w:szCs w:val="24"/>
              </w:rPr>
            </w:pPr>
            <w:r>
              <w:rPr>
                <w:rFonts w:cs="Times New Roman"/>
                <w:szCs w:val="24"/>
              </w:rPr>
              <w:t>Era Bio-Science</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Zhejiang</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China</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8</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Latex hand gloves</w:t>
            </w:r>
          </w:p>
        </w:tc>
        <w:tc>
          <w:tcPr>
            <w:tcW w:w="189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4 packs</w:t>
            </w:r>
          </w:p>
        </w:tc>
        <w:tc>
          <w:tcPr>
            <w:tcW w:w="180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Unigloves SDN</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Senawang</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Malaysia</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9</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Measuring Cylinder</w:t>
            </w:r>
          </w:p>
        </w:tc>
        <w:tc>
          <w:tcPr>
            <w:tcW w:w="189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50ml</w:t>
            </w:r>
          </w:p>
        </w:tc>
        <w:tc>
          <w:tcPr>
            <w:tcW w:w="180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New England Biolabs Inc</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Hitchin</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UK</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10</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Scott bottle</w:t>
            </w:r>
          </w:p>
        </w:tc>
        <w:tc>
          <w:tcPr>
            <w:tcW w:w="189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100ml bottle</w:t>
            </w:r>
          </w:p>
        </w:tc>
        <w:tc>
          <w:tcPr>
            <w:tcW w:w="180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CAMRET</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Sokoto</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Nigeria</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11</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Refrigerator-Freezer</w:t>
            </w:r>
          </w:p>
        </w:tc>
        <w:tc>
          <w:tcPr>
            <w:tcW w:w="189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Model: RC-67WSI</w:t>
            </w:r>
          </w:p>
        </w:tc>
        <w:tc>
          <w:tcPr>
            <w:tcW w:w="180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Hisense</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Hisense</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China</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12</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Distilled water</w:t>
            </w:r>
          </w:p>
        </w:tc>
        <w:tc>
          <w:tcPr>
            <w:tcW w:w="189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2</w:t>
            </w:r>
            <w:r>
              <w:rPr>
                <w:rFonts w:cs="Times New Roman"/>
                <w:szCs w:val="24"/>
              </w:rPr>
              <w:t xml:space="preserve"> Litres</w:t>
            </w:r>
          </w:p>
        </w:tc>
        <w:tc>
          <w:tcPr>
            <w:tcW w:w="180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CAMRET</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Sokoto</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Nigeria</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13</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Icepacks</w:t>
            </w:r>
          </w:p>
        </w:tc>
        <w:tc>
          <w:tcPr>
            <w:tcW w:w="189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4 packs</w:t>
            </w:r>
          </w:p>
        </w:tc>
        <w:tc>
          <w:tcPr>
            <w:tcW w:w="180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CAMRET</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Sokoto</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Nigeria</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14</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Phosphate buffered saline (PBS) tablet</w:t>
            </w:r>
          </w:p>
        </w:tc>
        <w:tc>
          <w:tcPr>
            <w:tcW w:w="189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1 Tablet</w:t>
            </w:r>
          </w:p>
        </w:tc>
        <w:tc>
          <w:tcPr>
            <w:tcW w:w="180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Oxoid</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Basingstoke Hemisphere</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England</w:t>
            </w:r>
          </w:p>
        </w:tc>
      </w:tr>
      <w:tr w:rsidR="003C05B7">
        <w:tc>
          <w:tcPr>
            <w:tcW w:w="590" w:type="dxa"/>
            <w:tcBorders>
              <w:top w:val="nil"/>
              <w:left w:val="nil"/>
              <w:bottom w:val="nil"/>
              <w:right w:val="nil"/>
            </w:tcBorders>
          </w:tcPr>
          <w:p w:rsidR="003C05B7" w:rsidRDefault="00670731">
            <w:pPr>
              <w:tabs>
                <w:tab w:val="left" w:pos="284"/>
              </w:tabs>
              <w:spacing w:after="160" w:line="240" w:lineRule="auto"/>
              <w:rPr>
                <w:rFonts w:cs="Times New Roman"/>
                <w:b/>
                <w:bCs/>
                <w:szCs w:val="24"/>
              </w:rPr>
            </w:pPr>
            <w:r>
              <w:rPr>
                <w:rFonts w:cs="Times New Roman"/>
                <w:b/>
                <w:bCs/>
                <w:szCs w:val="24"/>
              </w:rPr>
              <w:t>15</w:t>
            </w:r>
          </w:p>
          <w:p w:rsidR="003C05B7" w:rsidRDefault="00670731">
            <w:pPr>
              <w:tabs>
                <w:tab w:val="left" w:pos="284"/>
              </w:tabs>
              <w:spacing w:after="160" w:line="240" w:lineRule="auto"/>
              <w:rPr>
                <w:rFonts w:cs="Times New Roman"/>
                <w:b/>
                <w:bCs/>
                <w:szCs w:val="24"/>
              </w:rPr>
            </w:pPr>
            <w:r>
              <w:rPr>
                <w:rFonts w:cs="Times New Roman"/>
                <w:b/>
                <w:bCs/>
                <w:szCs w:val="24"/>
              </w:rPr>
              <w:t>16</w:t>
            </w:r>
          </w:p>
          <w:p w:rsidR="003C05B7" w:rsidRDefault="00670731">
            <w:pPr>
              <w:tabs>
                <w:tab w:val="left" w:pos="284"/>
              </w:tabs>
              <w:spacing w:after="160" w:line="240" w:lineRule="auto"/>
              <w:rPr>
                <w:rFonts w:cs="Times New Roman"/>
                <w:b/>
                <w:bCs/>
                <w:szCs w:val="24"/>
              </w:rPr>
            </w:pPr>
            <w:r>
              <w:rPr>
                <w:rFonts w:cs="Times New Roman"/>
                <w:b/>
                <w:bCs/>
                <w:szCs w:val="24"/>
              </w:rPr>
              <w:t>17</w:t>
            </w:r>
          </w:p>
          <w:p w:rsidR="003C05B7" w:rsidRDefault="00670731">
            <w:pPr>
              <w:tabs>
                <w:tab w:val="left" w:pos="284"/>
              </w:tabs>
              <w:spacing w:after="160" w:line="240" w:lineRule="auto"/>
              <w:rPr>
                <w:rFonts w:cs="Times New Roman"/>
                <w:b/>
                <w:bCs/>
                <w:szCs w:val="24"/>
              </w:rPr>
            </w:pPr>
            <w:r>
              <w:rPr>
                <w:rFonts w:cs="Times New Roman"/>
                <w:b/>
                <w:bCs/>
                <w:szCs w:val="24"/>
              </w:rPr>
              <w:t>18</w:t>
            </w:r>
          </w:p>
          <w:p w:rsidR="003C05B7" w:rsidRDefault="003C05B7">
            <w:pPr>
              <w:tabs>
                <w:tab w:val="left" w:pos="284"/>
              </w:tabs>
              <w:spacing w:after="160" w:line="240" w:lineRule="auto"/>
              <w:rPr>
                <w:rFonts w:cs="Times New Roman"/>
                <w:b/>
                <w:bCs/>
                <w:szCs w:val="24"/>
              </w:rPr>
            </w:pPr>
          </w:p>
          <w:p w:rsidR="003C05B7" w:rsidRDefault="00670731">
            <w:pPr>
              <w:tabs>
                <w:tab w:val="left" w:pos="284"/>
              </w:tabs>
              <w:spacing w:after="160" w:line="240" w:lineRule="auto"/>
              <w:rPr>
                <w:rFonts w:cs="Times New Roman"/>
                <w:b/>
                <w:bCs/>
                <w:szCs w:val="24"/>
              </w:rPr>
            </w:pPr>
            <w:r>
              <w:rPr>
                <w:rFonts w:cs="Times New Roman"/>
                <w:b/>
                <w:bCs/>
                <w:szCs w:val="24"/>
              </w:rPr>
              <w:t>19</w:t>
            </w:r>
          </w:p>
          <w:p w:rsidR="003C05B7" w:rsidRDefault="003C05B7">
            <w:pPr>
              <w:tabs>
                <w:tab w:val="left" w:pos="284"/>
              </w:tabs>
              <w:spacing w:after="160" w:line="240" w:lineRule="auto"/>
              <w:rPr>
                <w:rFonts w:cs="Times New Roman"/>
                <w:b/>
                <w:bCs/>
                <w:szCs w:val="24"/>
              </w:rPr>
            </w:pPr>
          </w:p>
          <w:p w:rsidR="003C05B7" w:rsidRDefault="00670731">
            <w:pPr>
              <w:tabs>
                <w:tab w:val="left" w:pos="284"/>
              </w:tabs>
              <w:spacing w:after="160" w:line="240" w:lineRule="auto"/>
              <w:rPr>
                <w:rFonts w:cs="Times New Roman"/>
                <w:b/>
                <w:bCs/>
                <w:szCs w:val="24"/>
              </w:rPr>
            </w:pPr>
            <w:r>
              <w:rPr>
                <w:rFonts w:cs="Times New Roman"/>
                <w:b/>
                <w:bCs/>
                <w:szCs w:val="24"/>
              </w:rPr>
              <w:t>20</w:t>
            </w:r>
          </w:p>
          <w:p w:rsidR="003C05B7" w:rsidRDefault="003C05B7">
            <w:pPr>
              <w:tabs>
                <w:tab w:val="left" w:pos="284"/>
              </w:tabs>
              <w:spacing w:after="160" w:line="240" w:lineRule="auto"/>
              <w:rPr>
                <w:rFonts w:cs="Times New Roman"/>
                <w:b/>
                <w:bCs/>
                <w:szCs w:val="24"/>
              </w:rPr>
            </w:pPr>
          </w:p>
          <w:p w:rsidR="003C05B7" w:rsidRDefault="00670731">
            <w:pPr>
              <w:tabs>
                <w:tab w:val="left" w:pos="284"/>
              </w:tabs>
              <w:spacing w:after="160" w:line="240" w:lineRule="auto"/>
              <w:rPr>
                <w:rFonts w:cs="Times New Roman"/>
                <w:b/>
                <w:bCs/>
                <w:szCs w:val="24"/>
              </w:rPr>
            </w:pPr>
            <w:r>
              <w:rPr>
                <w:rFonts w:cs="Times New Roman"/>
                <w:b/>
                <w:bCs/>
                <w:szCs w:val="24"/>
              </w:rPr>
              <w:t xml:space="preserve">21 </w:t>
            </w:r>
          </w:p>
          <w:p w:rsidR="003C05B7" w:rsidRDefault="00670731">
            <w:pPr>
              <w:tabs>
                <w:tab w:val="left" w:pos="284"/>
              </w:tabs>
              <w:spacing w:after="160" w:line="240" w:lineRule="auto"/>
              <w:rPr>
                <w:rFonts w:cs="Times New Roman"/>
                <w:b/>
                <w:bCs/>
                <w:szCs w:val="24"/>
              </w:rPr>
            </w:pPr>
            <w:r>
              <w:rPr>
                <w:rFonts w:cs="Times New Roman"/>
                <w:b/>
                <w:bCs/>
                <w:szCs w:val="24"/>
              </w:rPr>
              <w:t xml:space="preserve"> </w:t>
            </w:r>
          </w:p>
        </w:tc>
        <w:tc>
          <w:tcPr>
            <w:tcW w:w="247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Baker's Yeast</w:t>
            </w:r>
          </w:p>
          <w:p w:rsidR="003C05B7" w:rsidRDefault="00670731">
            <w:pPr>
              <w:tabs>
                <w:tab w:val="left" w:pos="284"/>
              </w:tabs>
              <w:spacing w:after="160" w:line="240" w:lineRule="auto"/>
              <w:rPr>
                <w:rFonts w:cs="Times New Roman"/>
                <w:szCs w:val="24"/>
              </w:rPr>
            </w:pPr>
            <w:r>
              <w:rPr>
                <w:rFonts w:cs="Times New Roman"/>
                <w:szCs w:val="24"/>
              </w:rPr>
              <w:t>Agar-Agar</w:t>
            </w:r>
          </w:p>
          <w:p w:rsidR="003C05B7" w:rsidRDefault="00670731">
            <w:pPr>
              <w:tabs>
                <w:tab w:val="left" w:pos="284"/>
              </w:tabs>
              <w:spacing w:after="160" w:line="240" w:lineRule="auto"/>
              <w:rPr>
                <w:rFonts w:cs="Times New Roman"/>
                <w:szCs w:val="24"/>
              </w:rPr>
            </w:pPr>
            <w:r>
              <w:rPr>
                <w:rFonts w:cs="Times New Roman"/>
                <w:szCs w:val="24"/>
              </w:rPr>
              <w:t>Methyl Paraben</w:t>
            </w:r>
          </w:p>
          <w:p w:rsidR="003C05B7" w:rsidRDefault="00670731">
            <w:pPr>
              <w:tabs>
                <w:tab w:val="left" w:pos="284"/>
              </w:tabs>
              <w:spacing w:after="160" w:line="240" w:lineRule="auto"/>
              <w:rPr>
                <w:rFonts w:cs="Times New Roman"/>
                <w:szCs w:val="24"/>
              </w:rPr>
            </w:pPr>
            <w:r>
              <w:rPr>
                <w:rFonts w:cs="Times New Roman"/>
                <w:szCs w:val="24"/>
              </w:rPr>
              <w:t>Corn Flour</w:t>
            </w:r>
          </w:p>
          <w:p w:rsidR="003C05B7" w:rsidRDefault="003C05B7">
            <w:pPr>
              <w:tabs>
                <w:tab w:val="left" w:pos="284"/>
              </w:tabs>
              <w:spacing w:after="160" w:line="240" w:lineRule="auto"/>
              <w:rPr>
                <w:rFonts w:cs="Times New Roman"/>
                <w:szCs w:val="24"/>
              </w:rPr>
            </w:pPr>
          </w:p>
          <w:p w:rsidR="003C05B7" w:rsidRDefault="00670731">
            <w:pPr>
              <w:tabs>
                <w:tab w:val="left" w:pos="284"/>
              </w:tabs>
              <w:spacing w:after="160" w:line="240" w:lineRule="auto"/>
              <w:rPr>
                <w:rFonts w:cs="Times New Roman"/>
                <w:szCs w:val="24"/>
              </w:rPr>
            </w:pPr>
            <w:r>
              <w:rPr>
                <w:rFonts w:cs="Times New Roman"/>
                <w:szCs w:val="24"/>
              </w:rPr>
              <w:t>Sucrose</w:t>
            </w:r>
          </w:p>
          <w:p w:rsidR="003C05B7" w:rsidRDefault="003C05B7">
            <w:pPr>
              <w:tabs>
                <w:tab w:val="left" w:pos="284"/>
              </w:tabs>
              <w:spacing w:after="160" w:line="240" w:lineRule="auto"/>
              <w:rPr>
                <w:rFonts w:cs="Times New Roman"/>
                <w:szCs w:val="24"/>
              </w:rPr>
            </w:pPr>
          </w:p>
          <w:p w:rsidR="003C05B7" w:rsidRDefault="00670731">
            <w:pPr>
              <w:tabs>
                <w:tab w:val="left" w:pos="284"/>
              </w:tabs>
              <w:spacing w:after="160" w:line="240" w:lineRule="auto"/>
              <w:rPr>
                <w:rFonts w:cs="Times New Roman"/>
                <w:szCs w:val="24"/>
              </w:rPr>
            </w:pPr>
            <w:r>
              <w:rPr>
                <w:rFonts w:cs="Times New Roman"/>
                <w:szCs w:val="24"/>
              </w:rPr>
              <w:t>Electronic weighing scale</w:t>
            </w:r>
          </w:p>
          <w:p w:rsidR="003C05B7" w:rsidRDefault="00670731">
            <w:pPr>
              <w:tabs>
                <w:tab w:val="left" w:pos="284"/>
              </w:tabs>
              <w:spacing w:after="160" w:line="240" w:lineRule="auto"/>
              <w:rPr>
                <w:rFonts w:cs="Times New Roman"/>
                <w:szCs w:val="24"/>
              </w:rPr>
            </w:pPr>
            <w:r>
              <w:rPr>
                <w:rFonts w:cs="Times New Roman"/>
                <w:szCs w:val="24"/>
              </w:rPr>
              <w:t>Handheld homogenizer</w:t>
            </w:r>
          </w:p>
          <w:p w:rsidR="003C05B7" w:rsidRDefault="003C05B7">
            <w:pPr>
              <w:tabs>
                <w:tab w:val="left" w:pos="284"/>
              </w:tabs>
              <w:spacing w:after="160" w:line="240" w:lineRule="auto"/>
              <w:rPr>
                <w:rFonts w:cs="Times New Roman"/>
                <w:szCs w:val="24"/>
              </w:rPr>
            </w:pPr>
          </w:p>
          <w:p w:rsidR="003C05B7" w:rsidRDefault="003C05B7">
            <w:pPr>
              <w:tabs>
                <w:tab w:val="left" w:pos="284"/>
              </w:tabs>
              <w:spacing w:after="160" w:line="240" w:lineRule="auto"/>
              <w:rPr>
                <w:rFonts w:cs="Times New Roman"/>
                <w:szCs w:val="24"/>
              </w:rPr>
            </w:pPr>
          </w:p>
        </w:tc>
        <w:tc>
          <w:tcPr>
            <w:tcW w:w="1890" w:type="dxa"/>
            <w:tcBorders>
              <w:top w:val="nil"/>
              <w:left w:val="nil"/>
              <w:bottom w:val="nil"/>
              <w:right w:val="nil"/>
            </w:tcBorders>
          </w:tcPr>
          <w:p w:rsidR="003C05B7" w:rsidRDefault="003C05B7">
            <w:pPr>
              <w:tabs>
                <w:tab w:val="left" w:pos="284"/>
              </w:tabs>
              <w:spacing w:line="240" w:lineRule="auto"/>
              <w:rPr>
                <w:rFonts w:cs="Times New Roman"/>
                <w:szCs w:val="24"/>
              </w:rPr>
            </w:pPr>
          </w:p>
        </w:tc>
        <w:tc>
          <w:tcPr>
            <w:tcW w:w="1800" w:type="dxa"/>
            <w:tcBorders>
              <w:top w:val="nil"/>
              <w:left w:val="nil"/>
              <w:bottom w:val="nil"/>
              <w:right w:val="nil"/>
            </w:tcBorders>
          </w:tcPr>
          <w:p w:rsidR="003C05B7" w:rsidRDefault="00670731">
            <w:pPr>
              <w:tabs>
                <w:tab w:val="left" w:pos="284"/>
              </w:tabs>
              <w:spacing w:line="240" w:lineRule="auto"/>
              <w:rPr>
                <w:rFonts w:cs="Times New Roman"/>
                <w:szCs w:val="24"/>
              </w:rPr>
            </w:pPr>
            <w:r>
              <w:rPr>
                <w:rFonts w:cs="Times New Roman"/>
                <w:szCs w:val="24"/>
              </w:rPr>
              <w:t>STK Royal Ltd</w:t>
            </w:r>
          </w:p>
          <w:p w:rsidR="003C05B7" w:rsidRDefault="00670731">
            <w:pPr>
              <w:tabs>
                <w:tab w:val="left" w:pos="284"/>
              </w:tabs>
              <w:spacing w:line="240" w:lineRule="auto"/>
              <w:rPr>
                <w:rFonts w:cs="Times New Roman"/>
                <w:szCs w:val="24"/>
              </w:rPr>
            </w:pPr>
            <w:r>
              <w:rPr>
                <w:rFonts w:cs="Times New Roman"/>
                <w:szCs w:val="24"/>
              </w:rPr>
              <w:t xml:space="preserve">Titan Biotech </w:t>
            </w:r>
          </w:p>
          <w:p w:rsidR="003C05B7" w:rsidRDefault="00670731">
            <w:pPr>
              <w:tabs>
                <w:tab w:val="left" w:pos="284"/>
              </w:tabs>
              <w:spacing w:line="240" w:lineRule="auto"/>
              <w:rPr>
                <w:rFonts w:cs="Times New Roman"/>
                <w:szCs w:val="24"/>
              </w:rPr>
            </w:pPr>
            <w:r>
              <w:rPr>
                <w:rFonts w:cs="Times New Roman"/>
                <w:szCs w:val="24"/>
              </w:rPr>
              <w:t>Molychem</w:t>
            </w:r>
          </w:p>
          <w:p w:rsidR="003C05B7" w:rsidRDefault="00670731">
            <w:pPr>
              <w:tabs>
                <w:tab w:val="left" w:pos="284"/>
              </w:tabs>
              <w:spacing w:line="240" w:lineRule="auto"/>
              <w:rPr>
                <w:rFonts w:cs="Times New Roman"/>
                <w:szCs w:val="24"/>
              </w:rPr>
            </w:pPr>
            <w:r>
              <w:rPr>
                <w:rFonts w:cs="Times New Roman"/>
                <w:szCs w:val="24"/>
              </w:rPr>
              <w:t>Faso Farine Mais Blanc (FFMB)</w:t>
            </w:r>
          </w:p>
          <w:p w:rsidR="003C05B7" w:rsidRDefault="00670731">
            <w:pPr>
              <w:tabs>
                <w:tab w:val="left" w:pos="284"/>
              </w:tabs>
              <w:spacing w:line="240" w:lineRule="auto"/>
              <w:rPr>
                <w:rFonts w:cs="Times New Roman"/>
                <w:szCs w:val="24"/>
              </w:rPr>
            </w:pPr>
            <w:r>
              <w:rPr>
                <w:rFonts w:cs="Times New Roman"/>
                <w:szCs w:val="24"/>
              </w:rPr>
              <w:t xml:space="preserve">LOBA Chemie  </w:t>
            </w:r>
          </w:p>
          <w:p w:rsidR="003C05B7" w:rsidRDefault="00670731">
            <w:pPr>
              <w:tabs>
                <w:tab w:val="left" w:pos="284"/>
              </w:tabs>
              <w:spacing w:line="240" w:lineRule="auto"/>
              <w:rPr>
                <w:rFonts w:cs="Times New Roman"/>
                <w:szCs w:val="24"/>
              </w:rPr>
            </w:pPr>
            <w:r>
              <w:rPr>
                <w:rFonts w:cs="Times New Roman"/>
                <w:szCs w:val="24"/>
              </w:rPr>
              <w:t>Pvt Ltd</w:t>
            </w:r>
          </w:p>
          <w:p w:rsidR="003C05B7" w:rsidRDefault="00670731">
            <w:pPr>
              <w:tabs>
                <w:tab w:val="left" w:pos="284"/>
              </w:tabs>
              <w:spacing w:line="240" w:lineRule="auto"/>
              <w:rPr>
                <w:rFonts w:cs="Times New Roman"/>
                <w:szCs w:val="24"/>
              </w:rPr>
            </w:pPr>
            <w:r>
              <w:rPr>
                <w:rFonts w:cs="Times New Roman"/>
                <w:szCs w:val="24"/>
              </w:rPr>
              <w:t>Kern &amp; Sohn Ltd</w:t>
            </w:r>
          </w:p>
          <w:p w:rsidR="003C05B7" w:rsidRDefault="00670731">
            <w:pPr>
              <w:tabs>
                <w:tab w:val="left" w:pos="284"/>
              </w:tabs>
              <w:spacing w:line="240" w:lineRule="auto"/>
              <w:rPr>
                <w:rFonts w:cs="Times New Roman"/>
                <w:szCs w:val="24"/>
              </w:rPr>
            </w:pPr>
            <w:r>
              <w:rPr>
                <w:rFonts w:cs="Times New Roman"/>
                <w:szCs w:val="24"/>
              </w:rPr>
              <w:t>Hangzhou Miou Instrument Co., Ltd</w:t>
            </w:r>
          </w:p>
        </w:tc>
        <w:tc>
          <w:tcPr>
            <w:tcW w:w="261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Lagos</w:t>
            </w:r>
          </w:p>
          <w:p w:rsidR="003C05B7" w:rsidRDefault="00670731">
            <w:pPr>
              <w:tabs>
                <w:tab w:val="left" w:pos="284"/>
              </w:tabs>
              <w:spacing w:after="160" w:line="240" w:lineRule="auto"/>
              <w:rPr>
                <w:rFonts w:cs="Times New Roman"/>
                <w:szCs w:val="24"/>
              </w:rPr>
            </w:pPr>
            <w:r>
              <w:rPr>
                <w:rFonts w:cs="Times New Roman"/>
                <w:szCs w:val="24"/>
              </w:rPr>
              <w:t>Rajasthan</w:t>
            </w:r>
          </w:p>
          <w:p w:rsidR="003C05B7" w:rsidRDefault="00670731">
            <w:pPr>
              <w:tabs>
                <w:tab w:val="left" w:pos="284"/>
              </w:tabs>
              <w:spacing w:after="160" w:line="240" w:lineRule="auto"/>
              <w:rPr>
                <w:rFonts w:cs="Times New Roman"/>
                <w:szCs w:val="24"/>
              </w:rPr>
            </w:pPr>
            <w:r>
              <w:rPr>
                <w:rFonts w:cs="Times New Roman"/>
                <w:szCs w:val="24"/>
              </w:rPr>
              <w:t>Mumbai</w:t>
            </w:r>
          </w:p>
          <w:p w:rsidR="003C05B7" w:rsidRDefault="00670731">
            <w:pPr>
              <w:tabs>
                <w:tab w:val="left" w:pos="284"/>
              </w:tabs>
              <w:spacing w:after="160" w:line="240" w:lineRule="auto"/>
              <w:rPr>
                <w:rFonts w:cs="Times New Roman"/>
                <w:szCs w:val="24"/>
              </w:rPr>
            </w:pPr>
            <w:r>
              <w:rPr>
                <w:rFonts w:cs="Times New Roman"/>
                <w:szCs w:val="24"/>
              </w:rPr>
              <w:t>Ouagadougou</w:t>
            </w:r>
          </w:p>
          <w:p w:rsidR="003C05B7" w:rsidRDefault="003C05B7">
            <w:pPr>
              <w:tabs>
                <w:tab w:val="left" w:pos="284"/>
              </w:tabs>
              <w:spacing w:after="160" w:line="240" w:lineRule="auto"/>
              <w:rPr>
                <w:rFonts w:cs="Times New Roman"/>
                <w:szCs w:val="24"/>
              </w:rPr>
            </w:pPr>
          </w:p>
          <w:p w:rsidR="003C05B7" w:rsidRDefault="00670731">
            <w:pPr>
              <w:tabs>
                <w:tab w:val="left" w:pos="284"/>
              </w:tabs>
              <w:spacing w:after="160" w:line="240" w:lineRule="auto"/>
              <w:rPr>
                <w:rFonts w:cs="Times New Roman"/>
                <w:szCs w:val="24"/>
              </w:rPr>
            </w:pPr>
            <w:r>
              <w:rPr>
                <w:rFonts w:cs="Times New Roman"/>
                <w:szCs w:val="24"/>
              </w:rPr>
              <w:t>Mumbai</w:t>
            </w:r>
          </w:p>
          <w:p w:rsidR="003C05B7" w:rsidRDefault="003C05B7">
            <w:pPr>
              <w:tabs>
                <w:tab w:val="left" w:pos="284"/>
              </w:tabs>
              <w:spacing w:after="160" w:line="240" w:lineRule="auto"/>
              <w:rPr>
                <w:rFonts w:cs="Times New Roman"/>
                <w:szCs w:val="24"/>
              </w:rPr>
            </w:pPr>
          </w:p>
          <w:p w:rsidR="003C05B7" w:rsidRDefault="00670731">
            <w:pPr>
              <w:tabs>
                <w:tab w:val="left" w:pos="284"/>
              </w:tabs>
              <w:spacing w:after="160" w:line="240" w:lineRule="auto"/>
              <w:rPr>
                <w:rFonts w:cs="Times New Roman"/>
                <w:szCs w:val="24"/>
              </w:rPr>
            </w:pPr>
            <w:r>
              <w:rPr>
                <w:rFonts w:cs="Times New Roman"/>
                <w:szCs w:val="24"/>
              </w:rPr>
              <w:t>Balingen</w:t>
            </w:r>
          </w:p>
          <w:p w:rsidR="003C05B7" w:rsidRDefault="003C05B7">
            <w:pPr>
              <w:tabs>
                <w:tab w:val="left" w:pos="284"/>
              </w:tabs>
              <w:spacing w:after="160" w:line="240" w:lineRule="auto"/>
              <w:rPr>
                <w:rFonts w:cs="Times New Roman"/>
                <w:szCs w:val="24"/>
              </w:rPr>
            </w:pPr>
          </w:p>
          <w:p w:rsidR="003C05B7" w:rsidRDefault="00670731">
            <w:pPr>
              <w:tabs>
                <w:tab w:val="left" w:pos="284"/>
              </w:tabs>
              <w:spacing w:after="160" w:line="240" w:lineRule="auto"/>
              <w:rPr>
                <w:rFonts w:cs="Times New Roman"/>
                <w:szCs w:val="24"/>
              </w:rPr>
            </w:pPr>
            <w:r>
              <w:rPr>
                <w:rFonts w:cs="Times New Roman"/>
                <w:szCs w:val="24"/>
              </w:rPr>
              <w:t>Hangzhou</w:t>
            </w:r>
          </w:p>
        </w:tc>
        <w:tc>
          <w:tcPr>
            <w:tcW w:w="1980" w:type="dxa"/>
            <w:tcBorders>
              <w:top w:val="nil"/>
              <w:left w:val="nil"/>
              <w:bottom w:val="nil"/>
              <w:right w:val="nil"/>
            </w:tcBorders>
          </w:tcPr>
          <w:p w:rsidR="003C05B7" w:rsidRDefault="00670731">
            <w:pPr>
              <w:tabs>
                <w:tab w:val="left" w:pos="284"/>
              </w:tabs>
              <w:spacing w:after="160" w:line="240" w:lineRule="auto"/>
              <w:rPr>
                <w:rFonts w:cs="Times New Roman"/>
                <w:szCs w:val="24"/>
              </w:rPr>
            </w:pPr>
            <w:r>
              <w:rPr>
                <w:rFonts w:cs="Times New Roman"/>
                <w:szCs w:val="24"/>
              </w:rPr>
              <w:t>Nigeria</w:t>
            </w:r>
          </w:p>
          <w:p w:rsidR="003C05B7" w:rsidRDefault="00670731">
            <w:pPr>
              <w:tabs>
                <w:tab w:val="left" w:pos="284"/>
              </w:tabs>
              <w:spacing w:after="160" w:line="240" w:lineRule="auto"/>
              <w:rPr>
                <w:rFonts w:cs="Times New Roman"/>
                <w:szCs w:val="24"/>
              </w:rPr>
            </w:pPr>
            <w:r>
              <w:rPr>
                <w:rFonts w:cs="Times New Roman"/>
                <w:szCs w:val="24"/>
              </w:rPr>
              <w:t>India</w:t>
            </w:r>
          </w:p>
          <w:p w:rsidR="003C05B7" w:rsidRDefault="00670731">
            <w:pPr>
              <w:tabs>
                <w:tab w:val="left" w:pos="284"/>
              </w:tabs>
              <w:spacing w:after="160" w:line="240" w:lineRule="auto"/>
              <w:rPr>
                <w:rFonts w:cs="Times New Roman"/>
                <w:szCs w:val="24"/>
              </w:rPr>
            </w:pPr>
            <w:r>
              <w:rPr>
                <w:rFonts w:cs="Times New Roman"/>
                <w:szCs w:val="24"/>
              </w:rPr>
              <w:t>India</w:t>
            </w:r>
          </w:p>
          <w:p w:rsidR="003C05B7" w:rsidRDefault="00670731">
            <w:pPr>
              <w:tabs>
                <w:tab w:val="left" w:pos="284"/>
              </w:tabs>
              <w:spacing w:after="160" w:line="240" w:lineRule="auto"/>
              <w:rPr>
                <w:rFonts w:cs="Times New Roman"/>
                <w:szCs w:val="24"/>
              </w:rPr>
            </w:pPr>
            <w:r>
              <w:rPr>
                <w:rFonts w:cs="Times New Roman"/>
                <w:szCs w:val="24"/>
              </w:rPr>
              <w:t>Burkina Faso</w:t>
            </w:r>
          </w:p>
          <w:p w:rsidR="003C05B7" w:rsidRDefault="003C05B7">
            <w:pPr>
              <w:tabs>
                <w:tab w:val="left" w:pos="284"/>
              </w:tabs>
              <w:spacing w:after="160" w:line="240" w:lineRule="auto"/>
              <w:rPr>
                <w:rFonts w:cs="Times New Roman"/>
                <w:szCs w:val="24"/>
              </w:rPr>
            </w:pPr>
          </w:p>
          <w:p w:rsidR="003C05B7" w:rsidRDefault="00670731">
            <w:pPr>
              <w:tabs>
                <w:tab w:val="left" w:pos="284"/>
              </w:tabs>
              <w:spacing w:after="160" w:line="240" w:lineRule="auto"/>
              <w:rPr>
                <w:rFonts w:cs="Times New Roman"/>
                <w:szCs w:val="24"/>
              </w:rPr>
            </w:pPr>
            <w:r>
              <w:rPr>
                <w:rFonts w:cs="Times New Roman"/>
                <w:szCs w:val="24"/>
              </w:rPr>
              <w:t>India</w:t>
            </w:r>
          </w:p>
          <w:p w:rsidR="003C05B7" w:rsidRDefault="003C05B7">
            <w:pPr>
              <w:tabs>
                <w:tab w:val="left" w:pos="284"/>
              </w:tabs>
              <w:spacing w:after="160" w:line="240" w:lineRule="auto"/>
              <w:rPr>
                <w:rFonts w:cs="Times New Roman"/>
                <w:szCs w:val="24"/>
              </w:rPr>
            </w:pPr>
          </w:p>
          <w:p w:rsidR="003C05B7" w:rsidRDefault="00670731">
            <w:pPr>
              <w:tabs>
                <w:tab w:val="left" w:pos="284"/>
              </w:tabs>
              <w:spacing w:after="160" w:line="240" w:lineRule="auto"/>
              <w:rPr>
                <w:rFonts w:cs="Times New Roman"/>
                <w:szCs w:val="24"/>
              </w:rPr>
            </w:pPr>
            <w:r>
              <w:rPr>
                <w:rFonts w:cs="Times New Roman"/>
                <w:szCs w:val="24"/>
              </w:rPr>
              <w:t>Germany</w:t>
            </w:r>
          </w:p>
          <w:p w:rsidR="003C05B7" w:rsidRDefault="003C05B7">
            <w:pPr>
              <w:tabs>
                <w:tab w:val="left" w:pos="284"/>
              </w:tabs>
              <w:spacing w:after="160" w:line="240" w:lineRule="auto"/>
              <w:rPr>
                <w:rFonts w:cs="Times New Roman"/>
                <w:szCs w:val="24"/>
              </w:rPr>
            </w:pPr>
          </w:p>
          <w:p w:rsidR="003C05B7" w:rsidRDefault="00670731">
            <w:pPr>
              <w:tabs>
                <w:tab w:val="left" w:pos="284"/>
              </w:tabs>
              <w:spacing w:after="160" w:line="240" w:lineRule="auto"/>
              <w:rPr>
                <w:rFonts w:cs="Times New Roman"/>
                <w:szCs w:val="24"/>
              </w:rPr>
            </w:pPr>
            <w:r>
              <w:rPr>
                <w:rFonts w:cs="Times New Roman"/>
                <w:szCs w:val="24"/>
              </w:rPr>
              <w:t>China</w:t>
            </w:r>
          </w:p>
        </w:tc>
      </w:tr>
    </w:tbl>
    <w:p w:rsidR="003C05B7" w:rsidRDefault="003C05B7">
      <w:pPr>
        <w:rPr>
          <w:rFonts w:cs="Times New Roman"/>
          <w:b/>
          <w:szCs w:val="24"/>
        </w:rPr>
      </w:pPr>
    </w:p>
    <w:p w:rsidR="003C05B7" w:rsidRDefault="00670731">
      <w:pPr>
        <w:rPr>
          <w:rFonts w:cs="Times New Roman"/>
          <w:b/>
          <w:szCs w:val="24"/>
        </w:rPr>
      </w:pPr>
      <w:r>
        <w:rPr>
          <w:rFonts w:cs="Times New Roman"/>
          <w:b/>
          <w:szCs w:val="24"/>
        </w:rPr>
        <w:br w:type="page"/>
      </w:r>
    </w:p>
    <w:p w:rsidR="003C05B7" w:rsidRDefault="00670731">
      <w:pPr>
        <w:rPr>
          <w:rFonts w:cs="Times New Roman"/>
          <w:b/>
          <w:szCs w:val="24"/>
        </w:rPr>
      </w:pPr>
      <w:r>
        <w:rPr>
          <w:rFonts w:cs="Times New Roman"/>
          <w:b/>
          <w:szCs w:val="24"/>
        </w:rPr>
        <w:t>3.1 Extract</w:t>
      </w:r>
    </w:p>
    <w:p w:rsidR="003C05B7" w:rsidRDefault="00670731">
      <w:pPr>
        <w:jc w:val="both"/>
        <w:rPr>
          <w:rFonts w:cs="Times New Roman"/>
          <w:szCs w:val="24"/>
        </w:rPr>
      </w:pPr>
      <w:r>
        <w:rPr>
          <w:rFonts w:cs="Times New Roman"/>
          <w:szCs w:val="24"/>
        </w:rPr>
        <w:t xml:space="preserve">The methanol stem extract of </w:t>
      </w:r>
      <w:r>
        <w:rPr>
          <w:rFonts w:cs="Times New Roman"/>
          <w:i/>
          <w:szCs w:val="24"/>
        </w:rPr>
        <w:t xml:space="preserve">D.mespiliformis </w:t>
      </w:r>
      <w:r>
        <w:rPr>
          <w:rFonts w:cs="Times New Roman"/>
          <w:szCs w:val="24"/>
        </w:rPr>
        <w:t xml:space="preserve"> was provided at the Centre for Advanced Medical Research and Training (CAMRET).</w:t>
      </w:r>
    </w:p>
    <w:p w:rsidR="003C05B7" w:rsidRDefault="00670731">
      <w:pPr>
        <w:rPr>
          <w:rFonts w:cs="Times New Roman"/>
          <w:b/>
          <w:szCs w:val="24"/>
        </w:rPr>
      </w:pPr>
      <w:r>
        <w:rPr>
          <w:rFonts w:cs="Times New Roman"/>
          <w:b/>
          <w:szCs w:val="24"/>
        </w:rPr>
        <w:t>3.2 Fly Stock and Husbandry</w:t>
      </w:r>
    </w:p>
    <w:p w:rsidR="003C05B7" w:rsidRDefault="00670731">
      <w:pPr>
        <w:jc w:val="both"/>
        <w:rPr>
          <w:rFonts w:cs="Times New Roman"/>
          <w:szCs w:val="24"/>
        </w:rPr>
      </w:pPr>
      <w:r>
        <w:rPr>
          <w:rFonts w:cs="Times New Roman"/>
          <w:szCs w:val="24"/>
        </w:rPr>
        <w:t xml:space="preserve">The Harwich strain of </w:t>
      </w:r>
      <w:r>
        <w:rPr>
          <w:rFonts w:cs="Times New Roman"/>
          <w:i/>
          <w:szCs w:val="24"/>
        </w:rPr>
        <w:t xml:space="preserve">Drosophila melanogaster </w:t>
      </w:r>
      <w:r>
        <w:rPr>
          <w:rFonts w:cs="Times New Roman"/>
          <w:szCs w:val="24"/>
        </w:rPr>
        <w:t xml:space="preserve"> was obtained from the Fly Laboratory at the CAMRET, Usmanu Danfodiyo University, Sokoto. The flies were cultured in vials and maintained under optimal conditions: a temperature range of 22–25 °C, controlled humidity (55 ± 5%), and </w:t>
      </w:r>
      <w:r>
        <w:rPr>
          <w:rFonts w:cs="Times New Roman"/>
          <w:szCs w:val="24"/>
        </w:rPr>
        <w:t>a natural light-dark cycle. They were fed a standard cornmeal diet, and the fly media was replaced every three days to prevent contamination.</w:t>
      </w:r>
    </w:p>
    <w:p w:rsidR="003C05B7" w:rsidRDefault="00670731">
      <w:pPr>
        <w:rPr>
          <w:rFonts w:cs="Times New Roman"/>
          <w:b/>
          <w:szCs w:val="24"/>
        </w:rPr>
      </w:pPr>
      <w:r>
        <w:rPr>
          <w:rFonts w:cs="Times New Roman"/>
          <w:b/>
          <w:szCs w:val="24"/>
        </w:rPr>
        <w:t>3.3 Experimental design</w:t>
      </w:r>
    </w:p>
    <w:p w:rsidR="003C05B7" w:rsidRDefault="00670731">
      <w:pPr>
        <w:jc w:val="both"/>
        <w:rPr>
          <w:rFonts w:cs="Times New Roman"/>
          <w:szCs w:val="24"/>
        </w:rPr>
      </w:pPr>
      <w:r>
        <w:rPr>
          <w:rFonts w:cs="Times New Roman"/>
          <w:i/>
          <w:szCs w:val="24"/>
        </w:rPr>
        <w:t xml:space="preserve">Drosophila melanogaster </w:t>
      </w:r>
      <w:r>
        <w:rPr>
          <w:rFonts w:cs="Times New Roman"/>
          <w:szCs w:val="24"/>
        </w:rPr>
        <w:t>flies, aged 3 to 5 days, were induced with diabetes by feeding the</w:t>
      </w:r>
      <w:r>
        <w:rPr>
          <w:rFonts w:cs="Times New Roman"/>
          <w:szCs w:val="24"/>
        </w:rPr>
        <w:t>m a 30% high sucrose diet for 14 days, with a diet change on day 7. On day 14, body weight and glucose levels were measured to confirm the induction of diabetes. The flies were then divided into three groups (n = 30/group) in triplicate: sucrose diet (SD),</w:t>
      </w:r>
      <w:r>
        <w:rPr>
          <w:rFonts w:cs="Times New Roman"/>
          <w:szCs w:val="24"/>
        </w:rPr>
        <w:t xml:space="preserve"> extract diet (ED), and metformin diet (MD), along with a control group fed a normal diet, also in triplicate. All groups continued on their respective diets for 7 more days. The nutritional composition of the experimental diets is provided in Table 3.2. F</w:t>
      </w:r>
      <w:r>
        <w:rPr>
          <w:rFonts w:cs="Times New Roman"/>
          <w:szCs w:val="24"/>
        </w:rPr>
        <w:t>ollowing the intervention, changes in body weight, locomotor performance, glucose, trehalose, glycogen were assessed across the groups.</w:t>
      </w:r>
    </w:p>
    <w:p w:rsidR="003C05B7" w:rsidRDefault="00670731">
      <w:pPr>
        <w:rPr>
          <w:rFonts w:eastAsia="Times New Roman" w:cs="Times New Roman"/>
          <w:bCs/>
          <w:szCs w:val="24"/>
        </w:rPr>
      </w:pPr>
      <w:r>
        <w:rPr>
          <w:rFonts w:eastAsia="Times New Roman" w:cs="Times New Roman"/>
          <w:bCs/>
          <w:szCs w:val="24"/>
        </w:rPr>
        <w:br w:type="page"/>
      </w: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670731">
      <w:pPr>
        <w:pStyle w:val="Heading1"/>
        <w:jc w:val="left"/>
      </w:pPr>
      <w:r>
        <w:t>Table 3.2: Nutritional composition of experimental groups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3"/>
        <w:gridCol w:w="1458"/>
        <w:gridCol w:w="2195"/>
        <w:gridCol w:w="1649"/>
        <w:gridCol w:w="1911"/>
      </w:tblGrid>
      <w:tr w:rsidR="003C05B7">
        <w:tc>
          <w:tcPr>
            <w:tcW w:w="1803" w:type="dxa"/>
            <w:tcBorders>
              <w:top w:val="single" w:sz="4" w:space="0" w:color="auto"/>
              <w:left w:val="nil"/>
              <w:bottom w:val="single" w:sz="4" w:space="0" w:color="auto"/>
              <w:right w:val="nil"/>
            </w:tcBorders>
          </w:tcPr>
          <w:p w:rsidR="003C05B7" w:rsidRDefault="003C05B7">
            <w:pPr>
              <w:spacing w:line="480" w:lineRule="auto"/>
              <w:rPr>
                <w:rFonts w:ascii="Times New Roman" w:hAnsi="Times New Roman" w:cs="Times New Roman"/>
                <w:sz w:val="24"/>
                <w:szCs w:val="24"/>
              </w:rPr>
            </w:pPr>
          </w:p>
        </w:tc>
        <w:tc>
          <w:tcPr>
            <w:tcW w:w="1458" w:type="dxa"/>
            <w:tcBorders>
              <w:top w:val="single" w:sz="4" w:space="0" w:color="auto"/>
              <w:left w:val="nil"/>
              <w:bottom w:val="single" w:sz="4" w:space="0" w:color="auto"/>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Control</w:t>
            </w:r>
          </w:p>
        </w:tc>
        <w:tc>
          <w:tcPr>
            <w:tcW w:w="2195" w:type="dxa"/>
            <w:tcBorders>
              <w:top w:val="single" w:sz="4" w:space="0" w:color="auto"/>
              <w:left w:val="nil"/>
              <w:bottom w:val="single" w:sz="4" w:space="0" w:color="auto"/>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High Sucrose Diet </w:t>
            </w:r>
          </w:p>
        </w:tc>
        <w:tc>
          <w:tcPr>
            <w:tcW w:w="1649" w:type="dxa"/>
            <w:tcBorders>
              <w:top w:val="single" w:sz="4" w:space="0" w:color="auto"/>
              <w:left w:val="nil"/>
              <w:bottom w:val="single" w:sz="4" w:space="0" w:color="auto"/>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Extract Diet </w:t>
            </w:r>
          </w:p>
        </w:tc>
        <w:tc>
          <w:tcPr>
            <w:tcW w:w="1911" w:type="dxa"/>
            <w:tcBorders>
              <w:top w:val="single" w:sz="4" w:space="0" w:color="auto"/>
              <w:left w:val="nil"/>
              <w:bottom w:val="single" w:sz="4" w:space="0" w:color="auto"/>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Metformin Diet </w:t>
            </w:r>
          </w:p>
        </w:tc>
      </w:tr>
      <w:tr w:rsidR="003C05B7">
        <w:tc>
          <w:tcPr>
            <w:tcW w:w="1803" w:type="dxa"/>
            <w:tcBorders>
              <w:top w:val="single" w:sz="4" w:space="0" w:color="auto"/>
              <w:left w:val="nil"/>
              <w:bottom w:val="nil"/>
              <w:right w:val="nil"/>
            </w:tcBorders>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Corn-flour</w:t>
            </w:r>
          </w:p>
        </w:tc>
        <w:tc>
          <w:tcPr>
            <w:tcW w:w="1458" w:type="dxa"/>
            <w:tcBorders>
              <w:top w:val="single" w:sz="4" w:space="0" w:color="auto"/>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100g</w:t>
            </w:r>
          </w:p>
        </w:tc>
        <w:tc>
          <w:tcPr>
            <w:tcW w:w="2195" w:type="dxa"/>
            <w:tcBorders>
              <w:top w:val="single" w:sz="4" w:space="0" w:color="auto"/>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100g</w:t>
            </w:r>
          </w:p>
        </w:tc>
        <w:tc>
          <w:tcPr>
            <w:tcW w:w="1649" w:type="dxa"/>
            <w:tcBorders>
              <w:top w:val="single" w:sz="4" w:space="0" w:color="auto"/>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100g</w:t>
            </w:r>
          </w:p>
        </w:tc>
        <w:tc>
          <w:tcPr>
            <w:tcW w:w="1911" w:type="dxa"/>
            <w:tcBorders>
              <w:top w:val="single" w:sz="4" w:space="0" w:color="auto"/>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100g</w:t>
            </w:r>
          </w:p>
        </w:tc>
      </w:tr>
      <w:tr w:rsidR="003C05B7">
        <w:tc>
          <w:tcPr>
            <w:tcW w:w="1803" w:type="dxa"/>
            <w:tcBorders>
              <w:top w:val="nil"/>
              <w:left w:val="nil"/>
              <w:bottom w:val="nil"/>
              <w:right w:val="nil"/>
            </w:tcBorders>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Agar-Agar</w:t>
            </w:r>
          </w:p>
        </w:tc>
        <w:tc>
          <w:tcPr>
            <w:tcW w:w="1458"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10g</w:t>
            </w:r>
          </w:p>
        </w:tc>
        <w:tc>
          <w:tcPr>
            <w:tcW w:w="2195"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10g</w:t>
            </w:r>
          </w:p>
        </w:tc>
        <w:tc>
          <w:tcPr>
            <w:tcW w:w="1649"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10g</w:t>
            </w:r>
          </w:p>
        </w:tc>
        <w:tc>
          <w:tcPr>
            <w:tcW w:w="1911"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10g</w:t>
            </w:r>
          </w:p>
        </w:tc>
      </w:tr>
      <w:tr w:rsidR="003C05B7">
        <w:tc>
          <w:tcPr>
            <w:tcW w:w="1803" w:type="dxa"/>
            <w:tcBorders>
              <w:top w:val="nil"/>
              <w:left w:val="nil"/>
              <w:bottom w:val="nil"/>
              <w:right w:val="nil"/>
            </w:tcBorders>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Yeast</w:t>
            </w:r>
          </w:p>
        </w:tc>
        <w:tc>
          <w:tcPr>
            <w:tcW w:w="1458"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10g</w:t>
            </w:r>
          </w:p>
        </w:tc>
        <w:tc>
          <w:tcPr>
            <w:tcW w:w="2195"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10g</w:t>
            </w:r>
          </w:p>
        </w:tc>
        <w:tc>
          <w:tcPr>
            <w:tcW w:w="1649"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10g</w:t>
            </w:r>
          </w:p>
        </w:tc>
        <w:tc>
          <w:tcPr>
            <w:tcW w:w="1911"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10g</w:t>
            </w:r>
          </w:p>
        </w:tc>
      </w:tr>
      <w:tr w:rsidR="003C05B7">
        <w:tc>
          <w:tcPr>
            <w:tcW w:w="1803" w:type="dxa"/>
            <w:tcBorders>
              <w:top w:val="nil"/>
              <w:left w:val="nil"/>
              <w:bottom w:val="nil"/>
              <w:right w:val="nil"/>
            </w:tcBorders>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Methylparaben</w:t>
            </w:r>
          </w:p>
        </w:tc>
        <w:tc>
          <w:tcPr>
            <w:tcW w:w="1458"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10g</w:t>
            </w:r>
          </w:p>
        </w:tc>
        <w:tc>
          <w:tcPr>
            <w:tcW w:w="2195"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10g</w:t>
            </w:r>
          </w:p>
        </w:tc>
        <w:tc>
          <w:tcPr>
            <w:tcW w:w="1649"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10g</w:t>
            </w:r>
          </w:p>
        </w:tc>
        <w:tc>
          <w:tcPr>
            <w:tcW w:w="1911"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10g</w:t>
            </w:r>
          </w:p>
        </w:tc>
      </w:tr>
      <w:tr w:rsidR="003C05B7">
        <w:tc>
          <w:tcPr>
            <w:tcW w:w="1803" w:type="dxa"/>
            <w:tcBorders>
              <w:top w:val="nil"/>
              <w:left w:val="nil"/>
              <w:bottom w:val="nil"/>
              <w:right w:val="nil"/>
            </w:tcBorders>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Distilled Water</w:t>
            </w:r>
          </w:p>
        </w:tc>
        <w:tc>
          <w:tcPr>
            <w:tcW w:w="1458"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1.5 L</w:t>
            </w:r>
          </w:p>
        </w:tc>
        <w:tc>
          <w:tcPr>
            <w:tcW w:w="2195"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1.5 L</w:t>
            </w:r>
          </w:p>
        </w:tc>
        <w:tc>
          <w:tcPr>
            <w:tcW w:w="1649"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1.5 L</w:t>
            </w:r>
          </w:p>
        </w:tc>
        <w:tc>
          <w:tcPr>
            <w:tcW w:w="1911"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1.5 L</w:t>
            </w:r>
          </w:p>
        </w:tc>
      </w:tr>
      <w:tr w:rsidR="003C05B7">
        <w:tc>
          <w:tcPr>
            <w:tcW w:w="1803" w:type="dxa"/>
            <w:tcBorders>
              <w:top w:val="nil"/>
              <w:left w:val="nil"/>
              <w:bottom w:val="nil"/>
              <w:right w:val="nil"/>
            </w:tcBorders>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Sucrose</w:t>
            </w:r>
          </w:p>
        </w:tc>
        <w:tc>
          <w:tcPr>
            <w:tcW w:w="1458"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2195"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1649"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911"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3C05B7">
        <w:tc>
          <w:tcPr>
            <w:tcW w:w="1803" w:type="dxa"/>
            <w:tcBorders>
              <w:top w:val="nil"/>
              <w:left w:val="nil"/>
              <w:bottom w:val="nil"/>
              <w:right w:val="nil"/>
            </w:tcBorders>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Extract</w:t>
            </w:r>
          </w:p>
        </w:tc>
        <w:tc>
          <w:tcPr>
            <w:tcW w:w="1458"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2195"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649"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600µg/ml</w:t>
            </w:r>
          </w:p>
        </w:tc>
        <w:tc>
          <w:tcPr>
            <w:tcW w:w="1911" w:type="dxa"/>
            <w:tcBorders>
              <w:top w:val="nil"/>
              <w:left w:val="nil"/>
              <w:bottom w:val="nil"/>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3C05B7">
        <w:tc>
          <w:tcPr>
            <w:tcW w:w="1803" w:type="dxa"/>
            <w:tcBorders>
              <w:top w:val="nil"/>
              <w:left w:val="nil"/>
              <w:bottom w:val="single" w:sz="4" w:space="0" w:color="auto"/>
              <w:right w:val="nil"/>
            </w:tcBorders>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Metformin</w:t>
            </w:r>
          </w:p>
        </w:tc>
        <w:tc>
          <w:tcPr>
            <w:tcW w:w="1458" w:type="dxa"/>
            <w:tcBorders>
              <w:top w:val="nil"/>
              <w:left w:val="nil"/>
              <w:bottom w:val="single" w:sz="4" w:space="0" w:color="auto"/>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2195" w:type="dxa"/>
            <w:tcBorders>
              <w:top w:val="nil"/>
              <w:left w:val="nil"/>
              <w:bottom w:val="single" w:sz="4" w:space="0" w:color="auto"/>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649" w:type="dxa"/>
            <w:tcBorders>
              <w:top w:val="nil"/>
              <w:left w:val="nil"/>
              <w:bottom w:val="single" w:sz="4" w:space="0" w:color="auto"/>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911" w:type="dxa"/>
            <w:tcBorders>
              <w:top w:val="nil"/>
              <w:left w:val="nil"/>
              <w:bottom w:val="single" w:sz="4" w:space="0" w:color="auto"/>
              <w:right w:val="nil"/>
            </w:tcBorders>
          </w:tcPr>
          <w:p w:rsidR="003C05B7" w:rsidRDefault="00670731">
            <w:pPr>
              <w:spacing w:line="480" w:lineRule="auto"/>
              <w:jc w:val="center"/>
              <w:rPr>
                <w:rFonts w:ascii="Times New Roman" w:hAnsi="Times New Roman" w:cs="Times New Roman"/>
                <w:sz w:val="24"/>
                <w:szCs w:val="24"/>
              </w:rPr>
            </w:pPr>
            <w:r>
              <w:rPr>
                <w:rFonts w:ascii="Times New Roman" w:hAnsi="Times New Roman" w:cs="Times New Roman"/>
                <w:sz w:val="24"/>
                <w:szCs w:val="24"/>
              </w:rPr>
              <w:t>16mg/10ml</w:t>
            </w:r>
          </w:p>
        </w:tc>
      </w:tr>
    </w:tbl>
    <w:p w:rsidR="003C05B7" w:rsidRDefault="00670731">
      <w:pPr>
        <w:rPr>
          <w:rFonts w:cs="Times New Roman"/>
          <w:b/>
          <w:szCs w:val="24"/>
          <w:lang w:val="en-GB"/>
        </w:rPr>
      </w:pPr>
      <w:r>
        <w:rPr>
          <w:rFonts w:cs="Times New Roman"/>
          <w:b/>
          <w:szCs w:val="24"/>
        </w:rPr>
        <w:t xml:space="preserve">HSD- High Sucrose Diet; ED- </w:t>
      </w:r>
      <w:r>
        <w:rPr>
          <w:rFonts w:cs="Times New Roman"/>
          <w:b/>
          <w:szCs w:val="24"/>
        </w:rPr>
        <w:t>Extract Diet; MD- Metformin Diet</w:t>
      </w: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3C05B7">
      <w:pPr>
        <w:spacing w:before="100" w:beforeAutospacing="1" w:after="100" w:afterAutospacing="1" w:line="240" w:lineRule="auto"/>
        <w:jc w:val="both"/>
        <w:outlineLvl w:val="1"/>
        <w:rPr>
          <w:rFonts w:eastAsia="Times New Roman" w:cs="Times New Roman"/>
          <w:bCs/>
          <w:szCs w:val="24"/>
        </w:rPr>
      </w:pPr>
    </w:p>
    <w:p w:rsidR="003C05B7" w:rsidRDefault="00670731">
      <w:pPr>
        <w:jc w:val="both"/>
        <w:rPr>
          <w:rFonts w:cs="Times New Roman"/>
          <w:b/>
          <w:szCs w:val="24"/>
        </w:rPr>
      </w:pPr>
      <w:r>
        <w:rPr>
          <w:rFonts w:cs="Times New Roman"/>
          <w:b/>
          <w:szCs w:val="24"/>
        </w:rPr>
        <w:t>3. 4 Measurement of Body Weight</w:t>
      </w:r>
    </w:p>
    <w:p w:rsidR="003C05B7" w:rsidRDefault="00670731">
      <w:pPr>
        <w:jc w:val="both"/>
        <w:rPr>
          <w:rFonts w:cs="Times New Roman"/>
          <w:szCs w:val="24"/>
        </w:rPr>
      </w:pPr>
      <w:r>
        <w:rPr>
          <w:rFonts w:cs="Times New Roman"/>
          <w:szCs w:val="24"/>
        </w:rPr>
        <w:t xml:space="preserve">The body weight of the flies was assessed across the experimental groups using a precise electronic weighing scale. Ten flies per group were anesthetized on ice for 3–5 minutes </w:t>
      </w:r>
      <w:r>
        <w:rPr>
          <w:rFonts w:cs="Times New Roman"/>
          <w:szCs w:val="24"/>
        </w:rPr>
        <w:t>and transferred into a pre-weighed 1.5 ml microcentrifuge tube (Eppendorf tube). The tubes were re-weighed to determine the weight in milligrams (mg). This process was repeated for three biological replicates, and the average weight per group was calculate</w:t>
      </w:r>
      <w:r>
        <w:rPr>
          <w:rFonts w:cs="Times New Roman"/>
          <w:szCs w:val="24"/>
        </w:rPr>
        <w:t>d.</w:t>
      </w:r>
    </w:p>
    <w:p w:rsidR="003C05B7" w:rsidRDefault="00670731">
      <w:pPr>
        <w:jc w:val="both"/>
        <w:rPr>
          <w:rFonts w:cs="Times New Roman"/>
          <w:b/>
          <w:szCs w:val="24"/>
        </w:rPr>
      </w:pPr>
      <w:r>
        <w:rPr>
          <w:rFonts w:cs="Times New Roman"/>
          <w:b/>
          <w:szCs w:val="24"/>
        </w:rPr>
        <w:t xml:space="preserve">3.5 Climbing assay </w:t>
      </w:r>
    </w:p>
    <w:p w:rsidR="003C05B7" w:rsidRDefault="00670731">
      <w:pPr>
        <w:jc w:val="both"/>
        <w:rPr>
          <w:rFonts w:cs="Times New Roman"/>
          <w:szCs w:val="24"/>
        </w:rPr>
      </w:pPr>
      <w:r>
        <w:rPr>
          <w:rFonts w:cs="Times New Roman"/>
          <w:szCs w:val="24"/>
        </w:rPr>
        <w:t>Also referred to as the locomotor performance assay, this test was conducted following the method described by Adeshina et al 2024. Briefly, thirty flies were introduced into an empty 50 mL vial marked with a line 6 cm from the botto</w:t>
      </w:r>
      <w:r>
        <w:rPr>
          <w:rFonts w:cs="Times New Roman"/>
          <w:szCs w:val="24"/>
        </w:rPr>
        <w:t>m and allowed to acclimate. The flies were gently tapped to the bottom of the vial, and the number of flies crossing the 6 cm mark within 10 seconds was recorded. The assay was repeated three times, and the average percentage of flies crossing the mark was</w:t>
      </w:r>
      <w:r>
        <w:rPr>
          <w:rFonts w:cs="Times New Roman"/>
          <w:szCs w:val="24"/>
        </w:rPr>
        <w:t xml:space="preserve"> calculated for each group.</w:t>
      </w:r>
    </w:p>
    <w:p w:rsidR="003C05B7" w:rsidRDefault="00670731">
      <w:pPr>
        <w:jc w:val="both"/>
        <w:rPr>
          <w:rFonts w:cs="Times New Roman"/>
          <w:b/>
          <w:szCs w:val="24"/>
        </w:rPr>
      </w:pPr>
      <w:r>
        <w:rPr>
          <w:rFonts w:cs="Times New Roman"/>
          <w:b/>
          <w:szCs w:val="24"/>
        </w:rPr>
        <w:t>3.6 Haemolymph Extraction</w:t>
      </w:r>
    </w:p>
    <w:p w:rsidR="003C05B7" w:rsidRDefault="00670731">
      <w:pPr>
        <w:jc w:val="both"/>
        <w:rPr>
          <w:rFonts w:cs="Times New Roman"/>
          <w:szCs w:val="24"/>
        </w:rPr>
      </w:pPr>
      <w:r>
        <w:rPr>
          <w:rFonts w:cs="Times New Roman"/>
          <w:szCs w:val="24"/>
        </w:rPr>
        <w:t>Following cold anaesthesia, a pooled group of thirty flies per experimental group was transferred into 1.5 mL Eppendorf tubes containing 200 µL of phosphate-buffered saline (PBS). The flies were homogen</w:t>
      </w:r>
      <w:r>
        <w:rPr>
          <w:rFonts w:cs="Times New Roman"/>
          <w:szCs w:val="24"/>
        </w:rPr>
        <w:t>ized using a handheld homogenizer and centrifuged at 8000 × g for 10 minutes at 4 °C. The resulting supernatant was carefully collected, transferred into a sterile 1.5 mL tube, and stored at -20 °C for subsequent biochemical analyses.</w:t>
      </w:r>
    </w:p>
    <w:p w:rsidR="003C05B7" w:rsidRDefault="00670731">
      <w:pPr>
        <w:jc w:val="both"/>
        <w:rPr>
          <w:rFonts w:cs="Times New Roman"/>
          <w:b/>
          <w:szCs w:val="24"/>
        </w:rPr>
      </w:pPr>
      <w:r>
        <w:rPr>
          <w:rFonts w:cs="Times New Roman"/>
          <w:b/>
          <w:szCs w:val="24"/>
        </w:rPr>
        <w:t>3.7 Biochemical Assay</w:t>
      </w:r>
      <w:r>
        <w:rPr>
          <w:rFonts w:cs="Times New Roman"/>
          <w:b/>
          <w:szCs w:val="24"/>
        </w:rPr>
        <w:t>s</w:t>
      </w:r>
    </w:p>
    <w:p w:rsidR="003C05B7" w:rsidRDefault="00670731">
      <w:pPr>
        <w:jc w:val="both"/>
        <w:rPr>
          <w:rFonts w:cs="Times New Roman"/>
          <w:b/>
          <w:szCs w:val="24"/>
        </w:rPr>
      </w:pPr>
      <w:r>
        <w:rPr>
          <w:rFonts w:cs="Times New Roman"/>
          <w:b/>
          <w:szCs w:val="24"/>
        </w:rPr>
        <w:t>3.7.1 Quantification of Glucose</w:t>
      </w:r>
    </w:p>
    <w:p w:rsidR="003C05B7" w:rsidRDefault="00670731">
      <w:pPr>
        <w:jc w:val="both"/>
        <w:rPr>
          <w:rFonts w:cs="Times New Roman"/>
          <w:szCs w:val="24"/>
        </w:rPr>
      </w:pPr>
      <w:r>
        <w:rPr>
          <w:rFonts w:cs="Times New Roman"/>
          <w:szCs w:val="24"/>
        </w:rPr>
        <w:t>Glucose levels in whole fly extracts were measured using a Spinreact™ kit (Girona, Spain) following the manufacturer’s instructions. The absorbance of samples and standards was read at 505 nm using microplate reader with a</w:t>
      </w:r>
      <w:r>
        <w:rPr>
          <w:rFonts w:cs="Times New Roman"/>
          <w:szCs w:val="24"/>
        </w:rPr>
        <w:t xml:space="preserve"> blank serving as the reference. Glucose concentration was calculated using the formula:</w:t>
      </w:r>
    </w:p>
    <w:p w:rsidR="003C05B7" w:rsidRDefault="00670731">
      <w:pPr>
        <w:jc w:val="center"/>
        <w:rPr>
          <w:rFonts w:cs="Times New Roman"/>
          <w:szCs w:val="24"/>
        </w:rPr>
      </w:pPr>
      <w:r>
        <w:rPr>
          <w:rFonts w:cs="Times New Roman"/>
          <w:szCs w:val="24"/>
        </w:rPr>
        <w:t xml:space="preserve">Glucose concentration (mmol/mL)= </w:t>
      </w:r>
      <m:oMath>
        <m:f>
          <m:fPr>
            <m:ctrlPr>
              <w:rPr>
                <w:rFonts w:ascii="Cambria Math" w:hAnsi="Cambria Math" w:cs="Times New Roman"/>
                <w:i/>
                <w:szCs w:val="24"/>
                <w:lang w:val="en-GB"/>
              </w:rPr>
            </m:ctrlPr>
          </m:fPr>
          <m:num>
            <m:r>
              <m:rPr>
                <m:sty m:val="p"/>
              </m:rPr>
              <w:rPr>
                <w:rFonts w:ascii="Cambria Math" w:hAnsi="Cambria Math" w:cs="Times New Roman"/>
                <w:szCs w:val="24"/>
              </w:rPr>
              <m:t>Absorbance of sample</m:t>
            </m:r>
          </m:num>
          <m:den>
            <m:r>
              <w:rPr>
                <w:rFonts w:ascii="Cambria Math" w:hAnsi="Cambria Math" w:cs="Times New Roman"/>
                <w:szCs w:val="24"/>
              </w:rPr>
              <m:t>1</m:t>
            </m:r>
            <m:r>
              <m:rPr>
                <m:sty m:val="p"/>
              </m:rPr>
              <w:rPr>
                <w:rFonts w:ascii="Cambria Math" w:hAnsi="Cambria Math" w:cs="Times New Roman"/>
                <w:szCs w:val="24"/>
              </w:rPr>
              <m:t>Absorbance of standard</m:t>
            </m:r>
          </m:den>
        </m:f>
        <m:r>
          <m:rPr>
            <m:sty m:val="p"/>
          </m:rPr>
          <w:rPr>
            <w:rFonts w:ascii="Cambria Math" w:hAnsi="Cambria Math" w:cs="Times New Roman"/>
            <w:szCs w:val="24"/>
          </w:rPr>
          <m:t>×100</m:t>
        </m:r>
      </m:oMath>
    </w:p>
    <w:p w:rsidR="003C05B7" w:rsidRDefault="003C05B7">
      <w:pPr>
        <w:jc w:val="both"/>
        <w:rPr>
          <w:rFonts w:cs="Times New Roman"/>
          <w:szCs w:val="24"/>
        </w:rPr>
      </w:pPr>
    </w:p>
    <w:p w:rsidR="003C05B7" w:rsidRDefault="00670731">
      <w:pPr>
        <w:jc w:val="both"/>
        <w:rPr>
          <w:rFonts w:cs="Times New Roman"/>
          <w:b/>
          <w:szCs w:val="24"/>
        </w:rPr>
      </w:pPr>
      <w:r>
        <w:rPr>
          <w:rFonts w:cs="Times New Roman"/>
          <w:b/>
          <w:szCs w:val="24"/>
        </w:rPr>
        <w:t>3.7.2 Trehalose Assay</w:t>
      </w:r>
    </w:p>
    <w:p w:rsidR="003C05B7" w:rsidRDefault="00670731">
      <w:pPr>
        <w:jc w:val="both"/>
        <w:rPr>
          <w:rFonts w:cs="Times New Roman"/>
          <w:szCs w:val="24"/>
        </w:rPr>
      </w:pPr>
      <w:r>
        <w:rPr>
          <w:rFonts w:cs="Times New Roman"/>
          <w:szCs w:val="24"/>
        </w:rPr>
        <w:t>Trehalose levels were quantified using a colorimetric assay kit</w:t>
      </w:r>
      <w:r>
        <w:rPr>
          <w:rFonts w:cs="Times New Roman"/>
          <w:szCs w:val="24"/>
        </w:rPr>
        <w:t xml:space="preserve"> (Solarbio Life Science, Beijing, China) in accordance with the manufacturer’s protocol. Absorbance was measured at 620 nm using microplate reader. The trehalose concentration was determined using the formula:</w:t>
      </w:r>
    </w:p>
    <w:p w:rsidR="003C05B7" w:rsidRDefault="00670731">
      <w:pPr>
        <w:jc w:val="center"/>
        <w:rPr>
          <w:rFonts w:cs="Times New Roman"/>
          <w:szCs w:val="24"/>
        </w:rPr>
      </w:pPr>
      <w:r>
        <w:rPr>
          <w:rFonts w:cs="Times New Roman"/>
          <w:szCs w:val="24"/>
        </w:rPr>
        <w:t xml:space="preserve">Trehalose (mg/g sample)= 10 </w:t>
      </w:r>
      <m:oMath>
        <m:r>
          <m:rPr>
            <m:sty m:val="p"/>
          </m:rPr>
          <w:rPr>
            <w:rFonts w:ascii="Cambria Math" w:hAnsi="Cambria Math" w:cs="Times New Roman"/>
            <w:szCs w:val="24"/>
          </w:rPr>
          <m:t>×</m:t>
        </m:r>
      </m:oMath>
      <w:r>
        <w:rPr>
          <w:rFonts w:cs="Times New Roman"/>
          <w:szCs w:val="24"/>
        </w:rPr>
        <w:t xml:space="preserve">  Concentration f</w:t>
      </w:r>
      <w:r>
        <w:rPr>
          <w:rFonts w:cs="Times New Roman"/>
          <w:szCs w:val="24"/>
        </w:rPr>
        <w:t xml:space="preserve">rom y-axis sample </w:t>
      </w:r>
    </w:p>
    <w:p w:rsidR="003C05B7" w:rsidRDefault="00670731">
      <w:pPr>
        <w:jc w:val="both"/>
        <w:rPr>
          <w:rFonts w:cs="Times New Roman"/>
          <w:b/>
          <w:szCs w:val="24"/>
        </w:rPr>
      </w:pPr>
      <w:r>
        <w:rPr>
          <w:rFonts w:cs="Times New Roman"/>
          <w:b/>
          <w:szCs w:val="24"/>
        </w:rPr>
        <w:t>3.7.3 Glycogen Assay</w:t>
      </w:r>
    </w:p>
    <w:p w:rsidR="003C05B7" w:rsidRDefault="00670731">
      <w:pPr>
        <w:jc w:val="both"/>
        <w:rPr>
          <w:rFonts w:cs="Times New Roman"/>
          <w:szCs w:val="24"/>
        </w:rPr>
      </w:pPr>
      <w:r>
        <w:rPr>
          <w:rFonts w:cs="Times New Roman"/>
          <w:szCs w:val="24"/>
        </w:rPr>
        <w:t>Glycogen levels in whole fly extracts were analyzed using a colorimetric assay kit (Elabscience, Houston, USA) as per the manufacturer’s guidelines. Absorbance readings were taken at 620 nm with the Microplate Reader</w:t>
      </w:r>
      <w:r>
        <w:rPr>
          <w:rFonts w:cs="Times New Roman"/>
          <w:szCs w:val="24"/>
        </w:rPr>
        <w:t>. The glycogen concentration was calculated using the formula:</w:t>
      </w:r>
    </w:p>
    <w:p w:rsidR="003C05B7" w:rsidRDefault="00670731">
      <w:pPr>
        <w:jc w:val="center"/>
        <w:rPr>
          <w:rFonts w:cs="Times New Roman"/>
          <w:szCs w:val="24"/>
        </w:rPr>
      </w:pPr>
      <w:r>
        <w:rPr>
          <w:rFonts w:cs="Times New Roman"/>
          <w:szCs w:val="24"/>
        </w:rPr>
        <w:t xml:space="preserve">Glycogen (mg/g fresh weight)= </w:t>
      </w:r>
      <m:oMath>
        <m:f>
          <m:fPr>
            <m:ctrlPr>
              <w:rPr>
                <w:rFonts w:ascii="Cambria Math" w:hAnsi="Cambria Math" w:cs="Times New Roman"/>
                <w:i/>
                <w:szCs w:val="24"/>
              </w:rPr>
            </m:ctrlPr>
          </m:fPr>
          <m:num>
            <m:r>
              <m:rPr>
                <m:sty m:val="p"/>
              </m:rPr>
              <w:rPr>
                <w:rFonts w:ascii="Cambria Math" w:hAnsi="Cambria Math" w:cs="Times New Roman"/>
                <w:szCs w:val="24"/>
              </w:rPr>
              <m:t>∆</m:t>
            </m:r>
            <m:r>
              <m:rPr>
                <m:sty m:val="p"/>
              </m:rPr>
              <w:rPr>
                <w:rFonts w:ascii="Cambria Math" w:hAnsi="Cambria Math" w:cs="Times New Roman"/>
                <w:szCs w:val="24"/>
              </w:rPr>
              <m:t>A1</m:t>
            </m:r>
          </m:num>
          <m:den>
            <m:r>
              <m:rPr>
                <m:sty m:val="p"/>
              </m:rPr>
              <w:rPr>
                <w:rFonts w:ascii="Cambria Math" w:hAnsi="Cambria Math" w:cs="Times New Roman"/>
                <w:szCs w:val="24"/>
              </w:rPr>
              <m:t>​∆</m:t>
            </m:r>
            <m:r>
              <m:rPr>
                <m:sty m:val="p"/>
              </m:rPr>
              <w:rPr>
                <w:rFonts w:ascii="Cambria Math" w:hAnsi="Cambria Math" w:cs="Times New Roman"/>
                <w:szCs w:val="24"/>
              </w:rPr>
              <m:t>A2</m:t>
            </m:r>
          </m:den>
        </m:f>
        <m:r>
          <w:rPr>
            <w:rFonts w:ascii="Cambria Math" w:hAnsi="Cambria Math" w:cs="Times New Roman"/>
            <w:szCs w:val="24"/>
          </w:rPr>
          <m:t xml:space="preserve"> </m:t>
        </m:r>
        <m:r>
          <m:rPr>
            <m:sty m:val="p"/>
          </m:rPr>
          <w:rPr>
            <w:rFonts w:ascii="Cambria Math" w:hAnsi="Cambria Math" w:cs="Times New Roman"/>
            <w:szCs w:val="24"/>
          </w:rPr>
          <m:t>×m×f×10×1.11</m:t>
        </m:r>
      </m:oMath>
    </w:p>
    <w:p w:rsidR="003C05B7" w:rsidRDefault="00670731">
      <w:pPr>
        <w:spacing w:line="240" w:lineRule="auto"/>
        <w:jc w:val="center"/>
        <w:rPr>
          <w:rFonts w:cs="Times New Roman"/>
          <w:szCs w:val="24"/>
        </w:rPr>
      </w:pPr>
      <w:r>
        <w:rPr>
          <w:rFonts w:cs="Times New Roman"/>
          <w:szCs w:val="24"/>
        </w:rPr>
        <w:t>∆</w:t>
      </w:r>
      <w:r>
        <w:rPr>
          <w:rFonts w:cs="Times New Roman"/>
          <w:szCs w:val="24"/>
        </w:rPr>
        <w:t>A1= OD</w:t>
      </w:r>
      <w:r>
        <w:rPr>
          <w:rFonts w:cs="Times New Roman"/>
          <w:szCs w:val="24"/>
          <w:vertAlign w:val="subscript"/>
        </w:rPr>
        <w:t>sample</w:t>
      </w:r>
      <w:r>
        <w:rPr>
          <w:rFonts w:cs="Times New Roman"/>
          <w:szCs w:val="24"/>
        </w:rPr>
        <w:t xml:space="preserve"> - OD</w:t>
      </w:r>
      <w:r>
        <w:rPr>
          <w:rFonts w:cs="Times New Roman"/>
          <w:szCs w:val="24"/>
          <w:vertAlign w:val="subscript"/>
        </w:rPr>
        <w:t>blank</w:t>
      </w:r>
      <w:r>
        <w:rPr>
          <w:rFonts w:cs="Times New Roman"/>
          <w:szCs w:val="24"/>
        </w:rPr>
        <w:t>; ∆A2= OD</w:t>
      </w:r>
      <w:r>
        <w:rPr>
          <w:rFonts w:cs="Times New Roman"/>
          <w:szCs w:val="24"/>
          <w:vertAlign w:val="subscript"/>
        </w:rPr>
        <w:t>sample</w:t>
      </w:r>
      <w:r>
        <w:rPr>
          <w:rFonts w:cs="Times New Roman"/>
          <w:szCs w:val="24"/>
        </w:rPr>
        <w:t xml:space="preserve"> – OD</w:t>
      </w:r>
      <w:r>
        <w:rPr>
          <w:rFonts w:cs="Times New Roman"/>
          <w:szCs w:val="24"/>
          <w:vertAlign w:val="subscript"/>
        </w:rPr>
        <w:t>blank</w:t>
      </w:r>
      <w:r>
        <w:rPr>
          <w:rFonts w:cs="Times New Roman"/>
          <w:szCs w:val="24"/>
        </w:rPr>
        <w:t xml:space="preserve">; m=content of standard (0.01mg); f = dilution factor of sample in sample preparation; 10= </w:t>
      </w:r>
      <w:r>
        <w:rPr>
          <w:rFonts w:cs="Times New Roman"/>
          <w:szCs w:val="24"/>
        </w:rPr>
        <w:t>dilution factor of reaction system; 1.11 = conversion factor (glucose to glycogen)</w:t>
      </w:r>
    </w:p>
    <w:p w:rsidR="003C05B7" w:rsidRDefault="003C05B7">
      <w:pPr>
        <w:jc w:val="both"/>
        <w:rPr>
          <w:rFonts w:cs="Times New Roman"/>
          <w:b/>
          <w:szCs w:val="24"/>
        </w:rPr>
      </w:pPr>
    </w:p>
    <w:p w:rsidR="003C05B7" w:rsidRDefault="00670731">
      <w:pPr>
        <w:jc w:val="both"/>
        <w:rPr>
          <w:rFonts w:cs="Times New Roman"/>
          <w:b/>
          <w:szCs w:val="24"/>
        </w:rPr>
      </w:pPr>
      <w:r>
        <w:rPr>
          <w:rFonts w:cs="Times New Roman"/>
          <w:b/>
          <w:szCs w:val="24"/>
        </w:rPr>
        <w:t>3.8 Statistical Analysis</w:t>
      </w:r>
    </w:p>
    <w:p w:rsidR="003C05B7" w:rsidRDefault="00670731">
      <w:pPr>
        <w:jc w:val="both"/>
        <w:rPr>
          <w:rFonts w:cs="Times New Roman"/>
          <w:szCs w:val="24"/>
        </w:rPr>
      </w:pPr>
      <w:r>
        <w:rPr>
          <w:rFonts w:cs="Times New Roman"/>
          <w:szCs w:val="24"/>
        </w:rPr>
        <w:t>The normality of the data was assessed using the Shapiro-Wilk test, and all data were found to be parametric. Data are presented as means ± standar</w:t>
      </w:r>
      <w:r>
        <w:rPr>
          <w:rFonts w:cs="Times New Roman"/>
          <w:szCs w:val="24"/>
        </w:rPr>
        <w:t>d deviation (SD). Unpaired t-test was conducted to compare two groups. One-way analysis of variance (ANOVA) was applied to compare variables across the groups. Bonferroni post hoc test was then conducted to compare the means. A p-value of less than 0.05 wa</w:t>
      </w:r>
      <w:r>
        <w:rPr>
          <w:rFonts w:cs="Times New Roman"/>
          <w:szCs w:val="24"/>
        </w:rPr>
        <w:t>s considered statistically significant. All statistical analyses were carried out using Jamovi (Version2.3.28) and</w:t>
      </w:r>
      <w:r>
        <w:t xml:space="preserve"> </w:t>
      </w:r>
      <w:r>
        <w:rPr>
          <w:rFonts w:cs="Times New Roman"/>
          <w:szCs w:val="24"/>
        </w:rPr>
        <w:t>GraphPad Prism 7.0 (GraphPad Software Inc., San Diego, California)</w:t>
      </w:r>
    </w:p>
    <w:p w:rsidR="003C05B7" w:rsidRDefault="00670731">
      <w:pPr>
        <w:rPr>
          <w:rFonts w:cs="Times New Roman"/>
          <w:b/>
          <w:bCs/>
        </w:rPr>
      </w:pPr>
      <w:r>
        <w:rPr>
          <w:rFonts w:cs="Times New Roman"/>
          <w:b/>
          <w:bCs/>
        </w:rPr>
        <w:br w:type="page"/>
      </w:r>
    </w:p>
    <w:p w:rsidR="003C05B7" w:rsidRDefault="00670731">
      <w:pPr>
        <w:jc w:val="center"/>
        <w:rPr>
          <w:rFonts w:cs="Times New Roman"/>
          <w:b/>
          <w:bCs/>
        </w:rPr>
      </w:pPr>
      <w:r>
        <w:rPr>
          <w:rFonts w:cs="Times New Roman"/>
          <w:b/>
          <w:bCs/>
        </w:rPr>
        <w:t>CHAPTER FOUR</w:t>
      </w:r>
    </w:p>
    <w:p w:rsidR="003C05B7" w:rsidRDefault="00670731">
      <w:pPr>
        <w:jc w:val="both"/>
        <w:rPr>
          <w:rFonts w:cs="Times New Roman"/>
          <w:b/>
          <w:bCs/>
        </w:rPr>
      </w:pPr>
      <w:r>
        <w:rPr>
          <w:rFonts w:cs="Times New Roman"/>
          <w:b/>
          <w:bCs/>
        </w:rPr>
        <w:t>4.0 RESULTS</w:t>
      </w:r>
    </w:p>
    <w:p w:rsidR="003C05B7" w:rsidRDefault="00670731">
      <w:pPr>
        <w:tabs>
          <w:tab w:val="left" w:pos="6128"/>
        </w:tabs>
        <w:spacing w:line="240" w:lineRule="auto"/>
        <w:jc w:val="both"/>
        <w:rPr>
          <w:rFonts w:cs="Times New Roman"/>
        </w:rPr>
      </w:pPr>
      <w:bookmarkStart w:id="3" w:name="_Hlk215138270"/>
      <w:r>
        <w:rPr>
          <w:rFonts w:cs="Times New Roman"/>
          <w:b/>
          <w:bCs/>
        </w:rPr>
        <w:t>4.1 Assessment of Glucose Levels After Inductio</w:t>
      </w:r>
      <w:r>
        <w:rPr>
          <w:rFonts w:cs="Times New Roman"/>
          <w:b/>
          <w:bCs/>
        </w:rPr>
        <w:t>n of Diabetes</w:t>
      </w:r>
    </w:p>
    <w:p w:rsidR="003C05B7" w:rsidRDefault="00670731">
      <w:pPr>
        <w:tabs>
          <w:tab w:val="left" w:pos="6128"/>
        </w:tabs>
        <w:spacing w:line="360" w:lineRule="auto"/>
        <w:jc w:val="both"/>
        <w:rPr>
          <w:rFonts w:cs="Times New Roman"/>
        </w:rPr>
      </w:pPr>
      <w:r>
        <w:rPr>
          <w:rFonts w:cs="Times New Roman"/>
        </w:rPr>
        <w:t>As illustrated in Figure 4.1, exposure to a 30% sucrose high-sugar diet resulted in a marked rise in glucose levels, confirming successful induction of a diabetic state in the flies.</w:t>
      </w:r>
    </w:p>
    <w:p w:rsidR="003C05B7" w:rsidRDefault="00670731">
      <w:pPr>
        <w:rPr>
          <w:rFonts w:cs="Times New Roman"/>
        </w:rPr>
      </w:pPr>
      <w:r>
        <w:rPr>
          <w:rFonts w:cs="Times New Roman"/>
        </w:rPr>
        <w:br w:type="page"/>
      </w:r>
    </w:p>
    <w:p w:rsidR="003C05B7" w:rsidRDefault="003C05B7">
      <w:pPr>
        <w:tabs>
          <w:tab w:val="left" w:pos="6128"/>
        </w:tabs>
        <w:spacing w:line="360" w:lineRule="auto"/>
        <w:jc w:val="both"/>
        <w:rPr>
          <w:rFonts w:cs="Times New Roman"/>
        </w:rPr>
      </w:pPr>
    </w:p>
    <w:p w:rsidR="003C05B7" w:rsidRDefault="003C05B7">
      <w:pPr>
        <w:tabs>
          <w:tab w:val="left" w:pos="6128"/>
        </w:tabs>
        <w:spacing w:line="240" w:lineRule="auto"/>
        <w:jc w:val="both"/>
        <w:rPr>
          <w:rFonts w:cs="Times New Roman"/>
        </w:rPr>
      </w:pPr>
    </w:p>
    <w:p w:rsidR="003C05B7" w:rsidRDefault="00670731">
      <w:pPr>
        <w:tabs>
          <w:tab w:val="left" w:pos="6128"/>
        </w:tabs>
        <w:spacing w:line="240" w:lineRule="auto"/>
        <w:jc w:val="center"/>
        <w:rPr>
          <w:rFonts w:cs="Times New Roman"/>
        </w:rPr>
      </w:pPr>
      <w:r>
        <w:rPr>
          <w:rFonts w:cs="Times New Roman"/>
        </w:rPr>
        <w:object w:dxaOrig="4090" w:dyaOrig="4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1027" o:spid="_x0000_i1025" type="#_x0000_t75" style="width:204.75pt;height:219.75pt;visibility:visible;mso-wrap-distance-left:0;mso-wrap-distance-right:0" o:ole="">
            <v:imagedata r:id="rId10" o:title="" embosscolor="white"/>
          </v:shape>
          <o:OLEObject Type="Embed" ProgID="Prism8.Document" ShapeID="1027" DrawAspect="Content" ObjectID="_1827539013" r:id="rId11"/>
        </w:object>
      </w:r>
    </w:p>
    <w:p w:rsidR="003C05B7" w:rsidRDefault="00670731">
      <w:pPr>
        <w:tabs>
          <w:tab w:val="left" w:pos="6128"/>
        </w:tabs>
        <w:spacing w:line="240" w:lineRule="auto"/>
        <w:jc w:val="both"/>
        <w:rPr>
          <w:rFonts w:cs="Times New Roman"/>
        </w:rPr>
      </w:pPr>
      <w:r>
        <w:rPr>
          <w:rFonts w:cs="Times New Roman"/>
        </w:rPr>
        <w:t xml:space="preserve">Figure 4.1: HSD- High sugar diet. Statistical significance difference compared to control group p &lt; 0.05 was represented by </w:t>
      </w:r>
      <w:r>
        <w:rPr>
          <w:rFonts w:cs="Times New Roman"/>
          <w:b/>
          <w:bCs/>
        </w:rPr>
        <w:t>a</w:t>
      </w:r>
      <w:r>
        <w:rPr>
          <w:rFonts w:cs="Times New Roman"/>
        </w:rPr>
        <w:t>. No statistical difference compared to control group p &lt; 0.05 was re</w:t>
      </w:r>
      <w:r>
        <w:rPr>
          <w:rFonts w:cs="Times New Roman"/>
        </w:rPr>
        <w:t xml:space="preserve">presented by </w:t>
      </w:r>
      <w:r>
        <w:rPr>
          <w:rFonts w:cs="Times New Roman"/>
          <w:b/>
          <w:bCs/>
        </w:rPr>
        <w:t>ns</w:t>
      </w:r>
      <w:r>
        <w:rPr>
          <w:rFonts w:cs="Times New Roman"/>
        </w:rPr>
        <w:t>. Data were reported as mean ± SD (n = 200).</w:t>
      </w:r>
    </w:p>
    <w:bookmarkEnd w:id="3"/>
    <w:p w:rsidR="003C05B7" w:rsidRDefault="003C05B7">
      <w:pPr>
        <w:rPr>
          <w:rFonts w:cs="Times New Roman"/>
        </w:rPr>
      </w:pPr>
    </w:p>
    <w:p w:rsidR="003C05B7" w:rsidRDefault="003C05B7">
      <w:pPr>
        <w:rPr>
          <w:rFonts w:cs="Times New Roman"/>
          <w:b/>
          <w:bCs/>
        </w:rPr>
      </w:pPr>
    </w:p>
    <w:p w:rsidR="003C05B7" w:rsidRDefault="003C05B7">
      <w:pPr>
        <w:rPr>
          <w:rFonts w:cs="Times New Roman"/>
          <w:b/>
          <w:bCs/>
        </w:rPr>
      </w:pPr>
    </w:p>
    <w:p w:rsidR="003C05B7" w:rsidRDefault="003C05B7">
      <w:pPr>
        <w:rPr>
          <w:rFonts w:cs="Times New Roman"/>
          <w:b/>
          <w:bCs/>
        </w:rPr>
      </w:pPr>
    </w:p>
    <w:p w:rsidR="003C05B7" w:rsidRDefault="003C05B7">
      <w:pPr>
        <w:rPr>
          <w:rFonts w:cs="Times New Roman"/>
          <w:b/>
          <w:bCs/>
        </w:rPr>
      </w:pPr>
    </w:p>
    <w:p w:rsidR="003C05B7" w:rsidRDefault="003C05B7">
      <w:pPr>
        <w:rPr>
          <w:rFonts w:cs="Times New Roman"/>
          <w:b/>
          <w:bCs/>
        </w:rPr>
      </w:pPr>
    </w:p>
    <w:p w:rsidR="003C05B7" w:rsidRDefault="003C05B7">
      <w:pPr>
        <w:rPr>
          <w:rFonts w:cs="Times New Roman"/>
          <w:b/>
          <w:bCs/>
        </w:rPr>
      </w:pPr>
    </w:p>
    <w:p w:rsidR="003C05B7" w:rsidRDefault="003C05B7">
      <w:pPr>
        <w:rPr>
          <w:rFonts w:cs="Times New Roman"/>
          <w:b/>
          <w:bCs/>
        </w:rPr>
      </w:pPr>
    </w:p>
    <w:p w:rsidR="003C05B7" w:rsidRDefault="003C05B7">
      <w:pPr>
        <w:rPr>
          <w:rFonts w:cs="Times New Roman"/>
          <w:b/>
          <w:bCs/>
        </w:rPr>
      </w:pPr>
    </w:p>
    <w:p w:rsidR="003C05B7" w:rsidRDefault="003C05B7">
      <w:pPr>
        <w:rPr>
          <w:rFonts w:cs="Times New Roman"/>
          <w:b/>
          <w:bCs/>
        </w:rPr>
      </w:pPr>
    </w:p>
    <w:p w:rsidR="003C05B7" w:rsidRDefault="003C05B7">
      <w:pPr>
        <w:rPr>
          <w:rFonts w:cs="Times New Roman"/>
          <w:b/>
          <w:bCs/>
        </w:rPr>
      </w:pPr>
    </w:p>
    <w:p w:rsidR="003C05B7" w:rsidRDefault="003C05B7">
      <w:pPr>
        <w:rPr>
          <w:rFonts w:cs="Times New Roman"/>
          <w:b/>
          <w:bCs/>
        </w:rPr>
      </w:pPr>
    </w:p>
    <w:p w:rsidR="003C05B7" w:rsidRDefault="003C05B7">
      <w:pPr>
        <w:rPr>
          <w:rFonts w:cs="Times New Roman"/>
          <w:b/>
          <w:bCs/>
        </w:rPr>
      </w:pPr>
    </w:p>
    <w:p w:rsidR="003C05B7" w:rsidRDefault="003C05B7">
      <w:pPr>
        <w:rPr>
          <w:rFonts w:cs="Times New Roman"/>
          <w:b/>
          <w:bCs/>
        </w:rPr>
      </w:pPr>
    </w:p>
    <w:p w:rsidR="003C05B7" w:rsidRDefault="003C05B7">
      <w:pPr>
        <w:rPr>
          <w:rFonts w:cs="Times New Roman"/>
          <w:b/>
          <w:bCs/>
        </w:rPr>
      </w:pPr>
    </w:p>
    <w:p w:rsidR="003C05B7" w:rsidRDefault="00670731">
      <w:pPr>
        <w:jc w:val="both"/>
        <w:rPr>
          <w:rFonts w:cs="Times New Roman"/>
          <w:b/>
          <w:bCs/>
        </w:rPr>
      </w:pPr>
      <w:r>
        <w:rPr>
          <w:rFonts w:cs="Times New Roman"/>
          <w:b/>
          <w:bCs/>
        </w:rPr>
        <w:t>4.2 Evaluation of Weight and Locomotor Parameters</w:t>
      </w:r>
    </w:p>
    <w:p w:rsidR="003C05B7" w:rsidRDefault="00670731">
      <w:pPr>
        <w:jc w:val="both"/>
        <w:rPr>
          <w:rFonts w:cs="Times New Roman"/>
          <w:b/>
          <w:bCs/>
        </w:rPr>
      </w:pPr>
      <w:r>
        <w:rPr>
          <w:rFonts w:cs="Times New Roman"/>
        </w:rPr>
        <w:t xml:space="preserve">Table 4.1 shows that a high-sugar diet (HSD) caused a significant increase in body weight in </w:t>
      </w:r>
      <w:r>
        <w:rPr>
          <w:rFonts w:cs="Times New Roman"/>
          <w:i/>
          <w:iCs/>
        </w:rPr>
        <w:t>Drosophila melanogaster</w:t>
      </w:r>
      <w:r>
        <w:rPr>
          <w:rFonts w:cs="Times New Roman"/>
        </w:rPr>
        <w:t xml:space="preserve"> confirming die</w:t>
      </w:r>
      <w:r>
        <w:rPr>
          <w:rFonts w:cs="Times New Roman"/>
        </w:rPr>
        <w:t>t-induced obesity (p &lt; 0.05). Administration of MSEDM or metformin significantly reduced this weight gain relative to the HSD group, indicating protection against sugar-related metabolic stress. The HSD regimen also led to reduced locomotor performance; ho</w:t>
      </w:r>
      <w:r>
        <w:rPr>
          <w:rFonts w:cs="Times New Roman"/>
        </w:rPr>
        <w:t>wever, MSEDM markedly improved climbing activity, restoring it to levels close to those of the control group (p &lt; 0.05). Metformin also enhanced locomotor ability, though not significantly compared with controls, suggesting that MSEDM may offer equal or su</w:t>
      </w:r>
      <w:r>
        <w:rPr>
          <w:rFonts w:cs="Times New Roman"/>
        </w:rPr>
        <w:t>perior support for motor coordination under hyperglycemic conditions.</w:t>
      </w: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670731">
      <w:pPr>
        <w:pStyle w:val="Heading1"/>
        <w:jc w:val="left"/>
      </w:pPr>
      <w:r>
        <w:t>Table. 4.1: Effect of MSEDM on Weight and Locomotive Performance.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0"/>
        <w:gridCol w:w="3054"/>
        <w:gridCol w:w="3099"/>
      </w:tblGrid>
      <w:tr w:rsidR="003C05B7">
        <w:tc>
          <w:tcPr>
            <w:tcW w:w="3116" w:type="dxa"/>
            <w:tcBorders>
              <w:top w:val="single" w:sz="4" w:space="0" w:color="auto"/>
              <w:bottom w:val="single" w:sz="4" w:space="0" w:color="auto"/>
            </w:tcBorders>
          </w:tcPr>
          <w:p w:rsidR="003C05B7" w:rsidRDefault="00670731">
            <w:pPr>
              <w:spacing w:line="480" w:lineRule="auto"/>
              <w:rPr>
                <w:rFonts w:ascii="Times New Roman" w:hAnsi="Times New Roman" w:cs="Times New Roman"/>
                <w:sz w:val="24"/>
                <w:szCs w:val="24"/>
              </w:rPr>
            </w:pPr>
            <w:r>
              <w:rPr>
                <w:rFonts w:ascii="Times New Roman" w:hAnsi="Times New Roman" w:cs="Times New Roman"/>
                <w:b/>
                <w:bCs/>
                <w:sz w:val="24"/>
                <w:szCs w:val="24"/>
              </w:rPr>
              <w:t>Experimental groups</w:t>
            </w:r>
          </w:p>
        </w:tc>
        <w:tc>
          <w:tcPr>
            <w:tcW w:w="6234" w:type="dxa"/>
            <w:gridSpan w:val="2"/>
            <w:tcBorders>
              <w:top w:val="single" w:sz="4" w:space="0" w:color="auto"/>
              <w:bottom w:val="single" w:sz="4" w:space="0" w:color="auto"/>
            </w:tcBorders>
          </w:tcPr>
          <w:p w:rsidR="003C05B7" w:rsidRDefault="00670731">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                                      Parameters</w:t>
            </w:r>
          </w:p>
          <w:p w:rsidR="003C05B7" w:rsidRDefault="00670731">
            <w:pPr>
              <w:spacing w:line="480" w:lineRule="auto"/>
              <w:rPr>
                <w:rFonts w:ascii="Times New Roman" w:hAnsi="Times New Roman" w:cs="Times New Roman"/>
                <w:sz w:val="24"/>
                <w:szCs w:val="24"/>
              </w:rPr>
            </w:pPr>
            <w:r>
              <w:rPr>
                <w:rFonts w:ascii="Times New Roman" w:hAnsi="Times New Roman" w:cs="Times New Roman"/>
                <w:b/>
                <w:bCs/>
                <w:sz w:val="24"/>
                <w:szCs w:val="24"/>
              </w:rPr>
              <w:t xml:space="preserve">Weight (mg)                        </w:t>
            </w:r>
            <w:r>
              <w:rPr>
                <w:rFonts w:ascii="Times New Roman" w:hAnsi="Times New Roman" w:cs="Times New Roman"/>
                <w:b/>
                <w:bCs/>
                <w:sz w:val="24"/>
                <w:szCs w:val="24"/>
              </w:rPr>
              <w:t xml:space="preserve">     Locomotive performance (%)</w:t>
            </w:r>
          </w:p>
        </w:tc>
      </w:tr>
      <w:tr w:rsidR="003C05B7">
        <w:tc>
          <w:tcPr>
            <w:tcW w:w="3116" w:type="dxa"/>
            <w:tcBorders>
              <w:top w:val="single" w:sz="4" w:space="0" w:color="auto"/>
            </w:tcBorders>
          </w:tcPr>
          <w:p w:rsidR="003C05B7" w:rsidRDefault="00670731">
            <w:pPr>
              <w:spacing w:line="480" w:lineRule="auto"/>
              <w:rPr>
                <w:rFonts w:ascii="Times New Roman" w:hAnsi="Times New Roman" w:cs="Times New Roman"/>
                <w:sz w:val="24"/>
                <w:szCs w:val="24"/>
              </w:rPr>
            </w:pPr>
            <w:r>
              <w:rPr>
                <w:rFonts w:ascii="Times New Roman" w:hAnsi="Times New Roman" w:cs="Times New Roman"/>
                <w:b/>
                <w:bCs/>
                <w:sz w:val="24"/>
                <w:szCs w:val="24"/>
              </w:rPr>
              <w:t>Control</w:t>
            </w:r>
          </w:p>
        </w:tc>
        <w:tc>
          <w:tcPr>
            <w:tcW w:w="3094" w:type="dxa"/>
            <w:tcBorders>
              <w:top w:val="single" w:sz="4" w:space="0" w:color="auto"/>
            </w:tcBorders>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5.00 ± 0.85</w:t>
            </w:r>
          </w:p>
        </w:tc>
        <w:tc>
          <w:tcPr>
            <w:tcW w:w="3140" w:type="dxa"/>
            <w:tcBorders>
              <w:top w:val="single" w:sz="4" w:space="0" w:color="auto"/>
            </w:tcBorders>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95.00 ± 7.07</w:t>
            </w:r>
          </w:p>
        </w:tc>
      </w:tr>
      <w:tr w:rsidR="003C05B7">
        <w:tc>
          <w:tcPr>
            <w:tcW w:w="3116" w:type="dxa"/>
          </w:tcPr>
          <w:p w:rsidR="003C05B7" w:rsidRDefault="00670731">
            <w:pPr>
              <w:spacing w:line="480" w:lineRule="auto"/>
              <w:rPr>
                <w:rFonts w:ascii="Times New Roman" w:hAnsi="Times New Roman" w:cs="Times New Roman"/>
                <w:sz w:val="24"/>
                <w:szCs w:val="24"/>
              </w:rPr>
            </w:pPr>
            <w:r>
              <w:rPr>
                <w:rFonts w:ascii="Times New Roman" w:hAnsi="Times New Roman" w:cs="Times New Roman"/>
                <w:b/>
                <w:bCs/>
                <w:sz w:val="24"/>
                <w:szCs w:val="24"/>
              </w:rPr>
              <w:t>HSD</w:t>
            </w:r>
          </w:p>
        </w:tc>
        <w:tc>
          <w:tcPr>
            <w:tcW w:w="3094" w:type="dxa"/>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15.20 ± 0.99</w:t>
            </w:r>
            <w:r>
              <w:rPr>
                <w:rFonts w:ascii="Times New Roman" w:hAnsi="Times New Roman" w:cs="Times New Roman"/>
                <w:b/>
                <w:bCs/>
                <w:sz w:val="24"/>
                <w:szCs w:val="24"/>
                <w:vertAlign w:val="superscript"/>
              </w:rPr>
              <w:t>a</w:t>
            </w:r>
          </w:p>
        </w:tc>
        <w:tc>
          <w:tcPr>
            <w:tcW w:w="3140" w:type="dxa"/>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65.00 ± 7.00</w:t>
            </w:r>
            <w:r>
              <w:rPr>
                <w:rFonts w:ascii="Times New Roman" w:hAnsi="Times New Roman" w:cs="Times New Roman"/>
                <w:b/>
                <w:bCs/>
                <w:sz w:val="24"/>
                <w:szCs w:val="24"/>
                <w:vertAlign w:val="superscript"/>
              </w:rPr>
              <w:t>a</w:t>
            </w:r>
          </w:p>
        </w:tc>
      </w:tr>
      <w:tr w:rsidR="003C05B7">
        <w:tc>
          <w:tcPr>
            <w:tcW w:w="3116" w:type="dxa"/>
          </w:tcPr>
          <w:p w:rsidR="003C05B7" w:rsidRDefault="00670731">
            <w:pPr>
              <w:spacing w:line="480" w:lineRule="auto"/>
              <w:rPr>
                <w:rFonts w:ascii="Times New Roman" w:hAnsi="Times New Roman" w:cs="Times New Roman"/>
                <w:sz w:val="24"/>
                <w:szCs w:val="24"/>
              </w:rPr>
            </w:pPr>
            <w:r>
              <w:rPr>
                <w:rFonts w:ascii="Times New Roman" w:hAnsi="Times New Roman" w:cs="Times New Roman"/>
                <w:b/>
                <w:bCs/>
                <w:sz w:val="24"/>
                <w:szCs w:val="24"/>
              </w:rPr>
              <w:t>ED</w:t>
            </w:r>
          </w:p>
        </w:tc>
        <w:tc>
          <w:tcPr>
            <w:tcW w:w="3094" w:type="dxa"/>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5.65 ± 0.21</w:t>
            </w:r>
            <w:bookmarkStart w:id="4" w:name="OLE_LINK4"/>
            <w:r>
              <w:rPr>
                <w:rFonts w:ascii="Times New Roman" w:hAnsi="Times New Roman" w:cs="Times New Roman"/>
                <w:b/>
                <w:bCs/>
                <w:sz w:val="24"/>
                <w:szCs w:val="24"/>
                <w:vertAlign w:val="superscript"/>
              </w:rPr>
              <w:t xml:space="preserve">ns </w:t>
            </w:r>
            <w:bookmarkEnd w:id="4"/>
            <w:r>
              <w:rPr>
                <w:rFonts w:ascii="Times New Roman" w:hAnsi="Times New Roman" w:cs="Times New Roman"/>
                <w:b/>
                <w:bCs/>
                <w:sz w:val="24"/>
                <w:szCs w:val="24"/>
                <w:vertAlign w:val="superscript"/>
              </w:rPr>
              <w:t>b</w:t>
            </w:r>
          </w:p>
        </w:tc>
        <w:tc>
          <w:tcPr>
            <w:tcW w:w="3140" w:type="dxa"/>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75.00 ± 7.00</w:t>
            </w:r>
            <w:r>
              <w:rPr>
                <w:rFonts w:ascii="Times New Roman" w:hAnsi="Times New Roman" w:cs="Times New Roman"/>
                <w:b/>
                <w:bCs/>
                <w:sz w:val="24"/>
                <w:szCs w:val="24"/>
                <w:vertAlign w:val="superscript"/>
              </w:rPr>
              <w:t xml:space="preserve">ns </w:t>
            </w:r>
          </w:p>
        </w:tc>
      </w:tr>
      <w:tr w:rsidR="003C05B7">
        <w:tc>
          <w:tcPr>
            <w:tcW w:w="3116" w:type="dxa"/>
          </w:tcPr>
          <w:p w:rsidR="003C05B7" w:rsidRDefault="00670731">
            <w:pPr>
              <w:spacing w:line="480" w:lineRule="auto"/>
              <w:rPr>
                <w:rFonts w:ascii="Times New Roman" w:hAnsi="Times New Roman" w:cs="Times New Roman"/>
                <w:sz w:val="24"/>
                <w:szCs w:val="24"/>
              </w:rPr>
            </w:pPr>
            <w:r>
              <w:rPr>
                <w:rFonts w:ascii="Times New Roman" w:hAnsi="Times New Roman" w:cs="Times New Roman"/>
                <w:b/>
                <w:bCs/>
                <w:sz w:val="24"/>
                <w:szCs w:val="24"/>
              </w:rPr>
              <w:t>MD</w:t>
            </w:r>
          </w:p>
        </w:tc>
        <w:tc>
          <w:tcPr>
            <w:tcW w:w="3094" w:type="dxa"/>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7.00 ± 0.71</w:t>
            </w:r>
            <w:r>
              <w:rPr>
                <w:rFonts w:ascii="Times New Roman" w:hAnsi="Times New Roman" w:cs="Times New Roman"/>
                <w:b/>
                <w:bCs/>
                <w:sz w:val="24"/>
                <w:szCs w:val="24"/>
                <w:vertAlign w:val="superscript"/>
              </w:rPr>
              <w:t>ns b</w:t>
            </w:r>
          </w:p>
        </w:tc>
        <w:tc>
          <w:tcPr>
            <w:tcW w:w="3140" w:type="dxa"/>
          </w:tcPr>
          <w:p w:rsidR="003C05B7" w:rsidRDefault="00670731">
            <w:pPr>
              <w:spacing w:line="480" w:lineRule="auto"/>
              <w:rPr>
                <w:rFonts w:ascii="Times New Roman" w:hAnsi="Times New Roman" w:cs="Times New Roman"/>
                <w:sz w:val="24"/>
                <w:szCs w:val="24"/>
              </w:rPr>
            </w:pPr>
            <w:r>
              <w:rPr>
                <w:rFonts w:ascii="Times New Roman" w:hAnsi="Times New Roman" w:cs="Times New Roman"/>
                <w:sz w:val="24"/>
                <w:szCs w:val="24"/>
              </w:rPr>
              <w:t>85.00 ± 7.07</w:t>
            </w:r>
            <w:r>
              <w:rPr>
                <w:rFonts w:ascii="Times New Roman" w:hAnsi="Times New Roman" w:cs="Times New Roman"/>
                <w:b/>
                <w:bCs/>
                <w:sz w:val="24"/>
                <w:szCs w:val="24"/>
                <w:vertAlign w:val="superscript"/>
              </w:rPr>
              <w:t>ns</w:t>
            </w:r>
          </w:p>
        </w:tc>
      </w:tr>
    </w:tbl>
    <w:p w:rsidR="003C05B7" w:rsidRDefault="00670731">
      <w:pPr>
        <w:tabs>
          <w:tab w:val="left" w:pos="6128"/>
        </w:tabs>
        <w:spacing w:line="240" w:lineRule="auto"/>
        <w:jc w:val="both"/>
        <w:rPr>
          <w:rFonts w:cs="Times New Roman"/>
        </w:rPr>
      </w:pPr>
      <w:r>
        <w:rPr>
          <w:rFonts w:cs="Times New Roman"/>
        </w:rPr>
        <w:t>HSD- High sugar diet; ED- Extract diet</w:t>
      </w:r>
      <w:r>
        <w:rPr>
          <w:rFonts w:cs="Times New Roman"/>
          <w:lang w:val="en-GB"/>
        </w:rPr>
        <w:t xml:space="preserve"> containing MSEDM</w:t>
      </w:r>
      <w:r>
        <w:rPr>
          <w:rFonts w:cs="Times New Roman"/>
        </w:rPr>
        <w:t xml:space="preserve">; MD- Metformin diet. Statistical significance difference compared to control group p &lt; 0.05 was represented by </w:t>
      </w:r>
      <w:r>
        <w:rPr>
          <w:rFonts w:cs="Times New Roman"/>
          <w:b/>
          <w:bCs/>
        </w:rPr>
        <w:t>a</w:t>
      </w:r>
      <w:r>
        <w:rPr>
          <w:rFonts w:cs="Times New Roman"/>
        </w:rPr>
        <w:t xml:space="preserve">, while statistical significance compared to HSD group p &lt; 0.05 was represented by </w:t>
      </w:r>
      <w:r>
        <w:rPr>
          <w:rFonts w:cs="Times New Roman"/>
          <w:b/>
          <w:bCs/>
        </w:rPr>
        <w:t>b</w:t>
      </w:r>
      <w:r>
        <w:rPr>
          <w:rFonts w:cs="Times New Roman"/>
        </w:rPr>
        <w:t>. No statistical difference compared to control group p &lt; 0</w:t>
      </w:r>
      <w:r>
        <w:rPr>
          <w:rFonts w:cs="Times New Roman"/>
        </w:rPr>
        <w:t xml:space="preserve">.05 was represented by </w:t>
      </w:r>
      <w:r>
        <w:rPr>
          <w:rFonts w:cs="Times New Roman"/>
          <w:b/>
          <w:bCs/>
        </w:rPr>
        <w:t>ns</w:t>
      </w:r>
      <w:r>
        <w:rPr>
          <w:rFonts w:cs="Times New Roman"/>
        </w:rPr>
        <w:t>. Data were reported as mean ± SD (n = 30).</w:t>
      </w:r>
    </w:p>
    <w:p w:rsidR="003C05B7" w:rsidRDefault="003C05B7">
      <w:pPr>
        <w:rPr>
          <w:rFonts w:cs="Times New Roman"/>
        </w:rPr>
      </w:pPr>
    </w:p>
    <w:p w:rsidR="003C05B7" w:rsidRDefault="003C05B7">
      <w:pPr>
        <w:rPr>
          <w:rFonts w:cs="Times New Roman"/>
          <w:b/>
        </w:rPr>
      </w:pPr>
    </w:p>
    <w:p w:rsidR="003C05B7" w:rsidRDefault="003C05B7">
      <w:pPr>
        <w:jc w:val="both"/>
        <w:rPr>
          <w:rFonts w:cs="Times New Roman"/>
          <w:b/>
        </w:rPr>
      </w:pPr>
    </w:p>
    <w:p w:rsidR="003C05B7" w:rsidRDefault="003C05B7">
      <w:pPr>
        <w:jc w:val="both"/>
        <w:rPr>
          <w:rFonts w:cs="Times New Roman"/>
          <w:b/>
        </w:rPr>
      </w:pPr>
    </w:p>
    <w:p w:rsidR="003C05B7" w:rsidRDefault="003C05B7">
      <w:pPr>
        <w:jc w:val="both"/>
        <w:rPr>
          <w:rFonts w:cs="Times New Roman"/>
          <w:b/>
        </w:rPr>
      </w:pPr>
    </w:p>
    <w:p w:rsidR="003C05B7" w:rsidRDefault="003C05B7">
      <w:pPr>
        <w:jc w:val="both"/>
        <w:rPr>
          <w:rFonts w:cs="Times New Roman"/>
          <w:b/>
        </w:rPr>
      </w:pPr>
    </w:p>
    <w:p w:rsidR="003C05B7" w:rsidRDefault="003C05B7">
      <w:pPr>
        <w:jc w:val="both"/>
        <w:rPr>
          <w:rFonts w:cs="Times New Roman"/>
          <w:b/>
        </w:rPr>
      </w:pPr>
    </w:p>
    <w:p w:rsidR="003C05B7" w:rsidRDefault="003C05B7">
      <w:pPr>
        <w:jc w:val="both"/>
        <w:rPr>
          <w:rFonts w:cs="Times New Roman"/>
          <w:b/>
        </w:rPr>
      </w:pPr>
    </w:p>
    <w:p w:rsidR="003C05B7" w:rsidRDefault="003C05B7">
      <w:pPr>
        <w:jc w:val="both"/>
        <w:rPr>
          <w:rFonts w:cs="Times New Roman"/>
          <w:b/>
        </w:rPr>
      </w:pPr>
    </w:p>
    <w:p w:rsidR="003C05B7" w:rsidRDefault="003C05B7">
      <w:pPr>
        <w:jc w:val="both"/>
        <w:rPr>
          <w:rFonts w:cs="Times New Roman"/>
          <w:b/>
        </w:rPr>
      </w:pPr>
    </w:p>
    <w:p w:rsidR="003C05B7" w:rsidRDefault="003C05B7">
      <w:pPr>
        <w:jc w:val="both"/>
        <w:rPr>
          <w:rFonts w:cs="Times New Roman"/>
          <w:b/>
        </w:rPr>
      </w:pPr>
    </w:p>
    <w:p w:rsidR="003C05B7" w:rsidRDefault="003C05B7">
      <w:pPr>
        <w:jc w:val="both"/>
        <w:rPr>
          <w:rFonts w:cs="Times New Roman"/>
          <w:b/>
        </w:rPr>
      </w:pPr>
    </w:p>
    <w:p w:rsidR="003C05B7" w:rsidRDefault="003C05B7">
      <w:pPr>
        <w:jc w:val="both"/>
        <w:rPr>
          <w:rFonts w:cs="Times New Roman"/>
          <w:b/>
        </w:rPr>
      </w:pPr>
    </w:p>
    <w:p w:rsidR="003C05B7" w:rsidRDefault="003C05B7">
      <w:pPr>
        <w:jc w:val="both"/>
        <w:rPr>
          <w:rFonts w:cs="Times New Roman"/>
          <w:b/>
        </w:rPr>
      </w:pPr>
    </w:p>
    <w:p w:rsidR="003C05B7" w:rsidRDefault="003C05B7">
      <w:pPr>
        <w:spacing w:line="240" w:lineRule="auto"/>
        <w:jc w:val="both"/>
        <w:rPr>
          <w:rFonts w:cs="Times New Roman"/>
          <w:b/>
        </w:rPr>
      </w:pPr>
    </w:p>
    <w:p w:rsidR="003C05B7" w:rsidRDefault="00670731">
      <w:pPr>
        <w:jc w:val="both"/>
        <w:rPr>
          <w:rFonts w:cs="Times New Roman"/>
          <w:bCs/>
        </w:rPr>
      </w:pPr>
      <w:r>
        <w:rPr>
          <w:rFonts w:cs="Times New Roman"/>
          <w:b/>
          <w:bCs/>
        </w:rPr>
        <w:t>4.3 Effect of MSEDM on HSD-Induced Hyperglycemia and Carbohydrate Metabolic Dysregulation</w:t>
      </w:r>
      <w:r>
        <w:rPr>
          <w:rFonts w:cs="Times New Roman"/>
          <w:b/>
        </w:rPr>
        <w:br/>
      </w:r>
      <w:r>
        <w:rPr>
          <w:rFonts w:cs="Times New Roman"/>
          <w:bCs/>
        </w:rPr>
        <w:t xml:space="preserve">A 14-day high-sugar diet (HSD) led to pronounced disturbances in carbohydrate metabolism in </w:t>
      </w:r>
      <w:r>
        <w:rPr>
          <w:rFonts w:cs="Times New Roman"/>
          <w:bCs/>
          <w:i/>
          <w:iCs/>
        </w:rPr>
        <w:t xml:space="preserve">Drosophila melanogaster </w:t>
      </w:r>
      <w:r>
        <w:rPr>
          <w:rFonts w:cs="Times New Roman"/>
          <w:bCs/>
        </w:rPr>
        <w:t xml:space="preserve">, with glucose levels significantly elevated compared to controls (p &lt; 0.05). Although trehalose levels increased under HSD, the change was </w:t>
      </w:r>
      <w:r>
        <w:rPr>
          <w:rFonts w:cs="Times New Roman"/>
          <w:bCs/>
        </w:rPr>
        <w:t>not statistically significant. Treatment with MSEDM produced a significant reduction in glucose and trehalose levels relative to the HSD group (p &lt; 0.05), demonstrating antihyperglycemic effects comparable to metformin and an overall improvement in carbohy</w:t>
      </w:r>
      <w:r>
        <w:rPr>
          <w:rFonts w:cs="Times New Roman"/>
          <w:bCs/>
        </w:rPr>
        <w:t>drate regulation. Additionally, both MSEDM and metformin markedly decreased glycogen levels compared with the HSD group (Figure 4.3A–C).</w:t>
      </w: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3C05B7">
      <w:pPr>
        <w:jc w:val="both"/>
        <w:rPr>
          <w:rFonts w:cs="Times New Roman"/>
          <w:bCs/>
        </w:rPr>
      </w:pPr>
    </w:p>
    <w:p w:rsidR="003C05B7" w:rsidRDefault="00670731">
      <w:pPr>
        <w:spacing w:line="240" w:lineRule="auto"/>
        <w:jc w:val="both"/>
        <w:rPr>
          <w:rFonts w:cs="Times New Roman"/>
          <w:b/>
          <w:bCs/>
        </w:rPr>
      </w:pPr>
      <w:r>
        <w:rPr>
          <w:rFonts w:cs="Times New Roman"/>
          <w:b/>
        </w:rPr>
        <w:t>A</w:t>
      </w:r>
      <w:r>
        <w:rPr>
          <w:rFonts w:cs="Times New Roman"/>
          <w:bCs/>
        </w:rPr>
        <w:tab/>
      </w:r>
      <w:r>
        <w:rPr>
          <w:rFonts w:cs="Times New Roman"/>
          <w:b/>
          <w:bCs/>
        </w:rPr>
        <w:tab/>
      </w:r>
      <w:r>
        <w:rPr>
          <w:rFonts w:cs="Times New Roman"/>
          <w:b/>
          <w:bCs/>
        </w:rPr>
        <w:tab/>
      </w:r>
      <w:r>
        <w:rPr>
          <w:rFonts w:cs="Times New Roman"/>
          <w:b/>
          <w:bCs/>
        </w:rPr>
        <w:tab/>
      </w:r>
      <w:r>
        <w:rPr>
          <w:rFonts w:cs="Times New Roman"/>
          <w:b/>
          <w:bCs/>
        </w:rPr>
        <w:tab/>
        <w:t>B</w:t>
      </w:r>
      <w:r>
        <w:rPr>
          <w:rFonts w:cs="Times New Roman"/>
          <w:b/>
          <w:bCs/>
        </w:rPr>
        <w:tab/>
      </w:r>
      <w:r>
        <w:rPr>
          <w:rFonts w:cs="Times New Roman"/>
          <w:b/>
          <w:bCs/>
        </w:rPr>
        <w:tab/>
      </w:r>
      <w:r>
        <w:rPr>
          <w:rFonts w:cs="Times New Roman"/>
          <w:b/>
          <w:bCs/>
        </w:rPr>
        <w:tab/>
      </w:r>
      <w:r>
        <w:rPr>
          <w:rFonts w:cs="Times New Roman"/>
          <w:b/>
          <w:bCs/>
        </w:rPr>
        <w:tab/>
        <w:t>C</w:t>
      </w:r>
    </w:p>
    <w:p w:rsidR="003C05B7" w:rsidRDefault="00670731">
      <w:pPr>
        <w:jc w:val="both"/>
        <w:rPr>
          <w:rFonts w:cs="Times New Roman"/>
        </w:rPr>
      </w:pPr>
      <w:r>
        <w:rPr>
          <w:rFonts w:cs="Times New Roman"/>
        </w:rPr>
        <w:object w:dxaOrig="4608" w:dyaOrig="3950">
          <v:shape id="1029" o:spid="_x0000_i1026" type="#_x0000_t75" style="width:2in;height:123.75pt;visibility:visible;mso-wrap-distance-left:0;mso-wrap-distance-right:0" o:ole="">
            <v:imagedata r:id="rId12" o:title="" embosscolor="white"/>
          </v:shape>
          <o:OLEObject Type="Embed" ProgID="Prism8.Document" ShapeID="1029" DrawAspect="Content" ObjectID="_1827539014" r:id="rId13"/>
        </w:object>
      </w:r>
      <w:r>
        <w:rPr>
          <w:rFonts w:cs="Times New Roman"/>
        </w:rPr>
        <w:t xml:space="preserve"> </w:t>
      </w:r>
      <w:r>
        <w:rPr>
          <w:rFonts w:cs="Times New Roman"/>
        </w:rPr>
        <w:object w:dxaOrig="4550" w:dyaOrig="3979">
          <v:shape id="1031" o:spid="_x0000_i1027" type="#_x0000_t75" style="width:144.75pt;height:126.75pt;visibility:visible;mso-wrap-distance-left:0;mso-wrap-distance-right:0" o:ole="">
            <v:imagedata r:id="rId14" o:title="" embosscolor="white"/>
          </v:shape>
          <o:OLEObject Type="Embed" ProgID="Prism8.Document" ShapeID="1031" DrawAspect="Content" ObjectID="_1827539015" r:id="rId15"/>
        </w:object>
      </w:r>
      <w:r>
        <w:rPr>
          <w:rFonts w:cs="Times New Roman"/>
        </w:rPr>
        <w:t xml:space="preserve"> </w:t>
      </w:r>
      <w:r>
        <w:object w:dxaOrig="4781" w:dyaOrig="3950">
          <v:shape id="1033" o:spid="_x0000_i1028" type="#_x0000_t75" style="width:149.25pt;height:123pt;visibility:visible;mso-wrap-distance-left:0;mso-wrap-distance-right:0" o:ole="">
            <v:imagedata r:id="rId16" o:title="" embosscolor="white"/>
          </v:shape>
          <o:OLEObject Type="Embed" ProgID="Prism8.Document" ShapeID="1033" DrawAspect="Content" ObjectID="_1827539016" r:id="rId17"/>
        </w:object>
      </w:r>
    </w:p>
    <w:p w:rsidR="003C05B7" w:rsidRDefault="00670731">
      <w:pPr>
        <w:tabs>
          <w:tab w:val="left" w:pos="6128"/>
        </w:tabs>
        <w:spacing w:line="240" w:lineRule="auto"/>
        <w:jc w:val="both"/>
        <w:rPr>
          <w:rFonts w:cs="Times New Roman"/>
        </w:rPr>
      </w:pPr>
      <w:r>
        <w:rPr>
          <w:rFonts w:cs="Times New Roman"/>
        </w:rPr>
        <w:t>Figure 4.3: HSD- High sugar diet; ED- Extract diet</w:t>
      </w:r>
      <w:r>
        <w:rPr>
          <w:rFonts w:cs="Times New Roman"/>
          <w:lang w:val="en-GB"/>
        </w:rPr>
        <w:t xml:space="preserve"> containing MSEDM</w:t>
      </w:r>
      <w:r>
        <w:rPr>
          <w:rFonts w:cs="Times New Roman"/>
        </w:rPr>
        <w:t>; MD- Metformin diet. Statistical significance difference compared to control group p &lt;</w:t>
      </w:r>
      <w:r>
        <w:rPr>
          <w:rFonts w:cs="Times New Roman"/>
        </w:rPr>
        <w:t xml:space="preserve"> 0.05 was represented by </w:t>
      </w:r>
      <w:r>
        <w:rPr>
          <w:rFonts w:cs="Times New Roman"/>
          <w:b/>
          <w:bCs/>
        </w:rPr>
        <w:t>*</w:t>
      </w:r>
      <w:r>
        <w:rPr>
          <w:rFonts w:cs="Times New Roman"/>
        </w:rPr>
        <w:t xml:space="preserve">, while statistical significance compared to HSD group p &lt; 0.05 was represented by </w:t>
      </w:r>
      <w:r>
        <w:rPr>
          <w:rFonts w:cs="Times New Roman"/>
          <w:b/>
          <w:bCs/>
        </w:rPr>
        <w:t>#</w:t>
      </w:r>
      <w:r>
        <w:rPr>
          <w:rFonts w:cs="Times New Roman"/>
        </w:rPr>
        <w:t xml:space="preserve">. No statistical difference compared to control group p &lt; 0.05 was represented by </w:t>
      </w:r>
      <w:r>
        <w:rPr>
          <w:rFonts w:cs="Times New Roman"/>
          <w:b/>
          <w:bCs/>
        </w:rPr>
        <w:t>ns</w:t>
      </w:r>
      <w:r>
        <w:rPr>
          <w:rFonts w:cs="Times New Roman"/>
        </w:rPr>
        <w:t>. Data were reported as mean ± SD (n = 30).</w:t>
      </w:r>
    </w:p>
    <w:p w:rsidR="003C05B7" w:rsidRDefault="003C05B7">
      <w:pPr>
        <w:jc w:val="both"/>
        <w:rPr>
          <w:rFonts w:cs="Times New Roman"/>
          <w:b/>
          <w:bCs/>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rPr>
          <w:rFonts w:cs="Times New Roman"/>
          <w:b/>
        </w:rPr>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670731">
      <w:pPr>
        <w:pStyle w:val="NormalWeb"/>
        <w:spacing w:before="0" w:beforeAutospacing="0" w:after="0" w:afterAutospacing="0" w:line="480" w:lineRule="auto"/>
        <w:jc w:val="center"/>
        <w:rPr>
          <w:b/>
          <w:bCs/>
        </w:rPr>
      </w:pPr>
      <w:r>
        <w:rPr>
          <w:b/>
          <w:bCs/>
        </w:rPr>
        <w:t>C</w:t>
      </w:r>
      <w:r>
        <w:rPr>
          <w:b/>
          <w:bCs/>
        </w:rPr>
        <w:t>HAPTER 5</w:t>
      </w:r>
    </w:p>
    <w:p w:rsidR="003C05B7" w:rsidRDefault="00670731">
      <w:pPr>
        <w:pStyle w:val="NormalWeb"/>
        <w:spacing w:before="0" w:beforeAutospacing="0" w:after="0" w:afterAutospacing="0" w:line="480" w:lineRule="auto"/>
        <w:rPr>
          <w:b/>
          <w:bCs/>
        </w:rPr>
      </w:pPr>
      <w:r>
        <w:rPr>
          <w:b/>
          <w:bCs/>
        </w:rPr>
        <w:t xml:space="preserve">5.1 Discussion </w:t>
      </w:r>
    </w:p>
    <w:p w:rsidR="003C05B7" w:rsidRDefault="00670731">
      <w:pPr>
        <w:pStyle w:val="NormalWeb"/>
        <w:spacing w:before="0" w:beforeAutospacing="0" w:after="0" w:afterAutospacing="0" w:line="480" w:lineRule="auto"/>
        <w:jc w:val="both"/>
      </w:pPr>
      <w:r>
        <w:t xml:space="preserve">In this study, a high-sugar diet successfully induced a diabetic condition in </w:t>
      </w:r>
      <w:r>
        <w:rPr>
          <w:i/>
        </w:rPr>
        <w:t>Drosophila melanogaster</w:t>
      </w:r>
      <w:r>
        <w:t xml:space="preserve"> as shown by significant increases in glucose, body weight, and altered carbohydrate storage. Treatment with </w:t>
      </w:r>
      <w:r>
        <w:rPr>
          <w:i/>
        </w:rPr>
        <w:t>Diospyros mespiliform</w:t>
      </w:r>
      <w:r>
        <w:rPr>
          <w:i/>
        </w:rPr>
        <w:t>is</w:t>
      </w:r>
      <w:r>
        <w:t xml:space="preserve"> extract (ED) markedly improved these parameters and produced effects that were comparable to those of metformin (MD).</w:t>
      </w:r>
    </w:p>
    <w:p w:rsidR="003C05B7" w:rsidRDefault="00670731">
      <w:pPr>
        <w:pStyle w:val="NormalWeb"/>
        <w:spacing w:before="0" w:beforeAutospacing="0" w:after="0" w:afterAutospacing="0" w:line="480" w:lineRule="auto"/>
        <w:jc w:val="both"/>
      </w:pPr>
      <w:r>
        <w:t>Phytochemical investigations have consistently shown that</w:t>
      </w:r>
      <w:r>
        <w:rPr>
          <w:i/>
        </w:rPr>
        <w:t xml:space="preserve"> D. </w:t>
      </w:r>
      <w:r>
        <w:rPr>
          <w:i/>
          <w:iCs/>
        </w:rPr>
        <w:t>mespiliformis</w:t>
      </w:r>
      <w:r>
        <w:t xml:space="preserve"> contains multiple bioactive compounds such as flavonoids, phenolics, saponins, tannins, alkaloids and steroids (Shamsuddeen, 2023). Previous mammalian studies offer strong support for these findings. In alloxan-induced diabetic rats, methanolic stem bark </w:t>
      </w:r>
      <w:r>
        <w:t>extract of</w:t>
      </w:r>
      <w:r>
        <w:rPr>
          <w:i/>
        </w:rPr>
        <w:t xml:space="preserve"> D. </w:t>
      </w:r>
      <w:r>
        <w:t xml:space="preserve">mespiliformis significantly lowered blood glucose and improved biochemical markers, with effects comparable to metformin (Muhammad </w:t>
      </w:r>
      <w:r>
        <w:rPr>
          <w:i/>
          <w:iCs/>
        </w:rPr>
        <w:t>et al.</w:t>
      </w:r>
      <w:r>
        <w:t xml:space="preserve">, 2020). Therefore, the hypoglycemic effect observed in </w:t>
      </w:r>
      <w:r>
        <w:rPr>
          <w:i/>
        </w:rPr>
        <w:t>Drosophila</w:t>
      </w:r>
      <w:r>
        <w:t xml:space="preserve"> is consistent with established animal </w:t>
      </w:r>
      <w:r>
        <w:t>studies, suggesting that the extract may act through mechanisms similar to or complementary with metformin.</w:t>
      </w:r>
    </w:p>
    <w:p w:rsidR="003C05B7" w:rsidRDefault="00670731">
      <w:pPr>
        <w:pStyle w:val="NormalWeb"/>
        <w:spacing w:before="0" w:beforeAutospacing="0" w:after="0" w:afterAutospacing="0" w:line="480" w:lineRule="auto"/>
        <w:jc w:val="both"/>
      </w:pPr>
      <w:r>
        <w:t xml:space="preserve">The extract also prevented the excessive weight gain induced by a high-sugar diet. Prevention of diet-induced obesity has been reported for </w:t>
      </w:r>
      <w:r>
        <w:rPr>
          <w:i/>
          <w:iCs/>
        </w:rPr>
        <w:t>D</w:t>
      </w:r>
      <w:r>
        <w:t xml:space="preserve">. </w:t>
      </w:r>
      <w:r>
        <w:rPr>
          <w:i/>
          <w:iCs/>
        </w:rPr>
        <w:t>mespiliformis</w:t>
      </w:r>
      <w:r>
        <w:t>, where extracts reduced weight and improved metabolic parameters, likely through modulation of lipid and carbohydrate metabolism (Adamawa State Polytechnic, 2022). In the current study, ED restored body weight close to the control group, wher</w:t>
      </w:r>
      <w:r>
        <w:t>eas MD was slightly less effective, suggesting that the extract may offer similar or superior protection against diet-related metabolic stress.</w:t>
      </w:r>
    </w:p>
    <w:p w:rsidR="003C05B7" w:rsidRDefault="00670731">
      <w:pPr>
        <w:pStyle w:val="NormalWeb"/>
        <w:spacing w:before="0" w:beforeAutospacing="0" w:after="0" w:afterAutospacing="0" w:line="480" w:lineRule="auto"/>
        <w:jc w:val="both"/>
      </w:pPr>
      <w:r>
        <w:t>Locomotor performance, which is commonly impaired in diabetic flies due to neuronal and mitochondrial dysfunctio</w:t>
      </w:r>
      <w:r>
        <w:t>n, was decreased by high-sugar feeding but improved significantly after treatment with ED. The improvement was slightly greater than that produced by MD, suggesting that antioxidant effects may play a role. This is consistent with reports of strong antioxi</w:t>
      </w:r>
      <w:r>
        <w:t xml:space="preserve">dant activity and metabolite protection by </w:t>
      </w:r>
      <w:r>
        <w:rPr>
          <w:i/>
          <w:iCs/>
        </w:rPr>
        <w:t>D</w:t>
      </w:r>
      <w:r>
        <w:t xml:space="preserve">. </w:t>
      </w:r>
      <w:r>
        <w:rPr>
          <w:i/>
        </w:rPr>
        <w:t>mespiliformis</w:t>
      </w:r>
      <w:r>
        <w:t xml:space="preserve"> in chemically induced oxidative stress models (Sani </w:t>
      </w:r>
      <w:r>
        <w:rPr>
          <w:i/>
          <w:iCs/>
        </w:rPr>
        <w:t>et al.</w:t>
      </w:r>
      <w:r>
        <w:t>, 2025). Since oxidative stress is a major contributor to diabetic complications, the antioxidant activity of the extract may contribute t</w:t>
      </w:r>
      <w:r>
        <w:t>o improved neuromuscular performance.</w:t>
      </w:r>
    </w:p>
    <w:p w:rsidR="003C05B7" w:rsidRDefault="00670731">
      <w:pPr>
        <w:pStyle w:val="NormalWeb"/>
        <w:spacing w:before="0" w:beforeAutospacing="0" w:after="0" w:afterAutospacing="0" w:line="480" w:lineRule="auto"/>
        <w:jc w:val="both"/>
      </w:pPr>
      <w:r>
        <w:t xml:space="preserve">Carbohydrate markers further demonstrated metabolic disruption. Glycogen and trehalose levels increased under a high-sugar diet, reflecting impaired insulin signaling and excessive carbohydrate storage. Treatment with </w:t>
      </w:r>
      <w:r>
        <w:t xml:space="preserve">both ED and MD significantly reduced these parameters, indicating restored carbohydrate regulation. These effects may be mediated by inhibition of carbohydrate-metabolizing enzymes such as α-amylase and α-glucosidase, which has been reported for </w:t>
      </w:r>
      <w:r>
        <w:rPr>
          <w:i/>
          <w:iCs/>
        </w:rPr>
        <w:t>D</w:t>
      </w:r>
      <w:r>
        <w:t xml:space="preserve">. </w:t>
      </w:r>
      <w:r>
        <w:rPr>
          <w:i/>
          <w:iCs/>
        </w:rPr>
        <w:t>mespili</w:t>
      </w:r>
      <w:r>
        <w:rPr>
          <w:i/>
          <w:iCs/>
        </w:rPr>
        <w:t>formis</w:t>
      </w:r>
      <w:r>
        <w:t xml:space="preserve"> extracts (Kabre </w:t>
      </w:r>
      <w:r>
        <w:rPr>
          <w:i/>
          <w:iCs/>
        </w:rPr>
        <w:t>et al</w:t>
      </w:r>
      <w:r>
        <w:t>., 2024). Inhibition of these enzymes reduces post-prandial hyperglycemia and promotes improved glucose homeostasis, which aligns with the trends observed in this study.</w:t>
      </w:r>
    </w:p>
    <w:p w:rsidR="003C05B7" w:rsidRDefault="00670731">
      <w:pPr>
        <w:pStyle w:val="NormalWeb"/>
        <w:spacing w:before="0" w:beforeAutospacing="0" w:after="0" w:afterAutospacing="0" w:line="480" w:lineRule="auto"/>
        <w:jc w:val="both"/>
      </w:pPr>
      <w:r>
        <w:t>Overall, the comparable performance of ED and MD across gl</w:t>
      </w:r>
      <w:r>
        <w:t xml:space="preserve">ucose levels, body weight, locomotion, trehalose, and glycogen suggests that </w:t>
      </w:r>
      <w:r>
        <w:rPr>
          <w:i/>
          <w:iCs/>
        </w:rPr>
        <w:t xml:space="preserve">D.mespiliformis </w:t>
      </w:r>
      <w:r>
        <w:t xml:space="preserve"> possesses meaningful antidiabetic potential. While metformin is a well-established standard drug, the plant extract produced similar effects in many parameters an</w:t>
      </w:r>
      <w:r>
        <w:t>d even slightly better responses in locomotion and weight restoration.</w:t>
      </w:r>
    </w:p>
    <w:p w:rsidR="003C05B7" w:rsidRDefault="00670731">
      <w:pPr>
        <w:pStyle w:val="NormalWeb"/>
        <w:spacing w:before="0" w:beforeAutospacing="0" w:after="0" w:afterAutospacing="0" w:line="480" w:lineRule="auto"/>
        <w:jc w:val="both"/>
      </w:pPr>
      <w:r>
        <w:t>Although the present findings are promising, further mechanistic studies are needed to clarify how the extract acts. Previous research has proposed antioxidant, enzyme-inhibitory, and o</w:t>
      </w:r>
      <w:r>
        <w:t xml:space="preserve">rgan-protective mechanisms (Kabre </w:t>
      </w:r>
      <w:r>
        <w:rPr>
          <w:i/>
          <w:iCs/>
        </w:rPr>
        <w:t>et al.</w:t>
      </w:r>
      <w:r>
        <w:t xml:space="preserve">, 2024; Muhammad </w:t>
      </w:r>
      <w:r>
        <w:rPr>
          <w:i/>
          <w:iCs/>
        </w:rPr>
        <w:t>et al.,</w:t>
      </w:r>
      <w:r>
        <w:t xml:space="preserve"> 2020; Shamsuddeen, 2023). Future work should also assess bioactive compounds using advanced profiling methods, as recent studies have identified diverse metabolite signatures with pharmacolog</w:t>
      </w:r>
      <w:r>
        <w:t xml:space="preserve">ical relevance (Sani </w:t>
      </w:r>
      <w:r>
        <w:rPr>
          <w:i/>
          <w:iCs/>
        </w:rPr>
        <w:t xml:space="preserve">et al., </w:t>
      </w:r>
      <w:r>
        <w:t xml:space="preserve">2025). </w:t>
      </w: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670731">
      <w:pPr>
        <w:pStyle w:val="NormalWeb"/>
        <w:spacing w:before="0" w:beforeAutospacing="0" w:after="0" w:afterAutospacing="0" w:line="480" w:lineRule="auto"/>
      </w:pPr>
      <w:r>
        <w:rPr>
          <w:b/>
          <w:bCs/>
        </w:rPr>
        <w:t xml:space="preserve">5.2 Conclusion </w:t>
      </w:r>
    </w:p>
    <w:p w:rsidR="003C05B7" w:rsidRDefault="00670731">
      <w:pPr>
        <w:pStyle w:val="NormalWeb"/>
        <w:spacing w:before="0" w:beforeAutospacing="0" w:after="0" w:afterAutospacing="0" w:line="480" w:lineRule="auto"/>
        <w:jc w:val="both"/>
      </w:pPr>
      <w:r>
        <w:t xml:space="preserve">This study evaluated the hypoglycemic effect of </w:t>
      </w:r>
      <w:r>
        <w:rPr>
          <w:i/>
        </w:rPr>
        <w:t xml:space="preserve">D.mespiliformis </w:t>
      </w:r>
      <w:r>
        <w:t xml:space="preserve"> extract in a </w:t>
      </w:r>
      <w:r>
        <w:rPr>
          <w:i/>
        </w:rPr>
        <w:t>Drosophila</w:t>
      </w:r>
      <w:r>
        <w:t xml:space="preserve"> model of diet-induced diabetes. Exposure to a high-sugar diet successfully induced hyperglycemia, weight gain, i</w:t>
      </w:r>
      <w:r>
        <w:t>mpaired locomotion, and carbohydrate dysregulation, confirming a diabetic-like condition in the flies. Administration of the extract significantly reversed these metabolic disturbances. The extract reduced glucose, trehalose, and glycogen levels, prevented</w:t>
      </w:r>
      <w:r>
        <w:t xml:space="preserve"> excessive weight gain, and improved locomotor performance. Importantly, the effects of the extract were comparable to those of metformin, the standard antidiabetic drug used as a positive control. In several parameters, including body weight and locomotio</w:t>
      </w:r>
      <w:r>
        <w:t>n, the extract performed slightly better than metformin, suggesting additional metabolic or antioxidant benefits.</w:t>
      </w:r>
    </w:p>
    <w:p w:rsidR="003C05B7" w:rsidRDefault="00670731">
      <w:pPr>
        <w:pStyle w:val="NormalWeb"/>
        <w:spacing w:before="0" w:beforeAutospacing="0" w:after="0" w:afterAutospacing="0" w:line="480" w:lineRule="auto"/>
        <w:jc w:val="both"/>
      </w:pPr>
      <w:r>
        <w:t xml:space="preserve">Overall, the findings demonstrate that </w:t>
      </w:r>
      <w:r>
        <w:rPr>
          <w:i/>
          <w:iCs/>
        </w:rPr>
        <w:t xml:space="preserve">D.mespiliformis </w:t>
      </w:r>
      <w:r>
        <w:t xml:space="preserve"> possesses meaningful antihyperglycemic and metabolic regulatory properties. The extrac</w:t>
      </w:r>
      <w:r>
        <w:t>t was able to restore glucose homeostasis and improve physiological function in diabetes-induced flies. These results support the traditional use of the plant for diabetes management and indicate its potential as a natural therapeutic alternative or comple</w:t>
      </w:r>
      <w:r>
        <w:t>mentary treatment to existing antidiabetic drugs. Further studies are recommended to explore the underlying mechanisms, identify the active compounds, and evaluate long-term safety in higher animal models.</w:t>
      </w:r>
    </w:p>
    <w:p w:rsidR="003C05B7" w:rsidRDefault="003C05B7">
      <w:pPr>
        <w:pStyle w:val="NormalWeb"/>
        <w:spacing w:before="0" w:beforeAutospacing="0" w:after="0" w:afterAutospacing="0" w:line="480" w:lineRule="auto"/>
        <w:jc w:val="both"/>
      </w:pPr>
    </w:p>
    <w:p w:rsidR="003C05B7" w:rsidRDefault="00670731">
      <w:pPr>
        <w:rPr>
          <w:rFonts w:eastAsia="Times New Roman" w:cs="Times New Roman"/>
          <w:b/>
          <w:bCs/>
          <w:szCs w:val="24"/>
        </w:rPr>
      </w:pPr>
      <w:r>
        <w:rPr>
          <w:b/>
          <w:bCs/>
        </w:rPr>
        <w:br w:type="page"/>
      </w:r>
    </w:p>
    <w:p w:rsidR="003C05B7" w:rsidRDefault="00670731">
      <w:pPr>
        <w:pStyle w:val="NormalWeb"/>
        <w:spacing w:before="0" w:beforeAutospacing="0" w:after="0" w:afterAutospacing="0" w:line="480" w:lineRule="auto"/>
      </w:pPr>
      <w:r>
        <w:rPr>
          <w:b/>
          <w:bCs/>
        </w:rPr>
        <w:t>5.3 RECOMMENDATION</w:t>
      </w:r>
    </w:p>
    <w:p w:rsidR="003C05B7" w:rsidRDefault="00670731">
      <w:pPr>
        <w:pStyle w:val="NormalWeb"/>
        <w:spacing w:before="0" w:beforeAutospacing="0" w:after="0" w:afterAutospacing="0" w:line="480" w:lineRule="auto"/>
        <w:jc w:val="both"/>
      </w:pPr>
      <w:r>
        <w:t>Based on the findings of thi</w:t>
      </w:r>
      <w:r>
        <w:t xml:space="preserve">s study, </w:t>
      </w:r>
      <w:r>
        <w:rPr>
          <w:i/>
          <w:iCs/>
        </w:rPr>
        <w:t>D</w:t>
      </w:r>
      <w:r>
        <w:t xml:space="preserve">. </w:t>
      </w:r>
      <w:r>
        <w:rPr>
          <w:i/>
          <w:iCs/>
        </w:rPr>
        <w:t>mespiliformis</w:t>
      </w:r>
      <w:r>
        <w:t xml:space="preserve"> extract showed hypoglycemic activity in diabetes-induced </w:t>
      </w:r>
      <w:r>
        <w:rPr>
          <w:i/>
        </w:rPr>
        <w:t xml:space="preserve">Drosophila melanogaster </w:t>
      </w:r>
      <w:r>
        <w:t>. Therefore, it is recommended that:</w:t>
      </w:r>
    </w:p>
    <w:p w:rsidR="003C05B7" w:rsidRDefault="00670731">
      <w:pPr>
        <w:pStyle w:val="NormalWeb"/>
        <w:spacing w:before="0" w:beforeAutospacing="0" w:after="0" w:afterAutospacing="0" w:line="480" w:lineRule="auto"/>
        <w:jc w:val="both"/>
      </w:pPr>
      <w:r>
        <w:t>a. Further studies should be carried out on dose optimization, to determine the most effective and safest concen</w:t>
      </w:r>
      <w:r>
        <w:t>tration for glucose reduction.</w:t>
      </w:r>
    </w:p>
    <w:p w:rsidR="003C05B7" w:rsidRDefault="00670731">
      <w:pPr>
        <w:pStyle w:val="NormalWeb"/>
        <w:spacing w:before="0" w:beforeAutospacing="0" w:after="0" w:afterAutospacing="0" w:line="480" w:lineRule="auto"/>
        <w:jc w:val="both"/>
      </w:pPr>
      <w:r>
        <w:t>b. Bioactive compounds responsible for the hypoglycemic effect should be isolated and identified, using chromatographic and spectroscopic methods.</w:t>
      </w:r>
    </w:p>
    <w:p w:rsidR="003C05B7" w:rsidRDefault="00670731">
      <w:pPr>
        <w:pStyle w:val="NormalWeb"/>
        <w:spacing w:before="0" w:beforeAutospacing="0" w:after="0" w:afterAutospacing="0" w:line="480" w:lineRule="auto"/>
        <w:jc w:val="both"/>
      </w:pPr>
      <w:r>
        <w:t>c. Extended studies using mammalian models are encouraged, to validate the pot</w:t>
      </w:r>
      <w:r>
        <w:t>ential for clinical application in diabetes management.</w:t>
      </w:r>
    </w:p>
    <w:p w:rsidR="003C05B7" w:rsidRDefault="00670731">
      <w:pPr>
        <w:pStyle w:val="NormalWeb"/>
        <w:spacing w:before="0" w:beforeAutospacing="0" w:after="0" w:afterAutospacing="0" w:line="480" w:lineRule="auto"/>
        <w:jc w:val="both"/>
      </w:pPr>
      <w:r>
        <w:t>d.Combination studies with standard antidiabetic drugs should be considered, to assess possible synergistic or additive effects.</w:t>
      </w:r>
    </w:p>
    <w:p w:rsidR="003C05B7" w:rsidRDefault="003C05B7">
      <w:pPr>
        <w:pStyle w:val="NormalWeb"/>
        <w:spacing w:before="0" w:beforeAutospacing="0" w:after="0" w:afterAutospacing="0" w:line="480" w:lineRule="auto"/>
      </w:pPr>
    </w:p>
    <w:p w:rsidR="003C05B7" w:rsidRDefault="00670731">
      <w:pPr>
        <w:pStyle w:val="NormalWeb"/>
        <w:spacing w:before="0" w:beforeAutospacing="0" w:after="0" w:afterAutospacing="0" w:line="480" w:lineRule="auto"/>
      </w:pPr>
      <w:r>
        <w:rPr>
          <w:b/>
          <w:bCs/>
        </w:rPr>
        <w:t xml:space="preserve">5.4 LIMITATIONS </w:t>
      </w:r>
    </w:p>
    <w:p w:rsidR="003C05B7" w:rsidRDefault="00670731">
      <w:pPr>
        <w:pStyle w:val="NormalWeb"/>
        <w:spacing w:before="0" w:beforeAutospacing="0" w:after="0" w:afterAutospacing="0" w:line="480" w:lineRule="auto"/>
        <w:jc w:val="both"/>
      </w:pPr>
      <w:r>
        <w:t xml:space="preserve">The study was conducted only on </w:t>
      </w:r>
      <w:r>
        <w:rPr>
          <w:i/>
          <w:iCs/>
        </w:rPr>
        <w:t>D</w:t>
      </w:r>
      <w:r>
        <w:t>.</w:t>
      </w:r>
      <w:r>
        <w:rPr>
          <w:i/>
          <w:iCs/>
        </w:rPr>
        <w:t>melanogaster</w:t>
      </w:r>
      <w:r>
        <w:t>, which</w:t>
      </w:r>
      <w:r>
        <w:t xml:space="preserve"> may not fully reflect physiological responses in higher animals or humans.</w:t>
      </w:r>
    </w:p>
    <w:p w:rsidR="003C05B7" w:rsidRDefault="00670731">
      <w:pPr>
        <w:pStyle w:val="NormalWeb"/>
        <w:spacing w:before="0" w:beforeAutospacing="0" w:after="0" w:afterAutospacing="0" w:line="480" w:lineRule="auto"/>
        <w:jc w:val="both"/>
      </w:pPr>
      <w:r>
        <w:t>Only biochemical glucose levels were assessed, while other metabolic markers such as insulin signaling, lipid profile, or oxidative stress parameters were not measured.</w:t>
      </w:r>
    </w:p>
    <w:p w:rsidR="003C05B7" w:rsidRDefault="00670731">
      <w:pPr>
        <w:pStyle w:val="NormalWeb"/>
        <w:spacing w:before="0" w:beforeAutospacing="0" w:after="0" w:afterAutospacing="0" w:line="480" w:lineRule="auto"/>
        <w:jc w:val="both"/>
      </w:pPr>
      <w:r>
        <w:t xml:space="preserve">The </w:t>
      </w:r>
      <w:r>
        <w:t>research did not investigate individual bioactive components present in the plant extract, therefore the exact compounds responsible for the effect remain unknown.</w:t>
      </w:r>
    </w:p>
    <w:p w:rsidR="003C05B7" w:rsidRDefault="00670731">
      <w:pPr>
        <w:pStyle w:val="NormalWeb"/>
        <w:spacing w:before="0" w:beforeAutospacing="0" w:after="0" w:afterAutospacing="0" w:line="480" w:lineRule="auto"/>
        <w:jc w:val="both"/>
      </w:pPr>
      <w:r>
        <w:t xml:space="preserve">Only short-term exposure was evaluated, and long-term safety or toxicity of the extract was </w:t>
      </w:r>
      <w:r>
        <w:t>not explored.</w:t>
      </w: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rPr>
          <w:b/>
          <w:bCs/>
        </w:rPr>
      </w:pPr>
    </w:p>
    <w:p w:rsidR="003C05B7" w:rsidRDefault="003C05B7">
      <w:pPr>
        <w:pStyle w:val="NormalWeb"/>
        <w:spacing w:before="0" w:beforeAutospacing="0" w:after="0" w:afterAutospacing="0" w:line="480" w:lineRule="auto"/>
      </w:pPr>
    </w:p>
    <w:p w:rsidR="003C05B7" w:rsidRDefault="00670731">
      <w:pPr>
        <w:pStyle w:val="NormalWeb"/>
        <w:spacing w:before="0" w:beforeAutospacing="0" w:after="0" w:afterAutospacing="0" w:line="480" w:lineRule="auto"/>
        <w:jc w:val="center"/>
        <w:rPr>
          <w:b/>
        </w:rPr>
      </w:pPr>
      <w:r>
        <w:rPr>
          <w:b/>
        </w:rPr>
        <w:t>REFERENCES</w:t>
      </w:r>
    </w:p>
    <w:p w:rsidR="003C05B7" w:rsidRDefault="00670731">
      <w:pPr>
        <w:pStyle w:val="NormalWeb"/>
        <w:spacing w:before="0" w:beforeAutospacing="0" w:after="0" w:afterAutospacing="0" w:line="480" w:lineRule="auto"/>
        <w:ind w:left="720" w:hanging="720"/>
        <w:jc w:val="both"/>
      </w:pPr>
      <w:r>
        <w:t xml:space="preserve">Adebayo, A. H., Balogun, M. E., &amp; Olatunji, L. A. (2020). Antihyperglycemic and antioxidant effects of Diospyros mespiliformis extract in alloxan-induced diabetic rats. Journal of Ethnopharmacology, 253, 112647. </w:t>
      </w:r>
      <w:r>
        <w:t>https://doi.org/10.1016/j.jep.2020.112647</w:t>
      </w:r>
    </w:p>
    <w:p w:rsidR="003C05B7" w:rsidRDefault="00670731">
      <w:pPr>
        <w:pStyle w:val="NormalWeb"/>
        <w:spacing w:before="0" w:beforeAutospacing="0" w:after="0" w:afterAutospacing="0" w:line="480" w:lineRule="auto"/>
        <w:ind w:left="720" w:hanging="720"/>
        <w:jc w:val="both"/>
      </w:pPr>
      <w:r>
        <w:t>Adewoye, A. O., Ayeni, O. J., &amp; Olatunji, B. P. (2021). Phytochemical screening and antidiabetic potentials of selected medicinal plants used in Southwestern Nigeria. Journal of Medicinal Plants Research, 15(8), 35</w:t>
      </w:r>
      <w:r>
        <w:t>7–364. https://doi.org/10.5897/JMPR2021.7104</w:t>
      </w:r>
    </w:p>
    <w:p w:rsidR="003C05B7" w:rsidRDefault="00670731">
      <w:pPr>
        <w:pStyle w:val="NormalWeb"/>
        <w:spacing w:before="0" w:beforeAutospacing="0" w:after="0" w:afterAutospacing="0" w:line="480" w:lineRule="auto"/>
        <w:ind w:left="720" w:hanging="720"/>
        <w:jc w:val="both"/>
      </w:pPr>
      <w:r>
        <w:t>Ahmed, A. H., &amp; Mahmud, A. F. (2017). Pharmacological activities of Diospyros mespiliformis: A review. International Journal of Pharmaceutical and Biological Sciences, 7(4), 93–96.</w:t>
      </w:r>
    </w:p>
    <w:p w:rsidR="003C05B7" w:rsidRDefault="00670731">
      <w:pPr>
        <w:pStyle w:val="NormalWeb"/>
        <w:spacing w:before="0" w:beforeAutospacing="0" w:after="0" w:afterAutospacing="0" w:line="480" w:lineRule="auto"/>
        <w:ind w:left="720" w:hanging="720"/>
        <w:jc w:val="both"/>
      </w:pPr>
      <w:r>
        <w:t>Akmal, M., Patel, P., &amp; Wadhwa</w:t>
      </w:r>
      <w:r>
        <w:t>, R. (2024, February 28). Alpha glucosidase inhibitors. In StatPearls. StatPearls Publishing. https://www.ncbi.nlm.nih.gov/books/NBK557445/</w:t>
      </w:r>
    </w:p>
    <w:p w:rsidR="003C05B7" w:rsidRDefault="00670731">
      <w:pPr>
        <w:pStyle w:val="NormalWeb"/>
        <w:spacing w:before="0" w:beforeAutospacing="0" w:after="0" w:afterAutospacing="0" w:line="480" w:lineRule="auto"/>
        <w:ind w:left="720" w:hanging="720"/>
        <w:jc w:val="both"/>
      </w:pPr>
      <w:r>
        <w:t>Alhadramy, M. S. (2016). Diabetes and oral therapies. Journal of Taibah University Medical Sciences. http://dx.doi.o</w:t>
      </w:r>
      <w:r>
        <w:t>rg/10.1016/j.jtumed.2016.02.001</w:t>
      </w:r>
    </w:p>
    <w:p w:rsidR="003C05B7" w:rsidRDefault="00670731">
      <w:pPr>
        <w:pStyle w:val="NormalWeb"/>
        <w:spacing w:before="0" w:beforeAutospacing="0" w:after="0" w:afterAutospacing="0" w:line="480" w:lineRule="auto"/>
        <w:ind w:left="720" w:hanging="720"/>
        <w:jc w:val="both"/>
      </w:pPr>
      <w:r>
        <w:t>Aliyu, A. B., Musa, A. M., Oshanimi, J. A., Ibrahim, H. A., &amp; Oyewale, A. O. (2009). Phytochemical analyses and mineral elements composition of some medicinal plants of Northern Nigeria. Nigerian Journal of Pharmaceutical Sc</w:t>
      </w:r>
      <w:r>
        <w:t>iences, 8(1), 119–125.</w:t>
      </w:r>
    </w:p>
    <w:p w:rsidR="003C05B7" w:rsidRDefault="00670731">
      <w:pPr>
        <w:pStyle w:val="NormalWeb"/>
        <w:spacing w:before="0" w:beforeAutospacing="0" w:after="0" w:afterAutospacing="0" w:line="480" w:lineRule="auto"/>
        <w:ind w:left="720" w:hanging="720"/>
        <w:jc w:val="both"/>
      </w:pPr>
      <w:r>
        <w:t xml:space="preserve">Álvarez-Rendón, J. P., Salceda, R., &amp; Riesgo-Escovar, J. R. (2018). </w:t>
      </w:r>
      <w:r>
        <w:rPr>
          <w:i/>
        </w:rPr>
        <w:t xml:space="preserve">Drosophila melanogaster </w:t>
      </w:r>
      <w:r>
        <w:t xml:space="preserve"> as a model for diabetes type 2 progression. BioMed Research International, 2018, 1417528. https://doi.org/10.1155/2018/1417528</w:t>
      </w:r>
    </w:p>
    <w:p w:rsidR="003C05B7" w:rsidRDefault="00670731">
      <w:pPr>
        <w:pStyle w:val="NormalWeb"/>
        <w:spacing w:before="0" w:beforeAutospacing="0" w:after="0" w:afterAutospacing="0" w:line="480" w:lineRule="auto"/>
        <w:ind w:left="720" w:hanging="720"/>
        <w:jc w:val="both"/>
      </w:pPr>
      <w:r>
        <w:t>Amin, N. (201</w:t>
      </w:r>
      <w:r>
        <w:t>8). An overview of diabetes mellitus: Types, complications, and management. International Journal of Nursing Science Practice and Research, 4(1), 119–124.</w:t>
      </w:r>
    </w:p>
    <w:p w:rsidR="003C05B7" w:rsidRDefault="003C05B7">
      <w:pPr>
        <w:pStyle w:val="NormalWeb"/>
        <w:spacing w:before="0" w:beforeAutospacing="0" w:after="0" w:afterAutospacing="0" w:line="480" w:lineRule="auto"/>
        <w:ind w:left="720" w:hanging="720"/>
        <w:jc w:val="both"/>
      </w:pPr>
    </w:p>
    <w:p w:rsidR="003C05B7" w:rsidRDefault="00670731">
      <w:pPr>
        <w:pStyle w:val="NormalWeb"/>
        <w:spacing w:before="0" w:beforeAutospacing="0" w:after="0" w:afterAutospacing="0" w:line="480" w:lineRule="auto"/>
        <w:ind w:left="720" w:hanging="720"/>
        <w:jc w:val="both"/>
      </w:pPr>
      <w:r>
        <w:t>American Academy of Family Physicians (AAFP). (2013). Bromocriptine mesylate (Cycloset) for type 2 d</w:t>
      </w:r>
      <w:r>
        <w:t>iabetes mellitus. American Family Physician, 87(10), 718–720. https://www.aafp.org/pubs/afp/issues/2013/0515/p718.html</w:t>
      </w:r>
    </w:p>
    <w:p w:rsidR="003C05B7" w:rsidRDefault="00670731">
      <w:pPr>
        <w:pStyle w:val="NormalWeb"/>
        <w:spacing w:before="0" w:beforeAutospacing="0" w:after="0" w:afterAutospacing="0" w:line="480" w:lineRule="auto"/>
        <w:ind w:left="720" w:hanging="720"/>
        <w:jc w:val="both"/>
      </w:pPr>
      <w:r>
        <w:t>Ansari, P., Akther, S., Hannan, J. M. A., Seidel, V., Nujat, N. J., &amp; Abdel-Wahab, Y. H. A. (2022). [Title of the article]. Molecules, 27</w:t>
      </w:r>
      <w:r>
        <w:t>(13), 4278. https://doi.org/10.3390/molecules27134278</w:t>
      </w:r>
    </w:p>
    <w:p w:rsidR="003C05B7" w:rsidRDefault="00670731">
      <w:pPr>
        <w:pStyle w:val="NormalWeb"/>
        <w:spacing w:before="0" w:beforeAutospacing="0" w:after="0" w:afterAutospacing="0" w:line="480" w:lineRule="auto"/>
        <w:ind w:left="720" w:hanging="720"/>
        <w:jc w:val="both"/>
      </w:pPr>
      <w:r>
        <w:t>Ansari, P., Flatt, P. R., Harriott, P., &amp; Abdel-Wahab, Y. H. A. (2020). Evaluation of the antidiabetic and insulin-releasing effects of Annona squamosa, including isolation and characterization of activ</w:t>
      </w:r>
      <w:r>
        <w:t>e phytochemicals. Plants, 9(10), 1348. https://doi.org/10.3390/plants9101348</w:t>
      </w:r>
    </w:p>
    <w:p w:rsidR="003C05B7" w:rsidRDefault="00670731">
      <w:pPr>
        <w:pStyle w:val="NormalWeb"/>
        <w:spacing w:before="0" w:beforeAutospacing="0" w:after="0" w:afterAutospacing="0" w:line="480" w:lineRule="auto"/>
        <w:ind w:left="720" w:hanging="720"/>
        <w:jc w:val="both"/>
      </w:pPr>
      <w:r>
        <w:t>Ansari, P., Flatt, P. R., Harriott, P., Hannan, J. M. A., &amp; Abdel-Wahab, Y. H. A. (2021). Identification of multiple pancreatic and extra-pancreatic pathways underlying the glucos</w:t>
      </w:r>
      <w:r>
        <w:t>e-lowering actions of Acacia arabica bark in type 2 diabetes and isolation of active phytoconstituents. Plants, 10(6), 1190. https://doi.org/10.3390/plants10061190</w:t>
      </w:r>
    </w:p>
    <w:p w:rsidR="003C05B7" w:rsidRDefault="00670731">
      <w:pPr>
        <w:pStyle w:val="NormalWeb"/>
        <w:spacing w:before="0" w:beforeAutospacing="0" w:after="0" w:afterAutospacing="0" w:line="480" w:lineRule="auto"/>
        <w:ind w:left="720" w:hanging="720"/>
        <w:jc w:val="both"/>
      </w:pPr>
      <w:r>
        <w:t>Arnett, D. K., Blumenthal, R. S., Albert, M. A., Buroker, A. B., Goldberger, Z. D., Hahn, E.</w:t>
      </w:r>
      <w:r>
        <w:t xml:space="preserve"> J., … Ziaeian, B. (2019). 2019 ACC/AHA guideline on the primary prevention of cardiovascular disease. Circulation, 140(11), e596–e646. https://doi.org/10.1161/CIR.0000000000000678</w:t>
      </w:r>
    </w:p>
    <w:p w:rsidR="003C05B7" w:rsidRDefault="00670731">
      <w:pPr>
        <w:pStyle w:val="NormalWeb"/>
        <w:spacing w:before="0" w:beforeAutospacing="0" w:after="0" w:afterAutospacing="0" w:line="480" w:lineRule="auto"/>
        <w:ind w:left="720" w:hanging="720"/>
        <w:jc w:val="both"/>
      </w:pPr>
      <w:r>
        <w:t>Atanu, F. O., Ebiloma, U. G., &amp; Ajayi, E. I. (2020). Medicinal plants and n</w:t>
      </w:r>
      <w:r>
        <w:t>atural products with hypoglycemic activity: A review. International Journal of Phytomedicine, 12(2), 85–97.</w:t>
      </w:r>
    </w:p>
    <w:p w:rsidR="003C05B7" w:rsidRDefault="00670731">
      <w:pPr>
        <w:pStyle w:val="NormalWeb"/>
        <w:spacing w:before="0" w:beforeAutospacing="0" w:after="0" w:afterAutospacing="0" w:line="480" w:lineRule="auto"/>
        <w:ind w:left="720" w:hanging="720"/>
        <w:jc w:val="both"/>
      </w:pPr>
      <w:r>
        <w:t>Bello, I., Bakkouri, A. S., Tabana, Y. M., Al-Hindi, B., Al-Mansoub, M. A., Mahmud, R., &amp; Asmawi, M. Z. (2019). Toxicity evaluation of Diospyros mes</w:t>
      </w:r>
      <w:r>
        <w:t>piliformis extract. Frontiers in Pharmacology, 10, 617. https://doi.org/10.3389/fphar.2019.00617</w:t>
      </w:r>
    </w:p>
    <w:p w:rsidR="003C05B7" w:rsidRDefault="003C05B7">
      <w:pPr>
        <w:pStyle w:val="NormalWeb"/>
        <w:spacing w:before="0" w:beforeAutospacing="0" w:after="0" w:afterAutospacing="0" w:line="480" w:lineRule="auto"/>
        <w:ind w:left="720" w:hanging="720"/>
        <w:jc w:val="both"/>
      </w:pPr>
    </w:p>
    <w:p w:rsidR="003C05B7" w:rsidRDefault="00670731">
      <w:pPr>
        <w:pStyle w:val="NormalWeb"/>
        <w:spacing w:before="0" w:beforeAutospacing="0" w:after="0" w:afterAutospacing="0" w:line="480" w:lineRule="auto"/>
        <w:ind w:left="720" w:hanging="720"/>
        <w:jc w:val="both"/>
      </w:pPr>
      <w:r>
        <w:t>Bereda, G., &amp; Bereda, G. (2021). The incidence and predictors of poor glycemic control. International Archives of Endocrinology Clinical Research, 7(24).</w:t>
      </w:r>
    </w:p>
    <w:p w:rsidR="003C05B7" w:rsidRDefault="00670731">
      <w:pPr>
        <w:pStyle w:val="NormalWeb"/>
        <w:spacing w:before="0" w:beforeAutospacing="0" w:after="0" w:afterAutospacing="0" w:line="480" w:lineRule="auto"/>
        <w:ind w:left="720" w:hanging="720"/>
        <w:jc w:val="both"/>
      </w:pPr>
      <w:r>
        <w:t>Brag</w:t>
      </w:r>
      <w:r>
        <w:t>g, F., Holmes, M. V., Iona, A., Shah, T., Dehghan, A., Gill, D., … Lewington, S. (2017). Association between diabetes and cause-specific mortality in China. JAMA, 317(3), 280–289. https://doi.org/10.1001/jama.2016.19627</w:t>
      </w:r>
    </w:p>
    <w:p w:rsidR="003C05B7" w:rsidRDefault="00670731">
      <w:pPr>
        <w:pStyle w:val="NormalWeb"/>
        <w:spacing w:before="0" w:beforeAutospacing="0" w:after="0" w:afterAutospacing="0" w:line="480" w:lineRule="auto"/>
        <w:ind w:left="720" w:hanging="720"/>
        <w:jc w:val="both"/>
      </w:pPr>
      <w:r>
        <w:t>Capuano, A., Sportiello, L., Maiorin</w:t>
      </w:r>
      <w:r>
        <w:t>o, M. I., Rossi, F., Giugliano, D., &amp; Esposito, K. (2013). Dipeptidyl peptidase-4 inhibitors. Drug Design, Development and Therapy, 7, 989–1001.</w:t>
      </w:r>
    </w:p>
    <w:p w:rsidR="003C05B7" w:rsidRDefault="00670731">
      <w:pPr>
        <w:pStyle w:val="NormalWeb"/>
        <w:spacing w:before="0" w:beforeAutospacing="0" w:after="0" w:afterAutospacing="0" w:line="480" w:lineRule="auto"/>
        <w:ind w:left="720" w:hanging="720"/>
        <w:jc w:val="both"/>
      </w:pPr>
      <w:r>
        <w:t xml:space="preserve">Chatterjee, N., &amp; Perrimon, N. (2021). Energy metabolism in Drosophila. Science Advances, 7, eabg4336. </w:t>
      </w:r>
      <w:r>
        <w:t>https://doi.org/10.1126/sciadv.abg4336</w:t>
      </w:r>
    </w:p>
    <w:p w:rsidR="003C05B7" w:rsidRDefault="00670731">
      <w:pPr>
        <w:pStyle w:val="NormalWeb"/>
        <w:spacing w:before="0" w:beforeAutospacing="0" w:after="0" w:afterAutospacing="0" w:line="480" w:lineRule="auto"/>
        <w:ind w:left="720" w:hanging="720"/>
        <w:jc w:val="both"/>
      </w:pPr>
      <w:r>
        <w:t>Chen, H., Chen, G., Zheng, X., &amp; Guo, Y. (2019). Contribution of diseases to changes in health-adjusted life expectancy. BMJ, 364, l969. https://doi.org/10.1136/bmj.l969</w:t>
      </w:r>
    </w:p>
    <w:p w:rsidR="003C05B7" w:rsidRDefault="00670731">
      <w:pPr>
        <w:pStyle w:val="NormalWeb"/>
        <w:spacing w:before="0" w:beforeAutospacing="0" w:after="0" w:afterAutospacing="0" w:line="480" w:lineRule="auto"/>
        <w:ind w:left="720" w:hanging="720"/>
        <w:jc w:val="both"/>
      </w:pPr>
      <w:r>
        <w:t>Cole, J. B., &amp; Florez, J. C. (2020). Genetics o</w:t>
      </w:r>
      <w:r>
        <w:t>f diabetes mellitus. Nature Reviews Nephrology, 16(7), 377–390. https://doi.org/10.1038/s41581-020-0278-5</w:t>
      </w:r>
    </w:p>
    <w:p w:rsidR="003C05B7" w:rsidRDefault="00670731">
      <w:pPr>
        <w:pStyle w:val="NormalWeb"/>
        <w:spacing w:before="0" w:beforeAutospacing="0" w:after="0" w:afterAutospacing="0" w:line="480" w:lineRule="auto"/>
        <w:ind w:left="720" w:hanging="720"/>
        <w:jc w:val="both"/>
      </w:pPr>
      <w:r>
        <w:t>Danaei, G., Finucane, M. M., Lu, Y., Singh, G. M., Cowan, M. J., Paciorek, C. J., … Ezzati, M. (2011). Global trends in fasting plasma glucose. The La</w:t>
      </w:r>
      <w:r>
        <w:t>ncet, 378(9785), 31–40. https://doi.org/10.1016/S0140-6736(11)60679-X</w:t>
      </w:r>
    </w:p>
    <w:p w:rsidR="003C05B7" w:rsidRDefault="00670731">
      <w:pPr>
        <w:pStyle w:val="NormalWeb"/>
        <w:spacing w:before="0" w:beforeAutospacing="0" w:after="0" w:afterAutospacing="0" w:line="480" w:lineRule="auto"/>
        <w:ind w:left="720" w:hanging="720"/>
        <w:jc w:val="both"/>
      </w:pPr>
      <w:r>
        <w:t>Dar, R. A., Shahnawaz, M., &amp; Qazi, P. H. (2017). General overview of medicinal plants. Journal of Phytopharmacology, 6(6), 349–351.</w:t>
      </w:r>
    </w:p>
    <w:p w:rsidR="003C05B7" w:rsidRDefault="00670731">
      <w:pPr>
        <w:pStyle w:val="NormalWeb"/>
        <w:spacing w:before="0" w:beforeAutospacing="0" w:after="0" w:afterAutospacing="0" w:line="480" w:lineRule="auto"/>
        <w:ind w:left="720" w:hanging="720"/>
        <w:jc w:val="both"/>
      </w:pPr>
      <w:r>
        <w:t>de Wet, H., &amp; Proks, P. (2015). Molecular action of su</w:t>
      </w:r>
      <w:r>
        <w:t>lphonylureas. Biochemical Society Transactions, 43(5), 901–907.</w:t>
      </w:r>
    </w:p>
    <w:p w:rsidR="003C05B7" w:rsidRDefault="00670731">
      <w:pPr>
        <w:pStyle w:val="NormalWeb"/>
        <w:spacing w:before="0" w:beforeAutospacing="0" w:after="0" w:afterAutospacing="0" w:line="480" w:lineRule="auto"/>
        <w:ind w:left="720" w:hanging="720"/>
        <w:jc w:val="both"/>
      </w:pPr>
      <w:r>
        <w:t>DeFronzo, R. A., Ferrannini, E., Groop, L., Henry, R. R., Herman, W. H., Holst, J. J., … Shulman, G. I. (2015). Type 2 diabetes mellitus. Nature Reviews Disease Primers, 1, 15019. https://doi.</w:t>
      </w:r>
      <w:r>
        <w:t>org/10.1038/nrdp.2015.19</w:t>
      </w:r>
    </w:p>
    <w:p w:rsidR="003C05B7" w:rsidRDefault="003C05B7">
      <w:pPr>
        <w:pStyle w:val="NormalWeb"/>
        <w:spacing w:before="0" w:beforeAutospacing="0" w:after="0" w:afterAutospacing="0" w:line="480" w:lineRule="auto"/>
        <w:ind w:left="720" w:hanging="720"/>
        <w:jc w:val="both"/>
      </w:pPr>
    </w:p>
    <w:p w:rsidR="003C05B7" w:rsidRDefault="00670731">
      <w:pPr>
        <w:pStyle w:val="NormalWeb"/>
        <w:spacing w:before="0" w:beforeAutospacing="0" w:after="0" w:afterAutospacing="0" w:line="480" w:lineRule="auto"/>
        <w:ind w:left="720" w:hanging="720"/>
        <w:jc w:val="both"/>
      </w:pPr>
      <w:r>
        <w:t>Dunning, B. E., &amp; Gerich, J. E. (2007). Role of alpha-cell dysregulation. Endocrine Reviews, 28(3), 253–283.</w:t>
      </w:r>
    </w:p>
    <w:p w:rsidR="003C05B7" w:rsidRDefault="00670731">
      <w:pPr>
        <w:pStyle w:val="NormalWeb"/>
        <w:spacing w:before="0" w:beforeAutospacing="0" w:after="0" w:afterAutospacing="0" w:line="480" w:lineRule="auto"/>
        <w:ind w:left="720" w:hanging="720"/>
        <w:jc w:val="both"/>
      </w:pPr>
      <w:r>
        <w:t>Ebbo, A. A., Sani, D., Suleiman, M. M., Ahmad, A., &amp; Hassan, A. Z. (2020). Acute and sub-chronic toxicity evaluation of D</w:t>
      </w:r>
      <w:r>
        <w:t>iospyros mespiliformis. Toxicology Reports, 7, 1138–1144. https://doi.org/10.1016/j.toxrep.2020.08.028</w:t>
      </w:r>
    </w:p>
    <w:p w:rsidR="003C05B7" w:rsidRDefault="00670731">
      <w:pPr>
        <w:pStyle w:val="NormalWeb"/>
        <w:spacing w:before="0" w:beforeAutospacing="0" w:after="0" w:afterAutospacing="0" w:line="480" w:lineRule="auto"/>
        <w:ind w:left="720" w:hanging="720"/>
        <w:jc w:val="both"/>
      </w:pPr>
      <w:r>
        <w:t>Ebbo, A. A., Umar, R. A., Hassan, S. W., Matazu, I. K., &amp; Jiya, A. M. (2020). Acute and sub-chronic toxicity evaluation of Diospyros mespiliformis. Toxic</w:t>
      </w:r>
      <w:r>
        <w:t>ology Reports, 7, 1139–1146. https://doi.org/10.1016/j.toxrep.2020.08.028</w:t>
      </w:r>
    </w:p>
    <w:p w:rsidR="003C05B7" w:rsidRDefault="00670731">
      <w:pPr>
        <w:pStyle w:val="NormalWeb"/>
        <w:spacing w:before="0" w:beforeAutospacing="0" w:after="0" w:afterAutospacing="0" w:line="480" w:lineRule="auto"/>
        <w:ind w:left="720" w:hanging="720"/>
        <w:jc w:val="both"/>
      </w:pPr>
      <w:r>
        <w:t>Egharevba, H. O., &amp; Kunle, O. F. (2010). Phytochemical analysis and antibacterial activity of Diospyros mespiliformis. Journal of Medicinal Plants Research, 4(4), 354–358.</w:t>
      </w:r>
    </w:p>
    <w:p w:rsidR="003C05B7" w:rsidRDefault="00670731">
      <w:pPr>
        <w:pStyle w:val="NormalWeb"/>
        <w:spacing w:before="0" w:beforeAutospacing="0" w:after="0" w:afterAutospacing="0" w:line="480" w:lineRule="auto"/>
        <w:ind w:left="720" w:hanging="720"/>
        <w:jc w:val="both"/>
      </w:pPr>
      <w:r>
        <w:t xml:space="preserve">Feingold, </w:t>
      </w:r>
      <w:r>
        <w:t>K. R., &amp; Grunfeld, C. (2023). Diabetes and dyslipidemia. In Endotext. MDText.com, Inc. https://www.ncbi.nlm.nih.gov/books/NBK305900/</w:t>
      </w:r>
    </w:p>
    <w:p w:rsidR="003C05B7" w:rsidRDefault="00670731">
      <w:pPr>
        <w:pStyle w:val="NormalWeb"/>
        <w:spacing w:before="0" w:beforeAutospacing="0" w:after="0" w:afterAutospacing="0" w:line="480" w:lineRule="auto"/>
        <w:ind w:left="720" w:hanging="720"/>
        <w:jc w:val="both"/>
      </w:pPr>
      <w:r>
        <w:t>Fonseca-Correa, J. I., &amp; Correa-Rotter, R. (2021). SGLT2 inhibitors mechanisms. Frontiers in Medicine, 8, 777837. https://d</w:t>
      </w:r>
      <w:r>
        <w:t>oi.org/10.3389/fmed.2021.777837</w:t>
      </w:r>
    </w:p>
    <w:p w:rsidR="003C05B7" w:rsidRDefault="00670731">
      <w:pPr>
        <w:pStyle w:val="NormalWeb"/>
        <w:spacing w:before="0" w:beforeAutospacing="0" w:after="0" w:afterAutospacing="0" w:line="480" w:lineRule="auto"/>
        <w:ind w:left="720" w:hanging="720"/>
        <w:jc w:val="both"/>
      </w:pPr>
      <w:r>
        <w:t>Galicia-Garcia, U., Benito-Vicente, A., Jebari, S., Larrea-Sebal, A., Siddiqi, H., Uribe, K. B., Martin, C. (2020). Pathophysiology of type 2 diabetes mellitus. International Journal of Molecular Sciences, 21(17), 6275. http</w:t>
      </w:r>
      <w:r>
        <w:t>s://doi.org/10.3390/ijms21176275</w:t>
      </w:r>
    </w:p>
    <w:p w:rsidR="003C05B7" w:rsidRDefault="00670731">
      <w:pPr>
        <w:pStyle w:val="NormalWeb"/>
        <w:spacing w:before="0" w:beforeAutospacing="0" w:after="0" w:afterAutospacing="0" w:line="480" w:lineRule="auto"/>
        <w:ind w:left="720" w:hanging="720"/>
        <w:jc w:val="both"/>
      </w:pPr>
      <w:r>
        <w:t>Ganesan, K., Rana, M. B. M., &amp; Sultan, S. (2023, May 1). Oral hypoglycemic medications. In StatPearls. StatPearls Publishing.</w:t>
      </w:r>
    </w:p>
    <w:p w:rsidR="003C05B7" w:rsidRDefault="00670731">
      <w:pPr>
        <w:pStyle w:val="NormalWeb"/>
        <w:spacing w:before="0" w:beforeAutospacing="0" w:after="0" w:afterAutospacing="0" w:line="480" w:lineRule="auto"/>
        <w:ind w:left="720" w:hanging="720"/>
        <w:jc w:val="both"/>
      </w:pPr>
      <w:r>
        <w:t>Gaonkar, V. P., &amp; Hullatti, K. (2020). Indian traditional medicinal plants. Journal of Diabetes &amp;</w:t>
      </w:r>
      <w:r>
        <w:t xml:space="preserve"> Metabolic Disorders, 19(3), 1895–1908. https://doi.org/10.1007/s40200-020-00646-3</w:t>
      </w:r>
    </w:p>
    <w:p w:rsidR="003C05B7" w:rsidRDefault="00670731">
      <w:pPr>
        <w:pStyle w:val="NormalWeb"/>
        <w:spacing w:before="0" w:beforeAutospacing="0" w:after="0" w:afterAutospacing="0" w:line="480" w:lineRule="auto"/>
        <w:ind w:left="720" w:hanging="720"/>
        <w:jc w:val="both"/>
      </w:pPr>
      <w:r>
        <w:t>Garofalo, R. S. (2002). Genetic analysis of insulin signaling in Drosophila. Trends in Endocrinology &amp; Metabolism, 13(4), 156–162.</w:t>
      </w:r>
    </w:p>
    <w:p w:rsidR="003C05B7" w:rsidRDefault="00670731">
      <w:pPr>
        <w:pStyle w:val="NormalWeb"/>
        <w:spacing w:before="0" w:beforeAutospacing="0" w:after="0" w:afterAutospacing="0" w:line="480" w:lineRule="auto"/>
        <w:ind w:left="720" w:hanging="720"/>
        <w:jc w:val="both"/>
      </w:pPr>
      <w:r>
        <w:t>Gatwood, J. D., Chisholm-Burns, M., Davis,</w:t>
      </w:r>
      <w:r>
        <w:t xml:space="preserve"> R., Thomas, F., Potukuchi, P., Hung, A., … Kovesdy, C. P. (2018). Impact of pharmacy services. BMC Health Services Research, 18(1), 855. https://doi.org/10.1186/s12913-018-3670-1</w:t>
      </w:r>
    </w:p>
    <w:p w:rsidR="003C05B7" w:rsidRDefault="00670731">
      <w:pPr>
        <w:pStyle w:val="NormalWeb"/>
        <w:spacing w:before="0" w:beforeAutospacing="0" w:after="0" w:afterAutospacing="0" w:line="480" w:lineRule="auto"/>
        <w:ind w:left="720" w:hanging="720"/>
        <w:jc w:val="both"/>
      </w:pPr>
      <w:r>
        <w:t xml:space="preserve">Giansanti, M. G., Frappaolo, A., &amp; Piergentili, R. (2025). </w:t>
      </w:r>
      <w:r>
        <w:rPr>
          <w:i/>
        </w:rPr>
        <w:t>Drosophila melano</w:t>
      </w:r>
      <w:r>
        <w:rPr>
          <w:i/>
        </w:rPr>
        <w:t xml:space="preserve">gaster </w:t>
      </w:r>
      <w:r>
        <w:t>: Model organism. International Journal of Molecular Sciences, 26(15), 7485. https://doi.org/10.3390/ijms26157485</w:t>
      </w:r>
    </w:p>
    <w:p w:rsidR="003C05B7" w:rsidRDefault="00670731">
      <w:pPr>
        <w:pStyle w:val="NormalWeb"/>
        <w:spacing w:before="0" w:beforeAutospacing="0" w:after="0" w:afterAutospacing="0" w:line="480" w:lineRule="auto"/>
        <w:ind w:left="720" w:hanging="720"/>
        <w:jc w:val="both"/>
      </w:pPr>
      <w:r>
        <w:t xml:space="preserve">Gor, D., Gerber, B. S., Walton, S. M., Lee, T. A., Nutescu, E. A., &amp; Touchette, D. R. (2020). Antidiabetic drug use trends. Journal of </w:t>
      </w:r>
      <w:r>
        <w:t>Diabetes, 12(5), 385–395.</w:t>
      </w:r>
    </w:p>
    <w:p w:rsidR="003C05B7" w:rsidRDefault="00670731">
      <w:pPr>
        <w:pStyle w:val="NormalWeb"/>
        <w:spacing w:before="0" w:beforeAutospacing="0" w:after="0" w:afterAutospacing="0" w:line="480" w:lineRule="auto"/>
        <w:ind w:left="720" w:hanging="720"/>
        <w:jc w:val="both"/>
      </w:pPr>
      <w:r>
        <w:t>Guardado-Mendoza, R., Prioletta, A., Jiménez-Ceja, L. M., Sosale, A., &amp; Folli, F. (2013). Role of nateglinide and repaglinide. Archives of Medical Science, 9(5), 936–945.</w:t>
      </w:r>
    </w:p>
    <w:p w:rsidR="003C05B7" w:rsidRDefault="00670731">
      <w:pPr>
        <w:pStyle w:val="NormalWeb"/>
        <w:spacing w:before="0" w:beforeAutospacing="0" w:after="0" w:afterAutospacing="0" w:line="480" w:lineRule="auto"/>
        <w:ind w:left="720" w:hanging="720"/>
        <w:jc w:val="both"/>
      </w:pPr>
      <w:r>
        <w:t>Gu, J., Chen, L., Yuan, G., &amp; Xu, X. (2013). Drug-target ne</w:t>
      </w:r>
      <w:r>
        <w:t>twork-based approach. Evidence-Based Complementary and Alternative Medicine, 2013, 203614.</w:t>
      </w:r>
    </w:p>
    <w:p w:rsidR="003C05B7" w:rsidRDefault="00670731">
      <w:pPr>
        <w:pStyle w:val="NormalWeb"/>
        <w:spacing w:before="0" w:beforeAutospacing="0" w:after="0" w:afterAutospacing="0" w:line="480" w:lineRule="auto"/>
        <w:ind w:left="720" w:hanging="720"/>
        <w:jc w:val="both"/>
      </w:pPr>
      <w:r>
        <w:t>https://doi.org/10.1155/2013/203614</w:t>
      </w:r>
    </w:p>
    <w:p w:rsidR="003C05B7" w:rsidRDefault="00670731">
      <w:pPr>
        <w:pStyle w:val="NormalWeb"/>
        <w:spacing w:before="0" w:beforeAutospacing="0" w:after="0" w:afterAutospacing="0" w:line="480" w:lineRule="auto"/>
        <w:ind w:left="720" w:hanging="720"/>
        <w:jc w:val="both"/>
      </w:pPr>
      <w:r>
        <w:t>Kasina, S. V. S. K., &amp; Baradhi, K. M. (2023, May 22). DPP IV inhibitors. In StatPearls. StatPearls Publishing.</w:t>
      </w:r>
    </w:p>
    <w:p w:rsidR="003C05B7" w:rsidRDefault="00670731">
      <w:pPr>
        <w:pStyle w:val="NormalWeb"/>
        <w:spacing w:before="0" w:beforeAutospacing="0" w:after="0" w:afterAutospacing="0" w:line="480" w:lineRule="auto"/>
        <w:ind w:left="720" w:hanging="720"/>
        <w:jc w:val="both"/>
      </w:pPr>
      <w:r>
        <w:t xml:space="preserve">Kaur, M., &amp; </w:t>
      </w:r>
      <w:r>
        <w:t>Valecha, V. (2014). Diabetes and antidiabetic herbal formulations. European Journal of Medicinal Plants, 6(3), 226–240. https://doi.org/10.9734/EJMP/2014/10323</w:t>
      </w:r>
    </w:p>
    <w:p w:rsidR="003C05B7" w:rsidRDefault="00670731">
      <w:pPr>
        <w:pStyle w:val="NormalWeb"/>
        <w:spacing w:before="0" w:beforeAutospacing="0" w:after="0" w:afterAutospacing="0" w:line="480" w:lineRule="auto"/>
        <w:ind w:left="720" w:hanging="720"/>
        <w:jc w:val="both"/>
      </w:pPr>
      <w:r>
        <w:t>Katsarou, A., Gudbjörnsdottir, S., Rawshani, A., Dabelea, D., Bonifacio, E., Anderson, B. J. Ler</w:t>
      </w:r>
      <w:r>
        <w:t>nmark, Å. (2017). Type 1 diabetes mellitus. Nature Reviews Disease Primers, 3, 17016. https://doi.org/10.1038/nrdp.2017.16</w:t>
      </w:r>
    </w:p>
    <w:p w:rsidR="003C05B7" w:rsidRDefault="00670731">
      <w:pPr>
        <w:pStyle w:val="NormalWeb"/>
        <w:spacing w:before="0" w:beforeAutospacing="0" w:after="0" w:afterAutospacing="0" w:line="480" w:lineRule="auto"/>
        <w:ind w:left="720" w:hanging="720"/>
        <w:jc w:val="both"/>
      </w:pPr>
      <w:r>
        <w:t>Kumar, S., Narwal, S., Kumar, V., &amp; Prakash, O. (2011). α-glucosidase inhibitors from plants. Pharmacognosy Reviews, 5(9), 19–29.</w:t>
      </w:r>
    </w:p>
    <w:p w:rsidR="003C05B7" w:rsidRDefault="003C05B7">
      <w:pPr>
        <w:pStyle w:val="NormalWeb"/>
        <w:spacing w:before="0" w:beforeAutospacing="0" w:after="0" w:afterAutospacing="0" w:line="480" w:lineRule="auto"/>
        <w:ind w:left="720" w:hanging="720"/>
        <w:jc w:val="both"/>
      </w:pPr>
    </w:p>
    <w:p w:rsidR="003C05B7" w:rsidRDefault="00670731">
      <w:pPr>
        <w:pStyle w:val="NormalWeb"/>
        <w:spacing w:before="0" w:beforeAutospacing="0" w:after="0" w:afterAutospacing="0" w:line="480" w:lineRule="auto"/>
        <w:ind w:left="720" w:hanging="720"/>
        <w:jc w:val="both"/>
      </w:pPr>
      <w:r>
        <w:t>Lawal, A. M., Balogun, E. A., &amp; Fagbohun, E. D. (2017). Proximate and phytochemical screening of Diospyros mespiliformis leaves. African Journal of Traditional, Complementary and Alternative Medicines, 14(3), 123–130.</w:t>
      </w:r>
    </w:p>
    <w:p w:rsidR="003C05B7" w:rsidRDefault="00670731">
      <w:pPr>
        <w:pStyle w:val="NormalWeb"/>
        <w:spacing w:before="0" w:beforeAutospacing="0" w:after="0" w:afterAutospacing="0" w:line="480" w:lineRule="auto"/>
        <w:ind w:left="720" w:hanging="720"/>
        <w:jc w:val="both"/>
      </w:pPr>
      <w:r>
        <w:t>Lin, X., Xu, Y., Pan, X., et al. (2020</w:t>
      </w:r>
      <w:r>
        <w:t>). Global burden and trend of diabetes. Scientific Reports, 10, 14790. https://doi.org/10.1038/s41598-020-71908-9</w:t>
      </w:r>
    </w:p>
    <w:p w:rsidR="003C05B7" w:rsidRDefault="00670731">
      <w:pPr>
        <w:pStyle w:val="NormalWeb"/>
        <w:spacing w:before="0" w:beforeAutospacing="0" w:after="0" w:afterAutospacing="0" w:line="480" w:lineRule="auto"/>
        <w:ind w:left="720" w:hanging="720"/>
        <w:jc w:val="both"/>
      </w:pPr>
      <w:r>
        <w:t>Liu, Z., &amp; Yang, B. (2019). Drug development strategy for type 2 diabetes. Current Drug Targets, 20(8), 879–890.</w:t>
      </w:r>
    </w:p>
    <w:p w:rsidR="003C05B7" w:rsidRDefault="00670731">
      <w:pPr>
        <w:pStyle w:val="NormalWeb"/>
        <w:spacing w:before="0" w:beforeAutospacing="0" w:after="0" w:afterAutospacing="0" w:line="480" w:lineRule="auto"/>
        <w:ind w:left="720" w:hanging="720"/>
        <w:jc w:val="both"/>
      </w:pPr>
      <w:r>
        <w:t>Lopez-Ortiz, C., Gracia-Rodri</w:t>
      </w:r>
      <w:r>
        <w:t xml:space="preserve">guez, C., Belcher, S., Flores-Iga, G., Das, A., Nimmakayala, P.,  Reddy, U. K. (2023). </w:t>
      </w:r>
      <w:r>
        <w:rPr>
          <w:i/>
        </w:rPr>
        <w:t xml:space="preserve">Drosophila melanogaster </w:t>
      </w:r>
      <w:r>
        <w:t xml:space="preserve"> as a translational model system. International Journal of Molecular Sciences, 24(17), 13365. https://doi.org/10.3390/ijms241713365</w:t>
      </w:r>
    </w:p>
    <w:p w:rsidR="003C05B7" w:rsidRDefault="00670731">
      <w:pPr>
        <w:pStyle w:val="NormalWeb"/>
        <w:spacing w:before="0" w:beforeAutospacing="0" w:after="0" w:afterAutospacing="0" w:line="480" w:lineRule="auto"/>
        <w:ind w:left="720" w:hanging="720"/>
        <w:jc w:val="both"/>
      </w:pPr>
      <w:r>
        <w:t>Mohamed, I. E</w:t>
      </w:r>
      <w:r>
        <w:t>., El Bushra, E., Choudhary, M. I., &amp; Khan, S. N. (2009). Bioactive natural products from Diospyros mespiliformis. Records of Natural Products, 3(4), 198–203.</w:t>
      </w:r>
    </w:p>
    <w:p w:rsidR="003C05B7" w:rsidRDefault="00670731">
      <w:pPr>
        <w:pStyle w:val="NormalWeb"/>
        <w:spacing w:before="0" w:beforeAutospacing="0" w:after="0" w:afterAutospacing="0" w:line="480" w:lineRule="auto"/>
        <w:ind w:left="720" w:hanging="720"/>
        <w:jc w:val="both"/>
      </w:pPr>
      <w:r>
        <w:t>Mudau, T. E., Olowoyo, J. O., &amp; Amoo, S. O. (2022). Ethnobotanical assessment of medicinal plants</w:t>
      </w:r>
      <w:r>
        <w:t xml:space="preserve"> used for diabetes. South African Journal of Botany, 146, 304–324.</w:t>
      </w:r>
    </w:p>
    <w:p w:rsidR="003C05B7" w:rsidRDefault="00670731">
      <w:pPr>
        <w:pStyle w:val="NormalWeb"/>
        <w:spacing w:before="0" w:beforeAutospacing="0" w:after="0" w:afterAutospacing="0" w:line="480" w:lineRule="auto"/>
        <w:ind w:left="720" w:hanging="720"/>
        <w:jc w:val="both"/>
      </w:pPr>
      <w:r>
        <w:t>Mukhtar, Y., Aliyu, B., Zakari, S., Aliko, A., Habib, A., Zubairu, S., … Suleiman, A. (2022). Phytochemical, pharmacognostic and acute toxicity study of Diospyros mespiliformis. The Bioscie</w:t>
      </w:r>
      <w:r>
        <w:t>ntist, 10(1), 12–20.</w:t>
      </w:r>
    </w:p>
    <w:p w:rsidR="003C05B7" w:rsidRDefault="00670731">
      <w:pPr>
        <w:pStyle w:val="NormalWeb"/>
        <w:spacing w:before="0" w:beforeAutospacing="0" w:after="0" w:afterAutospacing="0" w:line="480" w:lineRule="auto"/>
        <w:ind w:left="720" w:hanging="720"/>
        <w:jc w:val="both"/>
      </w:pPr>
      <w:r>
        <w:t>Ohiagu, F. O., Chikezie, P. C., &amp; Chikezie, C. M. (2021). Pathophysiology of diabetes mellitus. Biomedical Research and Therapy, 8(3), 4243–4257. https://doi.org/10.15419/bmrat.v8i3.663</w:t>
      </w:r>
    </w:p>
    <w:p w:rsidR="003C05B7" w:rsidRDefault="00670731">
      <w:pPr>
        <w:pStyle w:val="NormalWeb"/>
        <w:spacing w:before="0" w:beforeAutospacing="0" w:after="0" w:afterAutospacing="0" w:line="480" w:lineRule="auto"/>
        <w:ind w:left="720" w:hanging="720"/>
        <w:jc w:val="both"/>
      </w:pPr>
      <w:r>
        <w:t>Oh, Y. S. (2015). Plant-derived compounds targeti</w:t>
      </w:r>
      <w:r>
        <w:t>ng pancreatic beta cells. Evidence-Based Complementary and Alternative Medicine, 2015, 629863. https://doi.org/10.1155/2015/629863</w:t>
      </w:r>
    </w:p>
    <w:p w:rsidR="003C05B7" w:rsidRDefault="003C05B7">
      <w:pPr>
        <w:pStyle w:val="NormalWeb"/>
        <w:spacing w:before="0" w:beforeAutospacing="0" w:after="0" w:afterAutospacing="0" w:line="480" w:lineRule="auto"/>
        <w:ind w:left="720" w:hanging="720"/>
        <w:jc w:val="both"/>
      </w:pPr>
    </w:p>
    <w:p w:rsidR="003C05B7" w:rsidRDefault="00670731">
      <w:pPr>
        <w:pStyle w:val="NormalWeb"/>
        <w:spacing w:before="0" w:beforeAutospacing="0" w:after="0" w:afterAutospacing="0" w:line="480" w:lineRule="auto"/>
        <w:ind w:left="720" w:hanging="720"/>
        <w:jc w:val="both"/>
      </w:pPr>
      <w:r>
        <w:t>Osadebe, P. O., Odoh, E. U., &amp; Uzor, P. F. (2014). Natural products as potential sources of antidiabetic drugs. Journal of P</w:t>
      </w:r>
      <w:r>
        <w:t>harmaceutical Research International, 4(4), 2075–2095. https://doi.org/10.9734/BJPR/2014/10604</w:t>
      </w:r>
    </w:p>
    <w:p w:rsidR="003C05B7" w:rsidRDefault="00670731">
      <w:pPr>
        <w:pStyle w:val="NormalWeb"/>
        <w:spacing w:before="0" w:beforeAutospacing="0" w:after="0" w:afterAutospacing="0" w:line="480" w:lineRule="auto"/>
        <w:ind w:left="720" w:hanging="720"/>
        <w:jc w:val="both"/>
      </w:pPr>
      <w:r>
        <w:t>Owusu-Ansah, E., &amp; Perrimon, N. (2014). Modeling metabolic homeostasis. Disease Models &amp; Mechanisms, 7(3), 343–350.</w:t>
      </w:r>
    </w:p>
    <w:p w:rsidR="003C05B7" w:rsidRDefault="00670731">
      <w:pPr>
        <w:pStyle w:val="NormalWeb"/>
        <w:spacing w:before="0" w:beforeAutospacing="0" w:after="0" w:afterAutospacing="0" w:line="480" w:lineRule="auto"/>
        <w:ind w:left="720" w:hanging="720"/>
        <w:jc w:val="both"/>
      </w:pPr>
      <w:r>
        <w:t>Pandey, U. B., &amp; Nichols, C. D. (2011). Human</w:t>
      </w:r>
      <w:r>
        <w:t xml:space="preserve"> disease models in Drosophila. Pharmacological Reviews, 63(2), 411–436.</w:t>
      </w:r>
    </w:p>
    <w:p w:rsidR="003C05B7" w:rsidRDefault="00670731">
      <w:pPr>
        <w:pStyle w:val="NormalWeb"/>
        <w:spacing w:before="0" w:beforeAutospacing="0" w:after="0" w:afterAutospacing="0" w:line="480" w:lineRule="auto"/>
        <w:ind w:left="720" w:hanging="720"/>
        <w:jc w:val="both"/>
      </w:pPr>
      <w:r>
        <w:t>Patel, D., Prasad, S. K., Kumar, R., &amp; Hemalatha, S. (2012). Antidiabetic medicinal plants having insulin mimetic property. Asian Pacific Journal of Tropical Biomedicine, 2(4), 320–330</w:t>
      </w:r>
      <w:r>
        <w:t>.</w:t>
      </w:r>
    </w:p>
    <w:p w:rsidR="003C05B7" w:rsidRDefault="00670731">
      <w:pPr>
        <w:pStyle w:val="NormalWeb"/>
        <w:spacing w:before="0" w:beforeAutospacing="0" w:after="0" w:afterAutospacing="0" w:line="480" w:lineRule="auto"/>
        <w:ind w:left="720" w:hanging="720"/>
        <w:jc w:val="both"/>
      </w:pPr>
      <w:r>
        <w:t>Pasco, M. Y., &amp; Leopold, P. (2012). High sugar-induced insulin resistance in Drosophila. PLoS ONE, 7(5), e36583.</w:t>
      </w:r>
    </w:p>
    <w:p w:rsidR="003C05B7" w:rsidRDefault="00670731">
      <w:pPr>
        <w:pStyle w:val="NormalWeb"/>
        <w:spacing w:before="0" w:beforeAutospacing="0" w:after="0" w:afterAutospacing="0" w:line="480" w:lineRule="auto"/>
        <w:ind w:left="720" w:hanging="720"/>
        <w:jc w:val="both"/>
      </w:pPr>
      <w:r>
        <w:t>Ramadwa, T. E., &amp; Meddows-Taylor, S. (2023). Traditional uses, pharmacological activities, and phytochemical analysis of Diospyros mespilifor</w:t>
      </w:r>
      <w:r>
        <w:t>mis. Molecules, 28(23), 7759. https://doi.org/10.3390/molecules28237759</w:t>
      </w:r>
    </w:p>
    <w:p w:rsidR="003C05B7" w:rsidRDefault="00670731">
      <w:pPr>
        <w:pStyle w:val="NormalWeb"/>
        <w:spacing w:before="0" w:beforeAutospacing="0" w:after="0" w:afterAutospacing="0" w:line="480" w:lineRule="auto"/>
        <w:ind w:left="720" w:hanging="720"/>
        <w:jc w:val="both"/>
      </w:pPr>
      <w:r>
        <w:t>Reiter, L. T., Potocki, L., Chien, S., &amp; Bier, E. (2001). Analysis of human disease-associated gene sequences in Drosophila. Genome Research, 11(7), 1114–1125.</w:t>
      </w:r>
    </w:p>
    <w:p w:rsidR="003C05B7" w:rsidRDefault="00670731">
      <w:pPr>
        <w:pStyle w:val="NormalWeb"/>
        <w:spacing w:before="0" w:beforeAutospacing="0" w:after="0" w:afterAutospacing="0" w:line="480" w:lineRule="auto"/>
        <w:ind w:left="720" w:hanging="720"/>
        <w:jc w:val="both"/>
      </w:pPr>
      <w:r>
        <w:t>Salehi, B., Ata, A., Kum</w:t>
      </w:r>
      <w:r>
        <w:t>ar, N. V. A., Sharopov, F., Ramirez-Alarcon, K., Ruiz-Ortega, A., … Zakaria, Z. A. (2019). Antidiabetic potential of medicinal plants. Biomolecules, 9(10), 551. https://doi.org/10.3390/biom9100551</w:t>
      </w:r>
    </w:p>
    <w:p w:rsidR="003C05B7" w:rsidRDefault="00670731">
      <w:pPr>
        <w:pStyle w:val="NormalWeb"/>
        <w:spacing w:before="0" w:beforeAutospacing="0" w:after="0" w:afterAutospacing="0" w:line="480" w:lineRule="auto"/>
        <w:ind w:left="720" w:hanging="720"/>
        <w:jc w:val="both"/>
      </w:pPr>
      <w:r>
        <w:t>Schwandt, P. (2012). World diabetes day: Diabetes mellitus.</w:t>
      </w:r>
      <w:r>
        <w:t xml:space="preserve"> International Journal of Preventive Medicine, 3(11), 747–748.</w:t>
      </w:r>
    </w:p>
    <w:p w:rsidR="003C05B7" w:rsidRDefault="003C05B7">
      <w:pPr>
        <w:pStyle w:val="NormalWeb"/>
        <w:spacing w:before="0" w:beforeAutospacing="0" w:after="0" w:afterAutospacing="0" w:line="480" w:lineRule="auto"/>
        <w:ind w:left="720" w:hanging="720"/>
        <w:jc w:val="both"/>
      </w:pPr>
    </w:p>
    <w:p w:rsidR="003C05B7" w:rsidRDefault="00670731">
      <w:pPr>
        <w:pStyle w:val="NormalWeb"/>
        <w:spacing w:before="0" w:beforeAutospacing="0" w:after="0" w:afterAutospacing="0" w:line="480" w:lineRule="auto"/>
        <w:ind w:left="720" w:hanging="720"/>
        <w:jc w:val="both"/>
      </w:pPr>
      <w:r>
        <w:t>Tan, S. Y., Wong, J. L. M., Sim, Y. J., Wong, S. S., Elhassan, S. A. M., Tan, S. H., … Candasamy, M. (2019). Type 1 and 2 diabetes mellitus: Treatment and gene therapy. Diabetes &amp; Metabolic Sy</w:t>
      </w:r>
      <w:r>
        <w:t>ndrome, 13(1), 364–372.</w:t>
      </w:r>
    </w:p>
    <w:p w:rsidR="003C05B7" w:rsidRDefault="00670731">
      <w:pPr>
        <w:pStyle w:val="NormalWeb"/>
        <w:spacing w:before="0" w:beforeAutospacing="0" w:after="0" w:afterAutospacing="0" w:line="480" w:lineRule="auto"/>
        <w:ind w:left="720" w:hanging="720"/>
        <w:jc w:val="both"/>
      </w:pPr>
      <w:r>
        <w:t>Tello, J. A., Williams, H. E., Eppler, R. M., Steinhilb, M. L., &amp; Khanna, M. (2022). Animal models of neurodegenerative disease. Frontiers in Molecular Neuroscience, 15, 883358.</w:t>
      </w:r>
    </w:p>
    <w:p w:rsidR="003C05B7" w:rsidRDefault="00670731">
      <w:pPr>
        <w:pStyle w:val="NormalWeb"/>
        <w:spacing w:before="0" w:beforeAutospacing="0" w:after="0" w:afterAutospacing="0" w:line="480" w:lineRule="auto"/>
        <w:ind w:left="720" w:hanging="720"/>
        <w:jc w:val="both"/>
      </w:pPr>
      <w:r>
        <w:t>Tolwinski, N. S. (2017). Drosophila—A model system. Jo</w:t>
      </w:r>
      <w:r>
        <w:t>urnal of Developmental Biology, 5(3), 9.</w:t>
      </w:r>
    </w:p>
    <w:p w:rsidR="003C05B7" w:rsidRDefault="00670731">
      <w:pPr>
        <w:pStyle w:val="NormalWeb"/>
        <w:spacing w:before="0" w:beforeAutospacing="0" w:after="0" w:afterAutospacing="0" w:line="480" w:lineRule="auto"/>
        <w:ind w:left="720" w:hanging="720"/>
        <w:jc w:val="both"/>
      </w:pPr>
      <w:r>
        <w:t>Vedavathy, S. (2003). Scope and importance of traditional medicine. Indian Journal of Traditional Knowledge, 2(3), 236–239.</w:t>
      </w:r>
    </w:p>
    <w:p w:rsidR="003C05B7" w:rsidRDefault="00670731">
      <w:pPr>
        <w:pStyle w:val="NormalWeb"/>
        <w:spacing w:before="0" w:beforeAutospacing="0" w:after="0" w:afterAutospacing="0" w:line="480" w:lineRule="auto"/>
        <w:ind w:left="720" w:hanging="720"/>
        <w:jc w:val="both"/>
      </w:pPr>
      <w:r>
        <w:t xml:space="preserve">Victor Atoki, A., Aja, P. M., Shinkafi, T. S., Ondari, E. N., Adeniyi, A. I., Fasogbon, I. </w:t>
      </w:r>
      <w:r>
        <w:t xml:space="preserve">V., … Akin-Adewumi, A. (2025). Exploring the versatility of </w:t>
      </w:r>
      <w:r>
        <w:rPr>
          <w:i/>
        </w:rPr>
        <w:t xml:space="preserve">Drosophila melanogaster </w:t>
      </w:r>
      <w:r>
        <w:t xml:space="preserve"> in biomedical research. Fly, 19(1), 2420453. https://doi.org/10.1080/19336934.2024.2420453</w:t>
      </w:r>
    </w:p>
    <w:p w:rsidR="003C05B7" w:rsidRDefault="00670731">
      <w:pPr>
        <w:pStyle w:val="NormalWeb"/>
        <w:spacing w:before="0" w:beforeAutospacing="0" w:after="0" w:afterAutospacing="0" w:line="480" w:lineRule="auto"/>
        <w:ind w:left="720" w:hanging="720"/>
        <w:jc w:val="both"/>
      </w:pPr>
      <w:r>
        <w:t xml:space="preserve">Yang, J. J., Yu, W., He, M., He, S., Li, X., Zhang, H., … Zhang, Y. (2019). </w:t>
      </w:r>
      <w:r>
        <w:t>Association of diabetes with all-cause mortality in Asia. JAMA Network Open, 2(12), e192696. https://doi.org/10.1001/jamanetworkopen.2019.2696</w:t>
      </w: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pPr>
    </w:p>
    <w:p w:rsidR="003C05B7" w:rsidRDefault="00670731">
      <w:pPr>
        <w:pStyle w:val="NormalWeb"/>
        <w:spacing w:before="0" w:beforeAutospacing="0" w:after="0" w:afterAutospacing="0" w:line="480" w:lineRule="auto"/>
      </w:pPr>
      <w:r>
        <w:t>---</w:t>
      </w:r>
    </w:p>
    <w:p w:rsidR="003C05B7" w:rsidRDefault="003C05B7">
      <w:pPr>
        <w:pStyle w:val="NormalWeb"/>
        <w:spacing w:before="0" w:beforeAutospacing="0" w:after="0" w:afterAutospacing="0" w:line="480" w:lineRule="auto"/>
      </w:pPr>
    </w:p>
    <w:p w:rsidR="003C05B7" w:rsidRDefault="003C05B7">
      <w:pPr>
        <w:pStyle w:val="NormalWeb"/>
        <w:spacing w:before="0" w:beforeAutospacing="0" w:after="0" w:afterAutospacing="0" w:line="480" w:lineRule="auto"/>
      </w:pPr>
    </w:p>
    <w:sectPr w:rsidR="003C05B7">
      <w:pgSz w:w="11907" w:h="16840" w:code="9"/>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0731" w:rsidRDefault="00670731">
      <w:pPr>
        <w:spacing w:line="240" w:lineRule="auto"/>
      </w:pPr>
      <w:r>
        <w:separator/>
      </w:r>
    </w:p>
  </w:endnote>
  <w:endnote w:type="continuationSeparator" w:id="0">
    <w:p w:rsidR="00670731" w:rsidRDefault="006707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altName w:val="Times New Roman"/>
    <w:charset w:val="00"/>
    <w:family w:val="roman"/>
    <w:pitch w:val="variable"/>
    <w:sig w:usb0="20007A87" w:usb1="80000000" w:usb2="00000008" w:usb3="00000000" w:csb0="000001FF" w:csb1="00000000"/>
  </w:font>
  <w:font w:name="Cambria Math">
    <w:panose1 w:val="02040503050406030204"/>
    <w:charset w:val="00"/>
    <w:family w:val="roman"/>
    <w:pitch w:val="variable"/>
    <w:sig w:usb0="E00006FF" w:usb1="420024FF" w:usb2="02000000" w:usb3="00000000" w:csb0="0000019F" w:csb1="00000000"/>
  </w:font>
  <w:font w:name="DengXian Light">
    <w:altName w:val="SimSun"/>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5B7" w:rsidRDefault="00670731">
    <w:pPr>
      <w:pStyle w:val="Footer"/>
      <w:jc w:val="center"/>
    </w:pPr>
    <w:r>
      <w:fldChar w:fldCharType="begin"/>
    </w:r>
    <w:r>
      <w:instrText xml:space="preserve"> PAGE   \* MERGEFORMAT </w:instrText>
    </w:r>
    <w:r>
      <w:fldChar w:fldCharType="separate"/>
    </w:r>
    <w:r>
      <w:rPr>
        <w:noProof/>
      </w:rPr>
      <w:t>i</w:t>
    </w:r>
    <w:r>
      <w:rPr>
        <w:noProof/>
      </w:rPr>
      <w:fldChar w:fldCharType="end"/>
    </w:r>
  </w:p>
  <w:p w:rsidR="003C05B7" w:rsidRDefault="003C05B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0731" w:rsidRDefault="00670731">
      <w:pPr>
        <w:spacing w:line="240" w:lineRule="auto"/>
      </w:pPr>
      <w:r>
        <w:separator/>
      </w:r>
    </w:p>
  </w:footnote>
  <w:footnote w:type="continuationSeparator" w:id="0">
    <w:p w:rsidR="00670731" w:rsidRDefault="00670731">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multilevel"/>
    <w:tmpl w:val="F912F39C"/>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
    <w:nsid w:val="00000001"/>
    <w:multiLevelType w:val="multilevel"/>
    <w:tmpl w:val="198436D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2">
    <w:nsid w:val="00000002"/>
    <w:multiLevelType w:val="multilevel"/>
    <w:tmpl w:val="06AA15DC"/>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3">
    <w:nsid w:val="00000003"/>
    <w:multiLevelType w:val="multilevel"/>
    <w:tmpl w:val="ED2A12BC"/>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4">
    <w:nsid w:val="00000004"/>
    <w:multiLevelType w:val="multilevel"/>
    <w:tmpl w:val="2878CA0A"/>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5">
    <w:nsid w:val="00000005"/>
    <w:multiLevelType w:val="multilevel"/>
    <w:tmpl w:val="73FCFAEA"/>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6">
    <w:nsid w:val="00000006"/>
    <w:multiLevelType w:val="multilevel"/>
    <w:tmpl w:val="9474B9E2"/>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7">
    <w:nsid w:val="00000007"/>
    <w:multiLevelType w:val="hybridMultilevel"/>
    <w:tmpl w:val="9B7EC98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000008"/>
    <w:multiLevelType w:val="multilevel"/>
    <w:tmpl w:val="0F36FB68"/>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9">
    <w:nsid w:val="00000009"/>
    <w:multiLevelType w:val="multilevel"/>
    <w:tmpl w:val="2BFCB63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nsid w:val="0000000A"/>
    <w:multiLevelType w:val="multilevel"/>
    <w:tmpl w:val="7F8EF1BE"/>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1">
    <w:nsid w:val="0000000B"/>
    <w:multiLevelType w:val="multilevel"/>
    <w:tmpl w:val="03C4B34E"/>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num w:numId="1">
    <w:abstractNumId w:val="9"/>
  </w:num>
  <w:num w:numId="2">
    <w:abstractNumId w:val="7"/>
  </w:num>
  <w:num w:numId="3">
    <w:abstractNumId w:val="8"/>
  </w:num>
  <w:num w:numId="4">
    <w:abstractNumId w:val="5"/>
  </w:num>
  <w:num w:numId="5">
    <w:abstractNumId w:val="4"/>
  </w:num>
  <w:num w:numId="6">
    <w:abstractNumId w:val="2"/>
  </w:num>
  <w:num w:numId="7">
    <w:abstractNumId w:val="11"/>
  </w:num>
  <w:num w:numId="8">
    <w:abstractNumId w:val="1"/>
  </w:num>
  <w:num w:numId="9">
    <w:abstractNumId w:val="6"/>
  </w:num>
  <w:num w:numId="10">
    <w:abstractNumId w:val="3"/>
  </w:num>
  <w:num w:numId="11">
    <w:abstractNumId w:val="0"/>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05B7"/>
    <w:rsid w:val="003C05B7"/>
    <w:rsid w:val="005378DE"/>
    <w:rsid w:val="0067073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Arial"/>
        <w:sz w:val="24"/>
        <w:szCs w:val="22"/>
        <w:lang w:val="en-US"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jc w:val="center"/>
      <w:outlineLvl w:val="0"/>
    </w:pPr>
    <w:rPr>
      <w:rFonts w:eastAsia="SimSun" w:cs="Times New Roman"/>
      <w:b/>
      <w:szCs w:val="32"/>
    </w:rPr>
  </w:style>
  <w:style w:type="paragraph" w:styleId="Heading2">
    <w:name w:val="heading 2"/>
    <w:basedOn w:val="Normal"/>
    <w:link w:val="Heading2Char"/>
    <w:uiPriority w:val="9"/>
    <w:qFormat/>
    <w:pPr>
      <w:spacing w:before="100" w:beforeAutospacing="1" w:after="100" w:afterAutospacing="1" w:line="240" w:lineRule="auto"/>
      <w:outlineLvl w:val="1"/>
    </w:pPr>
    <w:rPr>
      <w:rFonts w:eastAsia="Times New Roman" w:cs="Times New Roman"/>
      <w:b/>
      <w:bCs/>
      <w:sz w:val="36"/>
      <w:szCs w:val="36"/>
    </w:rPr>
  </w:style>
  <w:style w:type="paragraph" w:styleId="Heading3">
    <w:name w:val="heading 3"/>
    <w:basedOn w:val="Normal"/>
    <w:link w:val="Heading3Char"/>
    <w:uiPriority w:val="9"/>
    <w:qFormat/>
    <w:pPr>
      <w:spacing w:before="100" w:beforeAutospacing="1" w:after="100" w:afterAutospacing="1" w:line="240" w:lineRule="auto"/>
      <w:outlineLvl w:val="2"/>
    </w:pPr>
    <w:rPr>
      <w:rFonts w:eastAsia="Times New Roman" w:cs="Times New Roman"/>
      <w:b/>
      <w:bCs/>
      <w:sz w:val="27"/>
      <w:szCs w:val="27"/>
    </w:rPr>
  </w:style>
  <w:style w:type="paragraph" w:styleId="Heading4">
    <w:name w:val="heading 4"/>
    <w:basedOn w:val="Normal"/>
    <w:next w:val="Normal"/>
    <w:link w:val="Heading4Char"/>
    <w:uiPriority w:val="9"/>
    <w:qFormat/>
    <w:pPr>
      <w:keepNext/>
      <w:keepLines/>
      <w:spacing w:before="40"/>
      <w:outlineLvl w:val="3"/>
    </w:pPr>
    <w:rPr>
      <w:rFonts w:ascii="Calibri Light" w:eastAsia="SimSun" w:hAnsi="Calibri Light" w:cs="Times New Roman"/>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imes New Roman" w:eastAsia="SimSun" w:hAnsi="Times New Roman" w:cs="Times New Roman"/>
      <w:b/>
      <w:szCs w:val="32"/>
    </w:rPr>
  </w:style>
  <w:style w:type="character" w:customStyle="1" w:styleId="Heading2Char">
    <w:name w:val="Heading 2 Char"/>
    <w:basedOn w:val="DefaultParagraphFont"/>
    <w:link w:val="Heading2"/>
    <w:uiPriority w:val="9"/>
    <w:rPr>
      <w:rFonts w:eastAsia="Times New Roman" w:cs="Times New Roman"/>
      <w:b/>
      <w:bCs/>
      <w:sz w:val="36"/>
      <w:szCs w:val="36"/>
    </w:rPr>
  </w:style>
  <w:style w:type="character" w:customStyle="1" w:styleId="Heading3Char">
    <w:name w:val="Heading 3 Char"/>
    <w:basedOn w:val="DefaultParagraphFont"/>
    <w:link w:val="Heading3"/>
    <w:uiPriority w:val="9"/>
    <w:rPr>
      <w:rFonts w:eastAsia="Times New Roman" w:cs="Times New Roman"/>
      <w:b/>
      <w:bCs/>
      <w:sz w:val="27"/>
      <w:szCs w:val="27"/>
    </w:rPr>
  </w:style>
  <w:style w:type="paragraph" w:styleId="NormalWeb">
    <w:name w:val="Normal (Web)"/>
    <w:basedOn w:val="Normal"/>
    <w:uiPriority w:val="99"/>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Heading4Char">
    <w:name w:val="Heading 4 Char"/>
    <w:basedOn w:val="DefaultParagraphFont"/>
    <w:link w:val="Heading4"/>
    <w:uiPriority w:val="9"/>
    <w:rPr>
      <w:rFonts w:ascii="Calibri Light" w:eastAsia="SimSun" w:hAnsi="Calibri Light" w:cs="Times New Roman"/>
      <w:i/>
      <w:iCs/>
      <w:color w:val="2E74B5"/>
    </w:rPr>
  </w:style>
  <w:style w:type="paragraph" w:styleId="Header">
    <w:name w:val="header"/>
    <w:basedOn w:val="Normal"/>
    <w:link w:val="HeaderChar"/>
    <w:uiPriority w:val="99"/>
    <w:pPr>
      <w:tabs>
        <w:tab w:val="center" w:pos="4680"/>
        <w:tab w:val="right" w:pos="9360"/>
      </w:tabs>
      <w:spacing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line="240" w:lineRule="auto"/>
    </w:pPr>
  </w:style>
  <w:style w:type="character" w:customStyle="1" w:styleId="FooterChar">
    <w:name w:val="Footer Char"/>
    <w:basedOn w:val="DefaultParagraphFont"/>
    <w:link w:val="Footer"/>
    <w:uiPriority w:val="99"/>
  </w:style>
  <w:style w:type="character" w:styleId="Hyperlink">
    <w:name w:val="Hyperlink"/>
    <w:basedOn w:val="DefaultParagraphFont"/>
    <w:uiPriority w:val="99"/>
    <w:rPr>
      <w:color w:val="0000FF"/>
      <w:u w:val="single"/>
    </w:rPr>
  </w:style>
  <w:style w:type="paragraph" w:styleId="ListParagraph">
    <w:name w:val="List Paragraph"/>
    <w:basedOn w:val="Normal"/>
    <w:uiPriority w:val="34"/>
    <w:qFormat/>
    <w:pPr>
      <w:ind w:left="720"/>
      <w:contextualSpacing/>
    </w:pPr>
  </w:style>
  <w:style w:type="table" w:styleId="TableGrid">
    <w:name w:val="Table Grid"/>
    <w:basedOn w:val="TableNormal"/>
    <w:uiPriority w:val="39"/>
    <w:qFormat/>
    <w:pPr>
      <w:spacing w:line="240" w:lineRule="auto"/>
    </w:pPr>
    <w:rPr>
      <w:rFonts w:ascii="Calibri" w:hAnsi="Calibri"/>
      <w:sz w:val="20"/>
      <w:szCs w:val="20"/>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TOCHeading">
    <w:name w:val="TOC Heading"/>
    <w:basedOn w:val="Heading1"/>
    <w:next w:val="Normal"/>
    <w:uiPriority w:val="39"/>
    <w:qFormat/>
    <w:pPr>
      <w:spacing w:before="240" w:line="259" w:lineRule="auto"/>
      <w:jc w:val="left"/>
      <w:outlineLvl w:val="9"/>
    </w:pPr>
    <w:rPr>
      <w:rFonts w:ascii="Cambria" w:hAnsi="Cambria"/>
      <w:b w:val="0"/>
      <w:color w:val="365F91"/>
      <w:sz w:val="32"/>
    </w:rPr>
  </w:style>
  <w:style w:type="paragraph" w:styleId="TOC1">
    <w:name w:val="toc 1"/>
    <w:basedOn w:val="Normal"/>
    <w:next w:val="Normal"/>
    <w:uiPriority w:val="39"/>
    <w:pPr>
      <w:spacing w:after="100"/>
    </w:pPr>
  </w:style>
  <w:style w:type="paragraph" w:styleId="TOC2">
    <w:name w:val="toc 2"/>
    <w:basedOn w:val="Normal"/>
    <w:next w:val="Normal"/>
    <w:uiPriority w:val="39"/>
    <w:pPr>
      <w:spacing w:after="100"/>
      <w:ind w:left="240"/>
    </w:pPr>
  </w:style>
  <w:style w:type="paragraph" w:styleId="TOC3">
    <w:name w:val="toc 3"/>
    <w:basedOn w:val="Normal"/>
    <w:next w:val="Normal"/>
    <w:uiPriority w:val="39"/>
    <w:pPr>
      <w:spacing w:after="100"/>
      <w:ind w:left="480"/>
    </w:pPr>
  </w:style>
  <w:style w:type="character" w:styleId="PlaceholderText">
    <w:name w:val="Placeholder Text"/>
    <w:basedOn w:val="DefaultParagraphFont"/>
    <w:uiPriority w:val="9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Arial"/>
        <w:sz w:val="24"/>
        <w:szCs w:val="22"/>
        <w:lang w:val="en-US"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jc w:val="center"/>
      <w:outlineLvl w:val="0"/>
    </w:pPr>
    <w:rPr>
      <w:rFonts w:eastAsia="SimSun" w:cs="Times New Roman"/>
      <w:b/>
      <w:szCs w:val="32"/>
    </w:rPr>
  </w:style>
  <w:style w:type="paragraph" w:styleId="Heading2">
    <w:name w:val="heading 2"/>
    <w:basedOn w:val="Normal"/>
    <w:link w:val="Heading2Char"/>
    <w:uiPriority w:val="9"/>
    <w:qFormat/>
    <w:pPr>
      <w:spacing w:before="100" w:beforeAutospacing="1" w:after="100" w:afterAutospacing="1" w:line="240" w:lineRule="auto"/>
      <w:outlineLvl w:val="1"/>
    </w:pPr>
    <w:rPr>
      <w:rFonts w:eastAsia="Times New Roman" w:cs="Times New Roman"/>
      <w:b/>
      <w:bCs/>
      <w:sz w:val="36"/>
      <w:szCs w:val="36"/>
    </w:rPr>
  </w:style>
  <w:style w:type="paragraph" w:styleId="Heading3">
    <w:name w:val="heading 3"/>
    <w:basedOn w:val="Normal"/>
    <w:link w:val="Heading3Char"/>
    <w:uiPriority w:val="9"/>
    <w:qFormat/>
    <w:pPr>
      <w:spacing w:before="100" w:beforeAutospacing="1" w:after="100" w:afterAutospacing="1" w:line="240" w:lineRule="auto"/>
      <w:outlineLvl w:val="2"/>
    </w:pPr>
    <w:rPr>
      <w:rFonts w:eastAsia="Times New Roman" w:cs="Times New Roman"/>
      <w:b/>
      <w:bCs/>
      <w:sz w:val="27"/>
      <w:szCs w:val="27"/>
    </w:rPr>
  </w:style>
  <w:style w:type="paragraph" w:styleId="Heading4">
    <w:name w:val="heading 4"/>
    <w:basedOn w:val="Normal"/>
    <w:next w:val="Normal"/>
    <w:link w:val="Heading4Char"/>
    <w:uiPriority w:val="9"/>
    <w:qFormat/>
    <w:pPr>
      <w:keepNext/>
      <w:keepLines/>
      <w:spacing w:before="40"/>
      <w:outlineLvl w:val="3"/>
    </w:pPr>
    <w:rPr>
      <w:rFonts w:ascii="Calibri Light" w:eastAsia="SimSun" w:hAnsi="Calibri Light" w:cs="Times New Roman"/>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imes New Roman" w:eastAsia="SimSun" w:hAnsi="Times New Roman" w:cs="Times New Roman"/>
      <w:b/>
      <w:szCs w:val="32"/>
    </w:rPr>
  </w:style>
  <w:style w:type="character" w:customStyle="1" w:styleId="Heading2Char">
    <w:name w:val="Heading 2 Char"/>
    <w:basedOn w:val="DefaultParagraphFont"/>
    <w:link w:val="Heading2"/>
    <w:uiPriority w:val="9"/>
    <w:rPr>
      <w:rFonts w:eastAsia="Times New Roman" w:cs="Times New Roman"/>
      <w:b/>
      <w:bCs/>
      <w:sz w:val="36"/>
      <w:szCs w:val="36"/>
    </w:rPr>
  </w:style>
  <w:style w:type="character" w:customStyle="1" w:styleId="Heading3Char">
    <w:name w:val="Heading 3 Char"/>
    <w:basedOn w:val="DefaultParagraphFont"/>
    <w:link w:val="Heading3"/>
    <w:uiPriority w:val="9"/>
    <w:rPr>
      <w:rFonts w:eastAsia="Times New Roman" w:cs="Times New Roman"/>
      <w:b/>
      <w:bCs/>
      <w:sz w:val="27"/>
      <w:szCs w:val="27"/>
    </w:rPr>
  </w:style>
  <w:style w:type="paragraph" w:styleId="NormalWeb">
    <w:name w:val="Normal (Web)"/>
    <w:basedOn w:val="Normal"/>
    <w:uiPriority w:val="99"/>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Heading4Char">
    <w:name w:val="Heading 4 Char"/>
    <w:basedOn w:val="DefaultParagraphFont"/>
    <w:link w:val="Heading4"/>
    <w:uiPriority w:val="9"/>
    <w:rPr>
      <w:rFonts w:ascii="Calibri Light" w:eastAsia="SimSun" w:hAnsi="Calibri Light" w:cs="Times New Roman"/>
      <w:i/>
      <w:iCs/>
      <w:color w:val="2E74B5"/>
    </w:rPr>
  </w:style>
  <w:style w:type="paragraph" w:styleId="Header">
    <w:name w:val="header"/>
    <w:basedOn w:val="Normal"/>
    <w:link w:val="HeaderChar"/>
    <w:uiPriority w:val="99"/>
    <w:pPr>
      <w:tabs>
        <w:tab w:val="center" w:pos="4680"/>
        <w:tab w:val="right" w:pos="9360"/>
      </w:tabs>
      <w:spacing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line="240" w:lineRule="auto"/>
    </w:pPr>
  </w:style>
  <w:style w:type="character" w:customStyle="1" w:styleId="FooterChar">
    <w:name w:val="Footer Char"/>
    <w:basedOn w:val="DefaultParagraphFont"/>
    <w:link w:val="Footer"/>
    <w:uiPriority w:val="99"/>
  </w:style>
  <w:style w:type="character" w:styleId="Hyperlink">
    <w:name w:val="Hyperlink"/>
    <w:basedOn w:val="DefaultParagraphFont"/>
    <w:uiPriority w:val="99"/>
    <w:rPr>
      <w:color w:val="0000FF"/>
      <w:u w:val="single"/>
    </w:rPr>
  </w:style>
  <w:style w:type="paragraph" w:styleId="ListParagraph">
    <w:name w:val="List Paragraph"/>
    <w:basedOn w:val="Normal"/>
    <w:uiPriority w:val="34"/>
    <w:qFormat/>
    <w:pPr>
      <w:ind w:left="720"/>
      <w:contextualSpacing/>
    </w:pPr>
  </w:style>
  <w:style w:type="table" w:styleId="TableGrid">
    <w:name w:val="Table Grid"/>
    <w:basedOn w:val="TableNormal"/>
    <w:uiPriority w:val="39"/>
    <w:qFormat/>
    <w:pPr>
      <w:spacing w:line="240" w:lineRule="auto"/>
    </w:pPr>
    <w:rPr>
      <w:rFonts w:ascii="Calibri" w:hAnsi="Calibri"/>
      <w:sz w:val="20"/>
      <w:szCs w:val="20"/>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TOCHeading">
    <w:name w:val="TOC Heading"/>
    <w:basedOn w:val="Heading1"/>
    <w:next w:val="Normal"/>
    <w:uiPriority w:val="39"/>
    <w:qFormat/>
    <w:pPr>
      <w:spacing w:before="240" w:line="259" w:lineRule="auto"/>
      <w:jc w:val="left"/>
      <w:outlineLvl w:val="9"/>
    </w:pPr>
    <w:rPr>
      <w:rFonts w:ascii="Cambria" w:hAnsi="Cambria"/>
      <w:b w:val="0"/>
      <w:color w:val="365F91"/>
      <w:sz w:val="32"/>
    </w:rPr>
  </w:style>
  <w:style w:type="paragraph" w:styleId="TOC1">
    <w:name w:val="toc 1"/>
    <w:basedOn w:val="Normal"/>
    <w:next w:val="Normal"/>
    <w:uiPriority w:val="39"/>
    <w:pPr>
      <w:spacing w:after="100"/>
    </w:pPr>
  </w:style>
  <w:style w:type="paragraph" w:styleId="TOC2">
    <w:name w:val="toc 2"/>
    <w:basedOn w:val="Normal"/>
    <w:next w:val="Normal"/>
    <w:uiPriority w:val="39"/>
    <w:pPr>
      <w:spacing w:after="100"/>
      <w:ind w:left="240"/>
    </w:pPr>
  </w:style>
  <w:style w:type="paragraph" w:styleId="TOC3">
    <w:name w:val="toc 3"/>
    <w:basedOn w:val="Normal"/>
    <w:next w:val="Normal"/>
    <w:uiPriority w:val="39"/>
    <w:pPr>
      <w:spacing w:after="100"/>
      <w:ind w:left="480"/>
    </w:pPr>
  </w:style>
  <w:style w:type="character" w:styleId="PlaceholderText">
    <w:name w:val="Placeholder Text"/>
    <w:basedOn w:val="DefaultParagraphFont"/>
    <w:uiPriority w:val="9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2.bin"/><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oleObject" Target="embeddings/oleObject4.bin"/><Relationship Id="rId2" Type="http://schemas.openxmlformats.org/officeDocument/2006/relationships/numbering" Target="numbering.xml"/><Relationship Id="rId16"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oleObject" Target="embeddings/oleObject3.bin"/><Relationship Id="rId10" Type="http://schemas.openxmlformats.org/officeDocument/2006/relationships/image" Target="media/image1.em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20A7C2-45F1-40BB-842D-BD3A58C27C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9716</Words>
  <Characters>55382</Characters>
  <Application>Microsoft Office Word</Application>
  <DocSecurity>0</DocSecurity>
  <Lines>461</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Aavir</dc:creator>
  <cp:lastModifiedBy>HP</cp:lastModifiedBy>
  <cp:revision>2</cp:revision>
  <cp:lastPrinted>2025-12-11T16:52:00Z</cp:lastPrinted>
  <dcterms:created xsi:type="dcterms:W3CDTF">2025-12-18T12:57:00Z</dcterms:created>
  <dcterms:modified xsi:type="dcterms:W3CDTF">2025-12-18T12:57:00Z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a21d87c29aff4490920a936657b46290</vt:lpwstr>
  </property>
</Properties>
</file>