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AD26F" w14:textId="77777777" w:rsidR="00A02889" w:rsidRDefault="00000000">
      <w:pPr>
        <w:spacing w:before="79"/>
        <w:ind w:left="595" w:right="595"/>
        <w:jc w:val="center"/>
        <w:rPr>
          <w:b/>
          <w:sz w:val="24"/>
        </w:rPr>
      </w:pPr>
      <w:bookmarkStart w:id="0" w:name="_bookmark0"/>
      <w:bookmarkEnd w:id="0"/>
      <w:r>
        <w:rPr>
          <w:b/>
          <w:sz w:val="24"/>
        </w:rPr>
        <w:t>COMPARING</w:t>
      </w:r>
      <w:r>
        <w:rPr>
          <w:b/>
          <w:spacing w:val="-17"/>
          <w:sz w:val="24"/>
        </w:rPr>
        <w:t xml:space="preserve"> </w:t>
      </w:r>
      <w:r>
        <w:rPr>
          <w:b/>
          <w:sz w:val="24"/>
        </w:rPr>
        <w:t>THE</w:t>
      </w:r>
      <w:r>
        <w:rPr>
          <w:b/>
          <w:spacing w:val="-15"/>
          <w:sz w:val="24"/>
        </w:rPr>
        <w:t xml:space="preserve"> </w:t>
      </w:r>
      <w:r>
        <w:rPr>
          <w:b/>
          <w:sz w:val="24"/>
        </w:rPr>
        <w:t>EFFECTIVENESS</w:t>
      </w:r>
      <w:r>
        <w:rPr>
          <w:b/>
          <w:spacing w:val="-10"/>
          <w:sz w:val="24"/>
        </w:rPr>
        <w:t xml:space="preserve"> </w:t>
      </w:r>
      <w:r>
        <w:rPr>
          <w:b/>
          <w:sz w:val="24"/>
        </w:rPr>
        <w:t>OF</w:t>
      </w:r>
      <w:r>
        <w:rPr>
          <w:b/>
          <w:spacing w:val="-15"/>
          <w:sz w:val="24"/>
        </w:rPr>
        <w:t xml:space="preserve"> </w:t>
      </w:r>
      <w:r>
        <w:rPr>
          <w:b/>
          <w:sz w:val="24"/>
        </w:rPr>
        <w:t>NATURAL</w:t>
      </w:r>
      <w:r>
        <w:rPr>
          <w:b/>
          <w:spacing w:val="-29"/>
          <w:sz w:val="24"/>
        </w:rPr>
        <w:t xml:space="preserve"> </w:t>
      </w:r>
      <w:r>
        <w:rPr>
          <w:b/>
          <w:sz w:val="24"/>
        </w:rPr>
        <w:t>AND</w:t>
      </w:r>
      <w:r>
        <w:rPr>
          <w:b/>
          <w:spacing w:val="-8"/>
          <w:sz w:val="24"/>
        </w:rPr>
        <w:t xml:space="preserve"> </w:t>
      </w:r>
      <w:r>
        <w:rPr>
          <w:b/>
          <w:sz w:val="24"/>
        </w:rPr>
        <w:t>SYNTHETIC</w:t>
      </w:r>
      <w:r>
        <w:rPr>
          <w:b/>
          <w:spacing w:val="-15"/>
          <w:sz w:val="24"/>
        </w:rPr>
        <w:t xml:space="preserve"> </w:t>
      </w:r>
      <w:r>
        <w:rPr>
          <w:b/>
          <w:spacing w:val="-2"/>
          <w:sz w:val="24"/>
        </w:rPr>
        <w:t>ANTACIDS</w:t>
      </w:r>
    </w:p>
    <w:p w14:paraId="71B7B0CE" w14:textId="77777777" w:rsidR="00A02889" w:rsidRDefault="00A02889">
      <w:pPr>
        <w:pStyle w:val="BodyText"/>
        <w:rPr>
          <w:b/>
        </w:rPr>
      </w:pPr>
    </w:p>
    <w:p w14:paraId="2F06CFCA" w14:textId="77777777" w:rsidR="00A02889" w:rsidRDefault="00A02889">
      <w:pPr>
        <w:pStyle w:val="BodyText"/>
        <w:rPr>
          <w:b/>
        </w:rPr>
      </w:pPr>
    </w:p>
    <w:p w14:paraId="335E4316" w14:textId="77777777" w:rsidR="00A02889" w:rsidRDefault="00A02889">
      <w:pPr>
        <w:pStyle w:val="BodyText"/>
        <w:rPr>
          <w:b/>
        </w:rPr>
      </w:pPr>
    </w:p>
    <w:p w14:paraId="42408081" w14:textId="77777777" w:rsidR="00A02889" w:rsidRDefault="00A02889">
      <w:pPr>
        <w:pStyle w:val="BodyText"/>
        <w:rPr>
          <w:b/>
        </w:rPr>
      </w:pPr>
    </w:p>
    <w:p w14:paraId="3F8EA2B7" w14:textId="77777777" w:rsidR="00A02889" w:rsidRDefault="00A02889">
      <w:pPr>
        <w:pStyle w:val="BodyText"/>
        <w:rPr>
          <w:b/>
        </w:rPr>
      </w:pPr>
    </w:p>
    <w:p w14:paraId="5E0515C1" w14:textId="77777777" w:rsidR="00A02889" w:rsidRDefault="00A02889">
      <w:pPr>
        <w:pStyle w:val="BodyText"/>
        <w:rPr>
          <w:b/>
        </w:rPr>
      </w:pPr>
    </w:p>
    <w:p w14:paraId="04206DB3" w14:textId="77777777" w:rsidR="00A02889" w:rsidRDefault="00A02889">
      <w:pPr>
        <w:pStyle w:val="BodyText"/>
        <w:rPr>
          <w:b/>
        </w:rPr>
      </w:pPr>
    </w:p>
    <w:p w14:paraId="6B1D24AC" w14:textId="77777777" w:rsidR="00A02889" w:rsidRDefault="00A02889">
      <w:pPr>
        <w:pStyle w:val="BodyText"/>
        <w:rPr>
          <w:b/>
        </w:rPr>
      </w:pPr>
    </w:p>
    <w:p w14:paraId="5814C09C" w14:textId="77777777" w:rsidR="00A02889" w:rsidRDefault="00A02889">
      <w:pPr>
        <w:pStyle w:val="BodyText"/>
        <w:spacing w:before="247"/>
        <w:rPr>
          <w:b/>
        </w:rPr>
      </w:pPr>
    </w:p>
    <w:p w14:paraId="2F2E10B1" w14:textId="77777777" w:rsidR="00A02889" w:rsidRDefault="00000000">
      <w:pPr>
        <w:spacing w:before="1"/>
        <w:ind w:left="595" w:right="595"/>
        <w:jc w:val="center"/>
        <w:rPr>
          <w:b/>
          <w:sz w:val="24"/>
        </w:rPr>
      </w:pPr>
      <w:r>
        <w:rPr>
          <w:b/>
          <w:spacing w:val="-5"/>
          <w:sz w:val="24"/>
        </w:rPr>
        <w:t>BY</w:t>
      </w:r>
    </w:p>
    <w:p w14:paraId="15431EFC" w14:textId="77777777" w:rsidR="00A02889" w:rsidRDefault="00A02889">
      <w:pPr>
        <w:pStyle w:val="BodyText"/>
        <w:rPr>
          <w:b/>
        </w:rPr>
      </w:pPr>
    </w:p>
    <w:p w14:paraId="4B08645E" w14:textId="77777777" w:rsidR="00A02889" w:rsidRDefault="00A02889">
      <w:pPr>
        <w:pStyle w:val="BodyText"/>
        <w:rPr>
          <w:b/>
        </w:rPr>
      </w:pPr>
    </w:p>
    <w:p w14:paraId="1BFF342E" w14:textId="77777777" w:rsidR="00A02889" w:rsidRDefault="00A02889">
      <w:pPr>
        <w:pStyle w:val="BodyText"/>
        <w:rPr>
          <w:b/>
        </w:rPr>
      </w:pPr>
    </w:p>
    <w:p w14:paraId="28818DDF" w14:textId="77777777" w:rsidR="00A02889" w:rsidRDefault="00A02889">
      <w:pPr>
        <w:pStyle w:val="BodyText"/>
        <w:spacing w:before="125"/>
        <w:rPr>
          <w:b/>
        </w:rPr>
      </w:pPr>
    </w:p>
    <w:p w14:paraId="0D2C7098" w14:textId="77777777" w:rsidR="00A02889" w:rsidRDefault="00000000">
      <w:pPr>
        <w:spacing w:line="652" w:lineRule="auto"/>
        <w:ind w:left="3398" w:right="3394"/>
        <w:jc w:val="center"/>
        <w:rPr>
          <w:b/>
          <w:sz w:val="24"/>
        </w:rPr>
      </w:pPr>
      <w:r>
        <w:rPr>
          <w:b/>
          <w:sz w:val="24"/>
        </w:rPr>
        <w:t>IBRAHIM</w:t>
      </w:r>
      <w:r>
        <w:rPr>
          <w:b/>
          <w:spacing w:val="-15"/>
          <w:sz w:val="24"/>
        </w:rPr>
        <w:t xml:space="preserve"> </w:t>
      </w:r>
      <w:r>
        <w:rPr>
          <w:b/>
          <w:sz w:val="24"/>
        </w:rPr>
        <w:t xml:space="preserve">MUHAMMAD </w:t>
      </w:r>
      <w:r>
        <w:rPr>
          <w:b/>
          <w:spacing w:val="-2"/>
          <w:sz w:val="24"/>
        </w:rPr>
        <w:t>(2010312195)</w:t>
      </w:r>
    </w:p>
    <w:p w14:paraId="7CE81CC1" w14:textId="77777777" w:rsidR="00A02889" w:rsidRDefault="00A02889">
      <w:pPr>
        <w:pStyle w:val="BodyText"/>
        <w:rPr>
          <w:b/>
        </w:rPr>
      </w:pPr>
    </w:p>
    <w:p w14:paraId="6FA41863" w14:textId="77777777" w:rsidR="00A02889" w:rsidRDefault="00A02889">
      <w:pPr>
        <w:pStyle w:val="BodyText"/>
        <w:rPr>
          <w:b/>
        </w:rPr>
      </w:pPr>
    </w:p>
    <w:p w14:paraId="05488CF9" w14:textId="77777777" w:rsidR="00A02889" w:rsidRDefault="00A02889">
      <w:pPr>
        <w:pStyle w:val="BodyText"/>
        <w:rPr>
          <w:b/>
        </w:rPr>
      </w:pPr>
    </w:p>
    <w:p w14:paraId="4B54DB70" w14:textId="77777777" w:rsidR="00A02889" w:rsidRDefault="00A02889">
      <w:pPr>
        <w:pStyle w:val="BodyText"/>
        <w:rPr>
          <w:b/>
        </w:rPr>
      </w:pPr>
    </w:p>
    <w:p w14:paraId="11732D42" w14:textId="77777777" w:rsidR="00A02889" w:rsidRDefault="00A02889">
      <w:pPr>
        <w:pStyle w:val="BodyText"/>
        <w:spacing w:before="124"/>
        <w:rPr>
          <w:b/>
        </w:rPr>
      </w:pPr>
    </w:p>
    <w:p w14:paraId="0A9C0117" w14:textId="77777777" w:rsidR="00A02889" w:rsidRDefault="00000000">
      <w:pPr>
        <w:spacing w:line="480" w:lineRule="auto"/>
        <w:ind w:left="595" w:right="595"/>
        <w:jc w:val="center"/>
        <w:rPr>
          <w:b/>
          <w:sz w:val="24"/>
        </w:rPr>
      </w:pPr>
      <w:r>
        <w:rPr>
          <w:b/>
          <w:sz w:val="24"/>
        </w:rPr>
        <w:t>A</w:t>
      </w:r>
      <w:r>
        <w:rPr>
          <w:b/>
          <w:spacing w:val="-15"/>
          <w:sz w:val="24"/>
        </w:rPr>
        <w:t xml:space="preserve"> </w:t>
      </w:r>
      <w:r>
        <w:rPr>
          <w:b/>
          <w:sz w:val="24"/>
        </w:rPr>
        <w:t>PROJECT</w:t>
      </w:r>
      <w:r>
        <w:rPr>
          <w:b/>
          <w:spacing w:val="-15"/>
          <w:sz w:val="24"/>
        </w:rPr>
        <w:t xml:space="preserve"> </w:t>
      </w:r>
      <w:r>
        <w:rPr>
          <w:b/>
          <w:sz w:val="24"/>
        </w:rPr>
        <w:t>SUBMITTED</w:t>
      </w:r>
      <w:r>
        <w:rPr>
          <w:b/>
          <w:spacing w:val="-15"/>
          <w:sz w:val="24"/>
        </w:rPr>
        <w:t xml:space="preserve"> </w:t>
      </w:r>
      <w:r>
        <w:rPr>
          <w:b/>
          <w:sz w:val="24"/>
        </w:rPr>
        <w:t>TO</w:t>
      </w:r>
      <w:r>
        <w:rPr>
          <w:b/>
          <w:spacing w:val="-15"/>
          <w:sz w:val="24"/>
        </w:rPr>
        <w:t xml:space="preserve"> </w:t>
      </w:r>
      <w:r>
        <w:rPr>
          <w:b/>
          <w:sz w:val="24"/>
        </w:rPr>
        <w:t>THE</w:t>
      </w:r>
      <w:r>
        <w:rPr>
          <w:b/>
          <w:spacing w:val="-15"/>
          <w:sz w:val="24"/>
        </w:rPr>
        <w:t xml:space="preserve"> </w:t>
      </w:r>
      <w:r>
        <w:rPr>
          <w:b/>
          <w:sz w:val="24"/>
        </w:rPr>
        <w:t>DEPARTMENT</w:t>
      </w:r>
      <w:r>
        <w:rPr>
          <w:b/>
          <w:spacing w:val="-15"/>
          <w:sz w:val="24"/>
        </w:rPr>
        <w:t xml:space="preserve"> </w:t>
      </w:r>
      <w:r>
        <w:rPr>
          <w:b/>
          <w:sz w:val="24"/>
        </w:rPr>
        <w:t>OF</w:t>
      </w:r>
      <w:r>
        <w:rPr>
          <w:b/>
          <w:spacing w:val="-15"/>
          <w:sz w:val="24"/>
        </w:rPr>
        <w:t xml:space="preserve"> </w:t>
      </w:r>
      <w:r>
        <w:rPr>
          <w:b/>
          <w:sz w:val="24"/>
        </w:rPr>
        <w:t>ENERGY</w:t>
      </w:r>
      <w:r>
        <w:rPr>
          <w:b/>
          <w:spacing w:val="-20"/>
          <w:sz w:val="24"/>
        </w:rPr>
        <w:t xml:space="preserve"> </w:t>
      </w:r>
      <w:r>
        <w:rPr>
          <w:b/>
          <w:sz w:val="24"/>
        </w:rPr>
        <w:t>AND</w:t>
      </w:r>
      <w:r>
        <w:rPr>
          <w:b/>
          <w:spacing w:val="-15"/>
          <w:sz w:val="24"/>
        </w:rPr>
        <w:t xml:space="preserve"> </w:t>
      </w:r>
      <w:r>
        <w:rPr>
          <w:b/>
          <w:sz w:val="24"/>
        </w:rPr>
        <w:t>APPLIED CHEMISTRY, FACULTY</w:t>
      </w:r>
      <w:r>
        <w:rPr>
          <w:b/>
          <w:spacing w:val="-3"/>
          <w:sz w:val="24"/>
        </w:rPr>
        <w:t xml:space="preserve"> </w:t>
      </w:r>
      <w:r>
        <w:rPr>
          <w:b/>
          <w:sz w:val="24"/>
        </w:rPr>
        <w:t>OF</w:t>
      </w:r>
      <w:r>
        <w:rPr>
          <w:b/>
          <w:spacing w:val="-2"/>
          <w:sz w:val="24"/>
        </w:rPr>
        <w:t xml:space="preserve"> </w:t>
      </w:r>
      <w:r>
        <w:rPr>
          <w:b/>
          <w:sz w:val="24"/>
        </w:rPr>
        <w:t>CHEMICAL</w:t>
      </w:r>
      <w:r>
        <w:rPr>
          <w:b/>
          <w:spacing w:val="-21"/>
          <w:sz w:val="24"/>
        </w:rPr>
        <w:t xml:space="preserve"> </w:t>
      </w:r>
      <w:r>
        <w:rPr>
          <w:b/>
          <w:sz w:val="24"/>
        </w:rPr>
        <w:t>AND LIFE SCIENCES, USMANU DANFODIYO UNIVERSITY SOKOTO IN PARTIAL FULFILMENT OF</w:t>
      </w:r>
      <w:r>
        <w:rPr>
          <w:b/>
          <w:spacing w:val="-4"/>
          <w:sz w:val="24"/>
        </w:rPr>
        <w:t xml:space="preserve"> </w:t>
      </w:r>
      <w:r>
        <w:rPr>
          <w:b/>
          <w:sz w:val="24"/>
        </w:rPr>
        <w:t>THE</w:t>
      </w:r>
    </w:p>
    <w:p w14:paraId="1DE2871B" w14:textId="77777777" w:rsidR="00A02889" w:rsidRDefault="00000000">
      <w:pPr>
        <w:spacing w:line="482" w:lineRule="auto"/>
        <w:ind w:left="595" w:right="600"/>
        <w:jc w:val="center"/>
        <w:rPr>
          <w:b/>
          <w:sz w:val="24"/>
        </w:rPr>
      </w:pPr>
      <w:r>
        <w:rPr>
          <w:b/>
          <w:sz w:val="24"/>
        </w:rPr>
        <w:t>REQUIREMENTS</w:t>
      </w:r>
      <w:r>
        <w:rPr>
          <w:b/>
          <w:spacing w:val="-15"/>
          <w:sz w:val="24"/>
        </w:rPr>
        <w:t xml:space="preserve"> </w:t>
      </w:r>
      <w:r>
        <w:rPr>
          <w:b/>
          <w:sz w:val="24"/>
        </w:rPr>
        <w:t>FOR</w:t>
      </w:r>
      <w:r>
        <w:rPr>
          <w:b/>
          <w:spacing w:val="-15"/>
          <w:sz w:val="24"/>
        </w:rPr>
        <w:t xml:space="preserve"> </w:t>
      </w:r>
      <w:r>
        <w:rPr>
          <w:b/>
          <w:sz w:val="24"/>
        </w:rPr>
        <w:t>THE</w:t>
      </w:r>
      <w:r>
        <w:rPr>
          <w:b/>
          <w:spacing w:val="-15"/>
          <w:sz w:val="24"/>
        </w:rPr>
        <w:t xml:space="preserve"> </w:t>
      </w:r>
      <w:r>
        <w:rPr>
          <w:b/>
          <w:sz w:val="24"/>
        </w:rPr>
        <w:t>AWARD</w:t>
      </w:r>
      <w:r>
        <w:rPr>
          <w:b/>
          <w:spacing w:val="-15"/>
          <w:sz w:val="24"/>
        </w:rPr>
        <w:t xml:space="preserve"> </w:t>
      </w:r>
      <w:r>
        <w:rPr>
          <w:b/>
          <w:sz w:val="24"/>
        </w:rPr>
        <w:t>OF</w:t>
      </w:r>
      <w:r>
        <w:rPr>
          <w:b/>
          <w:spacing w:val="-15"/>
          <w:sz w:val="24"/>
        </w:rPr>
        <w:t xml:space="preserve"> </w:t>
      </w:r>
      <w:r>
        <w:rPr>
          <w:b/>
          <w:sz w:val="24"/>
        </w:rPr>
        <w:t>BACHELOR</w:t>
      </w:r>
      <w:r>
        <w:rPr>
          <w:b/>
          <w:spacing w:val="-15"/>
          <w:sz w:val="24"/>
        </w:rPr>
        <w:t xml:space="preserve"> </w:t>
      </w:r>
      <w:r>
        <w:rPr>
          <w:b/>
          <w:sz w:val="24"/>
        </w:rPr>
        <w:t>OF</w:t>
      </w:r>
      <w:r>
        <w:rPr>
          <w:b/>
          <w:spacing w:val="-15"/>
          <w:sz w:val="24"/>
        </w:rPr>
        <w:t xml:space="preserve"> </w:t>
      </w:r>
      <w:r>
        <w:rPr>
          <w:b/>
          <w:sz w:val="24"/>
        </w:rPr>
        <w:t>SCIENCE</w:t>
      </w:r>
      <w:r>
        <w:rPr>
          <w:b/>
          <w:spacing w:val="-14"/>
          <w:sz w:val="24"/>
        </w:rPr>
        <w:t xml:space="preserve"> </w:t>
      </w:r>
      <w:r>
        <w:rPr>
          <w:b/>
          <w:sz w:val="24"/>
        </w:rPr>
        <w:t>(B.Sc.</w:t>
      </w:r>
      <w:r>
        <w:rPr>
          <w:b/>
          <w:spacing w:val="-10"/>
          <w:sz w:val="24"/>
        </w:rPr>
        <w:t xml:space="preserve"> </w:t>
      </w:r>
      <w:r>
        <w:rPr>
          <w:b/>
          <w:sz w:val="24"/>
        </w:rPr>
        <w:t>Hons) DEGREE IN APPLIED CHEMISTRY</w:t>
      </w:r>
    </w:p>
    <w:p w14:paraId="1665CFAF" w14:textId="77777777" w:rsidR="00A02889" w:rsidRDefault="00A02889">
      <w:pPr>
        <w:pStyle w:val="BodyText"/>
        <w:rPr>
          <w:b/>
        </w:rPr>
      </w:pPr>
    </w:p>
    <w:p w14:paraId="5ADD1AE1" w14:textId="77777777" w:rsidR="00A02889" w:rsidRDefault="00A02889">
      <w:pPr>
        <w:pStyle w:val="BodyText"/>
        <w:rPr>
          <w:b/>
        </w:rPr>
      </w:pPr>
    </w:p>
    <w:p w14:paraId="6F5D0D51" w14:textId="77777777" w:rsidR="00A02889" w:rsidRDefault="00A02889">
      <w:pPr>
        <w:pStyle w:val="BodyText"/>
        <w:rPr>
          <w:b/>
        </w:rPr>
      </w:pPr>
    </w:p>
    <w:p w14:paraId="5FD4C5A0" w14:textId="77777777" w:rsidR="00A02889" w:rsidRDefault="00A02889">
      <w:pPr>
        <w:pStyle w:val="BodyText"/>
        <w:rPr>
          <w:b/>
        </w:rPr>
      </w:pPr>
    </w:p>
    <w:p w14:paraId="00AE65DE" w14:textId="77777777" w:rsidR="00A02889" w:rsidRDefault="00A02889">
      <w:pPr>
        <w:pStyle w:val="BodyText"/>
        <w:rPr>
          <w:b/>
        </w:rPr>
      </w:pPr>
    </w:p>
    <w:p w14:paraId="3D86A7DA" w14:textId="77777777" w:rsidR="00A02889" w:rsidRDefault="00A02889">
      <w:pPr>
        <w:pStyle w:val="BodyText"/>
        <w:spacing w:before="46"/>
        <w:rPr>
          <w:b/>
        </w:rPr>
      </w:pPr>
    </w:p>
    <w:p w14:paraId="71E2247E" w14:textId="77777777" w:rsidR="00A02889" w:rsidRDefault="00000000">
      <w:pPr>
        <w:pStyle w:val="Heading1"/>
        <w:spacing w:before="0"/>
        <w:ind w:left="597"/>
      </w:pPr>
      <w:r>
        <w:t>NOVEMBER,</w:t>
      </w:r>
      <w:r>
        <w:rPr>
          <w:spacing w:val="-1"/>
        </w:rPr>
        <w:t xml:space="preserve"> </w:t>
      </w:r>
      <w:r>
        <w:rPr>
          <w:spacing w:val="-2"/>
        </w:rPr>
        <w:t>2025.</w:t>
      </w:r>
    </w:p>
    <w:p w14:paraId="0B9EFA53" w14:textId="77777777" w:rsidR="00A02889" w:rsidRDefault="00A02889">
      <w:pPr>
        <w:pStyle w:val="Heading1"/>
        <w:sectPr w:rsidR="00A02889">
          <w:footerReference w:type="default" r:id="rId7"/>
          <w:type w:val="continuous"/>
          <w:pgSz w:w="12240" w:h="15840"/>
          <w:pgMar w:top="1360" w:right="720" w:bottom="1260" w:left="720" w:header="0" w:footer="1068" w:gutter="0"/>
          <w:pgNumType w:start="1"/>
          <w:cols w:space="720"/>
        </w:sectPr>
      </w:pPr>
    </w:p>
    <w:p w14:paraId="6CF60210" w14:textId="77777777" w:rsidR="00A02889" w:rsidRDefault="00000000">
      <w:pPr>
        <w:pStyle w:val="Heading1"/>
        <w:spacing w:before="78"/>
        <w:ind w:right="596"/>
      </w:pPr>
      <w:bookmarkStart w:id="1" w:name="_bookmark1"/>
      <w:bookmarkEnd w:id="1"/>
      <w:r>
        <w:rPr>
          <w:spacing w:val="-2"/>
        </w:rPr>
        <w:lastRenderedPageBreak/>
        <w:t>DEDICATION</w:t>
      </w:r>
    </w:p>
    <w:p w14:paraId="34BA1DB1" w14:textId="77777777" w:rsidR="00A02889" w:rsidRDefault="00000000">
      <w:pPr>
        <w:pStyle w:val="BodyText"/>
        <w:spacing w:before="271" w:line="482" w:lineRule="auto"/>
        <w:ind w:left="720"/>
      </w:pPr>
      <w:r>
        <w:t>I</w:t>
      </w:r>
      <w:r>
        <w:rPr>
          <w:spacing w:val="78"/>
        </w:rPr>
        <w:t xml:space="preserve"> </w:t>
      </w:r>
      <w:r>
        <w:t>dedicate</w:t>
      </w:r>
      <w:r>
        <w:rPr>
          <w:spacing w:val="80"/>
        </w:rPr>
        <w:t xml:space="preserve"> </w:t>
      </w:r>
      <w:r>
        <w:t>this</w:t>
      </w:r>
      <w:r>
        <w:rPr>
          <w:spacing w:val="80"/>
        </w:rPr>
        <w:t xml:space="preserve"> </w:t>
      </w:r>
      <w:r>
        <w:t>work</w:t>
      </w:r>
      <w:r>
        <w:rPr>
          <w:spacing w:val="80"/>
        </w:rPr>
        <w:t xml:space="preserve"> </w:t>
      </w:r>
      <w:r>
        <w:t>to</w:t>
      </w:r>
      <w:r>
        <w:rPr>
          <w:spacing w:val="80"/>
        </w:rPr>
        <w:t xml:space="preserve"> </w:t>
      </w:r>
      <w:r>
        <w:t>my</w:t>
      </w:r>
      <w:r>
        <w:rPr>
          <w:spacing w:val="74"/>
        </w:rPr>
        <w:t xml:space="preserve"> </w:t>
      </w:r>
      <w:r>
        <w:t>parent</w:t>
      </w:r>
      <w:r>
        <w:rPr>
          <w:spacing w:val="80"/>
        </w:rPr>
        <w:t xml:space="preserve"> </w:t>
      </w:r>
      <w:r>
        <w:t>and</w:t>
      </w:r>
      <w:r>
        <w:rPr>
          <w:spacing w:val="80"/>
        </w:rPr>
        <w:t xml:space="preserve"> </w:t>
      </w:r>
      <w:r>
        <w:t>families,</w:t>
      </w:r>
      <w:r>
        <w:rPr>
          <w:spacing w:val="80"/>
        </w:rPr>
        <w:t xml:space="preserve"> </w:t>
      </w:r>
      <w:r>
        <w:t>for</w:t>
      </w:r>
      <w:r>
        <w:rPr>
          <w:spacing w:val="80"/>
        </w:rPr>
        <w:t xml:space="preserve"> </w:t>
      </w:r>
      <w:r>
        <w:t>their</w:t>
      </w:r>
      <w:r>
        <w:rPr>
          <w:spacing w:val="80"/>
        </w:rPr>
        <w:t xml:space="preserve"> </w:t>
      </w:r>
      <w:r>
        <w:t>perseverance,</w:t>
      </w:r>
      <w:r>
        <w:rPr>
          <w:spacing w:val="80"/>
        </w:rPr>
        <w:t xml:space="preserve"> </w:t>
      </w:r>
      <w:r>
        <w:t>hard</w:t>
      </w:r>
      <w:r>
        <w:rPr>
          <w:spacing w:val="80"/>
        </w:rPr>
        <w:t xml:space="preserve"> </w:t>
      </w:r>
      <w:r>
        <w:t>work,</w:t>
      </w:r>
      <w:r>
        <w:rPr>
          <w:spacing w:val="80"/>
        </w:rPr>
        <w:t xml:space="preserve"> </w:t>
      </w:r>
      <w:r>
        <w:t>and unwavering dedication and support.</w:t>
      </w:r>
    </w:p>
    <w:p w14:paraId="6311EF22" w14:textId="77777777" w:rsidR="00A02889" w:rsidRDefault="00A02889">
      <w:pPr>
        <w:pStyle w:val="BodyText"/>
        <w:spacing w:line="482" w:lineRule="auto"/>
        <w:sectPr w:rsidR="00A02889">
          <w:pgSz w:w="12240" w:h="15840"/>
          <w:pgMar w:top="1640" w:right="720" w:bottom="1260" w:left="720" w:header="0" w:footer="1068" w:gutter="0"/>
          <w:cols w:space="720"/>
        </w:sectPr>
      </w:pPr>
    </w:p>
    <w:p w14:paraId="420FD167" w14:textId="77777777" w:rsidR="00A02889" w:rsidRDefault="00000000">
      <w:pPr>
        <w:pStyle w:val="Heading1"/>
      </w:pPr>
      <w:bookmarkStart w:id="2" w:name="_bookmark2"/>
      <w:bookmarkEnd w:id="2"/>
      <w:r>
        <w:rPr>
          <w:spacing w:val="-2"/>
        </w:rPr>
        <w:lastRenderedPageBreak/>
        <w:t>ACKNOWLEDGEMENTS</w:t>
      </w:r>
    </w:p>
    <w:p w14:paraId="73E14564" w14:textId="77777777" w:rsidR="00A02889" w:rsidRDefault="00000000">
      <w:pPr>
        <w:pStyle w:val="BodyText"/>
        <w:spacing w:before="272" w:line="482" w:lineRule="auto"/>
        <w:ind w:left="720" w:right="725"/>
        <w:jc w:val="both"/>
      </w:pPr>
      <w:r>
        <w:t xml:space="preserve">Alhamdulillah, I express my deepest gratitude to Allah (SWT) for His guidance, mercy, and countless blessings throughout my academic journey and life </w:t>
      </w:r>
      <w:proofErr w:type="spellStart"/>
      <w:r>
        <w:t>endeavours</w:t>
      </w:r>
      <w:proofErr w:type="spellEnd"/>
      <w:r>
        <w:t>.</w:t>
      </w:r>
    </w:p>
    <w:p w14:paraId="242FF987" w14:textId="77777777" w:rsidR="00A02889" w:rsidRDefault="00000000">
      <w:pPr>
        <w:pStyle w:val="BodyText"/>
        <w:spacing w:before="194" w:line="480" w:lineRule="auto"/>
        <w:ind w:left="720" w:right="717"/>
        <w:jc w:val="both"/>
      </w:pPr>
      <w:r>
        <w:t xml:space="preserve">First and foremost, I am profoundly grateful to my project supervisor, </w:t>
      </w:r>
      <w:proofErr w:type="spellStart"/>
      <w:r w:rsidR="008051F7">
        <w:t>Dr.E.V.C</w:t>
      </w:r>
      <w:proofErr w:type="spellEnd"/>
      <w:r w:rsidR="008051F7">
        <w:t xml:space="preserve"> Okoh</w:t>
      </w:r>
      <w:r>
        <w:t xml:space="preserve"> for his invaluable guidance, constructive criticism, and continuous support throughout the course of this research. Furthermore, I sincerely appreciate the Head of Department, Energy and Applied Chemistry, Prof. M. L. Muhammad, the Head of Department, Pure and Environmental Chemistry, Prof. A. M. Sokoto, and all lecturers in both Chemistry Departments for their dedication, leadership, and encouragement throughout my academic pursuit. My heartfelt appreciation also goes to Mal. Mukhtar Salihu Mukhtar, the Laboratory Technologist, for his tireless assistance, technical guidance, and support during the practical aspect of this work.</w:t>
      </w:r>
    </w:p>
    <w:p w14:paraId="5F846E9B" w14:textId="77777777" w:rsidR="00A02889" w:rsidRDefault="00000000">
      <w:pPr>
        <w:pStyle w:val="BodyText"/>
        <w:spacing w:before="200" w:line="480" w:lineRule="auto"/>
        <w:ind w:left="720" w:right="715"/>
        <w:jc w:val="both"/>
      </w:pPr>
      <w:r>
        <w:t>I am deeply indebted to my</w:t>
      </w:r>
      <w:r>
        <w:rPr>
          <w:spacing w:val="-2"/>
        </w:rPr>
        <w:t xml:space="preserve"> </w:t>
      </w:r>
      <w:r>
        <w:t>beloved parents,</w:t>
      </w:r>
      <w:r>
        <w:rPr>
          <w:spacing w:val="-5"/>
        </w:rPr>
        <w:t xml:space="preserve"> </w:t>
      </w:r>
      <w:r>
        <w:t xml:space="preserve">Alhaji Ibrahim Hassan and </w:t>
      </w:r>
      <w:proofErr w:type="spellStart"/>
      <w:r>
        <w:t>Hajiya</w:t>
      </w:r>
      <w:proofErr w:type="spellEnd"/>
      <w:r>
        <w:rPr>
          <w:spacing w:val="-6"/>
        </w:rPr>
        <w:t xml:space="preserve"> </w:t>
      </w:r>
      <w:r>
        <w:t>Aisha</w:t>
      </w:r>
      <w:r>
        <w:rPr>
          <w:spacing w:val="-9"/>
        </w:rPr>
        <w:t xml:space="preserve"> </w:t>
      </w:r>
      <w:r>
        <w:t>Abubakar, for their unwavering love, prayers, and financial support. My sincere appreciation also goes to my</w:t>
      </w:r>
      <w:r>
        <w:rPr>
          <w:spacing w:val="-4"/>
        </w:rPr>
        <w:t xml:space="preserve"> </w:t>
      </w:r>
      <w:r>
        <w:t>siblings;</w:t>
      </w:r>
      <w:r>
        <w:rPr>
          <w:spacing w:val="-9"/>
        </w:rPr>
        <w:t xml:space="preserve"> </w:t>
      </w:r>
      <w:r>
        <w:t>Alamain, Sadiq, Umar, Abdullahi, Mustapha, Hadiza,</w:t>
      </w:r>
      <w:r>
        <w:rPr>
          <w:spacing w:val="-11"/>
        </w:rPr>
        <w:t xml:space="preserve"> </w:t>
      </w:r>
      <w:proofErr w:type="spellStart"/>
      <w:r>
        <w:t>Aliiyu</w:t>
      </w:r>
      <w:proofErr w:type="spellEnd"/>
      <w:r>
        <w:t>,</w:t>
      </w:r>
      <w:r>
        <w:rPr>
          <w:spacing w:val="-8"/>
        </w:rPr>
        <w:t xml:space="preserve"> </w:t>
      </w:r>
      <w:r>
        <w:t>Aminu and others; for their constant love, prayers, and encouragement.</w:t>
      </w:r>
    </w:p>
    <w:p w14:paraId="769423D8" w14:textId="77777777" w:rsidR="00A02889" w:rsidRDefault="00000000">
      <w:pPr>
        <w:pStyle w:val="BodyText"/>
        <w:spacing w:before="202" w:line="480" w:lineRule="auto"/>
        <w:ind w:left="720" w:right="717"/>
        <w:jc w:val="both"/>
      </w:pPr>
      <w:r>
        <w:t xml:space="preserve">I would also like to thank my friends and course mates in the Department, especially Musab, </w:t>
      </w:r>
      <w:proofErr w:type="spellStart"/>
      <w:r>
        <w:t>Agaisa</w:t>
      </w:r>
      <w:proofErr w:type="spellEnd"/>
      <w:r>
        <w:t xml:space="preserve"> and others, for their camaraderie, support, and encouragement throughout our stay in the University. To everyone who supported me in one way or another, thank you for your prayers, guidance, and encouragement.</w:t>
      </w:r>
    </w:p>
    <w:p w14:paraId="2C30191F"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4C407348" w14:textId="77777777" w:rsidR="00A02889" w:rsidRDefault="00000000">
      <w:pPr>
        <w:pStyle w:val="Heading1"/>
        <w:ind w:right="596"/>
      </w:pPr>
      <w:bookmarkStart w:id="3" w:name="_bookmark3"/>
      <w:bookmarkEnd w:id="3"/>
      <w:r>
        <w:rPr>
          <w:spacing w:val="-6"/>
        </w:rPr>
        <w:lastRenderedPageBreak/>
        <w:t>APPROVAL</w:t>
      </w:r>
      <w:r>
        <w:rPr>
          <w:spacing w:val="1"/>
        </w:rPr>
        <w:t xml:space="preserve"> </w:t>
      </w:r>
      <w:r>
        <w:rPr>
          <w:spacing w:val="-4"/>
        </w:rPr>
        <w:t>PAGE</w:t>
      </w:r>
    </w:p>
    <w:p w14:paraId="5F9373C3" w14:textId="77777777" w:rsidR="00A02889" w:rsidRDefault="00000000">
      <w:pPr>
        <w:pStyle w:val="BodyText"/>
        <w:spacing w:before="272" w:line="480" w:lineRule="auto"/>
        <w:ind w:left="720" w:right="718"/>
        <w:jc w:val="both"/>
      </w:pPr>
      <w:r>
        <w:t>This is to certify</w:t>
      </w:r>
      <w:r>
        <w:rPr>
          <w:spacing w:val="-5"/>
        </w:rPr>
        <w:t xml:space="preserve"> </w:t>
      </w:r>
      <w:r>
        <w:t>that this project report</w:t>
      </w:r>
      <w:r>
        <w:rPr>
          <w:spacing w:val="-1"/>
        </w:rPr>
        <w:t xml:space="preserve"> </w:t>
      </w:r>
      <w:r>
        <w:t>by</w:t>
      </w:r>
      <w:r>
        <w:rPr>
          <w:spacing w:val="-1"/>
        </w:rPr>
        <w:t xml:space="preserve"> </w:t>
      </w:r>
      <w:r>
        <w:rPr>
          <w:b/>
        </w:rPr>
        <w:t>IBRAHIM</w:t>
      </w:r>
      <w:r>
        <w:rPr>
          <w:b/>
          <w:spacing w:val="-1"/>
        </w:rPr>
        <w:t xml:space="preserve"> </w:t>
      </w:r>
      <w:r>
        <w:rPr>
          <w:b/>
        </w:rPr>
        <w:t xml:space="preserve">MUHAMMAD </w:t>
      </w:r>
      <w:r>
        <w:t>has met the</w:t>
      </w:r>
      <w:r>
        <w:rPr>
          <w:spacing w:val="-1"/>
        </w:rPr>
        <w:t xml:space="preserve"> </w:t>
      </w:r>
      <w:r>
        <w:t>requirements for</w:t>
      </w:r>
      <w:r>
        <w:rPr>
          <w:spacing w:val="-8"/>
        </w:rPr>
        <w:t xml:space="preserve"> </w:t>
      </w:r>
      <w:r>
        <w:t>the</w:t>
      </w:r>
      <w:r>
        <w:rPr>
          <w:spacing w:val="-15"/>
        </w:rPr>
        <w:t xml:space="preserve"> </w:t>
      </w:r>
      <w:r>
        <w:t>Award</w:t>
      </w:r>
      <w:r>
        <w:rPr>
          <w:spacing w:val="-3"/>
        </w:rPr>
        <w:t xml:space="preserve"> </w:t>
      </w:r>
      <w:r>
        <w:t>of</w:t>
      </w:r>
      <w:r>
        <w:rPr>
          <w:spacing w:val="-4"/>
        </w:rPr>
        <w:t xml:space="preserve"> </w:t>
      </w:r>
      <w:r>
        <w:t>the</w:t>
      </w:r>
      <w:r>
        <w:rPr>
          <w:spacing w:val="-3"/>
        </w:rPr>
        <w:t xml:space="preserve"> </w:t>
      </w:r>
      <w:r>
        <w:t>Bachelor</w:t>
      </w:r>
      <w:r>
        <w:rPr>
          <w:spacing w:val="-4"/>
        </w:rPr>
        <w:t xml:space="preserve"> </w:t>
      </w:r>
      <w:r>
        <w:t>of</w:t>
      </w:r>
      <w:r>
        <w:rPr>
          <w:spacing w:val="-5"/>
        </w:rPr>
        <w:t xml:space="preserve"> </w:t>
      </w:r>
      <w:r>
        <w:t>Science</w:t>
      </w:r>
      <w:r>
        <w:rPr>
          <w:spacing w:val="-5"/>
        </w:rPr>
        <w:t xml:space="preserve"> </w:t>
      </w:r>
      <w:r>
        <w:t>Degree</w:t>
      </w:r>
      <w:r>
        <w:rPr>
          <w:spacing w:val="-5"/>
        </w:rPr>
        <w:t xml:space="preserve"> </w:t>
      </w:r>
      <w:r>
        <w:t>in</w:t>
      </w:r>
      <w:r>
        <w:rPr>
          <w:spacing w:val="-15"/>
        </w:rPr>
        <w:t xml:space="preserve"> </w:t>
      </w:r>
      <w:r>
        <w:t>Applied</w:t>
      </w:r>
      <w:r>
        <w:rPr>
          <w:spacing w:val="-4"/>
        </w:rPr>
        <w:t xml:space="preserve"> </w:t>
      </w:r>
      <w:r>
        <w:t>Chemistry</w:t>
      </w:r>
      <w:r>
        <w:rPr>
          <w:spacing w:val="-8"/>
        </w:rPr>
        <w:t xml:space="preserve"> </w:t>
      </w:r>
      <w:r>
        <w:t>of</w:t>
      </w:r>
      <w:r>
        <w:rPr>
          <w:spacing w:val="-4"/>
        </w:rPr>
        <w:t xml:space="preserve"> </w:t>
      </w:r>
      <w:r>
        <w:t>the</w:t>
      </w:r>
      <w:r>
        <w:rPr>
          <w:spacing w:val="-5"/>
        </w:rPr>
        <w:t xml:space="preserve"> </w:t>
      </w:r>
      <w:proofErr w:type="spellStart"/>
      <w:r>
        <w:t>Usmanu</w:t>
      </w:r>
      <w:proofErr w:type="spellEnd"/>
      <w:r>
        <w:rPr>
          <w:spacing w:val="-4"/>
        </w:rPr>
        <w:t xml:space="preserve"> </w:t>
      </w:r>
      <w:proofErr w:type="spellStart"/>
      <w:r>
        <w:t>Danfodiyo</w:t>
      </w:r>
      <w:proofErr w:type="spellEnd"/>
      <w:r>
        <w:t xml:space="preserve"> University, Sokoto and is approved for its contribution to knowledge.</w:t>
      </w:r>
    </w:p>
    <w:p w14:paraId="36CCDB2E" w14:textId="77777777" w:rsidR="00A02889" w:rsidRDefault="00A02889">
      <w:pPr>
        <w:pStyle w:val="BodyText"/>
      </w:pPr>
    </w:p>
    <w:p w14:paraId="6C01374B" w14:textId="77777777" w:rsidR="00A02889" w:rsidRDefault="00A02889">
      <w:pPr>
        <w:pStyle w:val="BodyText"/>
      </w:pPr>
    </w:p>
    <w:p w14:paraId="05B3324F" w14:textId="77777777" w:rsidR="00A02889" w:rsidRDefault="00A02889">
      <w:pPr>
        <w:pStyle w:val="BodyText"/>
      </w:pPr>
    </w:p>
    <w:p w14:paraId="469DB021" w14:textId="77777777" w:rsidR="00A02889" w:rsidRDefault="00A02889">
      <w:pPr>
        <w:pStyle w:val="BodyText"/>
      </w:pPr>
    </w:p>
    <w:p w14:paraId="2A7ABB01" w14:textId="77777777" w:rsidR="00A02889" w:rsidRDefault="00A02889">
      <w:pPr>
        <w:pStyle w:val="BodyText"/>
        <w:spacing w:before="56"/>
      </w:pPr>
    </w:p>
    <w:p w14:paraId="4164E71C" w14:textId="77777777" w:rsidR="00A02889" w:rsidRDefault="00000000">
      <w:pPr>
        <w:tabs>
          <w:tab w:val="left" w:pos="7119"/>
        </w:tabs>
        <w:ind w:left="720"/>
        <w:rPr>
          <w:b/>
          <w:sz w:val="24"/>
        </w:rPr>
      </w:pPr>
      <w:r>
        <w:rPr>
          <w:b/>
          <w:spacing w:val="-2"/>
          <w:sz w:val="24"/>
        </w:rPr>
        <w:t>----------------------------</w:t>
      </w:r>
      <w:r>
        <w:rPr>
          <w:b/>
          <w:spacing w:val="-10"/>
          <w:sz w:val="24"/>
        </w:rPr>
        <w:t>-</w:t>
      </w:r>
      <w:r>
        <w:rPr>
          <w:b/>
          <w:sz w:val="24"/>
        </w:rPr>
        <w:tab/>
      </w:r>
      <w:r>
        <w:rPr>
          <w:b/>
          <w:spacing w:val="-2"/>
          <w:sz w:val="24"/>
        </w:rPr>
        <w:t>------------------------------</w:t>
      </w:r>
      <w:r>
        <w:rPr>
          <w:b/>
          <w:spacing w:val="-10"/>
          <w:sz w:val="24"/>
        </w:rPr>
        <w:t>-</w:t>
      </w:r>
    </w:p>
    <w:p w14:paraId="5702FD87" w14:textId="77777777" w:rsidR="00A02889" w:rsidRDefault="00A02889">
      <w:pPr>
        <w:pStyle w:val="BodyText"/>
        <w:spacing w:before="58"/>
        <w:rPr>
          <w:b/>
        </w:rPr>
      </w:pPr>
    </w:p>
    <w:p w14:paraId="28C51483" w14:textId="77777777" w:rsidR="00A02889" w:rsidRDefault="00000000">
      <w:pPr>
        <w:pStyle w:val="BodyText"/>
        <w:tabs>
          <w:tab w:val="left" w:pos="7201"/>
        </w:tabs>
        <w:ind w:left="720"/>
      </w:pPr>
      <w:r>
        <w:rPr>
          <w:spacing w:val="-2"/>
        </w:rPr>
        <w:t>Dr.</w:t>
      </w:r>
      <w:r>
        <w:rPr>
          <w:spacing w:val="-14"/>
        </w:rPr>
        <w:t xml:space="preserve"> </w:t>
      </w:r>
      <w:r>
        <w:rPr>
          <w:spacing w:val="-2"/>
        </w:rPr>
        <w:t>E.V.</w:t>
      </w:r>
      <w:r>
        <w:rPr>
          <w:spacing w:val="-11"/>
        </w:rPr>
        <w:t xml:space="preserve"> </w:t>
      </w:r>
      <w:r>
        <w:rPr>
          <w:spacing w:val="-2"/>
        </w:rPr>
        <w:t>C</w:t>
      </w:r>
      <w:r>
        <w:rPr>
          <w:spacing w:val="-11"/>
        </w:rPr>
        <w:t xml:space="preserve"> </w:t>
      </w:r>
      <w:r>
        <w:rPr>
          <w:spacing w:val="-4"/>
        </w:rPr>
        <w:t>Oko</w:t>
      </w:r>
      <w:r w:rsidR="00AA3F51">
        <w:rPr>
          <w:spacing w:val="-4"/>
        </w:rPr>
        <w:t>h</w:t>
      </w:r>
      <w:r>
        <w:rPr>
          <w:spacing w:val="-4"/>
        </w:rPr>
        <w:t>.</w:t>
      </w:r>
      <w:r>
        <w:tab/>
      </w:r>
      <w:r>
        <w:rPr>
          <w:spacing w:val="-4"/>
        </w:rPr>
        <w:t>Date</w:t>
      </w:r>
    </w:p>
    <w:p w14:paraId="2BB0B1B8" w14:textId="77777777" w:rsidR="00A02889" w:rsidRDefault="00A02889">
      <w:pPr>
        <w:pStyle w:val="BodyText"/>
        <w:spacing w:before="62"/>
      </w:pPr>
    </w:p>
    <w:p w14:paraId="349EA84D" w14:textId="77777777" w:rsidR="00A02889" w:rsidRDefault="00000000">
      <w:pPr>
        <w:pStyle w:val="BodyText"/>
        <w:ind w:left="720"/>
      </w:pPr>
      <w:r>
        <w:rPr>
          <w:spacing w:val="-2"/>
        </w:rPr>
        <w:t>(Supervisor)</w:t>
      </w:r>
    </w:p>
    <w:p w14:paraId="45AB5E40" w14:textId="77777777" w:rsidR="00A02889" w:rsidRDefault="00A02889">
      <w:pPr>
        <w:pStyle w:val="BodyText"/>
      </w:pPr>
    </w:p>
    <w:p w14:paraId="5A4B93A4" w14:textId="77777777" w:rsidR="00A02889" w:rsidRDefault="00A02889">
      <w:pPr>
        <w:pStyle w:val="BodyText"/>
      </w:pPr>
    </w:p>
    <w:p w14:paraId="206BE4FB" w14:textId="77777777" w:rsidR="00A02889" w:rsidRDefault="00A02889">
      <w:pPr>
        <w:pStyle w:val="BodyText"/>
        <w:spacing w:before="127"/>
      </w:pPr>
    </w:p>
    <w:p w14:paraId="663C21F6" w14:textId="77777777" w:rsidR="00A02889" w:rsidRDefault="00000000">
      <w:pPr>
        <w:tabs>
          <w:tab w:val="left" w:pos="7059"/>
        </w:tabs>
        <w:spacing w:before="1"/>
        <w:ind w:left="720"/>
        <w:rPr>
          <w:b/>
          <w:sz w:val="24"/>
        </w:rPr>
      </w:pPr>
      <w:r>
        <w:rPr>
          <w:b/>
          <w:spacing w:val="-2"/>
          <w:sz w:val="24"/>
        </w:rPr>
        <w:t>----------------------------</w:t>
      </w:r>
      <w:r>
        <w:rPr>
          <w:b/>
          <w:spacing w:val="-10"/>
          <w:sz w:val="24"/>
        </w:rPr>
        <w:t>-</w:t>
      </w:r>
      <w:r>
        <w:rPr>
          <w:b/>
          <w:sz w:val="24"/>
        </w:rPr>
        <w:tab/>
      </w:r>
      <w:r>
        <w:rPr>
          <w:b/>
          <w:spacing w:val="-2"/>
          <w:sz w:val="24"/>
        </w:rPr>
        <w:t>-----------------------------</w:t>
      </w:r>
      <w:r>
        <w:rPr>
          <w:b/>
          <w:spacing w:val="-10"/>
          <w:sz w:val="24"/>
        </w:rPr>
        <w:t>-</w:t>
      </w:r>
    </w:p>
    <w:p w14:paraId="2BEFBDB9" w14:textId="77777777" w:rsidR="00A02889" w:rsidRDefault="00A02889">
      <w:pPr>
        <w:pStyle w:val="BodyText"/>
        <w:spacing w:before="57"/>
        <w:rPr>
          <w:b/>
        </w:rPr>
      </w:pPr>
    </w:p>
    <w:p w14:paraId="274E3681" w14:textId="77777777" w:rsidR="00A02889" w:rsidRDefault="00000000">
      <w:pPr>
        <w:pStyle w:val="BodyText"/>
        <w:tabs>
          <w:tab w:val="left" w:pos="7261"/>
        </w:tabs>
        <w:ind w:left="780"/>
      </w:pPr>
      <w:r>
        <w:t>(Eternal</w:t>
      </w:r>
      <w:r>
        <w:rPr>
          <w:spacing w:val="-4"/>
        </w:rPr>
        <w:t xml:space="preserve"> </w:t>
      </w:r>
      <w:r>
        <w:rPr>
          <w:spacing w:val="-2"/>
        </w:rPr>
        <w:t>Examiner)</w:t>
      </w:r>
      <w:r>
        <w:tab/>
      </w:r>
      <w:r>
        <w:rPr>
          <w:spacing w:val="-4"/>
        </w:rPr>
        <w:t>Date</w:t>
      </w:r>
    </w:p>
    <w:p w14:paraId="7E8DB399" w14:textId="77777777" w:rsidR="00A02889" w:rsidRDefault="00A02889">
      <w:pPr>
        <w:pStyle w:val="BodyText"/>
      </w:pPr>
    </w:p>
    <w:p w14:paraId="1D2FF264" w14:textId="77777777" w:rsidR="00A02889" w:rsidRDefault="00A02889">
      <w:pPr>
        <w:pStyle w:val="BodyText"/>
      </w:pPr>
    </w:p>
    <w:p w14:paraId="537298E7" w14:textId="77777777" w:rsidR="00A02889" w:rsidRDefault="00A02889">
      <w:pPr>
        <w:pStyle w:val="BodyText"/>
      </w:pPr>
    </w:p>
    <w:p w14:paraId="6E60C70F" w14:textId="77777777" w:rsidR="00A02889" w:rsidRDefault="00A02889">
      <w:pPr>
        <w:pStyle w:val="BodyText"/>
      </w:pPr>
    </w:p>
    <w:p w14:paraId="11C16EEE" w14:textId="77777777" w:rsidR="00A02889" w:rsidRDefault="00A02889">
      <w:pPr>
        <w:pStyle w:val="BodyText"/>
        <w:spacing w:before="190"/>
      </w:pPr>
    </w:p>
    <w:p w14:paraId="44C96A44" w14:textId="77777777" w:rsidR="00A02889" w:rsidRDefault="00000000">
      <w:pPr>
        <w:tabs>
          <w:tab w:val="left" w:pos="6999"/>
        </w:tabs>
        <w:ind w:left="720"/>
        <w:rPr>
          <w:b/>
          <w:sz w:val="24"/>
        </w:rPr>
      </w:pPr>
      <w:r>
        <w:rPr>
          <w:b/>
          <w:spacing w:val="-2"/>
          <w:sz w:val="24"/>
        </w:rPr>
        <w:t>----------------------------</w:t>
      </w:r>
      <w:r>
        <w:rPr>
          <w:b/>
          <w:spacing w:val="-10"/>
          <w:sz w:val="24"/>
        </w:rPr>
        <w:t>-</w:t>
      </w:r>
      <w:r>
        <w:rPr>
          <w:b/>
          <w:sz w:val="24"/>
        </w:rPr>
        <w:tab/>
      </w:r>
      <w:r>
        <w:rPr>
          <w:b/>
          <w:spacing w:val="-2"/>
          <w:sz w:val="24"/>
        </w:rPr>
        <w:t>------------------------------</w:t>
      </w:r>
      <w:r>
        <w:rPr>
          <w:b/>
          <w:spacing w:val="-10"/>
          <w:sz w:val="24"/>
        </w:rPr>
        <w:t>-</w:t>
      </w:r>
    </w:p>
    <w:p w14:paraId="7DFE8951" w14:textId="77777777" w:rsidR="00A02889" w:rsidRDefault="00A02889">
      <w:pPr>
        <w:pStyle w:val="BodyText"/>
        <w:spacing w:before="58"/>
        <w:rPr>
          <w:b/>
        </w:rPr>
      </w:pPr>
    </w:p>
    <w:p w14:paraId="28E6E7BB" w14:textId="77777777" w:rsidR="00A02889" w:rsidRDefault="00000000">
      <w:pPr>
        <w:pStyle w:val="BodyText"/>
        <w:tabs>
          <w:tab w:val="left" w:pos="7201"/>
        </w:tabs>
        <w:ind w:left="720"/>
      </w:pPr>
      <w:r>
        <w:t>Prof.</w:t>
      </w:r>
      <w:r>
        <w:rPr>
          <w:spacing w:val="-3"/>
        </w:rPr>
        <w:t xml:space="preserve"> </w:t>
      </w:r>
      <w:r>
        <w:t>M. L.</w:t>
      </w:r>
      <w:r>
        <w:rPr>
          <w:spacing w:val="-2"/>
        </w:rPr>
        <w:t xml:space="preserve"> Muhammad</w:t>
      </w:r>
      <w:r>
        <w:tab/>
      </w:r>
      <w:r>
        <w:rPr>
          <w:spacing w:val="-4"/>
        </w:rPr>
        <w:t>Date</w:t>
      </w:r>
    </w:p>
    <w:p w14:paraId="3D54BBCA" w14:textId="77777777" w:rsidR="00A02889" w:rsidRDefault="00A02889">
      <w:pPr>
        <w:pStyle w:val="BodyText"/>
        <w:spacing w:before="62"/>
      </w:pPr>
    </w:p>
    <w:p w14:paraId="76B4F977" w14:textId="77777777" w:rsidR="00A02889" w:rsidRDefault="00000000">
      <w:pPr>
        <w:pStyle w:val="BodyText"/>
        <w:ind w:left="720"/>
      </w:pPr>
      <w:r>
        <w:t>(Head</w:t>
      </w:r>
      <w:r>
        <w:rPr>
          <w:spacing w:val="-2"/>
        </w:rPr>
        <w:t xml:space="preserve"> </w:t>
      </w:r>
      <w:r>
        <w:t>of</w:t>
      </w:r>
      <w:r>
        <w:rPr>
          <w:spacing w:val="-2"/>
        </w:rPr>
        <w:t xml:space="preserve"> </w:t>
      </w:r>
      <w:r>
        <w:t>the</w:t>
      </w:r>
      <w:r>
        <w:rPr>
          <w:spacing w:val="-2"/>
        </w:rPr>
        <w:t xml:space="preserve"> Department)</w:t>
      </w:r>
    </w:p>
    <w:p w14:paraId="17D33634" w14:textId="77777777" w:rsidR="00A02889" w:rsidRDefault="00A02889">
      <w:pPr>
        <w:pStyle w:val="BodyText"/>
        <w:sectPr w:rsidR="00A02889">
          <w:pgSz w:w="12240" w:h="15840"/>
          <w:pgMar w:top="1360" w:right="720" w:bottom="1260" w:left="720" w:header="0" w:footer="1068" w:gutter="0"/>
          <w:cols w:space="720"/>
        </w:sectPr>
      </w:pPr>
    </w:p>
    <w:p w14:paraId="1CD338FE" w14:textId="77777777" w:rsidR="00A02889" w:rsidRDefault="00000000">
      <w:pPr>
        <w:pStyle w:val="Heading1"/>
        <w:spacing w:before="78"/>
        <w:ind w:right="596"/>
      </w:pPr>
      <w:bookmarkStart w:id="4" w:name="_bookmark4"/>
      <w:bookmarkEnd w:id="4"/>
      <w:r>
        <w:rPr>
          <w:spacing w:val="-2"/>
        </w:rPr>
        <w:lastRenderedPageBreak/>
        <w:t>DECLARATION</w:t>
      </w:r>
    </w:p>
    <w:p w14:paraId="6E3E226A" w14:textId="77777777" w:rsidR="00A02889" w:rsidRDefault="00000000">
      <w:pPr>
        <w:pStyle w:val="BodyText"/>
        <w:spacing w:before="271" w:line="480" w:lineRule="auto"/>
        <w:ind w:left="720" w:right="724"/>
        <w:jc w:val="both"/>
      </w:pPr>
      <w:r>
        <w:t>I</w:t>
      </w:r>
      <w:r>
        <w:rPr>
          <w:spacing w:val="-3"/>
        </w:rPr>
        <w:t xml:space="preserve"> </w:t>
      </w:r>
      <w:r>
        <w:t>hereby</w:t>
      </w:r>
      <w:r>
        <w:rPr>
          <w:spacing w:val="-5"/>
        </w:rPr>
        <w:t xml:space="preserve"> </w:t>
      </w:r>
      <w:r>
        <w:t>declare</w:t>
      </w:r>
      <w:r>
        <w:rPr>
          <w:spacing w:val="-2"/>
        </w:rPr>
        <w:t xml:space="preserve"> </w:t>
      </w:r>
      <w:r>
        <w:t>that this project is based on my</w:t>
      </w:r>
      <w:r>
        <w:rPr>
          <w:spacing w:val="-5"/>
        </w:rPr>
        <w:t xml:space="preserve"> </w:t>
      </w:r>
      <w:r>
        <w:t>original work except for</w:t>
      </w:r>
      <w:r>
        <w:rPr>
          <w:spacing w:val="-2"/>
        </w:rPr>
        <w:t xml:space="preserve"> </w:t>
      </w:r>
      <w:r>
        <w:t xml:space="preserve">quotations and citations which have been duly acknowledged. I also declare that it has not been previously or concurrently submitted for any other degree at </w:t>
      </w:r>
      <w:proofErr w:type="spellStart"/>
      <w:r>
        <w:t>Usmanu</w:t>
      </w:r>
      <w:proofErr w:type="spellEnd"/>
      <w:r>
        <w:t xml:space="preserve"> </w:t>
      </w:r>
      <w:proofErr w:type="spellStart"/>
      <w:r>
        <w:t>Danfodiyo</w:t>
      </w:r>
      <w:proofErr w:type="spellEnd"/>
      <w:r>
        <w:t xml:space="preserve"> University, Sokoto.</w:t>
      </w:r>
    </w:p>
    <w:p w14:paraId="60BB3AE9" w14:textId="77777777" w:rsidR="00A02889" w:rsidRDefault="00A02889">
      <w:pPr>
        <w:pStyle w:val="BodyText"/>
      </w:pPr>
    </w:p>
    <w:p w14:paraId="09CFE6F9" w14:textId="77777777" w:rsidR="00A02889" w:rsidRDefault="00A02889">
      <w:pPr>
        <w:pStyle w:val="BodyText"/>
      </w:pPr>
    </w:p>
    <w:p w14:paraId="07DC8845" w14:textId="77777777" w:rsidR="00A02889" w:rsidRDefault="00A02889">
      <w:pPr>
        <w:pStyle w:val="BodyText"/>
      </w:pPr>
    </w:p>
    <w:p w14:paraId="3264802E" w14:textId="77777777" w:rsidR="00A02889" w:rsidRDefault="00A02889">
      <w:pPr>
        <w:pStyle w:val="BodyText"/>
      </w:pPr>
    </w:p>
    <w:p w14:paraId="549638A1" w14:textId="77777777" w:rsidR="00A02889" w:rsidRDefault="00A02889">
      <w:pPr>
        <w:pStyle w:val="BodyText"/>
      </w:pPr>
    </w:p>
    <w:p w14:paraId="2207631D" w14:textId="77777777" w:rsidR="00A02889" w:rsidRDefault="00A02889">
      <w:pPr>
        <w:pStyle w:val="BodyText"/>
      </w:pPr>
    </w:p>
    <w:p w14:paraId="10721539" w14:textId="77777777" w:rsidR="00A02889" w:rsidRDefault="00A02889">
      <w:pPr>
        <w:pStyle w:val="BodyText"/>
      </w:pPr>
    </w:p>
    <w:p w14:paraId="03A4DC57" w14:textId="77777777" w:rsidR="00A02889" w:rsidRDefault="00A02889">
      <w:pPr>
        <w:pStyle w:val="BodyText"/>
      </w:pPr>
    </w:p>
    <w:p w14:paraId="66A5A4A9" w14:textId="77777777" w:rsidR="00A02889" w:rsidRDefault="00A02889">
      <w:pPr>
        <w:pStyle w:val="BodyText"/>
      </w:pPr>
    </w:p>
    <w:p w14:paraId="7BAAC3ED" w14:textId="77777777" w:rsidR="00A02889" w:rsidRDefault="00A02889">
      <w:pPr>
        <w:pStyle w:val="BodyText"/>
      </w:pPr>
    </w:p>
    <w:p w14:paraId="612B67D0" w14:textId="77777777" w:rsidR="00A02889" w:rsidRDefault="00A02889">
      <w:pPr>
        <w:pStyle w:val="BodyText"/>
        <w:spacing w:before="178"/>
      </w:pPr>
    </w:p>
    <w:p w14:paraId="593A7532" w14:textId="77777777" w:rsidR="00A02889" w:rsidRDefault="00000000">
      <w:pPr>
        <w:tabs>
          <w:tab w:val="left" w:pos="6639"/>
        </w:tabs>
        <w:ind w:left="720"/>
        <w:jc w:val="both"/>
        <w:rPr>
          <w:b/>
          <w:sz w:val="24"/>
        </w:rPr>
      </w:pPr>
      <w:r>
        <w:rPr>
          <w:b/>
          <w:spacing w:val="-2"/>
          <w:sz w:val="24"/>
        </w:rPr>
        <w:t>----------------------------</w:t>
      </w:r>
      <w:r>
        <w:rPr>
          <w:b/>
          <w:spacing w:val="-10"/>
          <w:sz w:val="24"/>
        </w:rPr>
        <w:t>-</w:t>
      </w:r>
      <w:r>
        <w:rPr>
          <w:b/>
          <w:sz w:val="24"/>
        </w:rPr>
        <w:tab/>
      </w:r>
      <w:r>
        <w:rPr>
          <w:b/>
          <w:spacing w:val="-2"/>
          <w:sz w:val="24"/>
        </w:rPr>
        <w:t>-------------------------</w:t>
      </w:r>
      <w:r>
        <w:rPr>
          <w:b/>
          <w:spacing w:val="-10"/>
          <w:sz w:val="24"/>
        </w:rPr>
        <w:t>-</w:t>
      </w:r>
    </w:p>
    <w:p w14:paraId="32AEE8D0" w14:textId="77777777" w:rsidR="00A02889" w:rsidRDefault="00A02889">
      <w:pPr>
        <w:pStyle w:val="BodyText"/>
        <w:spacing w:before="200"/>
        <w:rPr>
          <w:b/>
        </w:rPr>
      </w:pPr>
    </w:p>
    <w:p w14:paraId="7B2651BE" w14:textId="77777777" w:rsidR="00A02889" w:rsidRDefault="00000000">
      <w:pPr>
        <w:tabs>
          <w:tab w:val="left" w:pos="7201"/>
        </w:tabs>
        <w:ind w:left="720"/>
        <w:jc w:val="both"/>
        <w:rPr>
          <w:b/>
          <w:sz w:val="24"/>
        </w:rPr>
      </w:pPr>
      <w:r>
        <w:rPr>
          <w:b/>
          <w:sz w:val="24"/>
        </w:rPr>
        <w:t>Ibrahim</w:t>
      </w:r>
      <w:r>
        <w:rPr>
          <w:b/>
          <w:spacing w:val="-6"/>
          <w:sz w:val="24"/>
        </w:rPr>
        <w:t xml:space="preserve"> </w:t>
      </w:r>
      <w:r>
        <w:rPr>
          <w:b/>
          <w:spacing w:val="-2"/>
          <w:sz w:val="24"/>
        </w:rPr>
        <w:t>Muhammad</w:t>
      </w:r>
      <w:r>
        <w:rPr>
          <w:b/>
          <w:sz w:val="24"/>
        </w:rPr>
        <w:tab/>
      </w:r>
      <w:r>
        <w:rPr>
          <w:b/>
          <w:spacing w:val="-4"/>
          <w:sz w:val="24"/>
        </w:rPr>
        <w:t>Date</w:t>
      </w:r>
    </w:p>
    <w:p w14:paraId="081AF298" w14:textId="77777777" w:rsidR="00A02889" w:rsidRDefault="00A02889">
      <w:pPr>
        <w:jc w:val="both"/>
        <w:rPr>
          <w:b/>
          <w:sz w:val="24"/>
        </w:rPr>
        <w:sectPr w:rsidR="00A02889">
          <w:pgSz w:w="12240" w:h="15840"/>
          <w:pgMar w:top="1640" w:right="720" w:bottom="1260" w:left="720" w:header="0" w:footer="1068" w:gutter="0"/>
          <w:cols w:space="720"/>
        </w:sectPr>
      </w:pPr>
    </w:p>
    <w:p w14:paraId="0CD95B68" w14:textId="77777777" w:rsidR="00A02889" w:rsidRDefault="00000000">
      <w:pPr>
        <w:pStyle w:val="Heading1"/>
        <w:ind w:right="596"/>
      </w:pPr>
      <w:bookmarkStart w:id="5" w:name="_bookmark5"/>
      <w:bookmarkEnd w:id="5"/>
      <w:r>
        <w:rPr>
          <w:spacing w:val="-2"/>
        </w:rPr>
        <w:lastRenderedPageBreak/>
        <w:t>TABLE</w:t>
      </w:r>
      <w:r>
        <w:rPr>
          <w:spacing w:val="-4"/>
        </w:rPr>
        <w:t xml:space="preserve"> </w:t>
      </w:r>
      <w:r>
        <w:rPr>
          <w:spacing w:val="-2"/>
        </w:rPr>
        <w:t>OF</w:t>
      </w:r>
      <w:r>
        <w:rPr>
          <w:spacing w:val="-13"/>
        </w:rPr>
        <w:t xml:space="preserve"> </w:t>
      </w:r>
      <w:r>
        <w:rPr>
          <w:spacing w:val="-2"/>
        </w:rPr>
        <w:t>CONTENT</w:t>
      </w:r>
    </w:p>
    <w:p w14:paraId="09946260" w14:textId="77777777" w:rsidR="00A02889" w:rsidRDefault="00A02889">
      <w:pPr>
        <w:pStyle w:val="BodyText"/>
        <w:rPr>
          <w:b/>
        </w:rPr>
      </w:pPr>
    </w:p>
    <w:p w14:paraId="1C8EBC31" w14:textId="77777777" w:rsidR="00A02889" w:rsidRDefault="00A02889">
      <w:pPr>
        <w:pStyle w:val="BodyText"/>
        <w:rPr>
          <w:b/>
        </w:rPr>
      </w:pPr>
    </w:p>
    <w:p w14:paraId="2AD669EF" w14:textId="77777777" w:rsidR="00A02889" w:rsidRDefault="00A02889">
      <w:pPr>
        <w:pStyle w:val="BodyText"/>
        <w:spacing w:before="241"/>
        <w:rPr>
          <w:b/>
        </w:rPr>
      </w:pPr>
    </w:p>
    <w:p w14:paraId="7EAAD042" w14:textId="77777777" w:rsidR="00A02889" w:rsidRDefault="00A02889">
      <w:pPr>
        <w:pStyle w:val="BodyText"/>
        <w:rPr>
          <w:b/>
        </w:rPr>
        <w:sectPr w:rsidR="00A02889">
          <w:pgSz w:w="12240" w:h="15840"/>
          <w:pgMar w:top="1360" w:right="720" w:bottom="1490" w:left="720" w:header="0" w:footer="1068" w:gutter="0"/>
          <w:cols w:space="720"/>
        </w:sectPr>
      </w:pPr>
    </w:p>
    <w:sdt>
      <w:sdtPr>
        <w:id w:val="1915197527"/>
        <w:docPartObj>
          <w:docPartGallery w:val="Table of Contents"/>
          <w:docPartUnique/>
        </w:docPartObj>
      </w:sdtPr>
      <w:sdtContent>
        <w:p w14:paraId="7A047D64" w14:textId="77777777" w:rsidR="00A02889" w:rsidRDefault="00A02889">
          <w:pPr>
            <w:pStyle w:val="TOC2"/>
            <w:tabs>
              <w:tab w:val="right" w:leader="dot" w:pos="10071"/>
            </w:tabs>
            <w:spacing w:before="0"/>
          </w:pPr>
          <w:hyperlink w:anchor="_bookmark0" w:history="1">
            <w:r>
              <w:t>TITLE</w:t>
            </w:r>
            <w:r>
              <w:rPr>
                <w:spacing w:val="-4"/>
              </w:rPr>
              <w:t xml:space="preserve"> PAGE</w:t>
            </w:r>
            <w:r>
              <w:tab/>
            </w:r>
            <w:proofErr w:type="spellStart"/>
            <w:r>
              <w:rPr>
                <w:spacing w:val="-10"/>
              </w:rPr>
              <w:t>i</w:t>
            </w:r>
            <w:proofErr w:type="spellEnd"/>
          </w:hyperlink>
        </w:p>
        <w:p w14:paraId="194B6AA1" w14:textId="77777777" w:rsidR="00A02889" w:rsidRDefault="00A02889">
          <w:pPr>
            <w:pStyle w:val="TOC2"/>
            <w:tabs>
              <w:tab w:val="right" w:leader="dot" w:pos="10072"/>
            </w:tabs>
            <w:spacing w:before="142"/>
          </w:pPr>
          <w:hyperlink w:anchor="_bookmark1" w:history="1">
            <w:r>
              <w:rPr>
                <w:spacing w:val="-2"/>
              </w:rPr>
              <w:t>DEDICATION</w:t>
            </w:r>
            <w:r>
              <w:tab/>
            </w:r>
            <w:r>
              <w:rPr>
                <w:spacing w:val="-5"/>
              </w:rPr>
              <w:t>ii</w:t>
            </w:r>
          </w:hyperlink>
        </w:p>
        <w:p w14:paraId="7D465B5B" w14:textId="77777777" w:rsidR="00A02889" w:rsidRDefault="00A02889">
          <w:pPr>
            <w:pStyle w:val="TOC2"/>
            <w:tabs>
              <w:tab w:val="right" w:leader="dot" w:pos="10074"/>
            </w:tabs>
          </w:pPr>
          <w:hyperlink w:anchor="_bookmark2" w:history="1">
            <w:r>
              <w:rPr>
                <w:spacing w:val="-2"/>
              </w:rPr>
              <w:t>ACKNOWLEDGEMENTS</w:t>
            </w:r>
            <w:r>
              <w:tab/>
            </w:r>
            <w:r>
              <w:rPr>
                <w:spacing w:val="-5"/>
              </w:rPr>
              <w:t>iii</w:t>
            </w:r>
          </w:hyperlink>
        </w:p>
        <w:p w14:paraId="0F2BAD18" w14:textId="77777777" w:rsidR="00A02889" w:rsidRDefault="00A02889">
          <w:pPr>
            <w:pStyle w:val="TOC2"/>
            <w:tabs>
              <w:tab w:val="right" w:leader="dot" w:pos="10072"/>
            </w:tabs>
            <w:spacing w:before="142"/>
          </w:pPr>
          <w:hyperlink w:anchor="_bookmark3" w:history="1">
            <w:r>
              <w:rPr>
                <w:spacing w:val="-6"/>
              </w:rPr>
              <w:t>APPROVAL</w:t>
            </w:r>
            <w:r>
              <w:rPr>
                <w:spacing w:val="-3"/>
              </w:rPr>
              <w:t xml:space="preserve"> </w:t>
            </w:r>
            <w:r>
              <w:rPr>
                <w:spacing w:val="-4"/>
              </w:rPr>
              <w:t>PAGE</w:t>
            </w:r>
            <w:r>
              <w:tab/>
            </w:r>
            <w:r>
              <w:rPr>
                <w:spacing w:val="-5"/>
              </w:rPr>
              <w:t>iv</w:t>
            </w:r>
          </w:hyperlink>
        </w:p>
        <w:p w14:paraId="199C2F16" w14:textId="77777777" w:rsidR="00A02889" w:rsidRDefault="00A02889">
          <w:pPr>
            <w:pStyle w:val="TOC2"/>
            <w:tabs>
              <w:tab w:val="right" w:leader="dot" w:pos="10072"/>
            </w:tabs>
          </w:pPr>
          <w:hyperlink w:anchor="_bookmark4" w:history="1">
            <w:r>
              <w:rPr>
                <w:spacing w:val="-2"/>
              </w:rPr>
              <w:t>DECLARATION</w:t>
            </w:r>
            <w:r>
              <w:tab/>
            </w:r>
            <w:r>
              <w:rPr>
                <w:spacing w:val="-10"/>
              </w:rPr>
              <w:t>v</w:t>
            </w:r>
          </w:hyperlink>
        </w:p>
        <w:p w14:paraId="17C72FC5" w14:textId="77777777" w:rsidR="00A02889" w:rsidRDefault="00A02889">
          <w:pPr>
            <w:pStyle w:val="TOC2"/>
            <w:tabs>
              <w:tab w:val="right" w:leader="dot" w:pos="10071"/>
            </w:tabs>
            <w:spacing w:before="143"/>
          </w:pPr>
          <w:hyperlink w:anchor="_bookmark5" w:history="1">
            <w:r>
              <w:t>TABLE</w:t>
            </w:r>
            <w:r>
              <w:rPr>
                <w:spacing w:val="-12"/>
              </w:rPr>
              <w:t xml:space="preserve"> </w:t>
            </w:r>
            <w:r>
              <w:t>OF</w:t>
            </w:r>
            <w:r>
              <w:rPr>
                <w:spacing w:val="-12"/>
              </w:rPr>
              <w:t xml:space="preserve"> </w:t>
            </w:r>
            <w:r>
              <w:rPr>
                <w:spacing w:val="-2"/>
              </w:rPr>
              <w:t>CONTENT</w:t>
            </w:r>
            <w:r>
              <w:tab/>
            </w:r>
            <w:r>
              <w:rPr>
                <w:spacing w:val="-5"/>
              </w:rPr>
              <w:t>vi</w:t>
            </w:r>
          </w:hyperlink>
        </w:p>
        <w:p w14:paraId="4F8044B3" w14:textId="77777777" w:rsidR="00A02889" w:rsidRDefault="00A02889">
          <w:pPr>
            <w:pStyle w:val="TOC2"/>
            <w:tabs>
              <w:tab w:val="right" w:leader="dot" w:pos="10072"/>
            </w:tabs>
          </w:pPr>
          <w:hyperlink w:anchor="_bookmark6" w:history="1">
            <w:r>
              <w:t>LIST</w:t>
            </w:r>
            <w:r>
              <w:rPr>
                <w:spacing w:val="-6"/>
              </w:rPr>
              <w:t xml:space="preserve"> </w:t>
            </w:r>
            <w:r>
              <w:t>OF</w:t>
            </w:r>
            <w:r>
              <w:rPr>
                <w:spacing w:val="-9"/>
              </w:rPr>
              <w:t xml:space="preserve"> </w:t>
            </w:r>
            <w:r>
              <w:rPr>
                <w:spacing w:val="-2"/>
              </w:rPr>
              <w:t>TABLES</w:t>
            </w:r>
            <w:r>
              <w:tab/>
            </w:r>
            <w:r>
              <w:rPr>
                <w:spacing w:val="-5"/>
              </w:rPr>
              <w:t>ix</w:t>
            </w:r>
          </w:hyperlink>
        </w:p>
        <w:p w14:paraId="06D86058" w14:textId="77777777" w:rsidR="00A02889" w:rsidRDefault="00A02889">
          <w:pPr>
            <w:pStyle w:val="TOC2"/>
            <w:tabs>
              <w:tab w:val="right" w:leader="dot" w:pos="10072"/>
            </w:tabs>
            <w:spacing w:before="142"/>
          </w:pPr>
          <w:hyperlink w:anchor="_bookmark7" w:history="1">
            <w:r>
              <w:t>LIST</w:t>
            </w:r>
            <w:r>
              <w:rPr>
                <w:spacing w:val="-6"/>
              </w:rPr>
              <w:t xml:space="preserve"> </w:t>
            </w:r>
            <w:r>
              <w:t>OF</w:t>
            </w:r>
            <w:r>
              <w:rPr>
                <w:spacing w:val="-2"/>
              </w:rPr>
              <w:t xml:space="preserve"> FIGURES</w:t>
            </w:r>
            <w:r>
              <w:tab/>
            </w:r>
            <w:r>
              <w:rPr>
                <w:spacing w:val="-10"/>
              </w:rPr>
              <w:t>x</w:t>
            </w:r>
          </w:hyperlink>
        </w:p>
        <w:p w14:paraId="35F4D73A" w14:textId="77777777" w:rsidR="00A02889" w:rsidRDefault="00A02889">
          <w:pPr>
            <w:pStyle w:val="TOC2"/>
            <w:tabs>
              <w:tab w:val="right" w:leader="dot" w:pos="10076"/>
            </w:tabs>
            <w:spacing w:before="139"/>
          </w:pPr>
          <w:hyperlink w:anchor="_bookmark8" w:history="1">
            <w:r>
              <w:rPr>
                <w:spacing w:val="-2"/>
              </w:rPr>
              <w:t>ABSTRACT</w:t>
            </w:r>
            <w:r>
              <w:tab/>
            </w:r>
            <w:r>
              <w:rPr>
                <w:spacing w:val="-5"/>
              </w:rPr>
              <w:t>xi</w:t>
            </w:r>
          </w:hyperlink>
        </w:p>
        <w:p w14:paraId="0CF19BF3" w14:textId="77777777" w:rsidR="00A02889" w:rsidRDefault="00A02889">
          <w:pPr>
            <w:pStyle w:val="TOC1"/>
            <w:tabs>
              <w:tab w:val="right" w:leader="dot" w:pos="10072"/>
            </w:tabs>
          </w:pPr>
          <w:hyperlink w:anchor="_bookmark9" w:history="1">
            <w:r>
              <w:t>CHAPTER</w:t>
            </w:r>
            <w:r>
              <w:rPr>
                <w:spacing w:val="-2"/>
              </w:rPr>
              <w:t xml:space="preserve"> </w:t>
            </w:r>
            <w:r>
              <w:rPr>
                <w:spacing w:val="-5"/>
              </w:rPr>
              <w:t>ONE</w:t>
            </w:r>
            <w:r>
              <w:tab/>
            </w:r>
            <w:r>
              <w:rPr>
                <w:spacing w:val="-10"/>
              </w:rPr>
              <w:t>1</w:t>
            </w:r>
          </w:hyperlink>
        </w:p>
        <w:p w14:paraId="2BF85E85" w14:textId="77777777" w:rsidR="00A02889" w:rsidRDefault="00A02889">
          <w:pPr>
            <w:pStyle w:val="TOC3"/>
            <w:numPr>
              <w:ilvl w:val="1"/>
              <w:numId w:val="16"/>
            </w:numPr>
            <w:tabs>
              <w:tab w:val="left" w:pos="1303"/>
              <w:tab w:val="right" w:leader="dot" w:pos="10072"/>
            </w:tabs>
            <w:spacing w:before="141"/>
            <w:ind w:hanging="362"/>
          </w:pPr>
          <w:hyperlink w:anchor="_bookmark10" w:history="1">
            <w:r>
              <w:rPr>
                <w:spacing w:val="-2"/>
              </w:rPr>
              <w:t>Introduction</w:t>
            </w:r>
            <w:r>
              <w:tab/>
            </w:r>
            <w:r>
              <w:rPr>
                <w:spacing w:val="-10"/>
              </w:rPr>
              <w:t>1</w:t>
            </w:r>
          </w:hyperlink>
        </w:p>
        <w:p w14:paraId="724ED25B" w14:textId="77777777" w:rsidR="00A02889" w:rsidRDefault="00A02889">
          <w:pPr>
            <w:pStyle w:val="TOC3"/>
            <w:numPr>
              <w:ilvl w:val="1"/>
              <w:numId w:val="16"/>
            </w:numPr>
            <w:tabs>
              <w:tab w:val="left" w:pos="1301"/>
              <w:tab w:val="right" w:leader="dot" w:pos="10072"/>
            </w:tabs>
            <w:ind w:left="1301" w:hanging="360"/>
          </w:pPr>
          <w:hyperlink w:anchor="_bookmark11" w:history="1">
            <w:r>
              <w:t>Background</w:t>
            </w:r>
            <w:r>
              <w:rPr>
                <w:spacing w:val="-3"/>
              </w:rPr>
              <w:t xml:space="preserve"> </w:t>
            </w:r>
            <w:r>
              <w:t>of</w:t>
            </w:r>
            <w:r>
              <w:rPr>
                <w:spacing w:val="-2"/>
              </w:rPr>
              <w:t xml:space="preserve"> </w:t>
            </w:r>
            <w:r>
              <w:t>the</w:t>
            </w:r>
            <w:r>
              <w:rPr>
                <w:spacing w:val="-1"/>
              </w:rPr>
              <w:t xml:space="preserve"> </w:t>
            </w:r>
            <w:r>
              <w:rPr>
                <w:spacing w:val="-4"/>
              </w:rPr>
              <w:t>Study</w:t>
            </w:r>
            <w:r>
              <w:tab/>
            </w:r>
            <w:r>
              <w:rPr>
                <w:spacing w:val="-10"/>
              </w:rPr>
              <w:t>1</w:t>
            </w:r>
          </w:hyperlink>
        </w:p>
        <w:p w14:paraId="54E8D62F" w14:textId="77777777" w:rsidR="00A02889" w:rsidRDefault="00A02889">
          <w:pPr>
            <w:pStyle w:val="TOC3"/>
            <w:numPr>
              <w:ilvl w:val="1"/>
              <w:numId w:val="16"/>
            </w:numPr>
            <w:tabs>
              <w:tab w:val="left" w:pos="1301"/>
              <w:tab w:val="right" w:leader="dot" w:pos="10072"/>
            </w:tabs>
            <w:ind w:left="1301" w:hanging="360"/>
          </w:pPr>
          <w:hyperlink w:anchor="_bookmark12" w:history="1">
            <w:r>
              <w:t>Statement</w:t>
            </w:r>
            <w:r>
              <w:rPr>
                <w:spacing w:val="-1"/>
              </w:rPr>
              <w:t xml:space="preserve"> </w:t>
            </w:r>
            <w:r>
              <w:t>of</w:t>
            </w:r>
            <w:r>
              <w:rPr>
                <w:spacing w:val="-1"/>
              </w:rPr>
              <w:t xml:space="preserve"> </w:t>
            </w:r>
            <w:r>
              <w:t xml:space="preserve">the </w:t>
            </w:r>
            <w:r>
              <w:rPr>
                <w:spacing w:val="-2"/>
              </w:rPr>
              <w:t>Problem</w:t>
            </w:r>
            <w:r>
              <w:tab/>
            </w:r>
            <w:r>
              <w:rPr>
                <w:spacing w:val="-10"/>
              </w:rPr>
              <w:t>3</w:t>
            </w:r>
          </w:hyperlink>
        </w:p>
        <w:p w14:paraId="036D9CEC" w14:textId="77777777" w:rsidR="00A02889" w:rsidRDefault="00A02889">
          <w:pPr>
            <w:pStyle w:val="TOC3"/>
            <w:numPr>
              <w:ilvl w:val="1"/>
              <w:numId w:val="16"/>
            </w:numPr>
            <w:tabs>
              <w:tab w:val="left" w:pos="1301"/>
              <w:tab w:val="right" w:leader="dot" w:pos="10072"/>
            </w:tabs>
            <w:ind w:left="1301" w:hanging="360"/>
          </w:pPr>
          <w:hyperlink w:anchor="_bookmark13" w:history="1">
            <w:r>
              <w:t>Significance</w:t>
            </w:r>
            <w:r>
              <w:rPr>
                <w:spacing w:val="-2"/>
              </w:rPr>
              <w:t xml:space="preserve"> </w:t>
            </w:r>
            <w:r>
              <w:t>of</w:t>
            </w:r>
            <w:r>
              <w:rPr>
                <w:spacing w:val="-2"/>
              </w:rPr>
              <w:t xml:space="preserve"> </w:t>
            </w:r>
            <w:r>
              <w:t>the</w:t>
            </w:r>
            <w:r>
              <w:rPr>
                <w:spacing w:val="-2"/>
              </w:rPr>
              <w:t xml:space="preserve"> Research</w:t>
            </w:r>
            <w:r>
              <w:tab/>
            </w:r>
            <w:r>
              <w:rPr>
                <w:spacing w:val="-10"/>
              </w:rPr>
              <w:t>4</w:t>
            </w:r>
          </w:hyperlink>
        </w:p>
        <w:p w14:paraId="1F29C707" w14:textId="77777777" w:rsidR="00A02889" w:rsidRDefault="00A02889">
          <w:pPr>
            <w:pStyle w:val="TOC3"/>
            <w:numPr>
              <w:ilvl w:val="1"/>
              <w:numId w:val="16"/>
            </w:numPr>
            <w:tabs>
              <w:tab w:val="left" w:pos="1301"/>
              <w:tab w:val="right" w:leader="dot" w:pos="10072"/>
            </w:tabs>
            <w:spacing w:before="141"/>
            <w:ind w:left="1301" w:hanging="360"/>
          </w:pPr>
          <w:hyperlink w:anchor="_bookmark14" w:history="1">
            <w:r>
              <w:t>Justification</w:t>
            </w:r>
            <w:r>
              <w:rPr>
                <w:spacing w:val="-1"/>
              </w:rPr>
              <w:t xml:space="preserve"> </w:t>
            </w:r>
            <w:r>
              <w:t>of</w:t>
            </w:r>
            <w:r>
              <w:rPr>
                <w:spacing w:val="-2"/>
              </w:rPr>
              <w:t xml:space="preserve"> </w:t>
            </w:r>
            <w:r>
              <w:t xml:space="preserve">the </w:t>
            </w:r>
            <w:r>
              <w:rPr>
                <w:spacing w:val="-2"/>
              </w:rPr>
              <w:t>Research</w:t>
            </w:r>
            <w:r>
              <w:tab/>
            </w:r>
            <w:r>
              <w:rPr>
                <w:spacing w:val="-10"/>
              </w:rPr>
              <w:t>4</w:t>
            </w:r>
          </w:hyperlink>
        </w:p>
        <w:p w14:paraId="20C52159" w14:textId="77777777" w:rsidR="00A02889" w:rsidRDefault="00A02889">
          <w:pPr>
            <w:pStyle w:val="TOC3"/>
            <w:numPr>
              <w:ilvl w:val="1"/>
              <w:numId w:val="16"/>
            </w:numPr>
            <w:tabs>
              <w:tab w:val="left" w:pos="1286"/>
              <w:tab w:val="right" w:leader="dot" w:pos="10072"/>
            </w:tabs>
            <w:ind w:left="1286" w:hanging="345"/>
          </w:pPr>
          <w:hyperlink w:anchor="_bookmark15" w:history="1">
            <w:r>
              <w:t>Aim</w:t>
            </w:r>
            <w:r>
              <w:rPr>
                <w:spacing w:val="-1"/>
              </w:rPr>
              <w:t xml:space="preserve"> </w:t>
            </w:r>
            <w:r>
              <w:t>and Objectives</w:t>
            </w:r>
            <w:r>
              <w:rPr>
                <w:spacing w:val="-2"/>
              </w:rPr>
              <w:t xml:space="preserve"> </w:t>
            </w:r>
            <w:r>
              <w:t>of the</w:t>
            </w:r>
            <w:r>
              <w:rPr>
                <w:spacing w:val="-2"/>
              </w:rPr>
              <w:t xml:space="preserve"> Study</w:t>
            </w:r>
            <w:r>
              <w:tab/>
            </w:r>
            <w:r>
              <w:rPr>
                <w:spacing w:val="-10"/>
              </w:rPr>
              <w:t>5</w:t>
            </w:r>
          </w:hyperlink>
        </w:p>
        <w:p w14:paraId="459D29F3" w14:textId="77777777" w:rsidR="00A02889" w:rsidRDefault="00A02889">
          <w:pPr>
            <w:pStyle w:val="TOC1"/>
            <w:tabs>
              <w:tab w:val="right" w:leader="dot" w:pos="10072"/>
            </w:tabs>
          </w:pPr>
          <w:hyperlink w:anchor="_bookmark16" w:history="1">
            <w:r>
              <w:t>CHAPTER</w:t>
            </w:r>
            <w:r>
              <w:rPr>
                <w:spacing w:val="-7"/>
              </w:rPr>
              <w:t xml:space="preserve"> </w:t>
            </w:r>
            <w:r>
              <w:rPr>
                <w:spacing w:val="-5"/>
              </w:rPr>
              <w:t>TWO</w:t>
            </w:r>
            <w:r>
              <w:tab/>
            </w:r>
            <w:r>
              <w:rPr>
                <w:spacing w:val="-10"/>
              </w:rPr>
              <w:t>6</w:t>
            </w:r>
          </w:hyperlink>
        </w:p>
        <w:p w14:paraId="395F2838" w14:textId="77777777" w:rsidR="00A02889" w:rsidRDefault="00A02889">
          <w:pPr>
            <w:pStyle w:val="TOC3"/>
            <w:numPr>
              <w:ilvl w:val="1"/>
              <w:numId w:val="15"/>
            </w:numPr>
            <w:tabs>
              <w:tab w:val="left" w:pos="1303"/>
              <w:tab w:val="right" w:leader="dot" w:pos="10072"/>
            </w:tabs>
            <w:spacing w:before="141"/>
            <w:ind w:hanging="362"/>
          </w:pPr>
          <w:hyperlink w:anchor="_bookmark17" w:history="1">
            <w:r>
              <w:t>LITERITURE</w:t>
            </w:r>
            <w:r>
              <w:rPr>
                <w:spacing w:val="-8"/>
              </w:rPr>
              <w:t xml:space="preserve"> </w:t>
            </w:r>
            <w:r>
              <w:rPr>
                <w:spacing w:val="-2"/>
              </w:rPr>
              <w:t>REVIEW</w:t>
            </w:r>
            <w:r>
              <w:tab/>
            </w:r>
            <w:r>
              <w:rPr>
                <w:spacing w:val="-10"/>
              </w:rPr>
              <w:t>6</w:t>
            </w:r>
          </w:hyperlink>
        </w:p>
        <w:p w14:paraId="1296B720" w14:textId="77777777" w:rsidR="00A02889" w:rsidRDefault="00A02889">
          <w:pPr>
            <w:pStyle w:val="TOC3"/>
            <w:numPr>
              <w:ilvl w:val="1"/>
              <w:numId w:val="15"/>
            </w:numPr>
            <w:tabs>
              <w:tab w:val="left" w:pos="1286"/>
              <w:tab w:val="right" w:leader="dot" w:pos="10072"/>
            </w:tabs>
            <w:ind w:left="1286" w:hanging="345"/>
          </w:pPr>
          <w:hyperlink w:anchor="_bookmark18" w:history="1">
            <w:r>
              <w:rPr>
                <w:spacing w:val="-2"/>
              </w:rPr>
              <w:t>Antacids</w:t>
            </w:r>
            <w:r>
              <w:tab/>
            </w:r>
            <w:r>
              <w:rPr>
                <w:spacing w:val="-10"/>
              </w:rPr>
              <w:t>6</w:t>
            </w:r>
          </w:hyperlink>
        </w:p>
        <w:p w14:paraId="3AFC04BE" w14:textId="77777777" w:rsidR="00A02889" w:rsidRDefault="00A02889">
          <w:pPr>
            <w:pStyle w:val="TOC3"/>
            <w:numPr>
              <w:ilvl w:val="1"/>
              <w:numId w:val="15"/>
            </w:numPr>
            <w:tabs>
              <w:tab w:val="left" w:pos="1286"/>
              <w:tab w:val="right" w:leader="dot" w:pos="10072"/>
            </w:tabs>
            <w:spacing w:before="139"/>
            <w:ind w:left="1286" w:hanging="345"/>
          </w:pPr>
          <w:hyperlink w:anchor="_bookmark19" w:history="1">
            <w:r>
              <w:t>Antacids</w:t>
            </w:r>
            <w:r>
              <w:rPr>
                <w:spacing w:val="-5"/>
              </w:rPr>
              <w:t xml:space="preserve"> </w:t>
            </w:r>
            <w:r>
              <w:rPr>
                <w:spacing w:val="-2"/>
              </w:rPr>
              <w:t>Classification</w:t>
            </w:r>
            <w:r>
              <w:tab/>
            </w:r>
            <w:r>
              <w:rPr>
                <w:spacing w:val="-10"/>
              </w:rPr>
              <w:t>7</w:t>
            </w:r>
          </w:hyperlink>
        </w:p>
        <w:p w14:paraId="714EB6C0" w14:textId="77777777" w:rsidR="00A02889" w:rsidRDefault="00A02889">
          <w:pPr>
            <w:pStyle w:val="TOC4"/>
            <w:numPr>
              <w:ilvl w:val="2"/>
              <w:numId w:val="15"/>
            </w:numPr>
            <w:tabs>
              <w:tab w:val="left" w:pos="1698"/>
              <w:tab w:val="right" w:leader="dot" w:pos="10072"/>
            </w:tabs>
            <w:ind w:left="1698" w:hanging="539"/>
          </w:pPr>
          <w:hyperlink w:anchor="_bookmark20" w:history="1">
            <w:r>
              <w:t>Natural</w:t>
            </w:r>
            <w:r>
              <w:rPr>
                <w:spacing w:val="-4"/>
              </w:rPr>
              <w:t xml:space="preserve"> </w:t>
            </w:r>
            <w:r>
              <w:rPr>
                <w:spacing w:val="-2"/>
              </w:rPr>
              <w:t>antacids</w:t>
            </w:r>
            <w:r>
              <w:tab/>
            </w:r>
            <w:r>
              <w:rPr>
                <w:spacing w:val="-10"/>
              </w:rPr>
              <w:t>7</w:t>
            </w:r>
          </w:hyperlink>
        </w:p>
        <w:p w14:paraId="73C5D9C2" w14:textId="77777777" w:rsidR="00A02889" w:rsidRDefault="00A02889">
          <w:pPr>
            <w:pStyle w:val="TOC4"/>
            <w:numPr>
              <w:ilvl w:val="2"/>
              <w:numId w:val="15"/>
            </w:numPr>
            <w:tabs>
              <w:tab w:val="left" w:pos="1699"/>
              <w:tab w:val="right" w:leader="dot" w:pos="10072"/>
            </w:tabs>
          </w:pPr>
          <w:hyperlink w:anchor="_bookmark21" w:history="1">
            <w:r>
              <w:t>Synthetic</w:t>
            </w:r>
            <w:r>
              <w:rPr>
                <w:spacing w:val="-2"/>
              </w:rPr>
              <w:t xml:space="preserve"> antacids</w:t>
            </w:r>
            <w:r>
              <w:tab/>
            </w:r>
            <w:r>
              <w:rPr>
                <w:spacing w:val="-10"/>
              </w:rPr>
              <w:t>7</w:t>
            </w:r>
          </w:hyperlink>
        </w:p>
        <w:p w14:paraId="083FEAFB" w14:textId="77777777" w:rsidR="00A02889" w:rsidRDefault="00A02889">
          <w:pPr>
            <w:pStyle w:val="TOC3"/>
            <w:numPr>
              <w:ilvl w:val="1"/>
              <w:numId w:val="15"/>
            </w:numPr>
            <w:tabs>
              <w:tab w:val="left" w:pos="1301"/>
              <w:tab w:val="right" w:leader="dot" w:pos="10072"/>
            </w:tabs>
            <w:spacing w:before="141"/>
            <w:ind w:left="1301" w:hanging="360"/>
          </w:pPr>
          <w:hyperlink w:anchor="_bookmark22" w:history="1">
            <w:r>
              <w:t>Examples</w:t>
            </w:r>
            <w:r>
              <w:rPr>
                <w:spacing w:val="-2"/>
              </w:rPr>
              <w:t xml:space="preserve"> </w:t>
            </w:r>
            <w:r>
              <w:t xml:space="preserve">of </w:t>
            </w:r>
            <w:r>
              <w:rPr>
                <w:spacing w:val="-2"/>
              </w:rPr>
              <w:t>antacids</w:t>
            </w:r>
            <w:r>
              <w:tab/>
            </w:r>
            <w:r>
              <w:rPr>
                <w:spacing w:val="-10"/>
              </w:rPr>
              <w:t>8</w:t>
            </w:r>
          </w:hyperlink>
        </w:p>
        <w:p w14:paraId="17264A45" w14:textId="77777777" w:rsidR="00A02889" w:rsidRDefault="00A02889">
          <w:pPr>
            <w:pStyle w:val="TOC3"/>
            <w:numPr>
              <w:ilvl w:val="1"/>
              <w:numId w:val="15"/>
            </w:numPr>
            <w:tabs>
              <w:tab w:val="left" w:pos="1300"/>
              <w:tab w:val="right" w:leader="dot" w:pos="10072"/>
            </w:tabs>
            <w:ind w:left="1300" w:hanging="359"/>
          </w:pPr>
          <w:hyperlink w:anchor="_bookmark24" w:history="1">
            <w:r>
              <w:t>Mechanism</w:t>
            </w:r>
            <w:r>
              <w:rPr>
                <w:spacing w:val="-1"/>
              </w:rPr>
              <w:t xml:space="preserve"> </w:t>
            </w:r>
            <w:r>
              <w:t>of</w:t>
            </w:r>
            <w:r>
              <w:rPr>
                <w:spacing w:val="-14"/>
              </w:rPr>
              <w:t xml:space="preserve"> </w:t>
            </w:r>
            <w:r>
              <w:t>Action</w:t>
            </w:r>
            <w:r>
              <w:rPr>
                <w:spacing w:val="1"/>
              </w:rPr>
              <w:t xml:space="preserve"> </w:t>
            </w:r>
            <w:r>
              <w:t>of</w:t>
            </w:r>
            <w:r>
              <w:rPr>
                <w:spacing w:val="-1"/>
              </w:rPr>
              <w:t xml:space="preserve"> </w:t>
            </w:r>
            <w:r>
              <w:rPr>
                <w:spacing w:val="-2"/>
              </w:rPr>
              <w:t>antacids</w:t>
            </w:r>
            <w:r>
              <w:tab/>
            </w:r>
            <w:r>
              <w:rPr>
                <w:spacing w:val="-10"/>
              </w:rPr>
              <w:t>8</w:t>
            </w:r>
          </w:hyperlink>
        </w:p>
        <w:p w14:paraId="32FBFD8D" w14:textId="77777777" w:rsidR="00A02889" w:rsidRDefault="00A02889">
          <w:pPr>
            <w:pStyle w:val="TOC4"/>
            <w:numPr>
              <w:ilvl w:val="2"/>
              <w:numId w:val="15"/>
            </w:numPr>
            <w:tabs>
              <w:tab w:val="left" w:pos="1684"/>
              <w:tab w:val="right" w:leader="dot" w:pos="10072"/>
            </w:tabs>
            <w:ind w:left="1684" w:hanging="525"/>
          </w:pPr>
          <w:hyperlink w:anchor="_bookmark25" w:history="1">
            <w:r>
              <w:t xml:space="preserve">Aluminum </w:t>
            </w:r>
            <w:r>
              <w:rPr>
                <w:spacing w:val="-2"/>
              </w:rPr>
              <w:t>Hydroxide</w:t>
            </w:r>
            <w:r>
              <w:tab/>
            </w:r>
            <w:r>
              <w:rPr>
                <w:spacing w:val="-10"/>
              </w:rPr>
              <w:t>9</w:t>
            </w:r>
          </w:hyperlink>
        </w:p>
        <w:p w14:paraId="083AE4D1" w14:textId="77777777" w:rsidR="00A02889" w:rsidRDefault="00A02889">
          <w:pPr>
            <w:pStyle w:val="TOC4"/>
            <w:numPr>
              <w:ilvl w:val="2"/>
              <w:numId w:val="15"/>
            </w:numPr>
            <w:tabs>
              <w:tab w:val="left" w:pos="1699"/>
              <w:tab w:val="right" w:leader="dot" w:pos="10072"/>
            </w:tabs>
            <w:spacing w:before="141"/>
          </w:pPr>
          <w:hyperlink w:anchor="_bookmark26" w:history="1">
            <w:r>
              <w:t>Calcium</w:t>
            </w:r>
            <w:r>
              <w:rPr>
                <w:spacing w:val="-1"/>
              </w:rPr>
              <w:t xml:space="preserve"> </w:t>
            </w:r>
            <w:r>
              <w:rPr>
                <w:spacing w:val="-2"/>
              </w:rPr>
              <w:t>Salts</w:t>
            </w:r>
            <w:r>
              <w:tab/>
            </w:r>
            <w:r>
              <w:rPr>
                <w:spacing w:val="-10"/>
              </w:rPr>
              <w:t>9</w:t>
            </w:r>
          </w:hyperlink>
        </w:p>
        <w:p w14:paraId="5668CA31" w14:textId="77777777" w:rsidR="00A02889" w:rsidRDefault="00A02889">
          <w:pPr>
            <w:pStyle w:val="TOC3"/>
            <w:numPr>
              <w:ilvl w:val="1"/>
              <w:numId w:val="15"/>
            </w:numPr>
            <w:tabs>
              <w:tab w:val="left" w:pos="1286"/>
              <w:tab w:val="right" w:leader="dot" w:pos="10072"/>
            </w:tabs>
            <w:ind w:left="1286" w:hanging="345"/>
          </w:pPr>
          <w:hyperlink w:anchor="_bookmark27" w:history="1">
            <w:r>
              <w:t>Antacids</w:t>
            </w:r>
            <w:r>
              <w:rPr>
                <w:spacing w:val="-15"/>
              </w:rPr>
              <w:t xml:space="preserve"> </w:t>
            </w:r>
            <w:r>
              <w:rPr>
                <w:spacing w:val="-2"/>
              </w:rPr>
              <w:t>Administration</w:t>
            </w:r>
            <w:r>
              <w:tab/>
            </w:r>
            <w:r>
              <w:rPr>
                <w:spacing w:val="-5"/>
              </w:rPr>
              <w:t>10</w:t>
            </w:r>
          </w:hyperlink>
        </w:p>
        <w:p w14:paraId="0D219059" w14:textId="77777777" w:rsidR="00A02889" w:rsidRDefault="00A02889">
          <w:pPr>
            <w:pStyle w:val="TOC3"/>
            <w:numPr>
              <w:ilvl w:val="1"/>
              <w:numId w:val="15"/>
            </w:numPr>
            <w:tabs>
              <w:tab w:val="left" w:pos="1286"/>
              <w:tab w:val="right" w:leader="dot" w:pos="10062"/>
            </w:tabs>
            <w:spacing w:before="141" w:after="20"/>
            <w:ind w:left="1286" w:hanging="345"/>
          </w:pPr>
          <w:hyperlink w:anchor="_bookmark28" w:history="1">
            <w:r>
              <w:t>Antacids</w:t>
            </w:r>
            <w:r>
              <w:rPr>
                <w:spacing w:val="-5"/>
              </w:rPr>
              <w:t xml:space="preserve"> </w:t>
            </w:r>
            <w:r>
              <w:t>Metabolism</w:t>
            </w:r>
            <w:r>
              <w:rPr>
                <w:spacing w:val="-3"/>
              </w:rPr>
              <w:t xml:space="preserve"> </w:t>
            </w:r>
            <w:r>
              <w:t>and</w:t>
            </w:r>
            <w:r>
              <w:rPr>
                <w:spacing w:val="-3"/>
              </w:rPr>
              <w:t xml:space="preserve"> </w:t>
            </w:r>
            <w:r>
              <w:rPr>
                <w:spacing w:val="-2"/>
              </w:rPr>
              <w:t>Excretion</w:t>
            </w:r>
            <w:r>
              <w:tab/>
            </w:r>
            <w:r>
              <w:rPr>
                <w:spacing w:val="-5"/>
              </w:rPr>
              <w:t>11</w:t>
            </w:r>
          </w:hyperlink>
        </w:p>
        <w:p w14:paraId="5BAB51F0" w14:textId="77777777" w:rsidR="00A02889" w:rsidRDefault="00A02889">
          <w:pPr>
            <w:pStyle w:val="TOC3"/>
            <w:numPr>
              <w:ilvl w:val="1"/>
              <w:numId w:val="15"/>
            </w:numPr>
            <w:tabs>
              <w:tab w:val="left" w:pos="1286"/>
              <w:tab w:val="right" w:leader="dot" w:pos="10062"/>
            </w:tabs>
            <w:spacing w:before="72"/>
            <w:ind w:left="1286" w:hanging="345"/>
          </w:pPr>
          <w:hyperlink w:anchor="_bookmark29" w:history="1">
            <w:r>
              <w:t>Adverse</w:t>
            </w:r>
            <w:r>
              <w:rPr>
                <w:spacing w:val="-6"/>
              </w:rPr>
              <w:t xml:space="preserve"> </w:t>
            </w:r>
            <w:r>
              <w:t>Effects</w:t>
            </w:r>
            <w:r>
              <w:rPr>
                <w:spacing w:val="-4"/>
              </w:rPr>
              <w:t xml:space="preserve"> </w:t>
            </w:r>
            <w:r>
              <w:t>of</w:t>
            </w:r>
            <w:r>
              <w:rPr>
                <w:spacing w:val="-15"/>
              </w:rPr>
              <w:t xml:space="preserve"> </w:t>
            </w:r>
            <w:r>
              <w:rPr>
                <w:spacing w:val="-2"/>
              </w:rPr>
              <w:t>Antacids</w:t>
            </w:r>
            <w:r>
              <w:tab/>
            </w:r>
            <w:r>
              <w:rPr>
                <w:spacing w:val="-5"/>
              </w:rPr>
              <w:t>11</w:t>
            </w:r>
          </w:hyperlink>
        </w:p>
        <w:p w14:paraId="56735973" w14:textId="77777777" w:rsidR="00A02889" w:rsidRDefault="00A02889">
          <w:pPr>
            <w:pStyle w:val="TOC3"/>
            <w:numPr>
              <w:ilvl w:val="1"/>
              <w:numId w:val="15"/>
            </w:numPr>
            <w:tabs>
              <w:tab w:val="left" w:pos="1286"/>
              <w:tab w:val="right" w:leader="dot" w:pos="10072"/>
            </w:tabs>
            <w:ind w:left="1286" w:hanging="345"/>
          </w:pPr>
          <w:hyperlink w:anchor="_bookmark30" w:history="1">
            <w:r>
              <w:t xml:space="preserve">Aluminum </w:t>
            </w:r>
            <w:r>
              <w:rPr>
                <w:spacing w:val="-2"/>
              </w:rPr>
              <w:t>Hydroxide</w:t>
            </w:r>
            <w:r>
              <w:tab/>
            </w:r>
            <w:r>
              <w:rPr>
                <w:spacing w:val="-5"/>
              </w:rPr>
              <w:t>12</w:t>
            </w:r>
          </w:hyperlink>
        </w:p>
        <w:p w14:paraId="223B74E2" w14:textId="77777777" w:rsidR="00A02889" w:rsidRDefault="00A02889">
          <w:pPr>
            <w:pStyle w:val="TOC4"/>
            <w:numPr>
              <w:ilvl w:val="2"/>
              <w:numId w:val="15"/>
            </w:numPr>
            <w:tabs>
              <w:tab w:val="left" w:pos="1699"/>
              <w:tab w:val="right" w:leader="dot" w:pos="10072"/>
            </w:tabs>
            <w:spacing w:before="141"/>
          </w:pPr>
          <w:hyperlink w:anchor="_bookmark32" w:history="1">
            <w:r>
              <w:t>Mechanism of</w:t>
            </w:r>
            <w:r>
              <w:rPr>
                <w:spacing w:val="-14"/>
              </w:rPr>
              <w:t xml:space="preserve"> </w:t>
            </w:r>
            <w:r>
              <w:t>Action of</w:t>
            </w:r>
            <w:r>
              <w:rPr>
                <w:spacing w:val="-16"/>
              </w:rPr>
              <w:t xml:space="preserve"> </w:t>
            </w:r>
            <w:r>
              <w:t xml:space="preserve">Aluminum </w:t>
            </w:r>
            <w:r>
              <w:rPr>
                <w:spacing w:val="-2"/>
              </w:rPr>
              <w:t>Hydroxide</w:t>
            </w:r>
            <w:r>
              <w:tab/>
            </w:r>
            <w:r>
              <w:rPr>
                <w:spacing w:val="-5"/>
              </w:rPr>
              <w:t>13</w:t>
            </w:r>
          </w:hyperlink>
        </w:p>
        <w:p w14:paraId="5DFFCF5A" w14:textId="77777777" w:rsidR="00A02889" w:rsidRDefault="00A02889">
          <w:pPr>
            <w:pStyle w:val="TOC4"/>
            <w:numPr>
              <w:ilvl w:val="2"/>
              <w:numId w:val="15"/>
            </w:numPr>
            <w:tabs>
              <w:tab w:val="left" w:pos="1684"/>
              <w:tab w:val="right" w:leader="dot" w:pos="10072"/>
            </w:tabs>
            <w:ind w:left="1684" w:hanging="525"/>
          </w:pPr>
          <w:hyperlink w:anchor="_bookmark33" w:history="1">
            <w:r>
              <w:t>Administration</w:t>
            </w:r>
            <w:r>
              <w:rPr>
                <w:spacing w:val="-1"/>
              </w:rPr>
              <w:t xml:space="preserve"> </w:t>
            </w:r>
            <w:r>
              <w:t>of</w:t>
            </w:r>
            <w:r>
              <w:rPr>
                <w:spacing w:val="-13"/>
              </w:rPr>
              <w:t xml:space="preserve"> </w:t>
            </w:r>
            <w:r>
              <w:t xml:space="preserve">Aluminum </w:t>
            </w:r>
            <w:r>
              <w:rPr>
                <w:spacing w:val="-2"/>
              </w:rPr>
              <w:t>Hydroxide</w:t>
            </w:r>
            <w:r>
              <w:tab/>
            </w:r>
            <w:r>
              <w:rPr>
                <w:spacing w:val="-5"/>
              </w:rPr>
              <w:t>14</w:t>
            </w:r>
          </w:hyperlink>
        </w:p>
        <w:p w14:paraId="39C293F3" w14:textId="77777777" w:rsidR="00A02889" w:rsidRDefault="00A02889">
          <w:pPr>
            <w:pStyle w:val="TOC4"/>
            <w:numPr>
              <w:ilvl w:val="2"/>
              <w:numId w:val="15"/>
            </w:numPr>
            <w:tabs>
              <w:tab w:val="left" w:pos="1684"/>
              <w:tab w:val="right" w:leader="dot" w:pos="10072"/>
            </w:tabs>
            <w:ind w:left="1684" w:hanging="525"/>
          </w:pPr>
          <w:hyperlink w:anchor="_bookmark34" w:history="1">
            <w:r>
              <w:t>Adverse</w:t>
            </w:r>
            <w:r>
              <w:rPr>
                <w:spacing w:val="-4"/>
              </w:rPr>
              <w:t xml:space="preserve"> </w:t>
            </w:r>
            <w:r>
              <w:t>Effects</w:t>
            </w:r>
            <w:r>
              <w:rPr>
                <w:spacing w:val="-4"/>
              </w:rPr>
              <w:t xml:space="preserve"> </w:t>
            </w:r>
            <w:r>
              <w:t>of</w:t>
            </w:r>
            <w:r>
              <w:rPr>
                <w:spacing w:val="-12"/>
              </w:rPr>
              <w:t xml:space="preserve"> </w:t>
            </w:r>
            <w:r>
              <w:t>Aluminum</w:t>
            </w:r>
            <w:r>
              <w:rPr>
                <w:spacing w:val="-2"/>
              </w:rPr>
              <w:t xml:space="preserve"> Hydroxide</w:t>
            </w:r>
            <w:r>
              <w:tab/>
            </w:r>
            <w:r>
              <w:rPr>
                <w:spacing w:val="-5"/>
              </w:rPr>
              <w:t>14</w:t>
            </w:r>
          </w:hyperlink>
        </w:p>
        <w:p w14:paraId="78B2AC76" w14:textId="77777777" w:rsidR="00A02889" w:rsidRDefault="00A02889">
          <w:pPr>
            <w:pStyle w:val="TOC4"/>
            <w:numPr>
              <w:ilvl w:val="2"/>
              <w:numId w:val="15"/>
            </w:numPr>
            <w:tabs>
              <w:tab w:val="left" w:pos="1699"/>
              <w:tab w:val="right" w:leader="dot" w:pos="10072"/>
            </w:tabs>
            <w:spacing w:before="141"/>
          </w:pPr>
          <w:hyperlink w:anchor="_bookmark35" w:history="1">
            <w:r>
              <w:t>Contraindications</w:t>
            </w:r>
            <w:r>
              <w:rPr>
                <w:spacing w:val="-5"/>
              </w:rPr>
              <w:t xml:space="preserve"> </w:t>
            </w:r>
            <w:r>
              <w:t>of</w:t>
            </w:r>
            <w:r>
              <w:rPr>
                <w:spacing w:val="-15"/>
              </w:rPr>
              <w:t xml:space="preserve"> </w:t>
            </w:r>
            <w:r>
              <w:t>Aluminum</w:t>
            </w:r>
            <w:r>
              <w:rPr>
                <w:spacing w:val="-2"/>
              </w:rPr>
              <w:t xml:space="preserve"> Hydroxide</w:t>
            </w:r>
            <w:r>
              <w:tab/>
            </w:r>
            <w:r>
              <w:rPr>
                <w:spacing w:val="-5"/>
              </w:rPr>
              <w:t>15</w:t>
            </w:r>
          </w:hyperlink>
        </w:p>
        <w:p w14:paraId="798F2D3D" w14:textId="77777777" w:rsidR="00A02889" w:rsidRDefault="00A02889">
          <w:pPr>
            <w:pStyle w:val="TOC4"/>
            <w:numPr>
              <w:ilvl w:val="2"/>
              <w:numId w:val="15"/>
            </w:numPr>
            <w:tabs>
              <w:tab w:val="left" w:pos="1694"/>
              <w:tab w:val="right" w:leader="dot" w:pos="10072"/>
            </w:tabs>
            <w:spacing w:before="139"/>
            <w:ind w:left="1694" w:hanging="535"/>
          </w:pPr>
          <w:hyperlink w:anchor="_bookmark36" w:history="1">
            <w:r>
              <w:t>Toxicity</w:t>
            </w:r>
            <w:r>
              <w:rPr>
                <w:spacing w:val="-15"/>
              </w:rPr>
              <w:t xml:space="preserve"> </w:t>
            </w:r>
            <w:r>
              <w:t>of</w:t>
            </w:r>
            <w:r>
              <w:rPr>
                <w:spacing w:val="-15"/>
              </w:rPr>
              <w:t xml:space="preserve"> </w:t>
            </w:r>
            <w:r>
              <w:t>Aluminum</w:t>
            </w:r>
            <w:r>
              <w:rPr>
                <w:spacing w:val="-4"/>
              </w:rPr>
              <w:t xml:space="preserve"> </w:t>
            </w:r>
            <w:r>
              <w:rPr>
                <w:spacing w:val="-2"/>
              </w:rPr>
              <w:t>Hydroxide</w:t>
            </w:r>
            <w:r>
              <w:tab/>
            </w:r>
            <w:r>
              <w:rPr>
                <w:spacing w:val="-5"/>
              </w:rPr>
              <w:t>15</w:t>
            </w:r>
          </w:hyperlink>
        </w:p>
        <w:p w14:paraId="04C77F77" w14:textId="77777777" w:rsidR="00A02889" w:rsidRDefault="00A02889">
          <w:pPr>
            <w:pStyle w:val="TOC3"/>
            <w:numPr>
              <w:ilvl w:val="1"/>
              <w:numId w:val="15"/>
            </w:numPr>
            <w:tabs>
              <w:tab w:val="left" w:pos="1301"/>
              <w:tab w:val="right" w:leader="dot" w:pos="10072"/>
            </w:tabs>
            <w:ind w:left="1301" w:hanging="360"/>
          </w:pPr>
          <w:hyperlink w:anchor="_bookmark37" w:history="1">
            <w:r>
              <w:t>Magnesium</w:t>
            </w:r>
            <w:r>
              <w:rPr>
                <w:spacing w:val="-7"/>
              </w:rPr>
              <w:t xml:space="preserve"> </w:t>
            </w:r>
            <w:r>
              <w:rPr>
                <w:spacing w:val="-2"/>
              </w:rPr>
              <w:t>Trisilicate</w:t>
            </w:r>
            <w:r>
              <w:tab/>
            </w:r>
            <w:r>
              <w:rPr>
                <w:spacing w:val="-5"/>
              </w:rPr>
              <w:t>16</w:t>
            </w:r>
          </w:hyperlink>
        </w:p>
        <w:p w14:paraId="7471A6E8" w14:textId="77777777" w:rsidR="00A02889" w:rsidRDefault="00A02889">
          <w:pPr>
            <w:pStyle w:val="TOC4"/>
            <w:numPr>
              <w:ilvl w:val="2"/>
              <w:numId w:val="15"/>
            </w:numPr>
            <w:tabs>
              <w:tab w:val="left" w:pos="1699"/>
              <w:tab w:val="right" w:leader="dot" w:pos="10072"/>
            </w:tabs>
          </w:pPr>
          <w:hyperlink w:anchor="_bookmark39" w:history="1">
            <w:r>
              <w:t>Pharmacokinetics</w:t>
            </w:r>
            <w:r>
              <w:rPr>
                <w:spacing w:val="-6"/>
              </w:rPr>
              <w:t xml:space="preserve"> </w:t>
            </w:r>
            <w:r>
              <w:t>of</w:t>
            </w:r>
            <w:r>
              <w:rPr>
                <w:spacing w:val="-5"/>
              </w:rPr>
              <w:t xml:space="preserve"> </w:t>
            </w:r>
            <w:r>
              <w:t>Magnesium</w:t>
            </w:r>
            <w:r>
              <w:rPr>
                <w:spacing w:val="-4"/>
              </w:rPr>
              <w:t xml:space="preserve"> </w:t>
            </w:r>
            <w:r>
              <w:rPr>
                <w:spacing w:val="-2"/>
              </w:rPr>
              <w:t>trisilicate</w:t>
            </w:r>
            <w:r>
              <w:tab/>
            </w:r>
            <w:r>
              <w:rPr>
                <w:spacing w:val="-5"/>
              </w:rPr>
              <w:t>17</w:t>
            </w:r>
          </w:hyperlink>
        </w:p>
        <w:p w14:paraId="471D18B4" w14:textId="77777777" w:rsidR="00A02889" w:rsidRDefault="00A02889">
          <w:pPr>
            <w:pStyle w:val="TOC4"/>
            <w:numPr>
              <w:ilvl w:val="2"/>
              <w:numId w:val="15"/>
            </w:numPr>
            <w:tabs>
              <w:tab w:val="left" w:pos="1684"/>
              <w:tab w:val="right" w:leader="dot" w:pos="10072"/>
            </w:tabs>
            <w:ind w:left="1684" w:hanging="525"/>
          </w:pPr>
          <w:hyperlink w:anchor="_bookmark40" w:history="1">
            <w:r>
              <w:t>Adverse</w:t>
            </w:r>
            <w:r>
              <w:rPr>
                <w:spacing w:val="-5"/>
              </w:rPr>
              <w:t xml:space="preserve"> </w:t>
            </w:r>
            <w:r>
              <w:t>Effects</w:t>
            </w:r>
            <w:r>
              <w:rPr>
                <w:spacing w:val="-4"/>
              </w:rPr>
              <w:t xml:space="preserve"> </w:t>
            </w:r>
            <w:r>
              <w:t>of</w:t>
            </w:r>
            <w:r>
              <w:rPr>
                <w:spacing w:val="-1"/>
              </w:rPr>
              <w:t xml:space="preserve"> </w:t>
            </w:r>
            <w:r>
              <w:t>Magnesium</w:t>
            </w:r>
            <w:r>
              <w:rPr>
                <w:spacing w:val="-2"/>
              </w:rPr>
              <w:t xml:space="preserve"> trisilicate</w:t>
            </w:r>
            <w:r>
              <w:tab/>
            </w:r>
            <w:r>
              <w:rPr>
                <w:spacing w:val="-5"/>
              </w:rPr>
              <w:t>17</w:t>
            </w:r>
          </w:hyperlink>
        </w:p>
        <w:p w14:paraId="42498622" w14:textId="77777777" w:rsidR="00A02889" w:rsidRDefault="00A02889">
          <w:pPr>
            <w:pStyle w:val="TOC3"/>
            <w:numPr>
              <w:ilvl w:val="1"/>
              <w:numId w:val="15"/>
            </w:numPr>
            <w:tabs>
              <w:tab w:val="left" w:pos="1421"/>
              <w:tab w:val="right" w:leader="dot" w:pos="10072"/>
            </w:tabs>
            <w:spacing w:before="141"/>
            <w:ind w:left="1421" w:hanging="480"/>
          </w:pPr>
          <w:hyperlink w:anchor="_bookmark41" w:history="1">
            <w:r>
              <w:rPr>
                <w:spacing w:val="-2"/>
              </w:rPr>
              <w:t>Ginger</w:t>
            </w:r>
            <w:r>
              <w:tab/>
            </w:r>
            <w:r>
              <w:rPr>
                <w:spacing w:val="-5"/>
              </w:rPr>
              <w:t>17</w:t>
            </w:r>
          </w:hyperlink>
        </w:p>
        <w:p w14:paraId="19ABB0E7" w14:textId="77777777" w:rsidR="00A02889" w:rsidRDefault="00A02889">
          <w:pPr>
            <w:pStyle w:val="TOC4"/>
            <w:numPr>
              <w:ilvl w:val="2"/>
              <w:numId w:val="15"/>
            </w:numPr>
            <w:tabs>
              <w:tab w:val="left" w:pos="1819"/>
              <w:tab w:val="right" w:leader="dot" w:pos="10072"/>
            </w:tabs>
            <w:ind w:left="1819" w:hanging="660"/>
          </w:pPr>
          <w:hyperlink w:anchor="_bookmark42" w:history="1">
            <w:r>
              <w:t>Usage,</w:t>
            </w:r>
            <w:r>
              <w:rPr>
                <w:spacing w:val="-2"/>
              </w:rPr>
              <w:t xml:space="preserve"> </w:t>
            </w:r>
            <w:r>
              <w:t>Preparation</w:t>
            </w:r>
            <w:r>
              <w:rPr>
                <w:spacing w:val="-1"/>
              </w:rPr>
              <w:t xml:space="preserve"> </w:t>
            </w:r>
            <w:r>
              <w:t>and</w:t>
            </w:r>
            <w:r>
              <w:rPr>
                <w:spacing w:val="-1"/>
              </w:rPr>
              <w:t xml:space="preserve"> </w:t>
            </w:r>
            <w:r>
              <w:t>Processing</w:t>
            </w:r>
            <w:r>
              <w:rPr>
                <w:spacing w:val="-4"/>
              </w:rPr>
              <w:t xml:space="preserve"> </w:t>
            </w:r>
            <w:r>
              <w:t>of</w:t>
            </w:r>
            <w:r>
              <w:rPr>
                <w:spacing w:val="-1"/>
              </w:rPr>
              <w:t xml:space="preserve"> </w:t>
            </w:r>
            <w:r>
              <w:rPr>
                <w:spacing w:val="-2"/>
              </w:rPr>
              <w:t>Ginger</w:t>
            </w:r>
            <w:r>
              <w:tab/>
            </w:r>
            <w:r>
              <w:rPr>
                <w:spacing w:val="-5"/>
              </w:rPr>
              <w:t>19</w:t>
            </w:r>
          </w:hyperlink>
        </w:p>
        <w:p w14:paraId="6AAE4CA1" w14:textId="77777777" w:rsidR="00A02889" w:rsidRDefault="00A02889">
          <w:pPr>
            <w:pStyle w:val="TOC4"/>
            <w:numPr>
              <w:ilvl w:val="2"/>
              <w:numId w:val="15"/>
            </w:numPr>
            <w:tabs>
              <w:tab w:val="left" w:pos="1819"/>
              <w:tab w:val="right" w:leader="dot" w:pos="10072"/>
            </w:tabs>
            <w:ind w:left="1819" w:hanging="660"/>
          </w:pPr>
          <w:hyperlink w:anchor="_bookmark43" w:history="1">
            <w:r>
              <w:t>Health</w:t>
            </w:r>
            <w:r>
              <w:rPr>
                <w:spacing w:val="-3"/>
              </w:rPr>
              <w:t xml:space="preserve"> </w:t>
            </w:r>
            <w:r>
              <w:t>Effects</w:t>
            </w:r>
            <w:r>
              <w:rPr>
                <w:spacing w:val="-4"/>
              </w:rPr>
              <w:t xml:space="preserve"> </w:t>
            </w:r>
            <w:r>
              <w:t>of Ginger</w:t>
            </w:r>
            <w:r>
              <w:rPr>
                <w:spacing w:val="-3"/>
              </w:rPr>
              <w:t xml:space="preserve"> </w:t>
            </w:r>
            <w:r>
              <w:t>as</w:t>
            </w:r>
            <w:r>
              <w:rPr>
                <w:spacing w:val="-3"/>
              </w:rPr>
              <w:t xml:space="preserve"> </w:t>
            </w:r>
            <w:r>
              <w:t>an</w:t>
            </w:r>
            <w:r>
              <w:rPr>
                <w:spacing w:val="-15"/>
              </w:rPr>
              <w:t xml:space="preserve"> </w:t>
            </w:r>
            <w:r>
              <w:rPr>
                <w:spacing w:val="-2"/>
              </w:rPr>
              <w:t>Antacid</w:t>
            </w:r>
            <w:r>
              <w:tab/>
            </w:r>
            <w:r>
              <w:rPr>
                <w:spacing w:val="-5"/>
              </w:rPr>
              <w:t>20</w:t>
            </w:r>
          </w:hyperlink>
        </w:p>
        <w:p w14:paraId="3BBEBDF7" w14:textId="77777777" w:rsidR="00A02889" w:rsidRDefault="00A02889">
          <w:pPr>
            <w:pStyle w:val="TOC3"/>
            <w:numPr>
              <w:ilvl w:val="1"/>
              <w:numId w:val="15"/>
            </w:numPr>
            <w:tabs>
              <w:tab w:val="left" w:pos="1411"/>
              <w:tab w:val="right" w:leader="dot" w:pos="10072"/>
            </w:tabs>
            <w:spacing w:before="141"/>
            <w:ind w:left="1411" w:hanging="470"/>
          </w:pPr>
          <w:hyperlink w:anchor="_bookmark44" w:history="1">
            <w:r>
              <w:t>Baking</w:t>
            </w:r>
            <w:r>
              <w:rPr>
                <w:spacing w:val="-4"/>
              </w:rPr>
              <w:t xml:space="preserve"> Soda</w:t>
            </w:r>
            <w:r>
              <w:tab/>
            </w:r>
            <w:r>
              <w:rPr>
                <w:spacing w:val="-5"/>
              </w:rPr>
              <w:t>20</w:t>
            </w:r>
          </w:hyperlink>
        </w:p>
        <w:p w14:paraId="1F8A81C7" w14:textId="77777777" w:rsidR="00A02889" w:rsidRDefault="00A02889">
          <w:pPr>
            <w:pStyle w:val="TOC4"/>
            <w:numPr>
              <w:ilvl w:val="2"/>
              <w:numId w:val="15"/>
            </w:numPr>
            <w:tabs>
              <w:tab w:val="left" w:pos="1808"/>
              <w:tab w:val="right" w:leader="dot" w:pos="10072"/>
            </w:tabs>
            <w:ind w:left="1808" w:hanging="649"/>
          </w:pPr>
          <w:hyperlink w:anchor="_bookmark46" w:history="1">
            <w:r>
              <w:t>Administration</w:t>
            </w:r>
            <w:r>
              <w:rPr>
                <w:spacing w:val="-3"/>
              </w:rPr>
              <w:t xml:space="preserve"> </w:t>
            </w:r>
            <w:r>
              <w:t>of</w:t>
            </w:r>
            <w:r>
              <w:rPr>
                <w:spacing w:val="-2"/>
              </w:rPr>
              <w:t xml:space="preserve"> </w:t>
            </w:r>
            <w:r>
              <w:t>Baking</w:t>
            </w:r>
            <w:r>
              <w:rPr>
                <w:spacing w:val="-3"/>
              </w:rPr>
              <w:t xml:space="preserve"> </w:t>
            </w:r>
            <w:r>
              <w:rPr>
                <w:spacing w:val="-4"/>
              </w:rPr>
              <w:t>Soda</w:t>
            </w:r>
            <w:r>
              <w:tab/>
            </w:r>
            <w:r>
              <w:rPr>
                <w:spacing w:val="-5"/>
              </w:rPr>
              <w:t>21</w:t>
            </w:r>
          </w:hyperlink>
        </w:p>
        <w:p w14:paraId="1FA168FD" w14:textId="77777777" w:rsidR="00A02889" w:rsidRDefault="00A02889">
          <w:pPr>
            <w:pStyle w:val="TOC4"/>
            <w:numPr>
              <w:ilvl w:val="2"/>
              <w:numId w:val="15"/>
            </w:numPr>
            <w:tabs>
              <w:tab w:val="left" w:pos="1809"/>
              <w:tab w:val="right" w:leader="dot" w:pos="10072"/>
            </w:tabs>
            <w:ind w:left="1809" w:hanging="650"/>
          </w:pPr>
          <w:hyperlink w:anchor="_bookmark47" w:history="1">
            <w:r>
              <w:t>Mechanism of</w:t>
            </w:r>
            <w:r>
              <w:rPr>
                <w:spacing w:val="-14"/>
              </w:rPr>
              <w:t xml:space="preserve"> </w:t>
            </w:r>
            <w:r>
              <w:t>Action</w:t>
            </w:r>
            <w:r>
              <w:rPr>
                <w:spacing w:val="-1"/>
              </w:rPr>
              <w:t xml:space="preserve"> </w:t>
            </w:r>
            <w:r>
              <w:t>of</w:t>
            </w:r>
            <w:r>
              <w:rPr>
                <w:spacing w:val="-1"/>
              </w:rPr>
              <w:t xml:space="preserve"> </w:t>
            </w:r>
            <w:r>
              <w:t>Baking</w:t>
            </w:r>
            <w:r>
              <w:rPr>
                <w:spacing w:val="-3"/>
              </w:rPr>
              <w:t xml:space="preserve"> </w:t>
            </w:r>
            <w:r>
              <w:rPr>
                <w:spacing w:val="-4"/>
              </w:rPr>
              <w:t>Soda</w:t>
            </w:r>
            <w:r>
              <w:tab/>
            </w:r>
            <w:r>
              <w:rPr>
                <w:spacing w:val="-5"/>
              </w:rPr>
              <w:t>21</w:t>
            </w:r>
          </w:hyperlink>
        </w:p>
        <w:p w14:paraId="0E458682" w14:textId="77777777" w:rsidR="00A02889" w:rsidRDefault="00A02889">
          <w:pPr>
            <w:pStyle w:val="TOC4"/>
            <w:numPr>
              <w:ilvl w:val="2"/>
              <w:numId w:val="15"/>
            </w:numPr>
            <w:tabs>
              <w:tab w:val="left" w:pos="1809"/>
              <w:tab w:val="right" w:leader="dot" w:pos="10072"/>
            </w:tabs>
            <w:spacing w:before="139"/>
            <w:ind w:left="1809" w:hanging="650"/>
          </w:pPr>
          <w:hyperlink w:anchor="_bookmark48" w:history="1">
            <w:r>
              <w:t>Contraindication</w:t>
            </w:r>
            <w:r>
              <w:rPr>
                <w:spacing w:val="-4"/>
              </w:rPr>
              <w:t xml:space="preserve"> </w:t>
            </w:r>
            <w:r>
              <w:t>and</w:t>
            </w:r>
            <w:r>
              <w:rPr>
                <w:spacing w:val="-8"/>
              </w:rPr>
              <w:t xml:space="preserve"> </w:t>
            </w:r>
            <w:r>
              <w:t>Toxicity</w:t>
            </w:r>
            <w:r>
              <w:rPr>
                <w:spacing w:val="-11"/>
              </w:rPr>
              <w:t xml:space="preserve"> </w:t>
            </w:r>
            <w:r>
              <w:t>of</w:t>
            </w:r>
            <w:r>
              <w:rPr>
                <w:spacing w:val="-3"/>
              </w:rPr>
              <w:t xml:space="preserve"> </w:t>
            </w:r>
            <w:r>
              <w:t>Baking</w:t>
            </w:r>
            <w:r>
              <w:rPr>
                <w:spacing w:val="-6"/>
              </w:rPr>
              <w:t xml:space="preserve"> </w:t>
            </w:r>
            <w:r>
              <w:rPr>
                <w:spacing w:val="-4"/>
              </w:rPr>
              <w:t>Soda</w:t>
            </w:r>
            <w:r>
              <w:tab/>
            </w:r>
            <w:r>
              <w:rPr>
                <w:spacing w:val="-5"/>
              </w:rPr>
              <w:t>22</w:t>
            </w:r>
          </w:hyperlink>
        </w:p>
        <w:p w14:paraId="1C45DF7A" w14:textId="77777777" w:rsidR="00A02889" w:rsidRDefault="00A02889">
          <w:pPr>
            <w:pStyle w:val="TOC1"/>
            <w:tabs>
              <w:tab w:val="right" w:leader="dot" w:pos="10072"/>
            </w:tabs>
          </w:pPr>
          <w:hyperlink w:anchor="_bookmark49" w:history="1">
            <w:r>
              <w:t>CHAPTER</w:t>
            </w:r>
            <w:r>
              <w:rPr>
                <w:spacing w:val="-7"/>
              </w:rPr>
              <w:t xml:space="preserve"> </w:t>
            </w:r>
            <w:r>
              <w:rPr>
                <w:spacing w:val="-2"/>
              </w:rPr>
              <w:t>THREE</w:t>
            </w:r>
            <w:r>
              <w:tab/>
            </w:r>
            <w:r>
              <w:rPr>
                <w:spacing w:val="-5"/>
              </w:rPr>
              <w:t>24</w:t>
            </w:r>
          </w:hyperlink>
        </w:p>
        <w:p w14:paraId="3F9B1247" w14:textId="77777777" w:rsidR="00A02889" w:rsidRDefault="00A02889">
          <w:pPr>
            <w:pStyle w:val="TOC3"/>
            <w:numPr>
              <w:ilvl w:val="1"/>
              <w:numId w:val="14"/>
            </w:numPr>
            <w:tabs>
              <w:tab w:val="left" w:pos="1301"/>
              <w:tab w:val="right" w:leader="dot" w:pos="10072"/>
            </w:tabs>
            <w:spacing w:before="141"/>
          </w:pPr>
          <w:hyperlink w:anchor="_bookmark50" w:history="1">
            <w:r>
              <w:t>Materials</w:t>
            </w:r>
            <w:r>
              <w:rPr>
                <w:spacing w:val="-4"/>
              </w:rPr>
              <w:t xml:space="preserve"> </w:t>
            </w:r>
            <w:r>
              <w:t>and</w:t>
            </w:r>
            <w:r>
              <w:rPr>
                <w:spacing w:val="-2"/>
              </w:rPr>
              <w:t xml:space="preserve"> Method</w:t>
            </w:r>
            <w:r>
              <w:tab/>
            </w:r>
            <w:r>
              <w:rPr>
                <w:spacing w:val="-5"/>
              </w:rPr>
              <w:t>24</w:t>
            </w:r>
          </w:hyperlink>
        </w:p>
        <w:p w14:paraId="3B190828" w14:textId="77777777" w:rsidR="00A02889" w:rsidRDefault="00A02889">
          <w:pPr>
            <w:pStyle w:val="TOC3"/>
            <w:numPr>
              <w:ilvl w:val="1"/>
              <w:numId w:val="14"/>
            </w:numPr>
            <w:tabs>
              <w:tab w:val="left" w:pos="1301"/>
              <w:tab w:val="right" w:leader="dot" w:pos="10072"/>
            </w:tabs>
          </w:pPr>
          <w:hyperlink w:anchor="_bookmark51" w:history="1">
            <w:r>
              <w:rPr>
                <w:spacing w:val="-2"/>
              </w:rPr>
              <w:t>Materials</w:t>
            </w:r>
            <w:r>
              <w:tab/>
            </w:r>
            <w:r>
              <w:rPr>
                <w:spacing w:val="-5"/>
              </w:rPr>
              <w:t>24</w:t>
            </w:r>
          </w:hyperlink>
        </w:p>
        <w:p w14:paraId="4A5AC29E" w14:textId="77777777" w:rsidR="00A02889" w:rsidRDefault="00A02889">
          <w:pPr>
            <w:pStyle w:val="TOC3"/>
            <w:numPr>
              <w:ilvl w:val="1"/>
              <w:numId w:val="14"/>
            </w:numPr>
            <w:tabs>
              <w:tab w:val="left" w:pos="1301"/>
              <w:tab w:val="right" w:leader="dot" w:pos="10072"/>
            </w:tabs>
          </w:pPr>
          <w:hyperlink w:anchor="_bookmark52" w:history="1">
            <w:r>
              <w:t>Study</w:t>
            </w:r>
            <w:r>
              <w:rPr>
                <w:spacing w:val="-20"/>
              </w:rPr>
              <w:t xml:space="preserve"> </w:t>
            </w:r>
            <w:r>
              <w:rPr>
                <w:spacing w:val="-4"/>
              </w:rPr>
              <w:t>Area</w:t>
            </w:r>
            <w:r>
              <w:tab/>
            </w:r>
            <w:r>
              <w:rPr>
                <w:spacing w:val="-5"/>
              </w:rPr>
              <w:t>24</w:t>
            </w:r>
          </w:hyperlink>
        </w:p>
        <w:p w14:paraId="16E90A4E" w14:textId="77777777" w:rsidR="00A02889" w:rsidRDefault="00A02889">
          <w:pPr>
            <w:pStyle w:val="TOC3"/>
            <w:numPr>
              <w:ilvl w:val="1"/>
              <w:numId w:val="14"/>
            </w:numPr>
            <w:tabs>
              <w:tab w:val="left" w:pos="1301"/>
              <w:tab w:val="right" w:leader="dot" w:pos="10072"/>
            </w:tabs>
            <w:spacing w:before="141"/>
          </w:pPr>
          <w:hyperlink w:anchor="_bookmark53" w:history="1">
            <w:r>
              <w:t>Study</w:t>
            </w:r>
            <w:r>
              <w:rPr>
                <w:spacing w:val="-6"/>
              </w:rPr>
              <w:t xml:space="preserve"> </w:t>
            </w:r>
            <w:r>
              <w:rPr>
                <w:spacing w:val="-2"/>
              </w:rPr>
              <w:t>population</w:t>
            </w:r>
            <w:r>
              <w:tab/>
            </w:r>
            <w:r>
              <w:rPr>
                <w:spacing w:val="-5"/>
              </w:rPr>
              <w:t>25</w:t>
            </w:r>
          </w:hyperlink>
        </w:p>
        <w:p w14:paraId="053D2330" w14:textId="77777777" w:rsidR="00A02889" w:rsidRDefault="00A02889">
          <w:pPr>
            <w:pStyle w:val="TOC3"/>
            <w:numPr>
              <w:ilvl w:val="1"/>
              <w:numId w:val="14"/>
            </w:numPr>
            <w:tabs>
              <w:tab w:val="left" w:pos="1301"/>
              <w:tab w:val="right" w:leader="dot" w:pos="10072"/>
            </w:tabs>
          </w:pPr>
          <w:hyperlink w:anchor="_bookmark54" w:history="1">
            <w:r>
              <w:rPr>
                <w:spacing w:val="-2"/>
              </w:rPr>
              <w:t>Materials</w:t>
            </w:r>
            <w:r>
              <w:tab/>
            </w:r>
            <w:r>
              <w:rPr>
                <w:spacing w:val="-5"/>
              </w:rPr>
              <w:t>25</w:t>
            </w:r>
          </w:hyperlink>
        </w:p>
        <w:p w14:paraId="157B9B8B" w14:textId="77777777" w:rsidR="00A02889" w:rsidRDefault="00A02889">
          <w:pPr>
            <w:pStyle w:val="TOC4"/>
            <w:tabs>
              <w:tab w:val="right" w:leader="dot" w:pos="10072"/>
            </w:tabs>
            <w:ind w:left="1159" w:firstLine="0"/>
          </w:pPr>
          <w:hyperlink w:anchor="_bookmark55" w:history="1">
            <w:r>
              <w:t>Table</w:t>
            </w:r>
            <w:r>
              <w:rPr>
                <w:spacing w:val="-5"/>
              </w:rPr>
              <w:t xml:space="preserve"> </w:t>
            </w:r>
            <w:r>
              <w:t>3.1:</w:t>
            </w:r>
            <w:r>
              <w:rPr>
                <w:spacing w:val="-5"/>
              </w:rPr>
              <w:t xml:space="preserve"> </w:t>
            </w:r>
            <w:r>
              <w:t>Materials,</w:t>
            </w:r>
            <w:r>
              <w:rPr>
                <w:spacing w:val="-5"/>
              </w:rPr>
              <w:t xml:space="preserve"> </w:t>
            </w:r>
            <w:r>
              <w:t>Manufacturers,</w:t>
            </w:r>
            <w:r>
              <w:rPr>
                <w:spacing w:val="-5"/>
              </w:rPr>
              <w:t xml:space="preserve"> </w:t>
            </w:r>
            <w:r>
              <w:t>and</w:t>
            </w:r>
            <w:r>
              <w:rPr>
                <w:spacing w:val="-5"/>
              </w:rPr>
              <w:t xml:space="preserve"> </w:t>
            </w:r>
            <w:r>
              <w:rPr>
                <w:spacing w:val="-2"/>
              </w:rPr>
              <w:t>Models</w:t>
            </w:r>
            <w:r>
              <w:tab/>
            </w:r>
            <w:r>
              <w:rPr>
                <w:spacing w:val="-5"/>
              </w:rPr>
              <w:t>25</w:t>
            </w:r>
          </w:hyperlink>
        </w:p>
        <w:p w14:paraId="420AD254" w14:textId="77777777" w:rsidR="00A02889" w:rsidRDefault="00A02889">
          <w:pPr>
            <w:pStyle w:val="TOC3"/>
            <w:numPr>
              <w:ilvl w:val="1"/>
              <w:numId w:val="14"/>
            </w:numPr>
            <w:tabs>
              <w:tab w:val="left" w:pos="1303"/>
              <w:tab w:val="right" w:leader="dot" w:pos="10072"/>
            </w:tabs>
            <w:spacing w:before="141"/>
            <w:ind w:left="1303" w:hanging="362"/>
          </w:pPr>
          <w:hyperlink w:anchor="_bookmark56" w:history="1">
            <w:r>
              <w:t>Laboratory</w:t>
            </w:r>
            <w:r>
              <w:rPr>
                <w:spacing w:val="-7"/>
              </w:rPr>
              <w:t xml:space="preserve"> </w:t>
            </w:r>
            <w:r>
              <w:rPr>
                <w:spacing w:val="-2"/>
              </w:rPr>
              <w:t>Methods</w:t>
            </w:r>
            <w:r>
              <w:tab/>
            </w:r>
            <w:r>
              <w:rPr>
                <w:spacing w:val="-5"/>
              </w:rPr>
              <w:t>26</w:t>
            </w:r>
          </w:hyperlink>
        </w:p>
        <w:p w14:paraId="3433A826" w14:textId="77777777" w:rsidR="00A02889" w:rsidRDefault="00A02889">
          <w:pPr>
            <w:pStyle w:val="TOC4"/>
            <w:numPr>
              <w:ilvl w:val="2"/>
              <w:numId w:val="14"/>
            </w:numPr>
            <w:tabs>
              <w:tab w:val="left" w:pos="1698"/>
              <w:tab w:val="right" w:leader="dot" w:pos="10072"/>
            </w:tabs>
            <w:ind w:left="1698" w:hanging="539"/>
          </w:pPr>
          <w:hyperlink w:anchor="_bookmark57" w:history="1">
            <w:r>
              <w:t>Preparation</w:t>
            </w:r>
            <w:r>
              <w:rPr>
                <w:spacing w:val="-4"/>
              </w:rPr>
              <w:t xml:space="preserve"> </w:t>
            </w:r>
            <w:r>
              <w:t>of</w:t>
            </w:r>
            <w:r>
              <w:rPr>
                <w:spacing w:val="-1"/>
              </w:rPr>
              <w:t xml:space="preserve"> </w:t>
            </w:r>
            <w:r>
              <w:t>Natural</w:t>
            </w:r>
            <w:r>
              <w:rPr>
                <w:spacing w:val="-15"/>
              </w:rPr>
              <w:t xml:space="preserve"> </w:t>
            </w:r>
            <w:r>
              <w:rPr>
                <w:spacing w:val="-2"/>
              </w:rPr>
              <w:t>Antacids</w:t>
            </w:r>
            <w:r>
              <w:tab/>
            </w:r>
            <w:r>
              <w:rPr>
                <w:spacing w:val="-5"/>
              </w:rPr>
              <w:t>26</w:t>
            </w:r>
          </w:hyperlink>
        </w:p>
        <w:p w14:paraId="3CC68628" w14:textId="77777777" w:rsidR="00A02889" w:rsidRDefault="00A02889">
          <w:pPr>
            <w:pStyle w:val="TOC4"/>
            <w:numPr>
              <w:ilvl w:val="2"/>
              <w:numId w:val="14"/>
            </w:numPr>
            <w:tabs>
              <w:tab w:val="left" w:pos="1699"/>
              <w:tab w:val="right" w:leader="dot" w:pos="10072"/>
            </w:tabs>
          </w:pPr>
          <w:hyperlink w:anchor="_bookmark58" w:history="1">
            <w:r>
              <w:t>Preparation</w:t>
            </w:r>
            <w:r>
              <w:rPr>
                <w:spacing w:val="-3"/>
              </w:rPr>
              <w:t xml:space="preserve"> </w:t>
            </w:r>
            <w:r>
              <w:t>of</w:t>
            </w:r>
            <w:r>
              <w:rPr>
                <w:spacing w:val="-2"/>
              </w:rPr>
              <w:t xml:space="preserve"> </w:t>
            </w:r>
            <w:r>
              <w:t>Synthetic</w:t>
            </w:r>
            <w:r>
              <w:rPr>
                <w:spacing w:val="-16"/>
              </w:rPr>
              <w:t xml:space="preserve"> </w:t>
            </w:r>
            <w:r>
              <w:rPr>
                <w:spacing w:val="-2"/>
              </w:rPr>
              <w:t>Antacids</w:t>
            </w:r>
            <w:r>
              <w:tab/>
            </w:r>
            <w:r>
              <w:rPr>
                <w:spacing w:val="-5"/>
              </w:rPr>
              <w:t>27</w:t>
            </w:r>
          </w:hyperlink>
        </w:p>
        <w:p w14:paraId="271589E5" w14:textId="77777777" w:rsidR="00A02889" w:rsidRDefault="00A02889">
          <w:pPr>
            <w:pStyle w:val="TOC3"/>
            <w:numPr>
              <w:ilvl w:val="1"/>
              <w:numId w:val="14"/>
            </w:numPr>
            <w:tabs>
              <w:tab w:val="left" w:pos="1301"/>
              <w:tab w:val="right" w:leader="dot" w:pos="10072"/>
            </w:tabs>
            <w:spacing w:before="139"/>
          </w:pPr>
          <w:hyperlink w:anchor="_bookmark59" w:history="1">
            <w:r>
              <w:t>Effectiveness</w:t>
            </w:r>
            <w:r>
              <w:rPr>
                <w:spacing w:val="-15"/>
              </w:rPr>
              <w:t xml:space="preserve"> </w:t>
            </w:r>
            <w:r>
              <w:rPr>
                <w:spacing w:val="-2"/>
              </w:rPr>
              <w:t>Testing</w:t>
            </w:r>
            <w:r>
              <w:tab/>
            </w:r>
            <w:r>
              <w:rPr>
                <w:spacing w:val="-5"/>
              </w:rPr>
              <w:t>27</w:t>
            </w:r>
          </w:hyperlink>
        </w:p>
        <w:p w14:paraId="0057D61C" w14:textId="77777777" w:rsidR="00A02889" w:rsidRDefault="00A02889">
          <w:pPr>
            <w:pStyle w:val="TOC4"/>
            <w:numPr>
              <w:ilvl w:val="2"/>
              <w:numId w:val="14"/>
            </w:numPr>
            <w:tabs>
              <w:tab w:val="left" w:pos="1698"/>
              <w:tab w:val="right" w:leader="dot" w:pos="10072"/>
            </w:tabs>
            <w:ind w:left="1698" w:hanging="539"/>
          </w:pPr>
          <w:hyperlink w:anchor="_bookmark60" w:history="1">
            <w:r>
              <w:t>Neutralization</w:t>
            </w:r>
            <w:r>
              <w:rPr>
                <w:spacing w:val="-4"/>
              </w:rPr>
              <w:t xml:space="preserve"> </w:t>
            </w:r>
            <w:r>
              <w:rPr>
                <w:spacing w:val="-2"/>
              </w:rPr>
              <w:t>Capacity</w:t>
            </w:r>
            <w:r>
              <w:tab/>
            </w:r>
            <w:r>
              <w:rPr>
                <w:spacing w:val="-5"/>
              </w:rPr>
              <w:t>27</w:t>
            </w:r>
          </w:hyperlink>
        </w:p>
        <w:p w14:paraId="44BDA153" w14:textId="77777777" w:rsidR="00A02889" w:rsidRDefault="00A02889">
          <w:pPr>
            <w:pStyle w:val="TOC3"/>
            <w:numPr>
              <w:ilvl w:val="1"/>
              <w:numId w:val="14"/>
            </w:numPr>
            <w:tabs>
              <w:tab w:val="left" w:pos="1301"/>
              <w:tab w:val="right" w:leader="dot" w:pos="10072"/>
            </w:tabs>
          </w:pPr>
          <w:hyperlink w:anchor="_bookmark61" w:history="1">
            <w:r>
              <w:t>Data</w:t>
            </w:r>
            <w:r>
              <w:rPr>
                <w:spacing w:val="-2"/>
              </w:rPr>
              <w:t xml:space="preserve"> Collection</w:t>
            </w:r>
            <w:r>
              <w:tab/>
            </w:r>
            <w:r>
              <w:rPr>
                <w:spacing w:val="-5"/>
              </w:rPr>
              <w:t>28</w:t>
            </w:r>
          </w:hyperlink>
        </w:p>
        <w:p w14:paraId="39E2CCFD" w14:textId="77777777" w:rsidR="00A02889" w:rsidRDefault="00A02889">
          <w:pPr>
            <w:pStyle w:val="TOC3"/>
            <w:numPr>
              <w:ilvl w:val="1"/>
              <w:numId w:val="14"/>
            </w:numPr>
            <w:tabs>
              <w:tab w:val="left" w:pos="1301"/>
              <w:tab w:val="right" w:leader="dot" w:pos="10072"/>
            </w:tabs>
            <w:spacing w:before="141" w:after="118"/>
          </w:pPr>
          <w:hyperlink w:anchor="_bookmark62" w:history="1">
            <w:r>
              <w:t>Data</w:t>
            </w:r>
            <w:r>
              <w:rPr>
                <w:spacing w:val="-4"/>
              </w:rPr>
              <w:t xml:space="preserve"> </w:t>
            </w:r>
            <w:r>
              <w:rPr>
                <w:spacing w:val="-2"/>
              </w:rPr>
              <w:t>analysis</w:t>
            </w:r>
            <w:r>
              <w:tab/>
            </w:r>
            <w:r>
              <w:rPr>
                <w:spacing w:val="-5"/>
              </w:rPr>
              <w:t>29</w:t>
            </w:r>
          </w:hyperlink>
        </w:p>
        <w:p w14:paraId="4CDED3FC" w14:textId="77777777" w:rsidR="00A02889" w:rsidRDefault="00A02889">
          <w:pPr>
            <w:pStyle w:val="TOC1"/>
            <w:tabs>
              <w:tab w:val="right" w:leader="dot" w:pos="10072"/>
            </w:tabs>
            <w:spacing w:before="72"/>
          </w:pPr>
          <w:hyperlink w:anchor="_bookmark63" w:history="1">
            <w:r>
              <w:t>CHAPTER</w:t>
            </w:r>
            <w:r>
              <w:rPr>
                <w:spacing w:val="-2"/>
              </w:rPr>
              <w:t xml:space="preserve"> </w:t>
            </w:r>
            <w:r>
              <w:rPr>
                <w:spacing w:val="-4"/>
              </w:rPr>
              <w:t>FOUR</w:t>
            </w:r>
            <w:r>
              <w:tab/>
            </w:r>
            <w:r>
              <w:rPr>
                <w:spacing w:val="-5"/>
              </w:rPr>
              <w:t>32</w:t>
            </w:r>
          </w:hyperlink>
        </w:p>
        <w:p w14:paraId="1B774EBB" w14:textId="77777777" w:rsidR="00A02889" w:rsidRDefault="00A02889">
          <w:pPr>
            <w:pStyle w:val="TOC3"/>
            <w:numPr>
              <w:ilvl w:val="1"/>
              <w:numId w:val="13"/>
            </w:numPr>
            <w:tabs>
              <w:tab w:val="left" w:pos="1301"/>
              <w:tab w:val="right" w:leader="dot" w:pos="10072"/>
            </w:tabs>
          </w:pPr>
          <w:hyperlink w:anchor="_bookmark64" w:history="1">
            <w:r>
              <w:rPr>
                <w:spacing w:val="-2"/>
              </w:rPr>
              <w:t>RESULTS</w:t>
            </w:r>
            <w:r>
              <w:rPr>
                <w:spacing w:val="-14"/>
              </w:rPr>
              <w:t xml:space="preserve"> </w:t>
            </w:r>
            <w:r>
              <w:rPr>
                <w:spacing w:val="-2"/>
              </w:rPr>
              <w:t>AND</w:t>
            </w:r>
            <w:r>
              <w:rPr>
                <w:spacing w:val="-9"/>
              </w:rPr>
              <w:t xml:space="preserve"> </w:t>
            </w:r>
            <w:r>
              <w:rPr>
                <w:spacing w:val="-2"/>
              </w:rPr>
              <w:t>DISCUSSION</w:t>
            </w:r>
            <w:r>
              <w:tab/>
            </w:r>
            <w:r>
              <w:rPr>
                <w:spacing w:val="-7"/>
              </w:rPr>
              <w:t>32</w:t>
            </w:r>
          </w:hyperlink>
        </w:p>
        <w:p w14:paraId="4B1409CA" w14:textId="77777777" w:rsidR="00A02889" w:rsidRDefault="00A02889">
          <w:pPr>
            <w:pStyle w:val="TOC3"/>
            <w:numPr>
              <w:ilvl w:val="1"/>
              <w:numId w:val="13"/>
            </w:numPr>
            <w:tabs>
              <w:tab w:val="left" w:pos="1301"/>
              <w:tab w:val="right" w:leader="dot" w:pos="10072"/>
            </w:tabs>
            <w:spacing w:before="141"/>
          </w:pPr>
          <w:hyperlink w:anchor="_bookmark65" w:history="1">
            <w:r>
              <w:rPr>
                <w:spacing w:val="-2"/>
              </w:rPr>
              <w:t>Results</w:t>
            </w:r>
            <w:r>
              <w:tab/>
            </w:r>
            <w:r>
              <w:rPr>
                <w:spacing w:val="-5"/>
              </w:rPr>
              <w:t>32</w:t>
            </w:r>
          </w:hyperlink>
        </w:p>
        <w:p w14:paraId="5AC86A84" w14:textId="77777777" w:rsidR="00A02889" w:rsidRDefault="00A02889">
          <w:pPr>
            <w:pStyle w:val="TOC3"/>
            <w:numPr>
              <w:ilvl w:val="1"/>
              <w:numId w:val="13"/>
            </w:numPr>
            <w:tabs>
              <w:tab w:val="left" w:pos="1300"/>
              <w:tab w:val="right" w:leader="dot" w:pos="10072"/>
            </w:tabs>
            <w:ind w:left="1300" w:hanging="359"/>
          </w:pPr>
          <w:hyperlink w:anchor="_bookmark70" w:history="1">
            <w:r>
              <w:t>Questionnaire</w:t>
            </w:r>
            <w:r>
              <w:rPr>
                <w:spacing w:val="-4"/>
              </w:rPr>
              <w:t xml:space="preserve"> </w:t>
            </w:r>
            <w:r>
              <w:rPr>
                <w:spacing w:val="-2"/>
              </w:rPr>
              <w:t>Results</w:t>
            </w:r>
            <w:r>
              <w:tab/>
            </w:r>
            <w:r>
              <w:rPr>
                <w:spacing w:val="-5"/>
              </w:rPr>
              <w:t>37</w:t>
            </w:r>
          </w:hyperlink>
        </w:p>
        <w:p w14:paraId="55AB2584" w14:textId="77777777" w:rsidR="00A02889" w:rsidRDefault="00A02889">
          <w:pPr>
            <w:pStyle w:val="TOC3"/>
            <w:numPr>
              <w:ilvl w:val="1"/>
              <w:numId w:val="13"/>
            </w:numPr>
            <w:tabs>
              <w:tab w:val="left" w:pos="1300"/>
              <w:tab w:val="right" w:leader="dot" w:pos="10072"/>
            </w:tabs>
            <w:ind w:left="1300" w:hanging="359"/>
          </w:pPr>
          <w:hyperlink w:anchor="_bookmark76" w:history="1">
            <w:r>
              <w:rPr>
                <w:spacing w:val="-2"/>
              </w:rPr>
              <w:t>Discussion</w:t>
            </w:r>
            <w:r>
              <w:tab/>
            </w:r>
            <w:r>
              <w:rPr>
                <w:spacing w:val="-5"/>
              </w:rPr>
              <w:t>43</w:t>
            </w:r>
          </w:hyperlink>
        </w:p>
        <w:p w14:paraId="21CB1172" w14:textId="77777777" w:rsidR="00A02889" w:rsidRDefault="00A02889">
          <w:pPr>
            <w:pStyle w:val="TOC4"/>
            <w:numPr>
              <w:ilvl w:val="2"/>
              <w:numId w:val="13"/>
            </w:numPr>
            <w:tabs>
              <w:tab w:val="left" w:pos="1698"/>
              <w:tab w:val="right" w:leader="dot" w:pos="10072"/>
            </w:tabs>
            <w:spacing w:before="141"/>
            <w:ind w:left="1698" w:hanging="539"/>
          </w:pPr>
          <w:hyperlink w:anchor="_bookmark77" w:history="1">
            <w:r>
              <w:t>Discussion</w:t>
            </w:r>
            <w:r>
              <w:rPr>
                <w:spacing w:val="-1"/>
              </w:rPr>
              <w:t xml:space="preserve"> </w:t>
            </w:r>
            <w:r>
              <w:t>of</w:t>
            </w:r>
            <w:r>
              <w:rPr>
                <w:spacing w:val="1"/>
              </w:rPr>
              <w:t xml:space="preserve"> </w:t>
            </w:r>
            <w:r>
              <w:t>Laboratory</w:t>
            </w:r>
            <w:r>
              <w:rPr>
                <w:spacing w:val="-5"/>
              </w:rPr>
              <w:t xml:space="preserve"> </w:t>
            </w:r>
            <w:r>
              <w:rPr>
                <w:spacing w:val="-2"/>
              </w:rPr>
              <w:t>Result</w:t>
            </w:r>
            <w:r>
              <w:tab/>
            </w:r>
            <w:r>
              <w:rPr>
                <w:spacing w:val="-5"/>
              </w:rPr>
              <w:t>43</w:t>
            </w:r>
          </w:hyperlink>
        </w:p>
        <w:p w14:paraId="066909C0" w14:textId="77777777" w:rsidR="00A02889" w:rsidRDefault="00A02889">
          <w:pPr>
            <w:pStyle w:val="TOC4"/>
            <w:numPr>
              <w:ilvl w:val="2"/>
              <w:numId w:val="13"/>
            </w:numPr>
            <w:tabs>
              <w:tab w:val="left" w:pos="1698"/>
              <w:tab w:val="right" w:leader="dot" w:pos="10072"/>
            </w:tabs>
            <w:spacing w:before="139"/>
            <w:ind w:left="1698" w:hanging="539"/>
          </w:pPr>
          <w:hyperlink w:anchor="_bookmark78" w:history="1">
            <w:r>
              <w:t>Discussion</w:t>
            </w:r>
            <w:r>
              <w:rPr>
                <w:spacing w:val="-1"/>
              </w:rPr>
              <w:t xml:space="preserve"> </w:t>
            </w:r>
            <w:r>
              <w:t>of</w:t>
            </w:r>
            <w:r>
              <w:rPr>
                <w:spacing w:val="-2"/>
              </w:rPr>
              <w:t xml:space="preserve"> </w:t>
            </w:r>
            <w:r>
              <w:t>Questionnaire</w:t>
            </w:r>
            <w:r>
              <w:rPr>
                <w:spacing w:val="-2"/>
              </w:rPr>
              <w:t xml:space="preserve"> Findings</w:t>
            </w:r>
            <w:r>
              <w:tab/>
            </w:r>
            <w:r>
              <w:rPr>
                <w:spacing w:val="-5"/>
              </w:rPr>
              <w:t>44</w:t>
            </w:r>
          </w:hyperlink>
        </w:p>
        <w:p w14:paraId="06A7BB3C" w14:textId="77777777" w:rsidR="00A02889" w:rsidRDefault="00A02889">
          <w:pPr>
            <w:pStyle w:val="TOC1"/>
            <w:tabs>
              <w:tab w:val="right" w:leader="dot" w:pos="10072"/>
            </w:tabs>
          </w:pPr>
          <w:hyperlink w:anchor="_bookmark79" w:history="1">
            <w:r>
              <w:t>CHAPTER</w:t>
            </w:r>
            <w:r>
              <w:rPr>
                <w:spacing w:val="-2"/>
              </w:rPr>
              <w:t xml:space="preserve"> </w:t>
            </w:r>
            <w:r>
              <w:rPr>
                <w:spacing w:val="-4"/>
              </w:rPr>
              <w:t>FIVE</w:t>
            </w:r>
            <w:r>
              <w:tab/>
            </w:r>
            <w:r>
              <w:rPr>
                <w:spacing w:val="-5"/>
              </w:rPr>
              <w:t>46</w:t>
            </w:r>
          </w:hyperlink>
        </w:p>
        <w:p w14:paraId="6BC68DEA" w14:textId="77777777" w:rsidR="00A02889" w:rsidRDefault="00A02889">
          <w:pPr>
            <w:pStyle w:val="TOC3"/>
            <w:numPr>
              <w:ilvl w:val="1"/>
              <w:numId w:val="12"/>
            </w:numPr>
            <w:tabs>
              <w:tab w:val="left" w:pos="1301"/>
              <w:tab w:val="right" w:leader="dot" w:pos="10072"/>
            </w:tabs>
          </w:pPr>
          <w:hyperlink w:anchor="_bookmark80" w:history="1">
            <w:r>
              <w:t>Summary,</w:t>
            </w:r>
            <w:r>
              <w:rPr>
                <w:spacing w:val="-7"/>
              </w:rPr>
              <w:t xml:space="preserve"> </w:t>
            </w:r>
            <w:r>
              <w:t>Conclusion</w:t>
            </w:r>
            <w:r>
              <w:rPr>
                <w:spacing w:val="-7"/>
              </w:rPr>
              <w:t xml:space="preserve"> </w:t>
            </w:r>
            <w:r>
              <w:t>and</w:t>
            </w:r>
            <w:r>
              <w:rPr>
                <w:spacing w:val="-7"/>
              </w:rPr>
              <w:t xml:space="preserve"> </w:t>
            </w:r>
            <w:r>
              <w:rPr>
                <w:spacing w:val="-2"/>
              </w:rPr>
              <w:t>Recommendations</w:t>
            </w:r>
            <w:r>
              <w:tab/>
            </w:r>
            <w:r>
              <w:rPr>
                <w:spacing w:val="-5"/>
              </w:rPr>
              <w:t>46</w:t>
            </w:r>
          </w:hyperlink>
        </w:p>
        <w:p w14:paraId="3B3F2EC9" w14:textId="77777777" w:rsidR="00A02889" w:rsidRDefault="00A02889">
          <w:pPr>
            <w:pStyle w:val="TOC3"/>
            <w:numPr>
              <w:ilvl w:val="1"/>
              <w:numId w:val="12"/>
            </w:numPr>
            <w:tabs>
              <w:tab w:val="left" w:pos="1301"/>
              <w:tab w:val="right" w:leader="dot" w:pos="10072"/>
            </w:tabs>
          </w:pPr>
          <w:hyperlink w:anchor="_bookmark81" w:history="1">
            <w:r>
              <w:rPr>
                <w:spacing w:val="-2"/>
              </w:rPr>
              <w:t>Summary</w:t>
            </w:r>
            <w:r>
              <w:tab/>
            </w:r>
            <w:r>
              <w:rPr>
                <w:spacing w:val="-5"/>
              </w:rPr>
              <w:t>46</w:t>
            </w:r>
          </w:hyperlink>
        </w:p>
        <w:p w14:paraId="01F2BAB4" w14:textId="77777777" w:rsidR="00A02889" w:rsidRDefault="00A02889">
          <w:pPr>
            <w:pStyle w:val="TOC3"/>
            <w:numPr>
              <w:ilvl w:val="1"/>
              <w:numId w:val="12"/>
            </w:numPr>
            <w:tabs>
              <w:tab w:val="left" w:pos="1301"/>
              <w:tab w:val="right" w:leader="dot" w:pos="10072"/>
            </w:tabs>
            <w:spacing w:before="141"/>
          </w:pPr>
          <w:hyperlink w:anchor="_bookmark82" w:history="1">
            <w:r>
              <w:rPr>
                <w:spacing w:val="-2"/>
              </w:rPr>
              <w:t>Conclusion</w:t>
            </w:r>
            <w:r>
              <w:tab/>
            </w:r>
            <w:r>
              <w:rPr>
                <w:spacing w:val="-5"/>
              </w:rPr>
              <w:t>47</w:t>
            </w:r>
          </w:hyperlink>
        </w:p>
        <w:p w14:paraId="57F12B29" w14:textId="77777777" w:rsidR="00A02889" w:rsidRDefault="00A02889">
          <w:pPr>
            <w:pStyle w:val="TOC3"/>
            <w:numPr>
              <w:ilvl w:val="1"/>
              <w:numId w:val="12"/>
            </w:numPr>
            <w:tabs>
              <w:tab w:val="left" w:pos="1301"/>
              <w:tab w:val="right" w:leader="dot" w:pos="10072"/>
            </w:tabs>
          </w:pPr>
          <w:hyperlink w:anchor="_bookmark83" w:history="1">
            <w:r>
              <w:rPr>
                <w:spacing w:val="-2"/>
              </w:rPr>
              <w:t>Recommendations</w:t>
            </w:r>
            <w:r>
              <w:tab/>
            </w:r>
            <w:r>
              <w:rPr>
                <w:spacing w:val="-5"/>
              </w:rPr>
              <w:t>48</w:t>
            </w:r>
          </w:hyperlink>
        </w:p>
        <w:p w14:paraId="5A119E56" w14:textId="77777777" w:rsidR="00A02889" w:rsidRDefault="00A02889">
          <w:pPr>
            <w:pStyle w:val="TOC1"/>
            <w:tabs>
              <w:tab w:val="right" w:leader="dot" w:pos="10072"/>
            </w:tabs>
          </w:pPr>
          <w:hyperlink w:anchor="_bookmark84" w:history="1">
            <w:r>
              <w:rPr>
                <w:spacing w:val="-2"/>
              </w:rPr>
              <w:t>REFERENCES</w:t>
            </w:r>
            <w:r>
              <w:tab/>
            </w:r>
            <w:r>
              <w:rPr>
                <w:spacing w:val="-5"/>
              </w:rPr>
              <w:t>49</w:t>
            </w:r>
          </w:hyperlink>
        </w:p>
      </w:sdtContent>
    </w:sdt>
    <w:p w14:paraId="70F41CEF" w14:textId="77777777" w:rsidR="00A02889" w:rsidRDefault="00A02889">
      <w:pPr>
        <w:pStyle w:val="TOC1"/>
        <w:sectPr w:rsidR="00A02889">
          <w:type w:val="continuous"/>
          <w:pgSz w:w="12240" w:h="15840"/>
          <w:pgMar w:top="1359" w:right="720" w:bottom="1490" w:left="720" w:header="0" w:footer="1068" w:gutter="0"/>
          <w:cols w:space="720"/>
        </w:sectPr>
      </w:pPr>
    </w:p>
    <w:p w14:paraId="6006F8E7" w14:textId="77777777" w:rsidR="00A02889" w:rsidRDefault="00000000">
      <w:pPr>
        <w:pStyle w:val="Heading1"/>
      </w:pPr>
      <w:bookmarkStart w:id="6" w:name="_bookmark6"/>
      <w:bookmarkEnd w:id="6"/>
      <w:r>
        <w:lastRenderedPageBreak/>
        <w:t>LIST</w:t>
      </w:r>
      <w:r>
        <w:rPr>
          <w:spacing w:val="-6"/>
        </w:rPr>
        <w:t xml:space="preserve"> </w:t>
      </w:r>
      <w:r>
        <w:t>OF</w:t>
      </w:r>
      <w:r>
        <w:rPr>
          <w:spacing w:val="-17"/>
        </w:rPr>
        <w:t xml:space="preserve"> </w:t>
      </w:r>
      <w:r>
        <w:rPr>
          <w:spacing w:val="-2"/>
        </w:rPr>
        <w:t>TABLES</w:t>
      </w:r>
    </w:p>
    <w:p w14:paraId="0687AE55" w14:textId="77777777" w:rsidR="00A02889" w:rsidRDefault="00000000">
      <w:pPr>
        <w:pStyle w:val="BodyText"/>
        <w:tabs>
          <w:tab w:val="left" w:leader="dot" w:pos="9911"/>
        </w:tabs>
        <w:spacing w:before="274"/>
        <w:ind w:left="720"/>
      </w:pPr>
      <w:r>
        <w:t>Table</w:t>
      </w:r>
      <w:r>
        <w:rPr>
          <w:spacing w:val="-5"/>
        </w:rPr>
        <w:t xml:space="preserve"> </w:t>
      </w:r>
      <w:r>
        <w:t>3.1:</w:t>
      </w:r>
      <w:r>
        <w:rPr>
          <w:spacing w:val="-5"/>
        </w:rPr>
        <w:t xml:space="preserve"> </w:t>
      </w:r>
      <w:r>
        <w:t>Examples</w:t>
      </w:r>
      <w:r>
        <w:rPr>
          <w:spacing w:val="-6"/>
        </w:rPr>
        <w:t xml:space="preserve"> </w:t>
      </w:r>
      <w:r>
        <w:t>of</w:t>
      </w:r>
      <w:r>
        <w:rPr>
          <w:spacing w:val="-4"/>
        </w:rPr>
        <w:t xml:space="preserve"> </w:t>
      </w:r>
      <w:r>
        <w:rPr>
          <w:spacing w:val="-2"/>
        </w:rPr>
        <w:t>antacids</w:t>
      </w:r>
      <w:r>
        <w:tab/>
      </w:r>
      <w:hyperlink w:anchor="_bookmark23" w:history="1">
        <w:r w:rsidR="00A02889">
          <w:rPr>
            <w:spacing w:val="-10"/>
          </w:rPr>
          <w:t>8</w:t>
        </w:r>
      </w:hyperlink>
    </w:p>
    <w:p w14:paraId="1E37A263" w14:textId="77777777" w:rsidR="00A02889" w:rsidRDefault="00A02889">
      <w:pPr>
        <w:pStyle w:val="BodyText"/>
        <w:spacing w:before="200"/>
      </w:pPr>
    </w:p>
    <w:p w14:paraId="575D6995" w14:textId="77777777" w:rsidR="00A02889" w:rsidRDefault="00A02889">
      <w:pPr>
        <w:pStyle w:val="BodyText"/>
        <w:tabs>
          <w:tab w:val="left" w:leader="dot" w:pos="9810"/>
        </w:tabs>
        <w:ind w:left="720"/>
      </w:pPr>
      <w:hyperlink w:anchor="_bookmark66" w:history="1">
        <w:r>
          <w:t>Table</w:t>
        </w:r>
        <w:r>
          <w:rPr>
            <w:spacing w:val="-7"/>
          </w:rPr>
          <w:t xml:space="preserve"> </w:t>
        </w:r>
        <w:r>
          <w:t>4.1:</w:t>
        </w:r>
        <w:r>
          <w:rPr>
            <w:spacing w:val="-3"/>
          </w:rPr>
          <w:t xml:space="preserve"> </w:t>
        </w:r>
        <w:r>
          <w:t>pH</w:t>
        </w:r>
        <w:r>
          <w:rPr>
            <w:spacing w:val="-5"/>
          </w:rPr>
          <w:t xml:space="preserve"> </w:t>
        </w:r>
        <w:r>
          <w:t>Changes</w:t>
        </w:r>
        <w:r>
          <w:rPr>
            <w:spacing w:val="-5"/>
          </w:rPr>
          <w:t xml:space="preserve"> </w:t>
        </w:r>
        <w:r>
          <w:t>over</w:t>
        </w:r>
        <w:r>
          <w:rPr>
            <w:spacing w:val="-9"/>
          </w:rPr>
          <w:t xml:space="preserve"> </w:t>
        </w:r>
        <w:r>
          <w:t>Time</w:t>
        </w:r>
        <w:r>
          <w:rPr>
            <w:spacing w:val="-3"/>
          </w:rPr>
          <w:t xml:space="preserve"> </w:t>
        </w:r>
        <w:r>
          <w:t>for</w:t>
        </w:r>
        <w:r>
          <w:rPr>
            <w:spacing w:val="-5"/>
          </w:rPr>
          <w:t xml:space="preserve"> </w:t>
        </w:r>
        <w:r>
          <w:t>Natural</w:t>
        </w:r>
        <w:r>
          <w:rPr>
            <w:spacing w:val="-4"/>
          </w:rPr>
          <w:t xml:space="preserve"> </w:t>
        </w:r>
        <w:r>
          <w:t>and</w:t>
        </w:r>
        <w:r>
          <w:rPr>
            <w:spacing w:val="-2"/>
          </w:rPr>
          <w:t xml:space="preserve"> </w:t>
        </w:r>
        <w:r>
          <w:t>Synthetic</w:t>
        </w:r>
        <w:r>
          <w:rPr>
            <w:spacing w:val="-15"/>
          </w:rPr>
          <w:t xml:space="preserve"> </w:t>
        </w:r>
        <w:r>
          <w:rPr>
            <w:spacing w:val="-2"/>
          </w:rPr>
          <w:t>Antacids</w:t>
        </w:r>
      </w:hyperlink>
      <w:r w:rsidR="00000000">
        <w:tab/>
      </w:r>
      <w:hyperlink w:anchor="_bookmark66" w:history="1">
        <w:r>
          <w:rPr>
            <w:spacing w:val="-5"/>
          </w:rPr>
          <w:t>33</w:t>
        </w:r>
      </w:hyperlink>
    </w:p>
    <w:p w14:paraId="35A86D1E" w14:textId="77777777" w:rsidR="00A02889" w:rsidRDefault="00A02889">
      <w:pPr>
        <w:pStyle w:val="BodyText"/>
        <w:spacing w:before="201"/>
      </w:pPr>
    </w:p>
    <w:p w14:paraId="196EF8A2" w14:textId="77777777" w:rsidR="00A02889" w:rsidRDefault="00A02889">
      <w:pPr>
        <w:pStyle w:val="BodyText"/>
        <w:tabs>
          <w:tab w:val="left" w:leader="dot" w:pos="9827"/>
        </w:tabs>
        <w:ind w:left="720"/>
      </w:pPr>
      <w:hyperlink w:anchor="_bookmark68" w:history="1">
        <w:r>
          <w:t>Table</w:t>
        </w:r>
        <w:r>
          <w:rPr>
            <w:spacing w:val="-6"/>
          </w:rPr>
          <w:t xml:space="preserve"> </w:t>
        </w:r>
        <w:r>
          <w:t>4.2:</w:t>
        </w:r>
        <w:r>
          <w:rPr>
            <w:spacing w:val="-3"/>
          </w:rPr>
          <w:t xml:space="preserve"> </w:t>
        </w:r>
        <w:r>
          <w:t>Descriptive</w:t>
        </w:r>
        <w:r>
          <w:rPr>
            <w:spacing w:val="-5"/>
          </w:rPr>
          <w:t xml:space="preserve"> </w:t>
        </w:r>
        <w:r>
          <w:t>Statistics</w:t>
        </w:r>
        <w:r>
          <w:rPr>
            <w:spacing w:val="-4"/>
          </w:rPr>
          <w:t xml:space="preserve"> </w:t>
        </w:r>
        <w:r>
          <w:t>of</w:t>
        </w:r>
        <w:r>
          <w:rPr>
            <w:spacing w:val="-4"/>
          </w:rPr>
          <w:t xml:space="preserve"> </w:t>
        </w:r>
        <w:r>
          <w:t>Mean</w:t>
        </w:r>
        <w:r>
          <w:rPr>
            <w:spacing w:val="-3"/>
          </w:rPr>
          <w:t xml:space="preserve"> </w:t>
        </w:r>
        <w:r>
          <w:t>pH</w:t>
        </w:r>
        <w:r>
          <w:rPr>
            <w:spacing w:val="-9"/>
          </w:rPr>
          <w:t xml:space="preserve"> </w:t>
        </w:r>
        <w:r>
          <w:rPr>
            <w:spacing w:val="-2"/>
          </w:rPr>
          <w:t>Values</w:t>
        </w:r>
      </w:hyperlink>
      <w:r w:rsidR="00000000">
        <w:tab/>
      </w:r>
      <w:hyperlink w:anchor="_bookmark68" w:history="1">
        <w:r>
          <w:rPr>
            <w:spacing w:val="-5"/>
          </w:rPr>
          <w:t>34</w:t>
        </w:r>
      </w:hyperlink>
    </w:p>
    <w:p w14:paraId="5145256F" w14:textId="77777777" w:rsidR="00A02889" w:rsidRDefault="00A02889">
      <w:pPr>
        <w:pStyle w:val="BodyText"/>
        <w:spacing w:before="199"/>
      </w:pPr>
    </w:p>
    <w:p w14:paraId="64B9F135" w14:textId="77777777" w:rsidR="00A02889" w:rsidRDefault="00A02889">
      <w:pPr>
        <w:pStyle w:val="BodyText"/>
        <w:tabs>
          <w:tab w:val="left" w:leader="dot" w:pos="9808"/>
        </w:tabs>
        <w:spacing w:before="1"/>
        <w:ind w:left="720"/>
      </w:pPr>
      <w:hyperlink w:anchor="_bookmark69" w:history="1">
        <w:r>
          <w:rPr>
            <w:spacing w:val="-4"/>
          </w:rPr>
          <w:t>Table</w:t>
        </w:r>
        <w:r>
          <w:rPr>
            <w:spacing w:val="4"/>
          </w:rPr>
          <w:t xml:space="preserve"> </w:t>
        </w:r>
        <w:r>
          <w:rPr>
            <w:spacing w:val="-4"/>
          </w:rPr>
          <w:t>4.3:</w:t>
        </w:r>
        <w:r>
          <w:rPr>
            <w:spacing w:val="4"/>
          </w:rPr>
          <w:t xml:space="preserve"> </w:t>
        </w:r>
        <w:r>
          <w:rPr>
            <w:spacing w:val="-4"/>
          </w:rPr>
          <w:t>One-Way</w:t>
        </w:r>
        <w:r>
          <w:rPr>
            <w:spacing w:val="-15"/>
          </w:rPr>
          <w:t xml:space="preserve"> </w:t>
        </w:r>
        <w:r>
          <w:rPr>
            <w:spacing w:val="-4"/>
          </w:rPr>
          <w:t>ANOVA</w:t>
        </w:r>
        <w:r>
          <w:rPr>
            <w:spacing w:val="-11"/>
          </w:rPr>
          <w:t xml:space="preserve"> </w:t>
        </w:r>
        <w:r>
          <w:rPr>
            <w:spacing w:val="-4"/>
          </w:rPr>
          <w:t>Results</w:t>
        </w:r>
      </w:hyperlink>
      <w:r w:rsidR="00000000">
        <w:tab/>
      </w:r>
      <w:hyperlink w:anchor="_bookmark69" w:history="1">
        <w:r>
          <w:rPr>
            <w:spacing w:val="-5"/>
          </w:rPr>
          <w:t>35</w:t>
        </w:r>
      </w:hyperlink>
    </w:p>
    <w:p w14:paraId="4C676EF2" w14:textId="77777777" w:rsidR="00A02889" w:rsidRDefault="00A02889">
      <w:pPr>
        <w:pStyle w:val="BodyText"/>
        <w:spacing w:before="199"/>
      </w:pPr>
    </w:p>
    <w:p w14:paraId="37181AF2" w14:textId="77777777" w:rsidR="00A02889" w:rsidRDefault="00A02889">
      <w:pPr>
        <w:pStyle w:val="BodyText"/>
        <w:tabs>
          <w:tab w:val="left" w:leader="dot" w:pos="9798"/>
        </w:tabs>
        <w:ind w:left="720"/>
      </w:pPr>
      <w:hyperlink w:anchor="_bookmark71" w:history="1">
        <w:r>
          <w:t>Table</w:t>
        </w:r>
        <w:r>
          <w:rPr>
            <w:spacing w:val="-5"/>
          </w:rPr>
          <w:t xml:space="preserve"> </w:t>
        </w:r>
        <w:r>
          <w:t>4.4:</w:t>
        </w:r>
        <w:r>
          <w:rPr>
            <w:spacing w:val="-5"/>
          </w:rPr>
          <w:t xml:space="preserve"> </w:t>
        </w:r>
        <w:r>
          <w:t>Demographic</w:t>
        </w:r>
        <w:r>
          <w:rPr>
            <w:spacing w:val="-4"/>
          </w:rPr>
          <w:t xml:space="preserve"> </w:t>
        </w:r>
        <w:r>
          <w:t>Characteristics</w:t>
        </w:r>
        <w:r>
          <w:rPr>
            <w:spacing w:val="-6"/>
          </w:rPr>
          <w:t xml:space="preserve"> </w:t>
        </w:r>
        <w:r>
          <w:t>of</w:t>
        </w:r>
        <w:r>
          <w:rPr>
            <w:spacing w:val="-4"/>
          </w:rPr>
          <w:t xml:space="preserve"> </w:t>
        </w:r>
        <w:r>
          <w:rPr>
            <w:spacing w:val="-2"/>
          </w:rPr>
          <w:t>Respondents</w:t>
        </w:r>
      </w:hyperlink>
      <w:r w:rsidR="00000000">
        <w:tab/>
      </w:r>
      <w:hyperlink w:anchor="_bookmark71" w:history="1">
        <w:r>
          <w:rPr>
            <w:spacing w:val="-5"/>
          </w:rPr>
          <w:t>37</w:t>
        </w:r>
      </w:hyperlink>
    </w:p>
    <w:p w14:paraId="32CE985F" w14:textId="77777777" w:rsidR="00A02889" w:rsidRDefault="00A02889">
      <w:pPr>
        <w:pStyle w:val="BodyText"/>
        <w:spacing w:before="202"/>
      </w:pPr>
    </w:p>
    <w:p w14:paraId="3AB841EA" w14:textId="77777777" w:rsidR="00A02889" w:rsidRDefault="00A02889">
      <w:pPr>
        <w:pStyle w:val="BodyText"/>
        <w:tabs>
          <w:tab w:val="left" w:leader="dot" w:pos="9837"/>
        </w:tabs>
        <w:ind w:left="720"/>
      </w:pPr>
      <w:hyperlink w:anchor="_bookmark72" w:history="1">
        <w:r>
          <w:t>Table</w:t>
        </w:r>
        <w:r>
          <w:rPr>
            <w:spacing w:val="-4"/>
          </w:rPr>
          <w:t xml:space="preserve"> </w:t>
        </w:r>
        <w:r>
          <w:t>4.5:</w:t>
        </w:r>
        <w:r>
          <w:rPr>
            <w:spacing w:val="-4"/>
          </w:rPr>
          <w:t xml:space="preserve"> </w:t>
        </w:r>
        <w:r>
          <w:t>Health</w:t>
        </w:r>
        <w:r>
          <w:rPr>
            <w:spacing w:val="-4"/>
          </w:rPr>
          <w:t xml:space="preserve"> </w:t>
        </w:r>
        <w:r>
          <w:t>and</w:t>
        </w:r>
        <w:r>
          <w:rPr>
            <w:spacing w:val="-4"/>
          </w:rPr>
          <w:t xml:space="preserve"> </w:t>
        </w:r>
        <w:r>
          <w:t>Symptom</w:t>
        </w:r>
        <w:r>
          <w:rPr>
            <w:spacing w:val="-4"/>
          </w:rPr>
          <w:t xml:space="preserve"> </w:t>
        </w:r>
        <w:r>
          <w:rPr>
            <w:spacing w:val="-2"/>
          </w:rPr>
          <w:t>History</w:t>
        </w:r>
      </w:hyperlink>
      <w:r w:rsidR="00000000">
        <w:tab/>
      </w:r>
      <w:hyperlink w:anchor="_bookmark72" w:history="1">
        <w:r>
          <w:rPr>
            <w:spacing w:val="-5"/>
          </w:rPr>
          <w:t>39</w:t>
        </w:r>
      </w:hyperlink>
    </w:p>
    <w:p w14:paraId="49C579D6" w14:textId="77777777" w:rsidR="00A02889" w:rsidRDefault="00A02889">
      <w:pPr>
        <w:pStyle w:val="BodyText"/>
        <w:spacing w:before="199"/>
      </w:pPr>
    </w:p>
    <w:p w14:paraId="37DFD9B0" w14:textId="77777777" w:rsidR="00A02889" w:rsidRDefault="00A02889">
      <w:pPr>
        <w:pStyle w:val="BodyText"/>
        <w:tabs>
          <w:tab w:val="left" w:leader="dot" w:pos="9829"/>
        </w:tabs>
        <w:ind w:left="720"/>
      </w:pPr>
      <w:hyperlink w:anchor="_bookmark73" w:history="1">
        <w:r>
          <w:t>Table</w:t>
        </w:r>
        <w:r>
          <w:rPr>
            <w:spacing w:val="-8"/>
          </w:rPr>
          <w:t xml:space="preserve"> </w:t>
        </w:r>
        <w:r>
          <w:t>4.6:</w:t>
        </w:r>
        <w:r>
          <w:rPr>
            <w:spacing w:val="-15"/>
          </w:rPr>
          <w:t xml:space="preserve"> </w:t>
        </w:r>
        <w:r>
          <w:t>Antacid</w:t>
        </w:r>
        <w:r>
          <w:rPr>
            <w:spacing w:val="-5"/>
          </w:rPr>
          <w:t xml:space="preserve"> </w:t>
        </w:r>
        <w:r>
          <w:t>Usage</w:t>
        </w:r>
        <w:r>
          <w:rPr>
            <w:spacing w:val="-3"/>
          </w:rPr>
          <w:t xml:space="preserve"> </w:t>
        </w:r>
        <w:r>
          <w:t>and</w:t>
        </w:r>
        <w:r>
          <w:rPr>
            <w:spacing w:val="-4"/>
          </w:rPr>
          <w:t xml:space="preserve"> </w:t>
        </w:r>
        <w:r>
          <w:rPr>
            <w:spacing w:val="-2"/>
          </w:rPr>
          <w:t>Preferences</w:t>
        </w:r>
      </w:hyperlink>
      <w:r w:rsidR="00000000">
        <w:tab/>
      </w:r>
      <w:hyperlink w:anchor="_bookmark73" w:history="1">
        <w:r>
          <w:rPr>
            <w:spacing w:val="-5"/>
          </w:rPr>
          <w:t>40</w:t>
        </w:r>
      </w:hyperlink>
    </w:p>
    <w:p w14:paraId="21AF11B3" w14:textId="77777777" w:rsidR="00A02889" w:rsidRDefault="00A02889">
      <w:pPr>
        <w:pStyle w:val="BodyText"/>
        <w:spacing w:before="199"/>
      </w:pPr>
    </w:p>
    <w:p w14:paraId="5446D4EC" w14:textId="77777777" w:rsidR="00A02889" w:rsidRDefault="00A02889">
      <w:pPr>
        <w:pStyle w:val="BodyText"/>
        <w:tabs>
          <w:tab w:val="left" w:leader="dot" w:pos="9791"/>
        </w:tabs>
        <w:spacing w:before="1"/>
        <w:ind w:left="720"/>
      </w:pPr>
      <w:hyperlink w:anchor="_bookmark74" w:history="1">
        <w:r>
          <w:t>Table</w:t>
        </w:r>
        <w:r>
          <w:rPr>
            <w:spacing w:val="-8"/>
          </w:rPr>
          <w:t xml:space="preserve"> </w:t>
        </w:r>
        <w:r>
          <w:t>4.7:</w:t>
        </w:r>
        <w:r>
          <w:rPr>
            <w:spacing w:val="-6"/>
          </w:rPr>
          <w:t xml:space="preserve"> </w:t>
        </w:r>
        <w:r>
          <w:t>Perceived</w:t>
        </w:r>
        <w:r>
          <w:rPr>
            <w:spacing w:val="-6"/>
          </w:rPr>
          <w:t xml:space="preserve"> </w:t>
        </w:r>
        <w:r>
          <w:t>Effectiveness</w:t>
        </w:r>
        <w:r>
          <w:rPr>
            <w:spacing w:val="-7"/>
          </w:rPr>
          <w:t xml:space="preserve"> </w:t>
        </w:r>
        <w:r>
          <w:t>and</w:t>
        </w:r>
        <w:r>
          <w:rPr>
            <w:spacing w:val="-5"/>
          </w:rPr>
          <w:t xml:space="preserve"> </w:t>
        </w:r>
        <w:r>
          <w:rPr>
            <w:spacing w:val="-2"/>
          </w:rPr>
          <w:t>Safety</w:t>
        </w:r>
      </w:hyperlink>
      <w:r w:rsidR="00000000">
        <w:tab/>
      </w:r>
      <w:hyperlink w:anchor="_bookmark74" w:history="1">
        <w:r>
          <w:rPr>
            <w:spacing w:val="-5"/>
          </w:rPr>
          <w:t>41</w:t>
        </w:r>
      </w:hyperlink>
    </w:p>
    <w:p w14:paraId="3C6333DB" w14:textId="77777777" w:rsidR="00A02889" w:rsidRDefault="00A02889">
      <w:pPr>
        <w:pStyle w:val="BodyText"/>
        <w:spacing w:before="199"/>
      </w:pPr>
    </w:p>
    <w:p w14:paraId="44C93565" w14:textId="77777777" w:rsidR="00A02889" w:rsidRDefault="00A02889">
      <w:pPr>
        <w:pStyle w:val="BodyText"/>
        <w:tabs>
          <w:tab w:val="left" w:leader="dot" w:pos="9784"/>
        </w:tabs>
        <w:ind w:left="720"/>
      </w:pPr>
      <w:hyperlink w:anchor="_bookmark75" w:history="1">
        <w:r>
          <w:t>Table</w:t>
        </w:r>
        <w:r>
          <w:rPr>
            <w:spacing w:val="-7"/>
          </w:rPr>
          <w:t xml:space="preserve"> </w:t>
        </w:r>
        <w:r>
          <w:t>4.8:</w:t>
        </w:r>
        <w:r>
          <w:rPr>
            <w:spacing w:val="-6"/>
          </w:rPr>
          <w:t xml:space="preserve"> </w:t>
        </w:r>
        <w:r>
          <w:t>Consumer</w:t>
        </w:r>
        <w:r>
          <w:rPr>
            <w:spacing w:val="-6"/>
          </w:rPr>
          <w:t xml:space="preserve"> </w:t>
        </w:r>
        <w:r>
          <w:rPr>
            <w:spacing w:val="-2"/>
          </w:rPr>
          <w:t>Preferences</w:t>
        </w:r>
      </w:hyperlink>
      <w:r w:rsidR="00000000">
        <w:tab/>
      </w:r>
      <w:hyperlink w:anchor="_bookmark75" w:history="1">
        <w:r>
          <w:rPr>
            <w:spacing w:val="-5"/>
          </w:rPr>
          <w:t>42</w:t>
        </w:r>
      </w:hyperlink>
    </w:p>
    <w:p w14:paraId="76123F8D" w14:textId="77777777" w:rsidR="00A02889" w:rsidRDefault="00A02889">
      <w:pPr>
        <w:pStyle w:val="BodyText"/>
        <w:sectPr w:rsidR="00A02889">
          <w:pgSz w:w="12240" w:h="15840"/>
          <w:pgMar w:top="1360" w:right="720" w:bottom="1260" w:left="720" w:header="0" w:footer="1068" w:gutter="0"/>
          <w:cols w:space="720"/>
        </w:sectPr>
      </w:pPr>
    </w:p>
    <w:p w14:paraId="351CF896" w14:textId="77777777" w:rsidR="00A02889" w:rsidRDefault="00000000">
      <w:pPr>
        <w:pStyle w:val="Heading1"/>
      </w:pPr>
      <w:bookmarkStart w:id="7" w:name="_bookmark7"/>
      <w:bookmarkEnd w:id="7"/>
      <w:r>
        <w:lastRenderedPageBreak/>
        <w:t>LIST</w:t>
      </w:r>
      <w:r>
        <w:rPr>
          <w:spacing w:val="-6"/>
        </w:rPr>
        <w:t xml:space="preserve"> </w:t>
      </w:r>
      <w:r>
        <w:t>OF</w:t>
      </w:r>
      <w:r>
        <w:rPr>
          <w:spacing w:val="-12"/>
        </w:rPr>
        <w:t xml:space="preserve"> </w:t>
      </w:r>
      <w:r>
        <w:rPr>
          <w:spacing w:val="-2"/>
        </w:rPr>
        <w:t>FIGURES</w:t>
      </w:r>
    </w:p>
    <w:p w14:paraId="33796FC7" w14:textId="77777777" w:rsidR="00A02889" w:rsidRDefault="00A02889">
      <w:pPr>
        <w:pStyle w:val="BodyText"/>
        <w:tabs>
          <w:tab w:val="right" w:leader="dot" w:pos="10072"/>
        </w:tabs>
        <w:spacing w:before="272"/>
        <w:ind w:left="1159"/>
      </w:pPr>
      <w:hyperlink w:anchor="_bookmark31" w:history="1">
        <w:r>
          <w:t>Figure</w:t>
        </w:r>
        <w:r>
          <w:rPr>
            <w:spacing w:val="-3"/>
          </w:rPr>
          <w:t xml:space="preserve"> </w:t>
        </w:r>
        <w:r>
          <w:t>1.</w:t>
        </w:r>
        <w:r>
          <w:rPr>
            <w:spacing w:val="-1"/>
          </w:rPr>
          <w:t xml:space="preserve"> </w:t>
        </w:r>
        <w:proofErr w:type="spellStart"/>
        <w:r>
          <w:t>Gestid</w:t>
        </w:r>
        <w:proofErr w:type="spellEnd"/>
        <w:r>
          <w:rPr>
            <w:spacing w:val="-1"/>
          </w:rPr>
          <w:t xml:space="preserve"> </w:t>
        </w:r>
        <w:r>
          <w:t xml:space="preserve">oral </w:t>
        </w:r>
        <w:r>
          <w:rPr>
            <w:spacing w:val="-2"/>
          </w:rPr>
          <w:t>suspension</w:t>
        </w:r>
      </w:hyperlink>
      <w:r w:rsidR="00000000">
        <w:tab/>
      </w:r>
      <w:hyperlink w:anchor="_bookmark31" w:history="1">
        <w:r>
          <w:rPr>
            <w:spacing w:val="-5"/>
          </w:rPr>
          <w:t>13</w:t>
        </w:r>
      </w:hyperlink>
    </w:p>
    <w:p w14:paraId="54C2049A" w14:textId="77777777" w:rsidR="00A02889" w:rsidRDefault="00A02889">
      <w:pPr>
        <w:pStyle w:val="BodyText"/>
        <w:tabs>
          <w:tab w:val="right" w:leader="dot" w:pos="10072"/>
        </w:tabs>
        <w:spacing w:before="377"/>
        <w:ind w:left="1159"/>
      </w:pPr>
      <w:hyperlink w:anchor="_bookmark38" w:history="1">
        <w:r>
          <w:t>Figure</w:t>
        </w:r>
        <w:r>
          <w:rPr>
            <w:spacing w:val="-3"/>
          </w:rPr>
          <w:t xml:space="preserve"> </w:t>
        </w:r>
        <w:r>
          <w:t>2:</w:t>
        </w:r>
        <w:r>
          <w:rPr>
            <w:spacing w:val="-2"/>
          </w:rPr>
          <w:t xml:space="preserve"> </w:t>
        </w:r>
        <w:r>
          <w:t>Magnesium</w:t>
        </w:r>
        <w:r>
          <w:rPr>
            <w:spacing w:val="-4"/>
          </w:rPr>
          <w:t xml:space="preserve"> </w:t>
        </w:r>
        <w:r>
          <w:rPr>
            <w:spacing w:val="-2"/>
          </w:rPr>
          <w:t>Trisilicate.</w:t>
        </w:r>
      </w:hyperlink>
      <w:r w:rsidR="00000000">
        <w:tab/>
      </w:r>
      <w:hyperlink w:anchor="_bookmark38" w:history="1">
        <w:r>
          <w:rPr>
            <w:spacing w:val="-5"/>
          </w:rPr>
          <w:t>16</w:t>
        </w:r>
      </w:hyperlink>
    </w:p>
    <w:p w14:paraId="32376395" w14:textId="77777777" w:rsidR="00A02889" w:rsidRDefault="00A02889">
      <w:pPr>
        <w:pStyle w:val="BodyText"/>
        <w:tabs>
          <w:tab w:val="right" w:leader="dot" w:pos="10072"/>
        </w:tabs>
        <w:spacing w:before="374"/>
        <w:ind w:left="1159"/>
      </w:pPr>
      <w:hyperlink w:anchor="_bookmark45" w:history="1">
        <w:r>
          <w:t>Figure</w:t>
        </w:r>
        <w:r>
          <w:rPr>
            <w:spacing w:val="-15"/>
          </w:rPr>
          <w:t xml:space="preserve"> </w:t>
        </w:r>
        <w:r>
          <w:t>3:</w:t>
        </w:r>
        <w:r>
          <w:rPr>
            <w:spacing w:val="-1"/>
          </w:rPr>
          <w:t xml:space="preserve"> </w:t>
        </w:r>
        <w:r>
          <w:rPr>
            <w:spacing w:val="-2"/>
          </w:rPr>
          <w:t>Ginger</w:t>
        </w:r>
      </w:hyperlink>
      <w:r w:rsidR="00000000">
        <w:tab/>
      </w:r>
      <w:hyperlink w:anchor="_bookmark45" w:history="1">
        <w:r>
          <w:rPr>
            <w:spacing w:val="-5"/>
          </w:rPr>
          <w:t>21</w:t>
        </w:r>
      </w:hyperlink>
    </w:p>
    <w:p w14:paraId="11F42A97" w14:textId="77777777" w:rsidR="00A02889" w:rsidRDefault="00A02889">
      <w:pPr>
        <w:pStyle w:val="BodyText"/>
        <w:tabs>
          <w:tab w:val="right" w:leader="dot" w:pos="10072"/>
        </w:tabs>
        <w:spacing w:before="377"/>
        <w:ind w:left="1159"/>
      </w:pPr>
      <w:hyperlink w:anchor="_bookmark45" w:history="1">
        <w:r>
          <w:t>Figure</w:t>
        </w:r>
        <w:r>
          <w:rPr>
            <w:spacing w:val="-17"/>
          </w:rPr>
          <w:t xml:space="preserve"> </w:t>
        </w:r>
        <w:r>
          <w:t>4:</w:t>
        </w:r>
        <w:r>
          <w:rPr>
            <w:spacing w:val="2"/>
          </w:rPr>
          <w:t xml:space="preserve"> </w:t>
        </w:r>
        <w:r>
          <w:t>Baking</w:t>
        </w:r>
        <w:r>
          <w:rPr>
            <w:spacing w:val="-4"/>
          </w:rPr>
          <w:t xml:space="preserve"> </w:t>
        </w:r>
        <w:r>
          <w:t>soda</w:t>
        </w:r>
        <w:r>
          <w:rPr>
            <w:spacing w:val="-1"/>
          </w:rPr>
          <w:t xml:space="preserve"> </w:t>
        </w:r>
        <w:r>
          <w:t xml:space="preserve">(sodium </w:t>
        </w:r>
        <w:r>
          <w:rPr>
            <w:spacing w:val="-2"/>
          </w:rPr>
          <w:t>bicarbonate)</w:t>
        </w:r>
      </w:hyperlink>
      <w:r w:rsidR="00000000">
        <w:tab/>
      </w:r>
      <w:hyperlink w:anchor="_bookmark45" w:history="1">
        <w:r>
          <w:rPr>
            <w:spacing w:val="-5"/>
          </w:rPr>
          <w:t>21</w:t>
        </w:r>
      </w:hyperlink>
    </w:p>
    <w:p w14:paraId="5F12A611" w14:textId="77777777" w:rsidR="00A02889" w:rsidRDefault="00A02889">
      <w:pPr>
        <w:pStyle w:val="BodyText"/>
        <w:tabs>
          <w:tab w:val="right" w:leader="dot" w:pos="10072"/>
        </w:tabs>
        <w:spacing w:before="377"/>
        <w:ind w:left="1159"/>
      </w:pPr>
      <w:hyperlink w:anchor="_bookmark67" w:history="1">
        <w:r>
          <w:t>Figure</w:t>
        </w:r>
        <w:r>
          <w:rPr>
            <w:spacing w:val="-4"/>
          </w:rPr>
          <w:t xml:space="preserve"> </w:t>
        </w:r>
        <w:r>
          <w:t>5:</w:t>
        </w:r>
        <w:r>
          <w:rPr>
            <w:spacing w:val="-1"/>
          </w:rPr>
          <w:t xml:space="preserve"> </w:t>
        </w:r>
        <w:r>
          <w:t>pH</w:t>
        </w:r>
        <w:r>
          <w:rPr>
            <w:spacing w:val="-2"/>
          </w:rPr>
          <w:t xml:space="preserve"> </w:t>
        </w:r>
        <w:r>
          <w:t>Neutralization</w:t>
        </w:r>
        <w:r>
          <w:rPr>
            <w:spacing w:val="-1"/>
          </w:rPr>
          <w:t xml:space="preserve"> </w:t>
        </w:r>
        <w:r>
          <w:t>Curve</w:t>
        </w:r>
        <w:r>
          <w:rPr>
            <w:spacing w:val="-3"/>
          </w:rPr>
          <w:t xml:space="preserve"> </w:t>
        </w:r>
        <w:r>
          <w:t>for</w:t>
        </w:r>
        <w:r>
          <w:rPr>
            <w:spacing w:val="-2"/>
          </w:rPr>
          <w:t xml:space="preserve"> </w:t>
        </w:r>
        <w:r>
          <w:t>Natural</w:t>
        </w:r>
        <w:r>
          <w:rPr>
            <w:spacing w:val="-1"/>
          </w:rPr>
          <w:t xml:space="preserve"> </w:t>
        </w:r>
        <w:r>
          <w:t>and</w:t>
        </w:r>
        <w:r>
          <w:rPr>
            <w:spacing w:val="-1"/>
          </w:rPr>
          <w:t xml:space="preserve"> </w:t>
        </w:r>
        <w:r>
          <w:t>Synthetic</w:t>
        </w:r>
        <w:r>
          <w:rPr>
            <w:spacing w:val="-12"/>
          </w:rPr>
          <w:t xml:space="preserve"> </w:t>
        </w:r>
        <w:r>
          <w:rPr>
            <w:spacing w:val="-2"/>
          </w:rPr>
          <w:t>Antacids</w:t>
        </w:r>
      </w:hyperlink>
      <w:r w:rsidR="00000000">
        <w:tab/>
      </w:r>
      <w:hyperlink w:anchor="_bookmark67" w:history="1">
        <w:r>
          <w:rPr>
            <w:spacing w:val="-5"/>
          </w:rPr>
          <w:t>33</w:t>
        </w:r>
      </w:hyperlink>
    </w:p>
    <w:p w14:paraId="6979B164" w14:textId="77777777" w:rsidR="00A02889" w:rsidRDefault="00A02889">
      <w:pPr>
        <w:pStyle w:val="BodyText"/>
        <w:sectPr w:rsidR="00A02889">
          <w:pgSz w:w="12240" w:h="15840"/>
          <w:pgMar w:top="1360" w:right="720" w:bottom="1260" w:left="720" w:header="0" w:footer="1068" w:gutter="0"/>
          <w:cols w:space="720"/>
        </w:sectPr>
      </w:pPr>
    </w:p>
    <w:p w14:paraId="7C9733A6" w14:textId="77777777" w:rsidR="00A02889" w:rsidRDefault="00000000">
      <w:pPr>
        <w:pStyle w:val="Heading1"/>
        <w:ind w:right="596"/>
      </w:pPr>
      <w:bookmarkStart w:id="8" w:name="_bookmark8"/>
      <w:bookmarkEnd w:id="8"/>
      <w:r>
        <w:rPr>
          <w:spacing w:val="-2"/>
        </w:rPr>
        <w:lastRenderedPageBreak/>
        <w:t>ABSTRACT</w:t>
      </w:r>
    </w:p>
    <w:p w14:paraId="4FA55DD7" w14:textId="77777777" w:rsidR="00A02889" w:rsidRDefault="00A02889">
      <w:pPr>
        <w:pStyle w:val="BodyText"/>
        <w:rPr>
          <w:b/>
        </w:rPr>
      </w:pPr>
    </w:p>
    <w:p w14:paraId="160DE8BC" w14:textId="77777777" w:rsidR="00A02889" w:rsidRDefault="00A02889">
      <w:pPr>
        <w:pStyle w:val="BodyText"/>
        <w:spacing w:before="1"/>
        <w:rPr>
          <w:b/>
        </w:rPr>
      </w:pPr>
    </w:p>
    <w:p w14:paraId="2EA62FCB" w14:textId="77777777" w:rsidR="00A02889" w:rsidRDefault="00000000">
      <w:pPr>
        <w:pStyle w:val="BodyText"/>
        <w:spacing w:line="480" w:lineRule="auto"/>
        <w:ind w:left="720" w:right="713"/>
        <w:jc w:val="both"/>
      </w:pPr>
      <w:r>
        <w:t xml:space="preserve">This study compared the effectiveness and consumer perceptions of natural and synthetic antacids in managing acid-related disorders. The research aimed to determine which category provides more effective and sustained acid neutralization while understanding consumer preferences and usage patterns. A mixed-methods design was used, combining laboratory experiments and a structured online questionnaire. In the experiment, 0.1 M hydrochloric acid served as the test medium to evaluate the pH-neutralizing capacities of natural antacids (ginger extract and sodium bicarbonate) and synthetic antacids (magnesium trisilicate and </w:t>
      </w:r>
      <w:proofErr w:type="spellStart"/>
      <w:r>
        <w:t>aluminium</w:t>
      </w:r>
      <w:proofErr w:type="spellEnd"/>
      <w:r>
        <w:t xml:space="preserve"> hydroxide). Data from 50 Sokoto residents were analyzed using descriptive statistics and one- way ANOVA. All antacids neutralized gastric acid effectively but varied in duration and</w:t>
      </w:r>
      <w:r>
        <w:rPr>
          <w:spacing w:val="40"/>
        </w:rPr>
        <w:t xml:space="preserve"> </w:t>
      </w:r>
      <w:r>
        <w:t>stability. Magnesium trisilicate showed the highest and most consistent buffering capacity (pH ≈ 6.4–6.56).</w:t>
      </w:r>
      <w:r>
        <w:rPr>
          <w:spacing w:val="-3"/>
        </w:rPr>
        <w:t xml:space="preserve"> </w:t>
      </w:r>
      <w:r>
        <w:t>ANOVA</w:t>
      </w:r>
      <w:r>
        <w:rPr>
          <w:spacing w:val="-3"/>
        </w:rPr>
        <w:t xml:space="preserve"> </w:t>
      </w:r>
      <w:r>
        <w:t>results</w:t>
      </w:r>
      <w:r>
        <w:rPr>
          <w:spacing w:val="-3"/>
        </w:rPr>
        <w:t xml:space="preserve"> </w:t>
      </w:r>
      <w:r>
        <w:t>confirmed</w:t>
      </w:r>
      <w:r>
        <w:rPr>
          <w:spacing w:val="-2"/>
        </w:rPr>
        <w:t xml:space="preserve"> </w:t>
      </w:r>
      <w:r>
        <w:t>a</w:t>
      </w:r>
      <w:r>
        <w:rPr>
          <w:spacing w:val="-4"/>
        </w:rPr>
        <w:t xml:space="preserve"> </w:t>
      </w:r>
      <w:r>
        <w:t>significant</w:t>
      </w:r>
      <w:r>
        <w:rPr>
          <w:spacing w:val="-1"/>
        </w:rPr>
        <w:t xml:space="preserve"> </w:t>
      </w:r>
      <w:r>
        <w:t>difference</w:t>
      </w:r>
      <w:r>
        <w:rPr>
          <w:spacing w:val="-2"/>
        </w:rPr>
        <w:t xml:space="preserve"> </w:t>
      </w:r>
      <w:r>
        <w:t>in</w:t>
      </w:r>
      <w:r>
        <w:rPr>
          <w:spacing w:val="-3"/>
        </w:rPr>
        <w:t xml:space="preserve"> </w:t>
      </w:r>
      <w:r>
        <w:t>mean</w:t>
      </w:r>
      <w:r>
        <w:rPr>
          <w:spacing w:val="-1"/>
        </w:rPr>
        <w:t xml:space="preserve"> </w:t>
      </w:r>
      <w:r>
        <w:t>pH</w:t>
      </w:r>
      <w:r>
        <w:rPr>
          <w:spacing w:val="-3"/>
        </w:rPr>
        <w:t xml:space="preserve"> </w:t>
      </w:r>
      <w:r>
        <w:t>values</w:t>
      </w:r>
      <w:r>
        <w:rPr>
          <w:spacing w:val="-3"/>
        </w:rPr>
        <w:t xml:space="preserve"> </w:t>
      </w:r>
      <w:r>
        <w:t>(</w:t>
      </w:r>
      <w:proofErr w:type="gramStart"/>
      <w:r>
        <w:t>F(</w:t>
      </w:r>
      <w:proofErr w:type="gramEnd"/>
      <w:r>
        <w:t>3,24)</w:t>
      </w:r>
      <w:r>
        <w:rPr>
          <w:spacing w:val="-2"/>
        </w:rPr>
        <w:t xml:space="preserve"> </w:t>
      </w:r>
      <w:r>
        <w:t>=</w:t>
      </w:r>
      <w:r>
        <w:rPr>
          <w:spacing w:val="-4"/>
        </w:rPr>
        <w:t xml:space="preserve"> </w:t>
      </w:r>
      <w:r>
        <w:t>3.17, p &lt; 0.05). Survey</w:t>
      </w:r>
      <w:r>
        <w:rPr>
          <w:spacing w:val="-3"/>
        </w:rPr>
        <w:t xml:space="preserve"> </w:t>
      </w:r>
      <w:r>
        <w:t xml:space="preserve">data revealed that 70% preferred synthetic antacids for quick relief, while 30% favored natural ones for safety. Synthetic antacids demonstrated superior and longer-lasting neutralization compared to natural alternatives. However, the increasing preference for natural remedies highlights the need for further research and public awareness on their safety and </w:t>
      </w:r>
      <w:r>
        <w:rPr>
          <w:spacing w:val="-2"/>
        </w:rPr>
        <w:t>effectiveness.</w:t>
      </w:r>
    </w:p>
    <w:p w14:paraId="38843AC4" w14:textId="77777777" w:rsidR="00A02889" w:rsidRDefault="00A02889">
      <w:pPr>
        <w:pStyle w:val="BodyText"/>
      </w:pPr>
    </w:p>
    <w:p w14:paraId="43CF37A3" w14:textId="77777777" w:rsidR="00A02889" w:rsidRDefault="00A02889">
      <w:pPr>
        <w:pStyle w:val="BodyText"/>
      </w:pPr>
    </w:p>
    <w:p w14:paraId="7F963829" w14:textId="77777777" w:rsidR="00A02889" w:rsidRDefault="00A02889">
      <w:pPr>
        <w:pStyle w:val="BodyText"/>
        <w:spacing w:before="53"/>
      </w:pPr>
    </w:p>
    <w:p w14:paraId="40F575D4" w14:textId="77777777" w:rsidR="00A02889" w:rsidRDefault="00A02889">
      <w:pPr>
        <w:pStyle w:val="BodyText"/>
        <w:spacing w:line="273" w:lineRule="auto"/>
        <w:jc w:val="both"/>
        <w:sectPr w:rsidR="00A02889" w:rsidSect="00386080">
          <w:pgSz w:w="11906" w:h="16838" w:code="9"/>
          <w:pgMar w:top="1360" w:right="720" w:bottom="1260" w:left="720" w:header="0" w:footer="1068" w:gutter="0"/>
          <w:cols w:space="720"/>
          <w:docGrid w:linePitch="299"/>
        </w:sectPr>
      </w:pPr>
    </w:p>
    <w:p w14:paraId="23B62673" w14:textId="77777777" w:rsidR="00A02889" w:rsidRDefault="00000000">
      <w:pPr>
        <w:pStyle w:val="Heading1"/>
        <w:spacing w:before="97"/>
        <w:ind w:right="596"/>
      </w:pPr>
      <w:bookmarkStart w:id="9" w:name="_bookmark9"/>
      <w:bookmarkEnd w:id="9"/>
      <w:r>
        <w:lastRenderedPageBreak/>
        <w:t>CHAPTER</w:t>
      </w:r>
      <w:r>
        <w:rPr>
          <w:spacing w:val="-5"/>
        </w:rPr>
        <w:t xml:space="preserve"> ONE</w:t>
      </w:r>
    </w:p>
    <w:p w14:paraId="1DEDDADA" w14:textId="77777777" w:rsidR="00A02889" w:rsidRDefault="00A02889">
      <w:pPr>
        <w:pStyle w:val="BodyText"/>
        <w:rPr>
          <w:b/>
        </w:rPr>
      </w:pPr>
    </w:p>
    <w:p w14:paraId="48F1A534" w14:textId="77777777" w:rsidR="00A02889" w:rsidRDefault="00A02889">
      <w:pPr>
        <w:pStyle w:val="BodyText"/>
        <w:spacing w:before="5"/>
        <w:rPr>
          <w:b/>
        </w:rPr>
      </w:pPr>
    </w:p>
    <w:p w14:paraId="795B84B8" w14:textId="77777777" w:rsidR="00A02889" w:rsidRDefault="00000000">
      <w:pPr>
        <w:pStyle w:val="Heading2"/>
        <w:numPr>
          <w:ilvl w:val="1"/>
          <w:numId w:val="11"/>
        </w:numPr>
        <w:tabs>
          <w:tab w:val="left" w:pos="1080"/>
        </w:tabs>
      </w:pPr>
      <w:bookmarkStart w:id="10" w:name="_bookmark10"/>
      <w:bookmarkEnd w:id="10"/>
      <w:r>
        <w:rPr>
          <w:spacing w:val="-2"/>
        </w:rPr>
        <w:t>Introduction</w:t>
      </w:r>
    </w:p>
    <w:p w14:paraId="46FF75F6" w14:textId="77777777" w:rsidR="00A02889" w:rsidRDefault="00A02889">
      <w:pPr>
        <w:pStyle w:val="BodyText"/>
        <w:rPr>
          <w:b/>
        </w:rPr>
      </w:pPr>
    </w:p>
    <w:p w14:paraId="515D4697" w14:textId="77777777" w:rsidR="00A02889" w:rsidRDefault="00A02889">
      <w:pPr>
        <w:pStyle w:val="BodyText"/>
        <w:spacing w:before="2"/>
        <w:rPr>
          <w:b/>
        </w:rPr>
      </w:pPr>
    </w:p>
    <w:p w14:paraId="026A0219" w14:textId="77777777" w:rsidR="00A02889" w:rsidRDefault="00000000">
      <w:pPr>
        <w:pStyle w:val="Heading2"/>
        <w:numPr>
          <w:ilvl w:val="1"/>
          <w:numId w:val="11"/>
        </w:numPr>
        <w:tabs>
          <w:tab w:val="left" w:pos="1080"/>
        </w:tabs>
      </w:pPr>
      <w:bookmarkStart w:id="11" w:name="_bookmark11"/>
      <w:bookmarkEnd w:id="11"/>
      <w:r>
        <w:t>Background</w:t>
      </w:r>
      <w:r>
        <w:rPr>
          <w:spacing w:val="-4"/>
        </w:rPr>
        <w:t xml:space="preserve"> </w:t>
      </w:r>
      <w:r>
        <w:t>of</w:t>
      </w:r>
      <w:r>
        <w:rPr>
          <w:spacing w:val="-2"/>
        </w:rPr>
        <w:t xml:space="preserve"> </w:t>
      </w:r>
      <w:r>
        <w:t>the</w:t>
      </w:r>
      <w:r>
        <w:rPr>
          <w:spacing w:val="-2"/>
        </w:rPr>
        <w:t xml:space="preserve"> </w:t>
      </w:r>
      <w:r>
        <w:rPr>
          <w:spacing w:val="-4"/>
        </w:rPr>
        <w:t>Study</w:t>
      </w:r>
    </w:p>
    <w:p w14:paraId="37DF3A7F" w14:textId="77777777" w:rsidR="00A02889" w:rsidRDefault="00A02889">
      <w:pPr>
        <w:pStyle w:val="BodyText"/>
        <w:rPr>
          <w:b/>
        </w:rPr>
      </w:pPr>
    </w:p>
    <w:p w14:paraId="09D3E393" w14:textId="77777777" w:rsidR="00A02889" w:rsidRDefault="00A02889">
      <w:pPr>
        <w:pStyle w:val="BodyText"/>
        <w:rPr>
          <w:b/>
        </w:rPr>
      </w:pPr>
    </w:p>
    <w:p w14:paraId="20CE22D2" w14:textId="77777777" w:rsidR="00A02889" w:rsidRDefault="00000000">
      <w:pPr>
        <w:pStyle w:val="BodyText"/>
        <w:spacing w:line="480" w:lineRule="auto"/>
        <w:ind w:left="720" w:right="714"/>
        <w:jc w:val="both"/>
      </w:pPr>
      <w:r>
        <w:t xml:space="preserve">Antacids are widely used medications designed to neutralize stomach acid, providing relief from symptoms such as heartburn, indigestion, and upset stomach (Garg </w:t>
      </w:r>
      <w:r>
        <w:rPr>
          <w:i/>
        </w:rPr>
        <w:t xml:space="preserve">et al., </w:t>
      </w:r>
      <w:r>
        <w:t>2022). These</w:t>
      </w:r>
      <w:r>
        <w:rPr>
          <w:spacing w:val="40"/>
        </w:rPr>
        <w:t xml:space="preserve"> </w:t>
      </w:r>
      <w:r>
        <w:t xml:space="preserve">conditions are often related to gastro-esophageal reflux disease (GERD) and affect millions of individuals worldwide (Salisbury and Terrell, 2023). Antacids are readily available over-the- counter (OTC), making them a popular choice for quick relief from occasional gastrointestinal discomfort (Garg </w:t>
      </w:r>
      <w:r>
        <w:rPr>
          <w:i/>
        </w:rPr>
        <w:t xml:space="preserve">et al., </w:t>
      </w:r>
      <w:r>
        <w:t>2022). The historical use of antacids can be traced back to ancient civilizations, where natural minerals and herbal remedies were employed to alleviate digestive issues. For instance, ancient Egyptians utilized natron, a naturally occurring mixture of sodium carbonate and sodium bicarbonate, for its alkaline properties (Josset, 1996). In the 19th century, various natural remedies, including papaya extracts, were also used to treat stomach ailments (Singh and Thomas, 2022).</w:t>
      </w:r>
    </w:p>
    <w:p w14:paraId="1F1A9068" w14:textId="77777777" w:rsidR="00A02889" w:rsidRDefault="00000000">
      <w:pPr>
        <w:pStyle w:val="BodyText"/>
        <w:spacing w:before="201" w:line="480" w:lineRule="auto"/>
        <w:ind w:left="720" w:right="714"/>
        <w:jc w:val="both"/>
      </w:pPr>
      <w:r>
        <w:t xml:space="preserve">The development of synthetic antacids in the 20th century marked a significant advancement in gastrointestinal treatment (Garg </w:t>
      </w:r>
      <w:r>
        <w:rPr>
          <w:i/>
        </w:rPr>
        <w:t xml:space="preserve">et al., </w:t>
      </w:r>
      <w:r>
        <w:t>2022). Compounds like aluminum hydroxide, magnesium hydroxide, and calcium carbonate became standard ingredients in many formulations. The introduction of Tums in 1928 by pharmacist James Howe, made from calcium carbonate and sugar, revolutionized OTC antacids (Salisbury and Terrell, 2023). This led to the emergence of other brands such as Alka-Seltzer and Rolaids, which offered varied formulations to address different</w:t>
      </w:r>
      <w:r>
        <w:rPr>
          <w:spacing w:val="51"/>
        </w:rPr>
        <w:t xml:space="preserve"> </w:t>
      </w:r>
      <w:r>
        <w:t>symptoms.</w:t>
      </w:r>
      <w:r>
        <w:rPr>
          <w:spacing w:val="54"/>
        </w:rPr>
        <w:t xml:space="preserve"> </w:t>
      </w:r>
      <w:r>
        <w:t>While</w:t>
      </w:r>
      <w:r>
        <w:rPr>
          <w:spacing w:val="53"/>
        </w:rPr>
        <w:t xml:space="preserve"> </w:t>
      </w:r>
      <w:r>
        <w:t>synthetic</w:t>
      </w:r>
      <w:r>
        <w:rPr>
          <w:spacing w:val="53"/>
        </w:rPr>
        <w:t xml:space="preserve"> </w:t>
      </w:r>
      <w:r>
        <w:t>antacids</w:t>
      </w:r>
      <w:r>
        <w:rPr>
          <w:spacing w:val="53"/>
        </w:rPr>
        <w:t xml:space="preserve"> </w:t>
      </w:r>
      <w:r>
        <w:t>are</w:t>
      </w:r>
      <w:r>
        <w:rPr>
          <w:spacing w:val="53"/>
        </w:rPr>
        <w:t xml:space="preserve"> </w:t>
      </w:r>
      <w:r>
        <w:t>generally</w:t>
      </w:r>
      <w:r>
        <w:rPr>
          <w:spacing w:val="49"/>
        </w:rPr>
        <w:t xml:space="preserve"> </w:t>
      </w:r>
      <w:r>
        <w:t>well-regulated</w:t>
      </w:r>
      <w:r>
        <w:rPr>
          <w:spacing w:val="53"/>
        </w:rPr>
        <w:t xml:space="preserve"> </w:t>
      </w:r>
      <w:r>
        <w:t>and</w:t>
      </w:r>
      <w:r>
        <w:rPr>
          <w:spacing w:val="53"/>
        </w:rPr>
        <w:t xml:space="preserve"> </w:t>
      </w:r>
      <w:r>
        <w:t>supported</w:t>
      </w:r>
      <w:r>
        <w:rPr>
          <w:spacing w:val="53"/>
        </w:rPr>
        <w:t xml:space="preserve"> </w:t>
      </w:r>
      <w:r>
        <w:rPr>
          <w:spacing w:val="-5"/>
        </w:rPr>
        <w:t>by</w:t>
      </w:r>
    </w:p>
    <w:p w14:paraId="5922AF82" w14:textId="77777777" w:rsidR="00A02889" w:rsidRDefault="00A02889">
      <w:pPr>
        <w:pStyle w:val="BodyText"/>
        <w:spacing w:line="480" w:lineRule="auto"/>
        <w:jc w:val="both"/>
        <w:sectPr w:rsidR="00A02889">
          <w:footerReference w:type="default" r:id="rId8"/>
          <w:pgSz w:w="12240" w:h="15840"/>
          <w:pgMar w:top="1820" w:right="720" w:bottom="1260" w:left="720" w:header="0" w:footer="1068" w:gutter="0"/>
          <w:pgNumType w:start="1"/>
          <w:cols w:space="720"/>
        </w:sectPr>
      </w:pPr>
    </w:p>
    <w:p w14:paraId="22B4043E" w14:textId="77777777" w:rsidR="00A02889" w:rsidRDefault="00000000">
      <w:pPr>
        <w:pStyle w:val="BodyText"/>
        <w:spacing w:before="72" w:line="482" w:lineRule="auto"/>
        <w:ind w:left="720" w:right="725"/>
        <w:jc w:val="both"/>
      </w:pPr>
      <w:r>
        <w:lastRenderedPageBreak/>
        <w:t xml:space="preserve">extensive clinical research, natural antacids often lack the same level of scientific validation (Garg </w:t>
      </w:r>
      <w:r>
        <w:rPr>
          <w:i/>
        </w:rPr>
        <w:t xml:space="preserve">et al., </w:t>
      </w:r>
      <w:r>
        <w:t>2022).</w:t>
      </w:r>
    </w:p>
    <w:p w14:paraId="6F137538" w14:textId="77777777" w:rsidR="00A02889" w:rsidRDefault="00000000">
      <w:pPr>
        <w:pStyle w:val="BodyText"/>
        <w:spacing w:before="194" w:line="480" w:lineRule="auto"/>
        <w:ind w:left="720" w:right="721"/>
        <w:jc w:val="both"/>
      </w:pPr>
      <w:r>
        <w:t>Antacids can be categorized into two main types: natural and synthetic. Natural antacids</w:t>
      </w:r>
      <w:r>
        <w:rPr>
          <w:spacing w:val="40"/>
        </w:rPr>
        <w:t xml:space="preserve"> </w:t>
      </w:r>
      <w:r>
        <w:t>typically include ingredients like baking soda (sodium bicarbonate), calcium carbonate, ginger, chamomile, and certain milks, which are often perceived as safer and more holistic options (Salisbury and Terrell, 2023). On the other hand, synthetic antacids often combine ingredients such as aluminum hydroxide and magnesium hydroxide to mitigate side effects like constipation and diarrhea (Salisbury and Terrell, 2023).</w:t>
      </w:r>
    </w:p>
    <w:p w14:paraId="5884D61C" w14:textId="77777777" w:rsidR="00A02889" w:rsidRDefault="00000000">
      <w:pPr>
        <w:pStyle w:val="BodyText"/>
        <w:spacing w:before="202" w:line="480" w:lineRule="auto"/>
        <w:ind w:left="720" w:right="716"/>
        <w:jc w:val="both"/>
      </w:pPr>
      <w:r>
        <w:t>Both types of antacids function by neutralizing gastric acid, thereby increasing the pH level in</w:t>
      </w:r>
      <w:r>
        <w:rPr>
          <w:spacing w:val="40"/>
        </w:rPr>
        <w:t xml:space="preserve"> </w:t>
      </w:r>
      <w:r>
        <w:t>the</w:t>
      </w:r>
      <w:r>
        <w:rPr>
          <w:spacing w:val="-2"/>
        </w:rPr>
        <w:t xml:space="preserve"> </w:t>
      </w:r>
      <w:r>
        <w:t>stomach. Natural antacids,</w:t>
      </w:r>
      <w:r>
        <w:rPr>
          <w:spacing w:val="-2"/>
        </w:rPr>
        <w:t xml:space="preserve"> </w:t>
      </w:r>
      <w:r>
        <w:t>such as</w:t>
      </w:r>
      <w:r>
        <w:rPr>
          <w:spacing w:val="-2"/>
        </w:rPr>
        <w:t xml:space="preserve"> </w:t>
      </w:r>
      <w:r>
        <w:t>sodium</w:t>
      </w:r>
      <w:r>
        <w:rPr>
          <w:spacing w:val="-2"/>
        </w:rPr>
        <w:t xml:space="preserve"> </w:t>
      </w:r>
      <w:r>
        <w:t>bicarbonate,</w:t>
      </w:r>
      <w:r>
        <w:rPr>
          <w:spacing w:val="-1"/>
        </w:rPr>
        <w:t xml:space="preserve"> </w:t>
      </w:r>
      <w:r>
        <w:t>act</w:t>
      </w:r>
      <w:r>
        <w:rPr>
          <w:spacing w:val="-2"/>
        </w:rPr>
        <w:t xml:space="preserve"> </w:t>
      </w:r>
      <w:r>
        <w:t>quickly</w:t>
      </w:r>
      <w:r>
        <w:rPr>
          <w:spacing w:val="-5"/>
        </w:rPr>
        <w:t xml:space="preserve"> </w:t>
      </w:r>
      <w:r>
        <w:t>but may</w:t>
      </w:r>
      <w:r>
        <w:rPr>
          <w:spacing w:val="-7"/>
        </w:rPr>
        <w:t xml:space="preserve"> </w:t>
      </w:r>
      <w:r>
        <w:t>lead to</w:t>
      </w:r>
      <w:r>
        <w:rPr>
          <w:spacing w:val="-2"/>
        </w:rPr>
        <w:t xml:space="preserve"> </w:t>
      </w:r>
      <w:r>
        <w:t>a</w:t>
      </w:r>
      <w:r>
        <w:rPr>
          <w:spacing w:val="-1"/>
        </w:rPr>
        <w:t xml:space="preserve"> </w:t>
      </w:r>
      <w:r>
        <w:t>rebound effect of increased acidity, while synthetic options are designed for more sustained relief (Garg</w:t>
      </w:r>
      <w:r>
        <w:rPr>
          <w:spacing w:val="80"/>
        </w:rPr>
        <w:t xml:space="preserve"> </w:t>
      </w:r>
      <w:r>
        <w:rPr>
          <w:i/>
        </w:rPr>
        <w:t xml:space="preserve">et al., </w:t>
      </w:r>
      <w:r>
        <w:t>2022).</w:t>
      </w:r>
    </w:p>
    <w:p w14:paraId="7B16D83E" w14:textId="77777777" w:rsidR="00A02889" w:rsidRDefault="00000000">
      <w:pPr>
        <w:pStyle w:val="BodyText"/>
        <w:spacing w:before="200" w:line="480" w:lineRule="auto"/>
        <w:ind w:left="720" w:right="714"/>
        <w:jc w:val="both"/>
      </w:pPr>
      <w:r>
        <w:t xml:space="preserve">Consumer preferences have shifted significantly in recent years, reflecting a growing interest in natural health remedies. This trend is driven by a perception that natural products are safer and have fewer side effects compared to their synthetic counterparts (Scott </w:t>
      </w:r>
      <w:r>
        <w:rPr>
          <w:i/>
        </w:rPr>
        <w:t xml:space="preserve">et al., </w:t>
      </w:r>
      <w:r>
        <w:t xml:space="preserve">2020). Alongside this shift, there is an increasing demand for evidence-based information to guide consumer choices. This is particularly important given that some natural antacids may lack rigorous scientific validation, which can lead to inconsistent efficacy and potential side effects (Scott </w:t>
      </w:r>
      <w:r>
        <w:rPr>
          <w:i/>
        </w:rPr>
        <w:t xml:space="preserve">et al., </w:t>
      </w:r>
      <w:r>
        <w:t xml:space="preserve">2020). For example, while ginger is often used for its anti-inflammatory properties, its efficacy as a natural antacid has not been extensively studied in clinical settings.) (Garg </w:t>
      </w:r>
      <w:r>
        <w:rPr>
          <w:i/>
        </w:rPr>
        <w:t xml:space="preserve">et al., </w:t>
      </w:r>
      <w:r>
        <w:rPr>
          <w:spacing w:val="-2"/>
        </w:rPr>
        <w:t>2022).</w:t>
      </w:r>
    </w:p>
    <w:p w14:paraId="3672CE31"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D5CF774" w14:textId="77777777" w:rsidR="00A02889" w:rsidRDefault="00000000">
      <w:pPr>
        <w:pStyle w:val="BodyText"/>
        <w:spacing w:before="72" w:line="480" w:lineRule="auto"/>
        <w:ind w:left="720" w:right="720"/>
        <w:jc w:val="both"/>
      </w:pPr>
      <w:r>
        <w:lastRenderedPageBreak/>
        <w:t xml:space="preserve">The regulatory landscape for antacids also varies significantly between natural and synthetic products (Garg </w:t>
      </w:r>
      <w:r>
        <w:rPr>
          <w:i/>
        </w:rPr>
        <w:t xml:space="preserve">et al., </w:t>
      </w:r>
      <w:r>
        <w:t>2022). In many countries, natural remedies are not subjected to the same rigorous testing and approval processes as synthetic medications, raising concerns about quality, safety, and efficacy (</w:t>
      </w:r>
      <w:proofErr w:type="spellStart"/>
      <w:r>
        <w:t>Gatt</w:t>
      </w:r>
      <w:proofErr w:type="spellEnd"/>
      <w:r>
        <w:t xml:space="preserve"> </w:t>
      </w:r>
      <w:r>
        <w:rPr>
          <w:i/>
        </w:rPr>
        <w:t xml:space="preserve">et al., </w:t>
      </w:r>
      <w:r>
        <w:t xml:space="preserve">2024). In the United States, the Food and Drug Administration (FDA) regulates OTC antacids, ensuring that synthetic products meet safety and efficacy standards. However, the lack of stringent regulations for natural products can lead to variability in quality and consumer trust (Abdel-Rahman </w:t>
      </w:r>
      <w:r>
        <w:rPr>
          <w:i/>
        </w:rPr>
        <w:t>et</w:t>
      </w:r>
      <w:r>
        <w:rPr>
          <w:i/>
          <w:spacing w:val="40"/>
        </w:rPr>
        <w:t xml:space="preserve"> </w:t>
      </w:r>
      <w:r>
        <w:rPr>
          <w:i/>
        </w:rPr>
        <w:t xml:space="preserve">al., </w:t>
      </w:r>
      <w:r>
        <w:t>2011).</w:t>
      </w:r>
    </w:p>
    <w:p w14:paraId="228E0C30" w14:textId="77777777" w:rsidR="00A02889" w:rsidRDefault="00000000">
      <w:pPr>
        <w:pStyle w:val="BodyText"/>
        <w:spacing w:before="200" w:line="480" w:lineRule="auto"/>
        <w:ind w:left="720" w:right="718"/>
        <w:jc w:val="both"/>
      </w:pPr>
      <w:r>
        <w:t>Furthermore, antacids differ from other medications designed to treat excess acid symptoms,</w:t>
      </w:r>
      <w:r>
        <w:rPr>
          <w:spacing w:val="40"/>
        </w:rPr>
        <w:t xml:space="preserve"> </w:t>
      </w:r>
      <w:r>
        <w:t xml:space="preserve">such as proton pump inhibitors (PPIs) and histamine-2 (H2) blockers. While antacids provide immediate relief by neutralizing stomach acid, PPIs and H2 blockers work by reducing the production of gastric acid, thus offering longer-lasting effects (Garg </w:t>
      </w:r>
      <w:r>
        <w:rPr>
          <w:i/>
        </w:rPr>
        <w:t xml:space="preserve">et al., </w:t>
      </w:r>
      <w:r>
        <w:t>2022).</w:t>
      </w:r>
    </w:p>
    <w:p w14:paraId="3E764868" w14:textId="77777777" w:rsidR="00A02889" w:rsidRDefault="00A02889">
      <w:pPr>
        <w:pStyle w:val="BodyText"/>
        <w:spacing w:before="7"/>
      </w:pPr>
    </w:p>
    <w:p w14:paraId="5AC495BF" w14:textId="77777777" w:rsidR="00A02889" w:rsidRDefault="00000000">
      <w:pPr>
        <w:pStyle w:val="Heading2"/>
        <w:numPr>
          <w:ilvl w:val="1"/>
          <w:numId w:val="11"/>
        </w:numPr>
        <w:tabs>
          <w:tab w:val="left" w:pos="1080"/>
        </w:tabs>
        <w:spacing w:before="1"/>
      </w:pPr>
      <w:bookmarkStart w:id="12" w:name="_bookmark12"/>
      <w:bookmarkEnd w:id="12"/>
      <w:r>
        <w:t>Statement</w:t>
      </w:r>
      <w:r>
        <w:rPr>
          <w:spacing w:val="-3"/>
        </w:rPr>
        <w:t xml:space="preserve"> </w:t>
      </w:r>
      <w:r>
        <w:t>of</w:t>
      </w:r>
      <w:r>
        <w:rPr>
          <w:spacing w:val="-2"/>
        </w:rPr>
        <w:t xml:space="preserve"> </w:t>
      </w:r>
      <w:r>
        <w:t>the</w:t>
      </w:r>
      <w:r>
        <w:rPr>
          <w:spacing w:val="-1"/>
        </w:rPr>
        <w:t xml:space="preserve"> </w:t>
      </w:r>
      <w:r>
        <w:rPr>
          <w:spacing w:val="-2"/>
        </w:rPr>
        <w:t>Problem</w:t>
      </w:r>
    </w:p>
    <w:p w14:paraId="42B1A3AB" w14:textId="77777777" w:rsidR="00A02889" w:rsidRDefault="00A02889">
      <w:pPr>
        <w:pStyle w:val="BodyText"/>
        <w:rPr>
          <w:b/>
        </w:rPr>
      </w:pPr>
    </w:p>
    <w:p w14:paraId="33E0A473" w14:textId="77777777" w:rsidR="00A02889" w:rsidRDefault="00A02889">
      <w:pPr>
        <w:pStyle w:val="BodyText"/>
        <w:rPr>
          <w:b/>
        </w:rPr>
      </w:pPr>
    </w:p>
    <w:p w14:paraId="4C1194A3" w14:textId="77777777" w:rsidR="00A02889" w:rsidRDefault="00000000">
      <w:pPr>
        <w:pStyle w:val="BodyText"/>
        <w:spacing w:line="480" w:lineRule="auto"/>
        <w:ind w:left="720" w:right="714"/>
        <w:jc w:val="both"/>
      </w:pPr>
      <w:r>
        <w:t>The use of antacids for relief from acid-related disorders such as heartburn and gastroesophageal reflux disease (GERD) is prevalent (</w:t>
      </w:r>
      <w:proofErr w:type="spellStart"/>
      <w:r>
        <w:t>Scarpignato</w:t>
      </w:r>
      <w:proofErr w:type="spellEnd"/>
      <w:r>
        <w:t xml:space="preserve">, 2022), yet there is a significant lack of comprehensive research comparing the effectiveness, safety, and side effect profiles of natural versus synthetic antacids (Chung </w:t>
      </w:r>
      <w:r>
        <w:rPr>
          <w:i/>
        </w:rPr>
        <w:t xml:space="preserve">et al., </w:t>
      </w:r>
      <w:r>
        <w:t xml:space="preserve">2021). While synthetic antacids are well-studied and regulated, natural alternatives often lack robust scientific validation, leading to potential inconsistencies in efficacy and safety (Galkin </w:t>
      </w:r>
      <w:r>
        <w:rPr>
          <w:i/>
        </w:rPr>
        <w:t xml:space="preserve">et al., </w:t>
      </w:r>
      <w:r>
        <w:t xml:space="preserve">2024). The growing consumer interest in natural health products raises critical questions about their credibility, as many individuals perceive them as safer options without empirical support (Schirmacher </w:t>
      </w:r>
      <w:r>
        <w:rPr>
          <w:i/>
        </w:rPr>
        <w:t xml:space="preserve">et al., </w:t>
      </w:r>
      <w:r>
        <w:t>2023). This research</w:t>
      </w:r>
      <w:r>
        <w:rPr>
          <w:spacing w:val="45"/>
        </w:rPr>
        <w:t xml:space="preserve"> </w:t>
      </w:r>
      <w:r>
        <w:t>is</w:t>
      </w:r>
      <w:r>
        <w:rPr>
          <w:spacing w:val="49"/>
        </w:rPr>
        <w:t xml:space="preserve"> </w:t>
      </w:r>
      <w:r>
        <w:t>to</w:t>
      </w:r>
      <w:r>
        <w:rPr>
          <w:spacing w:val="47"/>
        </w:rPr>
        <w:t xml:space="preserve"> </w:t>
      </w:r>
      <w:r>
        <w:t>study</w:t>
      </w:r>
      <w:r>
        <w:rPr>
          <w:spacing w:val="45"/>
        </w:rPr>
        <w:t xml:space="preserve"> </w:t>
      </w:r>
      <w:r>
        <w:t>the</w:t>
      </w:r>
      <w:r>
        <w:rPr>
          <w:spacing w:val="48"/>
        </w:rPr>
        <w:t xml:space="preserve"> </w:t>
      </w:r>
      <w:r>
        <w:t>effectiveness</w:t>
      </w:r>
      <w:r>
        <w:rPr>
          <w:spacing w:val="47"/>
        </w:rPr>
        <w:t xml:space="preserve"> </w:t>
      </w:r>
      <w:r>
        <w:t>and</w:t>
      </w:r>
      <w:r>
        <w:rPr>
          <w:spacing w:val="48"/>
        </w:rPr>
        <w:t xml:space="preserve"> </w:t>
      </w:r>
      <w:r>
        <w:t>safety</w:t>
      </w:r>
      <w:r>
        <w:rPr>
          <w:spacing w:val="44"/>
        </w:rPr>
        <w:t xml:space="preserve"> </w:t>
      </w:r>
      <w:r>
        <w:t>of</w:t>
      </w:r>
      <w:r>
        <w:rPr>
          <w:spacing w:val="46"/>
        </w:rPr>
        <w:t xml:space="preserve"> </w:t>
      </w:r>
      <w:r>
        <w:t>both</w:t>
      </w:r>
      <w:r>
        <w:rPr>
          <w:spacing w:val="47"/>
        </w:rPr>
        <w:t xml:space="preserve"> </w:t>
      </w:r>
      <w:r>
        <w:t>types</w:t>
      </w:r>
      <w:r>
        <w:rPr>
          <w:spacing w:val="49"/>
        </w:rPr>
        <w:t xml:space="preserve"> </w:t>
      </w:r>
      <w:r>
        <w:t>of</w:t>
      </w:r>
      <w:r>
        <w:rPr>
          <w:spacing w:val="48"/>
        </w:rPr>
        <w:t xml:space="preserve"> </w:t>
      </w:r>
      <w:r>
        <w:t>antacids</w:t>
      </w:r>
      <w:r>
        <w:rPr>
          <w:spacing w:val="47"/>
        </w:rPr>
        <w:t xml:space="preserve"> </w:t>
      </w:r>
      <w:r>
        <w:t>and</w:t>
      </w:r>
      <w:r>
        <w:rPr>
          <w:spacing w:val="49"/>
        </w:rPr>
        <w:t xml:space="preserve"> </w:t>
      </w:r>
      <w:r>
        <w:t>explore</w:t>
      </w:r>
      <w:r>
        <w:rPr>
          <w:spacing w:val="45"/>
        </w:rPr>
        <w:t xml:space="preserve"> </w:t>
      </w:r>
      <w:r>
        <w:rPr>
          <w:spacing w:val="-5"/>
        </w:rPr>
        <w:t>how</w:t>
      </w:r>
    </w:p>
    <w:p w14:paraId="59800848"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1FCA8E8C" w14:textId="77777777" w:rsidR="00A02889" w:rsidRDefault="00000000">
      <w:pPr>
        <w:pStyle w:val="BodyText"/>
        <w:spacing w:before="72" w:line="482" w:lineRule="auto"/>
        <w:ind w:left="720" w:right="722"/>
        <w:jc w:val="both"/>
      </w:pPr>
      <w:r>
        <w:lastRenderedPageBreak/>
        <w:t>consumer perceptions influence their choices, ultimately providing insights to guide treatment decisions and promote informed consumer behavior.</w:t>
      </w:r>
    </w:p>
    <w:p w14:paraId="38CB42EA" w14:textId="77777777" w:rsidR="00A02889" w:rsidRDefault="00A02889">
      <w:pPr>
        <w:pStyle w:val="BodyText"/>
        <w:spacing w:before="2"/>
      </w:pPr>
    </w:p>
    <w:p w14:paraId="68D2CB5E" w14:textId="77777777" w:rsidR="00A02889" w:rsidRDefault="00000000">
      <w:pPr>
        <w:pStyle w:val="Heading2"/>
        <w:numPr>
          <w:ilvl w:val="1"/>
          <w:numId w:val="11"/>
        </w:numPr>
        <w:tabs>
          <w:tab w:val="left" w:pos="1080"/>
        </w:tabs>
      </w:pPr>
      <w:bookmarkStart w:id="13" w:name="_bookmark13"/>
      <w:bookmarkEnd w:id="13"/>
      <w:r>
        <w:t>Significance</w:t>
      </w:r>
      <w:r>
        <w:rPr>
          <w:spacing w:val="-2"/>
        </w:rPr>
        <w:t xml:space="preserve"> </w:t>
      </w:r>
      <w:r>
        <w:t>of</w:t>
      </w:r>
      <w:r>
        <w:rPr>
          <w:spacing w:val="1"/>
        </w:rPr>
        <w:t xml:space="preserve"> </w:t>
      </w:r>
      <w:r>
        <w:t>the</w:t>
      </w:r>
      <w:r>
        <w:rPr>
          <w:spacing w:val="-4"/>
        </w:rPr>
        <w:t xml:space="preserve"> </w:t>
      </w:r>
      <w:r>
        <w:rPr>
          <w:spacing w:val="-2"/>
        </w:rPr>
        <w:t>Research</w:t>
      </w:r>
    </w:p>
    <w:p w14:paraId="79D0D679" w14:textId="77777777" w:rsidR="00A02889" w:rsidRDefault="00A02889">
      <w:pPr>
        <w:pStyle w:val="BodyText"/>
        <w:rPr>
          <w:b/>
        </w:rPr>
      </w:pPr>
    </w:p>
    <w:p w14:paraId="5BC0CD6D" w14:textId="77777777" w:rsidR="00A02889" w:rsidRDefault="00A02889">
      <w:pPr>
        <w:pStyle w:val="BodyText"/>
        <w:rPr>
          <w:b/>
        </w:rPr>
      </w:pPr>
    </w:p>
    <w:p w14:paraId="0E95B6FA" w14:textId="77777777" w:rsidR="00A02889" w:rsidRDefault="00000000">
      <w:pPr>
        <w:pStyle w:val="BodyText"/>
        <w:spacing w:line="480" w:lineRule="auto"/>
        <w:ind w:left="720" w:right="717"/>
        <w:jc w:val="both"/>
      </w:pPr>
      <w:r>
        <w:t>The significance of this research lies in its potential to enhance consumer health and safety by comparing the effectiveness of natural and synthetic antacids for managing acid-related</w:t>
      </w:r>
      <w:r>
        <w:rPr>
          <w:spacing w:val="40"/>
        </w:rPr>
        <w:t xml:space="preserve"> </w:t>
      </w:r>
      <w:r>
        <w:t>disorders. By providing evidence-based insights, the study empowers consumers to make informed decisions about their treatment options, addressing concerns over side effects and promoting safer choices. Additionally, the findings can guide healthcare providers in recommending effective antacid options, support regulatory scrutiny of product claims, and inform the development of new formulations that better meet consumer needs. Ultimately, this research contributes to a deeper understanding of gastrointestinal health, helping to dispel misconceptions about natural versus synthetic products and fostering a more comprehensive perspective in the marketplace.</w:t>
      </w:r>
    </w:p>
    <w:p w14:paraId="20994946" w14:textId="77777777" w:rsidR="00A02889" w:rsidRDefault="00A02889">
      <w:pPr>
        <w:pStyle w:val="BodyText"/>
        <w:spacing w:before="8"/>
      </w:pPr>
    </w:p>
    <w:p w14:paraId="339CBB9A" w14:textId="77777777" w:rsidR="00A02889" w:rsidRDefault="00000000">
      <w:pPr>
        <w:pStyle w:val="Heading2"/>
        <w:numPr>
          <w:ilvl w:val="1"/>
          <w:numId w:val="11"/>
        </w:numPr>
        <w:tabs>
          <w:tab w:val="left" w:pos="1080"/>
        </w:tabs>
        <w:spacing w:before="1"/>
      </w:pPr>
      <w:bookmarkStart w:id="14" w:name="_bookmark14"/>
      <w:bookmarkEnd w:id="14"/>
      <w:r>
        <w:t>Justification</w:t>
      </w:r>
      <w:r>
        <w:rPr>
          <w:spacing w:val="-1"/>
        </w:rPr>
        <w:t xml:space="preserve"> </w:t>
      </w:r>
      <w:r>
        <w:t>of</w:t>
      </w:r>
      <w:r>
        <w:rPr>
          <w:spacing w:val="-1"/>
        </w:rPr>
        <w:t xml:space="preserve"> </w:t>
      </w:r>
      <w:r>
        <w:t>the</w:t>
      </w:r>
      <w:r>
        <w:rPr>
          <w:spacing w:val="-5"/>
        </w:rPr>
        <w:t xml:space="preserve"> </w:t>
      </w:r>
      <w:r>
        <w:rPr>
          <w:spacing w:val="-2"/>
        </w:rPr>
        <w:t>Research</w:t>
      </w:r>
    </w:p>
    <w:p w14:paraId="1ED5CD20" w14:textId="77777777" w:rsidR="00A02889" w:rsidRDefault="00A02889">
      <w:pPr>
        <w:pStyle w:val="BodyText"/>
        <w:spacing w:before="275"/>
        <w:rPr>
          <w:b/>
        </w:rPr>
      </w:pPr>
    </w:p>
    <w:p w14:paraId="0B2B17B9" w14:textId="77777777" w:rsidR="00A02889" w:rsidRDefault="00000000">
      <w:pPr>
        <w:pStyle w:val="BodyText"/>
        <w:spacing w:before="1" w:line="480" w:lineRule="auto"/>
        <w:ind w:left="720" w:right="715"/>
        <w:jc w:val="both"/>
      </w:pPr>
      <w:r>
        <w:t>The justification for this research on comparing the effectiveness of natural and synthetic</w:t>
      </w:r>
      <w:r>
        <w:rPr>
          <w:spacing w:val="40"/>
        </w:rPr>
        <w:t xml:space="preserve"> </w:t>
      </w:r>
      <w:r>
        <w:t>antacids is rooted in the increasing consumer interest in natural remedies as alternatives to pharmaceutical treatments, highlighting</w:t>
      </w:r>
      <w:r>
        <w:rPr>
          <w:spacing w:val="-1"/>
        </w:rPr>
        <w:t xml:space="preserve"> </w:t>
      </w:r>
      <w:r>
        <w:t>the need for evidence-based evaluations of their efficacy and safety. While synthetic antacids are well-documented in clinical literature, natural options often lack rigorous scientific validation, creating a gap in understanding that this study aims to address.</w:t>
      </w:r>
      <w:r>
        <w:rPr>
          <w:spacing w:val="46"/>
        </w:rPr>
        <w:t xml:space="preserve"> </w:t>
      </w:r>
      <w:r>
        <w:t>Given</w:t>
      </w:r>
      <w:r>
        <w:rPr>
          <w:spacing w:val="46"/>
        </w:rPr>
        <w:t xml:space="preserve"> </w:t>
      </w:r>
      <w:r>
        <w:t>the</w:t>
      </w:r>
      <w:r>
        <w:rPr>
          <w:spacing w:val="48"/>
        </w:rPr>
        <w:t xml:space="preserve"> </w:t>
      </w:r>
      <w:r>
        <w:t>prevalence</w:t>
      </w:r>
      <w:r>
        <w:rPr>
          <w:spacing w:val="48"/>
        </w:rPr>
        <w:t xml:space="preserve"> </w:t>
      </w:r>
      <w:r>
        <w:t>of</w:t>
      </w:r>
      <w:r>
        <w:rPr>
          <w:spacing w:val="48"/>
        </w:rPr>
        <w:t xml:space="preserve"> </w:t>
      </w:r>
      <w:r>
        <w:t>acid-related</w:t>
      </w:r>
      <w:r>
        <w:rPr>
          <w:spacing w:val="48"/>
        </w:rPr>
        <w:t xml:space="preserve"> </w:t>
      </w:r>
      <w:r>
        <w:t>disorders</w:t>
      </w:r>
      <w:r>
        <w:rPr>
          <w:spacing w:val="46"/>
        </w:rPr>
        <w:t xml:space="preserve"> </w:t>
      </w:r>
      <w:r>
        <w:t>like</w:t>
      </w:r>
      <w:r>
        <w:rPr>
          <w:spacing w:val="48"/>
        </w:rPr>
        <w:t xml:space="preserve"> </w:t>
      </w:r>
      <w:r>
        <w:t>gastro-esophageal</w:t>
      </w:r>
      <w:r>
        <w:rPr>
          <w:spacing w:val="49"/>
        </w:rPr>
        <w:t xml:space="preserve"> </w:t>
      </w:r>
      <w:r>
        <w:t>reflux</w:t>
      </w:r>
      <w:r>
        <w:rPr>
          <w:spacing w:val="48"/>
        </w:rPr>
        <w:t xml:space="preserve"> </w:t>
      </w:r>
      <w:r>
        <w:rPr>
          <w:spacing w:val="-2"/>
        </w:rPr>
        <w:t>disease</w:t>
      </w:r>
    </w:p>
    <w:p w14:paraId="0F39D88C"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39351926" w14:textId="77777777" w:rsidR="00A02889" w:rsidRDefault="00000000">
      <w:pPr>
        <w:pStyle w:val="BodyText"/>
        <w:spacing w:before="72" w:line="482" w:lineRule="auto"/>
        <w:ind w:left="720"/>
      </w:pPr>
      <w:r>
        <w:lastRenderedPageBreak/>
        <w:t>(GERD), it is vital for healthcare professionals to have accurate information to make informed</w:t>
      </w:r>
      <w:r>
        <w:rPr>
          <w:spacing w:val="80"/>
        </w:rPr>
        <w:t xml:space="preserve"> </w:t>
      </w:r>
      <w:r>
        <w:t>recommendations, ultimately improving patient outcomes.</w:t>
      </w:r>
    </w:p>
    <w:p w14:paraId="451299AD" w14:textId="77777777" w:rsidR="00A02889" w:rsidRDefault="00A02889">
      <w:pPr>
        <w:pStyle w:val="BodyText"/>
        <w:spacing w:before="2"/>
      </w:pPr>
    </w:p>
    <w:p w14:paraId="759E57A3" w14:textId="77777777" w:rsidR="00A02889" w:rsidRDefault="00000000">
      <w:pPr>
        <w:pStyle w:val="Heading2"/>
        <w:numPr>
          <w:ilvl w:val="1"/>
          <w:numId w:val="11"/>
        </w:numPr>
        <w:tabs>
          <w:tab w:val="left" w:pos="1080"/>
        </w:tabs>
      </w:pPr>
      <w:bookmarkStart w:id="15" w:name="_bookmark15"/>
      <w:bookmarkEnd w:id="15"/>
      <w:r>
        <w:t>Aim</w:t>
      </w:r>
      <w:r>
        <w:rPr>
          <w:spacing w:val="-5"/>
        </w:rPr>
        <w:t xml:space="preserve"> </w:t>
      </w:r>
      <w:r>
        <w:t>and Objectives of the</w:t>
      </w:r>
      <w:r>
        <w:rPr>
          <w:spacing w:val="-1"/>
        </w:rPr>
        <w:t xml:space="preserve"> </w:t>
      </w:r>
      <w:r>
        <w:rPr>
          <w:spacing w:val="-2"/>
        </w:rPr>
        <w:t>Study</w:t>
      </w:r>
    </w:p>
    <w:p w14:paraId="56950798" w14:textId="77777777" w:rsidR="00A02889" w:rsidRDefault="00A02889">
      <w:pPr>
        <w:pStyle w:val="BodyText"/>
        <w:rPr>
          <w:b/>
        </w:rPr>
      </w:pPr>
    </w:p>
    <w:p w14:paraId="2E5123F8" w14:textId="77777777" w:rsidR="00A02889" w:rsidRDefault="00A02889">
      <w:pPr>
        <w:pStyle w:val="BodyText"/>
        <w:spacing w:before="7"/>
        <w:rPr>
          <w:b/>
        </w:rPr>
      </w:pPr>
    </w:p>
    <w:p w14:paraId="79DD9B16" w14:textId="77777777" w:rsidR="00A02889" w:rsidRDefault="00000000">
      <w:pPr>
        <w:ind w:left="720"/>
        <w:rPr>
          <w:b/>
          <w:sz w:val="24"/>
        </w:rPr>
      </w:pPr>
      <w:r>
        <w:rPr>
          <w:b/>
          <w:spacing w:val="-4"/>
          <w:sz w:val="24"/>
        </w:rPr>
        <w:t>Aim:</w:t>
      </w:r>
    </w:p>
    <w:p w14:paraId="45938B76" w14:textId="77777777" w:rsidR="00A02889" w:rsidRDefault="00A02889">
      <w:pPr>
        <w:pStyle w:val="BodyText"/>
        <w:spacing w:before="194"/>
        <w:rPr>
          <w:b/>
        </w:rPr>
      </w:pPr>
    </w:p>
    <w:p w14:paraId="4859FA12" w14:textId="77777777" w:rsidR="00A02889" w:rsidRDefault="00000000">
      <w:pPr>
        <w:pStyle w:val="BodyText"/>
        <w:spacing w:before="1" w:line="482" w:lineRule="auto"/>
        <w:ind w:left="720" w:right="718"/>
      </w:pPr>
      <w:r>
        <w:t>The aim</w:t>
      </w:r>
      <w:r>
        <w:rPr>
          <w:spacing w:val="21"/>
        </w:rPr>
        <w:t xml:space="preserve"> </w:t>
      </w:r>
      <w:r>
        <w:t>of this study is</w:t>
      </w:r>
      <w:r>
        <w:rPr>
          <w:spacing w:val="21"/>
        </w:rPr>
        <w:t xml:space="preserve"> </w:t>
      </w:r>
      <w:r>
        <w:t>to</w:t>
      </w:r>
      <w:r>
        <w:rPr>
          <w:spacing w:val="21"/>
        </w:rPr>
        <w:t xml:space="preserve"> </w:t>
      </w:r>
      <w:r>
        <w:t>compare the effectiveness</w:t>
      </w:r>
      <w:r>
        <w:rPr>
          <w:spacing w:val="21"/>
        </w:rPr>
        <w:t xml:space="preserve"> </w:t>
      </w:r>
      <w:r>
        <w:t>and consumer perceptions of natural</w:t>
      </w:r>
      <w:r>
        <w:rPr>
          <w:spacing w:val="21"/>
        </w:rPr>
        <w:t xml:space="preserve"> </w:t>
      </w:r>
      <w:r>
        <w:t>and synthetic antacids.</w:t>
      </w:r>
    </w:p>
    <w:p w14:paraId="3EDB53F7" w14:textId="77777777" w:rsidR="00A02889" w:rsidRDefault="00000000">
      <w:pPr>
        <w:pStyle w:val="Heading2"/>
        <w:spacing w:before="201"/>
        <w:ind w:left="720" w:firstLine="0"/>
      </w:pPr>
      <w:r>
        <w:rPr>
          <w:spacing w:val="-2"/>
        </w:rPr>
        <w:t>Objectives:</w:t>
      </w:r>
    </w:p>
    <w:p w14:paraId="7F30F2E2" w14:textId="77777777" w:rsidR="00A02889" w:rsidRDefault="00A02889">
      <w:pPr>
        <w:pStyle w:val="BodyText"/>
        <w:spacing w:before="194"/>
        <w:rPr>
          <w:b/>
        </w:rPr>
      </w:pPr>
    </w:p>
    <w:p w14:paraId="13E2C53C" w14:textId="77777777" w:rsidR="00A02889" w:rsidRDefault="00000000">
      <w:pPr>
        <w:pStyle w:val="BodyText"/>
        <w:spacing w:before="1"/>
        <w:ind w:left="720"/>
      </w:pPr>
      <w:r>
        <w:t>The</w:t>
      </w:r>
      <w:r>
        <w:rPr>
          <w:spacing w:val="-3"/>
        </w:rPr>
        <w:t xml:space="preserve"> </w:t>
      </w:r>
      <w:r>
        <w:t>objectives</w:t>
      </w:r>
      <w:r>
        <w:rPr>
          <w:spacing w:val="-2"/>
        </w:rPr>
        <w:t xml:space="preserve"> </w:t>
      </w:r>
      <w:r>
        <w:t>of</w:t>
      </w:r>
      <w:r>
        <w:rPr>
          <w:spacing w:val="-1"/>
        </w:rPr>
        <w:t xml:space="preserve"> </w:t>
      </w:r>
      <w:r>
        <w:t>this</w:t>
      </w:r>
      <w:r>
        <w:rPr>
          <w:spacing w:val="-1"/>
        </w:rPr>
        <w:t xml:space="preserve"> </w:t>
      </w:r>
      <w:r>
        <w:t>study</w:t>
      </w:r>
      <w:r>
        <w:rPr>
          <w:spacing w:val="-5"/>
        </w:rPr>
        <w:t xml:space="preserve"> </w:t>
      </w:r>
      <w:r>
        <w:rPr>
          <w:spacing w:val="-4"/>
        </w:rPr>
        <w:t>are:</w:t>
      </w:r>
    </w:p>
    <w:p w14:paraId="7DB54F75" w14:textId="77777777" w:rsidR="00A02889" w:rsidRDefault="00A02889">
      <w:pPr>
        <w:pStyle w:val="BodyText"/>
        <w:spacing w:before="199"/>
      </w:pPr>
    </w:p>
    <w:p w14:paraId="2FB63257" w14:textId="77777777" w:rsidR="00A02889" w:rsidRDefault="00000000">
      <w:pPr>
        <w:pStyle w:val="ListParagraph"/>
        <w:numPr>
          <w:ilvl w:val="2"/>
          <w:numId w:val="11"/>
        </w:numPr>
        <w:tabs>
          <w:tab w:val="left" w:pos="1440"/>
        </w:tabs>
        <w:spacing w:line="477" w:lineRule="auto"/>
        <w:ind w:right="725"/>
        <w:rPr>
          <w:sz w:val="24"/>
        </w:rPr>
      </w:pPr>
      <w:r>
        <w:rPr>
          <w:sz w:val="24"/>
        </w:rPr>
        <w:t>To compare the effectiveness of natural and synthetic antacids in relieving symptoms of acid-related disorders.</w:t>
      </w:r>
    </w:p>
    <w:p w14:paraId="7BB610BD" w14:textId="77777777" w:rsidR="00A02889" w:rsidRDefault="00000000">
      <w:pPr>
        <w:pStyle w:val="ListParagraph"/>
        <w:numPr>
          <w:ilvl w:val="2"/>
          <w:numId w:val="11"/>
        </w:numPr>
        <w:tabs>
          <w:tab w:val="left" w:pos="1440"/>
        </w:tabs>
        <w:spacing w:before="3" w:line="482" w:lineRule="auto"/>
        <w:ind w:right="723"/>
        <w:rPr>
          <w:sz w:val="24"/>
        </w:rPr>
      </w:pPr>
      <w:r>
        <w:rPr>
          <w:sz w:val="24"/>
        </w:rPr>
        <w:t>To</w:t>
      </w:r>
      <w:r>
        <w:rPr>
          <w:spacing w:val="76"/>
          <w:sz w:val="24"/>
        </w:rPr>
        <w:t xml:space="preserve"> </w:t>
      </w:r>
      <w:r>
        <w:rPr>
          <w:sz w:val="24"/>
        </w:rPr>
        <w:t>examine</w:t>
      </w:r>
      <w:r>
        <w:rPr>
          <w:spacing w:val="75"/>
          <w:sz w:val="24"/>
        </w:rPr>
        <w:t xml:space="preserve"> </w:t>
      </w:r>
      <w:r>
        <w:rPr>
          <w:sz w:val="24"/>
        </w:rPr>
        <w:t>consumer</w:t>
      </w:r>
      <w:r>
        <w:rPr>
          <w:spacing w:val="73"/>
          <w:sz w:val="24"/>
        </w:rPr>
        <w:t xml:space="preserve"> </w:t>
      </w:r>
      <w:r>
        <w:rPr>
          <w:sz w:val="24"/>
        </w:rPr>
        <w:t>perceptions</w:t>
      </w:r>
      <w:r>
        <w:rPr>
          <w:spacing w:val="76"/>
          <w:sz w:val="24"/>
        </w:rPr>
        <w:t xml:space="preserve"> </w:t>
      </w:r>
      <w:r>
        <w:rPr>
          <w:sz w:val="24"/>
        </w:rPr>
        <w:t>and</w:t>
      </w:r>
      <w:r>
        <w:rPr>
          <w:spacing w:val="76"/>
          <w:sz w:val="24"/>
        </w:rPr>
        <w:t xml:space="preserve"> </w:t>
      </w:r>
      <w:r>
        <w:rPr>
          <w:sz w:val="24"/>
        </w:rPr>
        <w:t>preferences</w:t>
      </w:r>
      <w:r>
        <w:rPr>
          <w:spacing w:val="76"/>
          <w:sz w:val="24"/>
        </w:rPr>
        <w:t xml:space="preserve"> </w:t>
      </w:r>
      <w:r>
        <w:rPr>
          <w:sz w:val="24"/>
        </w:rPr>
        <w:t>regarding</w:t>
      </w:r>
      <w:r>
        <w:rPr>
          <w:spacing w:val="74"/>
          <w:sz w:val="24"/>
        </w:rPr>
        <w:t xml:space="preserve"> </w:t>
      </w:r>
      <w:r>
        <w:rPr>
          <w:sz w:val="24"/>
        </w:rPr>
        <w:t>natural</w:t>
      </w:r>
      <w:r>
        <w:rPr>
          <w:spacing w:val="77"/>
          <w:sz w:val="24"/>
        </w:rPr>
        <w:t xml:space="preserve"> </w:t>
      </w:r>
      <w:r>
        <w:rPr>
          <w:sz w:val="24"/>
        </w:rPr>
        <w:t>and</w:t>
      </w:r>
      <w:r>
        <w:rPr>
          <w:spacing w:val="76"/>
          <w:sz w:val="24"/>
        </w:rPr>
        <w:t xml:space="preserve"> </w:t>
      </w:r>
      <w:r>
        <w:rPr>
          <w:sz w:val="24"/>
        </w:rPr>
        <w:t xml:space="preserve">synthetic </w:t>
      </w:r>
      <w:r>
        <w:rPr>
          <w:spacing w:val="-2"/>
          <w:sz w:val="24"/>
        </w:rPr>
        <w:t>antacids.</w:t>
      </w:r>
    </w:p>
    <w:p w14:paraId="12AD1A66" w14:textId="77777777" w:rsidR="00A02889" w:rsidRDefault="00A02889">
      <w:pPr>
        <w:pStyle w:val="ListParagraph"/>
        <w:spacing w:line="482" w:lineRule="auto"/>
        <w:rPr>
          <w:sz w:val="24"/>
        </w:rPr>
        <w:sectPr w:rsidR="00A02889">
          <w:pgSz w:w="12240" w:h="15840"/>
          <w:pgMar w:top="1360" w:right="720" w:bottom="1260" w:left="720" w:header="0" w:footer="1068" w:gutter="0"/>
          <w:cols w:space="720"/>
        </w:sectPr>
      </w:pPr>
    </w:p>
    <w:p w14:paraId="15DA78B9" w14:textId="77777777" w:rsidR="00A02889" w:rsidRDefault="00000000">
      <w:pPr>
        <w:pStyle w:val="Heading1"/>
        <w:ind w:right="596"/>
      </w:pPr>
      <w:bookmarkStart w:id="16" w:name="_bookmark16"/>
      <w:bookmarkEnd w:id="16"/>
      <w:r>
        <w:lastRenderedPageBreak/>
        <w:t>CHAPTER</w:t>
      </w:r>
      <w:r>
        <w:rPr>
          <w:spacing w:val="-9"/>
        </w:rPr>
        <w:t xml:space="preserve"> </w:t>
      </w:r>
      <w:r>
        <w:rPr>
          <w:spacing w:val="-5"/>
        </w:rPr>
        <w:t>TWO</w:t>
      </w:r>
    </w:p>
    <w:p w14:paraId="7956177D" w14:textId="77777777" w:rsidR="00A02889" w:rsidRDefault="00A02889">
      <w:pPr>
        <w:pStyle w:val="BodyText"/>
        <w:rPr>
          <w:b/>
        </w:rPr>
      </w:pPr>
    </w:p>
    <w:p w14:paraId="76CFFEC8" w14:textId="77777777" w:rsidR="00A02889" w:rsidRDefault="00A02889">
      <w:pPr>
        <w:pStyle w:val="BodyText"/>
        <w:spacing w:before="6"/>
        <w:rPr>
          <w:b/>
        </w:rPr>
      </w:pPr>
    </w:p>
    <w:p w14:paraId="246E3FE9" w14:textId="77777777" w:rsidR="00A02889" w:rsidRDefault="00000000">
      <w:pPr>
        <w:pStyle w:val="Heading1"/>
        <w:numPr>
          <w:ilvl w:val="1"/>
          <w:numId w:val="10"/>
        </w:numPr>
        <w:tabs>
          <w:tab w:val="left" w:pos="1080"/>
        </w:tabs>
        <w:spacing w:before="0"/>
        <w:ind w:right="0"/>
      </w:pPr>
      <w:bookmarkStart w:id="17" w:name="_bookmark17"/>
      <w:bookmarkEnd w:id="17"/>
      <w:r>
        <w:t xml:space="preserve">LITERITURE </w:t>
      </w:r>
      <w:r>
        <w:rPr>
          <w:spacing w:val="-2"/>
        </w:rPr>
        <w:t>REVIEW</w:t>
      </w:r>
    </w:p>
    <w:p w14:paraId="34968DDC" w14:textId="77777777" w:rsidR="00A02889" w:rsidRDefault="00A02889">
      <w:pPr>
        <w:pStyle w:val="BodyText"/>
        <w:rPr>
          <w:b/>
        </w:rPr>
      </w:pPr>
    </w:p>
    <w:p w14:paraId="0ECCFDF4" w14:textId="77777777" w:rsidR="00A02889" w:rsidRDefault="00A02889">
      <w:pPr>
        <w:pStyle w:val="BodyText"/>
        <w:spacing w:before="2"/>
        <w:rPr>
          <w:b/>
        </w:rPr>
      </w:pPr>
    </w:p>
    <w:p w14:paraId="693722A0" w14:textId="77777777" w:rsidR="00A02889" w:rsidRDefault="00000000">
      <w:pPr>
        <w:pStyle w:val="Heading2"/>
        <w:numPr>
          <w:ilvl w:val="1"/>
          <w:numId w:val="10"/>
        </w:numPr>
        <w:tabs>
          <w:tab w:val="left" w:pos="1080"/>
        </w:tabs>
      </w:pPr>
      <w:bookmarkStart w:id="18" w:name="_bookmark18"/>
      <w:bookmarkEnd w:id="18"/>
      <w:r>
        <w:rPr>
          <w:spacing w:val="-2"/>
        </w:rPr>
        <w:t>Antacids</w:t>
      </w:r>
    </w:p>
    <w:p w14:paraId="03383BAE" w14:textId="77777777" w:rsidR="00A02889" w:rsidRDefault="00A02889">
      <w:pPr>
        <w:pStyle w:val="BodyText"/>
        <w:rPr>
          <w:b/>
        </w:rPr>
      </w:pPr>
    </w:p>
    <w:p w14:paraId="1F5636BD" w14:textId="77777777" w:rsidR="00A02889" w:rsidRDefault="00A02889">
      <w:pPr>
        <w:pStyle w:val="BodyText"/>
        <w:rPr>
          <w:b/>
        </w:rPr>
      </w:pPr>
    </w:p>
    <w:p w14:paraId="497EB0CD" w14:textId="77777777" w:rsidR="00A02889" w:rsidRDefault="00000000">
      <w:pPr>
        <w:pStyle w:val="BodyText"/>
        <w:spacing w:line="480" w:lineRule="auto"/>
        <w:ind w:left="720" w:right="715"/>
        <w:jc w:val="both"/>
      </w:pPr>
      <w:r>
        <w:t xml:space="preserve">Antacids are a class of medications that have been available for many years (Garg </w:t>
      </w:r>
      <w:r>
        <w:rPr>
          <w:i/>
        </w:rPr>
        <w:t xml:space="preserve">et al., </w:t>
      </w:r>
      <w:r>
        <w:t>2022). Initially, they</w:t>
      </w:r>
      <w:r>
        <w:rPr>
          <w:spacing w:val="-5"/>
        </w:rPr>
        <w:t xml:space="preserve"> </w:t>
      </w:r>
      <w:r>
        <w:t>served as the first-line</w:t>
      </w:r>
      <w:r>
        <w:rPr>
          <w:spacing w:val="-1"/>
        </w:rPr>
        <w:t xml:space="preserve"> </w:t>
      </w:r>
      <w:r>
        <w:t>treatment for peptic</w:t>
      </w:r>
      <w:r>
        <w:rPr>
          <w:spacing w:val="-1"/>
        </w:rPr>
        <w:t xml:space="preserve"> </w:t>
      </w:r>
      <w:r>
        <w:t>ulcer</w:t>
      </w:r>
      <w:r>
        <w:rPr>
          <w:spacing w:val="-1"/>
        </w:rPr>
        <w:t xml:space="preserve"> </w:t>
      </w:r>
      <w:r>
        <w:t xml:space="preserve">disease; however, the introduction of proton pump inhibitors transformed the management of this condition (Jenkins and </w:t>
      </w:r>
      <w:proofErr w:type="spellStart"/>
      <w:r>
        <w:t>Modolell</w:t>
      </w:r>
      <w:proofErr w:type="spellEnd"/>
      <w:r>
        <w:t xml:space="preserve">, 2023). Today, antacids are primarily used to alleviate mild, intermittent gastroesophageal reflux disease (GERD) symptoms, particularly heartburn (Jenkins and </w:t>
      </w:r>
      <w:proofErr w:type="spellStart"/>
      <w:r>
        <w:t>Modolell</w:t>
      </w:r>
      <w:proofErr w:type="spellEnd"/>
      <w:r>
        <w:t xml:space="preserve">, 2023). In North America, the estimated prevalence of heartburn occurring at least once a week ranges from 18% to 28%, with about 25% of adults experiencing it daily (El-Serag </w:t>
      </w:r>
      <w:r>
        <w:rPr>
          <w:i/>
        </w:rPr>
        <w:t xml:space="preserve">et al., </w:t>
      </w:r>
      <w:r>
        <w:t xml:space="preserve">2014). Antacids are available over-the-counter, meaning they can be self-prescribed (El-Serag </w:t>
      </w:r>
      <w:r>
        <w:rPr>
          <w:i/>
        </w:rPr>
        <w:t xml:space="preserve">et al., </w:t>
      </w:r>
      <w:r>
        <w:t>2014). These medications typically consist of various compounds, including active ingredients such as</w:t>
      </w:r>
      <w:r>
        <w:rPr>
          <w:spacing w:val="40"/>
        </w:rPr>
        <w:t xml:space="preserve"> </w:t>
      </w:r>
      <w:r>
        <w:t xml:space="preserve">calcium, magnesium, and aluminum salts (El-Serag </w:t>
      </w:r>
      <w:r>
        <w:rPr>
          <w:i/>
        </w:rPr>
        <w:t xml:space="preserve">et al., </w:t>
      </w:r>
      <w:r>
        <w:t xml:space="preserve">2014). Antacids work as alkaline substances that neutralize excess stomach acid, addressing symptoms caused by excessive acid secretion, reduced resistance of the stomach lining, or reflux into the esophagus (Houglum </w:t>
      </w:r>
      <w:r>
        <w:rPr>
          <w:i/>
        </w:rPr>
        <w:t xml:space="preserve">et al., </w:t>
      </w:r>
      <w:r>
        <w:rPr>
          <w:spacing w:val="-2"/>
        </w:rPr>
        <w:t>2015).</w:t>
      </w:r>
    </w:p>
    <w:p w14:paraId="1C518589" w14:textId="77777777" w:rsidR="00A02889" w:rsidRDefault="00000000">
      <w:pPr>
        <w:pStyle w:val="BodyText"/>
        <w:spacing w:before="161" w:line="480" w:lineRule="auto"/>
        <w:ind w:left="720" w:right="715"/>
        <w:jc w:val="both"/>
      </w:pPr>
      <w:r>
        <w:t xml:space="preserve">Antacids work by neutralizing stomach acid and inhibiting pepsin, a proteolytic enzyme (El- Serag </w:t>
      </w:r>
      <w:r>
        <w:rPr>
          <w:i/>
        </w:rPr>
        <w:t xml:space="preserve">et al., </w:t>
      </w:r>
      <w:r>
        <w:t xml:space="preserve">2014). Each of these cationic salts possesses unique pharmacological properties that influence their clinical applications (El-Serag </w:t>
      </w:r>
      <w:r>
        <w:rPr>
          <w:i/>
        </w:rPr>
        <w:t xml:space="preserve">et al., </w:t>
      </w:r>
      <w:r>
        <w:t>2014).</w:t>
      </w:r>
      <w:r>
        <w:rPr>
          <w:spacing w:val="-5"/>
        </w:rPr>
        <w:t xml:space="preserve"> </w:t>
      </w:r>
      <w:r>
        <w:t>Antacids are commonly used to treat</w:t>
      </w:r>
      <w:r>
        <w:rPr>
          <w:spacing w:val="40"/>
        </w:rPr>
        <w:t xml:space="preserve"> </w:t>
      </w:r>
      <w:r>
        <w:t xml:space="preserve">a variety of gastrointestinal conditions, as noted by Houglum </w:t>
      </w:r>
      <w:proofErr w:type="gramStart"/>
      <w:r>
        <w:rPr>
          <w:i/>
        </w:rPr>
        <w:t>et al.,</w:t>
      </w:r>
      <w:r>
        <w:t>(</w:t>
      </w:r>
      <w:proofErr w:type="gramEnd"/>
      <w:r>
        <w:t>2015). They are effective in alleviating</w:t>
      </w:r>
      <w:r>
        <w:rPr>
          <w:spacing w:val="-1"/>
        </w:rPr>
        <w:t xml:space="preserve"> </w:t>
      </w:r>
      <w:r>
        <w:t>heartburn symptoms associated with gastroesophageal reflux disease (GERD) and are also</w:t>
      </w:r>
      <w:r>
        <w:rPr>
          <w:spacing w:val="56"/>
          <w:w w:val="150"/>
        </w:rPr>
        <w:t xml:space="preserve"> </w:t>
      </w:r>
      <w:r>
        <w:t>utilized</w:t>
      </w:r>
      <w:r>
        <w:rPr>
          <w:spacing w:val="57"/>
          <w:w w:val="150"/>
        </w:rPr>
        <w:t xml:space="preserve"> </w:t>
      </w:r>
      <w:r>
        <w:t>in</w:t>
      </w:r>
      <w:r>
        <w:rPr>
          <w:spacing w:val="58"/>
          <w:w w:val="150"/>
        </w:rPr>
        <w:t xml:space="preserve"> </w:t>
      </w:r>
      <w:r>
        <w:t>the</w:t>
      </w:r>
      <w:r>
        <w:rPr>
          <w:spacing w:val="57"/>
          <w:w w:val="150"/>
        </w:rPr>
        <w:t xml:space="preserve"> </w:t>
      </w:r>
      <w:r>
        <w:t>management</w:t>
      </w:r>
      <w:r>
        <w:rPr>
          <w:spacing w:val="57"/>
          <w:w w:val="150"/>
        </w:rPr>
        <w:t xml:space="preserve"> </w:t>
      </w:r>
      <w:r>
        <w:t>of</w:t>
      </w:r>
      <w:r>
        <w:rPr>
          <w:spacing w:val="56"/>
          <w:w w:val="150"/>
        </w:rPr>
        <w:t xml:space="preserve"> </w:t>
      </w:r>
      <w:r>
        <w:t>duodenal</w:t>
      </w:r>
      <w:r>
        <w:rPr>
          <w:spacing w:val="60"/>
          <w:w w:val="150"/>
        </w:rPr>
        <w:t xml:space="preserve"> </w:t>
      </w:r>
      <w:r>
        <w:t>and</w:t>
      </w:r>
      <w:r>
        <w:rPr>
          <w:spacing w:val="59"/>
          <w:w w:val="150"/>
        </w:rPr>
        <w:t xml:space="preserve"> </w:t>
      </w:r>
      <w:r>
        <w:t>gastric</w:t>
      </w:r>
      <w:r>
        <w:rPr>
          <w:spacing w:val="59"/>
          <w:w w:val="150"/>
        </w:rPr>
        <w:t xml:space="preserve"> </w:t>
      </w:r>
      <w:r>
        <w:t>ulcers</w:t>
      </w:r>
      <w:r>
        <w:rPr>
          <w:spacing w:val="57"/>
          <w:w w:val="150"/>
        </w:rPr>
        <w:t xml:space="preserve"> </w:t>
      </w:r>
      <w:r>
        <w:t>(</w:t>
      </w:r>
      <w:proofErr w:type="spellStart"/>
      <w:r>
        <w:t>Shaqran</w:t>
      </w:r>
      <w:proofErr w:type="spellEnd"/>
      <w:r>
        <w:rPr>
          <w:spacing w:val="66"/>
          <w:w w:val="150"/>
        </w:rPr>
        <w:t xml:space="preserve"> </w:t>
      </w:r>
      <w:r>
        <w:rPr>
          <w:i/>
        </w:rPr>
        <w:t>et</w:t>
      </w:r>
      <w:r>
        <w:rPr>
          <w:i/>
          <w:spacing w:val="58"/>
          <w:w w:val="150"/>
        </w:rPr>
        <w:t xml:space="preserve"> </w:t>
      </w:r>
      <w:r>
        <w:rPr>
          <w:i/>
        </w:rPr>
        <w:t>al.,</w:t>
      </w:r>
      <w:r>
        <w:rPr>
          <w:i/>
          <w:spacing w:val="59"/>
          <w:w w:val="150"/>
        </w:rPr>
        <w:t xml:space="preserve"> </w:t>
      </w:r>
      <w:r>
        <w:rPr>
          <w:spacing w:val="-2"/>
        </w:rPr>
        <w:t>2023).</w:t>
      </w:r>
    </w:p>
    <w:p w14:paraId="7E7CA32B"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0E8CB6FD" w14:textId="77777777" w:rsidR="00A02889" w:rsidRDefault="00000000">
      <w:pPr>
        <w:pStyle w:val="BodyText"/>
        <w:spacing w:before="72" w:line="482" w:lineRule="auto"/>
        <w:ind w:left="720" w:right="718"/>
        <w:jc w:val="both"/>
      </w:pPr>
      <w:r>
        <w:lastRenderedPageBreak/>
        <w:t xml:space="preserve">Additionally, antacids play a role in treating stress gastritis and addressing pancreatic insufficiency (De </w:t>
      </w:r>
      <w:r>
        <w:rPr>
          <w:i/>
        </w:rPr>
        <w:t xml:space="preserve">et al., </w:t>
      </w:r>
      <w:r>
        <w:t xml:space="preserve">2023). Furthermore, antacids are beneficial for managing biliary reflux and can assist with constipation (De </w:t>
      </w:r>
      <w:r>
        <w:rPr>
          <w:i/>
        </w:rPr>
        <w:t xml:space="preserve">et al., </w:t>
      </w:r>
      <w:r>
        <w:t>2023).</w:t>
      </w:r>
    </w:p>
    <w:p w14:paraId="4754BFE2" w14:textId="77777777" w:rsidR="00A02889" w:rsidRDefault="00000000">
      <w:pPr>
        <w:pStyle w:val="Heading2"/>
        <w:numPr>
          <w:ilvl w:val="1"/>
          <w:numId w:val="10"/>
        </w:numPr>
        <w:tabs>
          <w:tab w:val="left" w:pos="1080"/>
        </w:tabs>
        <w:spacing w:before="275"/>
      </w:pPr>
      <w:bookmarkStart w:id="19" w:name="_bookmark19"/>
      <w:bookmarkEnd w:id="19"/>
      <w:r>
        <w:t>Antacids</w:t>
      </w:r>
      <w:r>
        <w:rPr>
          <w:spacing w:val="-1"/>
        </w:rPr>
        <w:t xml:space="preserve"> </w:t>
      </w:r>
      <w:r>
        <w:rPr>
          <w:spacing w:val="-2"/>
        </w:rPr>
        <w:t>Classification</w:t>
      </w:r>
    </w:p>
    <w:p w14:paraId="19520EE1" w14:textId="77777777" w:rsidR="00A02889" w:rsidRDefault="00A02889">
      <w:pPr>
        <w:pStyle w:val="BodyText"/>
        <w:rPr>
          <w:b/>
        </w:rPr>
      </w:pPr>
    </w:p>
    <w:p w14:paraId="7C11960A" w14:textId="77777777" w:rsidR="00A02889" w:rsidRDefault="00A02889">
      <w:pPr>
        <w:pStyle w:val="BodyText"/>
        <w:rPr>
          <w:b/>
        </w:rPr>
      </w:pPr>
    </w:p>
    <w:p w14:paraId="49B608B3" w14:textId="77777777" w:rsidR="00A02889" w:rsidRDefault="00000000">
      <w:pPr>
        <w:pStyle w:val="BodyText"/>
        <w:spacing w:line="482" w:lineRule="auto"/>
        <w:ind w:left="720" w:right="717"/>
        <w:jc w:val="both"/>
      </w:pPr>
      <w:r>
        <w:t>Antacids can be broadly classified into two categories: Natural and Synthetic antacids (Khasim and Rafi, 2025).</w:t>
      </w:r>
    </w:p>
    <w:p w14:paraId="677899A9" w14:textId="77777777" w:rsidR="00A02889" w:rsidRDefault="00A02889">
      <w:pPr>
        <w:pStyle w:val="BodyText"/>
        <w:spacing w:before="5"/>
      </w:pPr>
    </w:p>
    <w:p w14:paraId="18ABD20C" w14:textId="77777777" w:rsidR="00A02889" w:rsidRDefault="00000000">
      <w:pPr>
        <w:pStyle w:val="Heading2"/>
        <w:numPr>
          <w:ilvl w:val="2"/>
          <w:numId w:val="10"/>
        </w:numPr>
        <w:tabs>
          <w:tab w:val="left" w:pos="1260"/>
        </w:tabs>
      </w:pPr>
      <w:bookmarkStart w:id="20" w:name="_bookmark20"/>
      <w:bookmarkEnd w:id="20"/>
      <w:r>
        <w:t>Natural</w:t>
      </w:r>
      <w:r>
        <w:rPr>
          <w:spacing w:val="-3"/>
        </w:rPr>
        <w:t xml:space="preserve"> </w:t>
      </w:r>
      <w:r>
        <w:rPr>
          <w:spacing w:val="-2"/>
        </w:rPr>
        <w:t>antacids</w:t>
      </w:r>
    </w:p>
    <w:p w14:paraId="12A5CE2F" w14:textId="77777777" w:rsidR="00A02889" w:rsidRDefault="00A02889">
      <w:pPr>
        <w:pStyle w:val="BodyText"/>
        <w:rPr>
          <w:b/>
        </w:rPr>
      </w:pPr>
    </w:p>
    <w:p w14:paraId="7DE3A0E9" w14:textId="77777777" w:rsidR="00A02889" w:rsidRDefault="00A02889">
      <w:pPr>
        <w:pStyle w:val="BodyText"/>
        <w:rPr>
          <w:b/>
        </w:rPr>
      </w:pPr>
    </w:p>
    <w:p w14:paraId="20A1018F" w14:textId="77777777" w:rsidR="00A02889" w:rsidRDefault="00000000">
      <w:pPr>
        <w:pStyle w:val="BodyText"/>
        <w:spacing w:line="480" w:lineRule="auto"/>
        <w:ind w:left="720" w:right="714"/>
        <w:jc w:val="both"/>
      </w:pPr>
      <w:r>
        <w:t xml:space="preserve">Natural antacids consist of naturally occurring substances that possess acid-neutralizing properties, making them beneficial for gastrointestinal health (Divya and Rasheed, 2021). One prominent example is baking soda (sodium bicarbonate, </w:t>
      </w:r>
      <w:proofErr w:type="spellStart"/>
      <w:r>
        <w:t>NaHCO</w:t>
      </w:r>
      <w:proofErr w:type="spellEnd"/>
      <w:r>
        <w:t xml:space="preserve">₃), which reacts with hydrochloric acid (HCl) in the stomach to produce salt, water, and carbon dioxide, providing rapid relief from heartburn and acid indigestion (Chiba </w:t>
      </w:r>
      <w:r>
        <w:rPr>
          <w:i/>
        </w:rPr>
        <w:t xml:space="preserve">et al., </w:t>
      </w:r>
      <w:r>
        <w:t>2002). Another effective natural antacid is aloe vera, renowned for its anti-inflammatory and soothing effects on the digestive system (</w:t>
      </w:r>
      <w:proofErr w:type="spellStart"/>
      <w:r>
        <w:t>Tytgat</w:t>
      </w:r>
      <w:proofErr w:type="spellEnd"/>
      <w:r>
        <w:t>, 2003). It not only alleviates discomfort but also promotes healing of the gastrointestinal lining (</w:t>
      </w:r>
      <w:proofErr w:type="spellStart"/>
      <w:r>
        <w:t>Tytgat</w:t>
      </w:r>
      <w:proofErr w:type="spellEnd"/>
      <w:r>
        <w:t xml:space="preserve">, 2003). Additionally, ginger has been shown to help reduce acid reflux symptoms and offers gastroprotective properties, making it a valuable addition to dietary strategies for managing gastrointestinal disorders (Holtmann </w:t>
      </w:r>
      <w:r>
        <w:rPr>
          <w:i/>
        </w:rPr>
        <w:t xml:space="preserve">et al., </w:t>
      </w:r>
      <w:r>
        <w:t>2001).</w:t>
      </w:r>
    </w:p>
    <w:p w14:paraId="5BC5889D" w14:textId="77777777" w:rsidR="00A02889" w:rsidRDefault="00A02889">
      <w:pPr>
        <w:pStyle w:val="BodyText"/>
        <w:spacing w:before="9"/>
      </w:pPr>
    </w:p>
    <w:p w14:paraId="4416DBAE" w14:textId="77777777" w:rsidR="00A02889" w:rsidRDefault="00000000">
      <w:pPr>
        <w:pStyle w:val="Heading2"/>
        <w:numPr>
          <w:ilvl w:val="2"/>
          <w:numId w:val="10"/>
        </w:numPr>
        <w:tabs>
          <w:tab w:val="left" w:pos="1260"/>
        </w:tabs>
      </w:pPr>
      <w:bookmarkStart w:id="21" w:name="_bookmark21"/>
      <w:bookmarkEnd w:id="21"/>
      <w:r>
        <w:t>Synthetic</w:t>
      </w:r>
      <w:r>
        <w:rPr>
          <w:spacing w:val="-2"/>
        </w:rPr>
        <w:t xml:space="preserve"> antacids</w:t>
      </w:r>
    </w:p>
    <w:p w14:paraId="3BF68A96" w14:textId="77777777" w:rsidR="00A02889" w:rsidRDefault="00A02889">
      <w:pPr>
        <w:pStyle w:val="BodyText"/>
        <w:rPr>
          <w:b/>
        </w:rPr>
      </w:pPr>
    </w:p>
    <w:p w14:paraId="7C2F774D" w14:textId="77777777" w:rsidR="00A02889" w:rsidRDefault="00A02889">
      <w:pPr>
        <w:pStyle w:val="BodyText"/>
        <w:rPr>
          <w:b/>
        </w:rPr>
      </w:pPr>
    </w:p>
    <w:p w14:paraId="4400CADF" w14:textId="77777777" w:rsidR="00A02889" w:rsidRDefault="00000000">
      <w:pPr>
        <w:pStyle w:val="BodyText"/>
        <w:spacing w:line="480" w:lineRule="auto"/>
        <w:ind w:left="720" w:right="717"/>
        <w:jc w:val="both"/>
      </w:pPr>
      <w:r>
        <w:t>Synthetic (commercial) antacids are pharmaceutical formulations designed to neutralize stomach acid</w:t>
      </w:r>
      <w:r>
        <w:rPr>
          <w:spacing w:val="6"/>
        </w:rPr>
        <w:t xml:space="preserve"> </w:t>
      </w:r>
      <w:r>
        <w:t>through</w:t>
      </w:r>
      <w:r>
        <w:rPr>
          <w:spacing w:val="5"/>
        </w:rPr>
        <w:t xml:space="preserve"> </w:t>
      </w:r>
      <w:r>
        <w:t>the</w:t>
      </w:r>
      <w:r>
        <w:rPr>
          <w:spacing w:val="5"/>
        </w:rPr>
        <w:t xml:space="preserve"> </w:t>
      </w:r>
      <w:r>
        <w:t>inclusion</w:t>
      </w:r>
      <w:r>
        <w:rPr>
          <w:spacing w:val="5"/>
        </w:rPr>
        <w:t xml:space="preserve"> </w:t>
      </w:r>
      <w:r>
        <w:t>of</w:t>
      </w:r>
      <w:r>
        <w:rPr>
          <w:spacing w:val="5"/>
        </w:rPr>
        <w:t xml:space="preserve"> </w:t>
      </w:r>
      <w:r>
        <w:t>various</w:t>
      </w:r>
      <w:r>
        <w:rPr>
          <w:spacing w:val="5"/>
        </w:rPr>
        <w:t xml:space="preserve"> </w:t>
      </w:r>
      <w:r>
        <w:t>alkaline</w:t>
      </w:r>
      <w:r>
        <w:rPr>
          <w:spacing w:val="7"/>
        </w:rPr>
        <w:t xml:space="preserve"> </w:t>
      </w:r>
      <w:r>
        <w:t>compounds</w:t>
      </w:r>
      <w:r>
        <w:rPr>
          <w:spacing w:val="10"/>
        </w:rPr>
        <w:t xml:space="preserve"> </w:t>
      </w:r>
      <w:r>
        <w:t>(</w:t>
      </w:r>
      <w:proofErr w:type="spellStart"/>
      <w:r>
        <w:t>Ebeshi</w:t>
      </w:r>
      <w:proofErr w:type="spellEnd"/>
      <w:r>
        <w:rPr>
          <w:spacing w:val="6"/>
        </w:rPr>
        <w:t xml:space="preserve"> </w:t>
      </w:r>
      <w:r>
        <w:rPr>
          <w:i/>
        </w:rPr>
        <w:t>et</w:t>
      </w:r>
      <w:r>
        <w:rPr>
          <w:i/>
          <w:spacing w:val="6"/>
        </w:rPr>
        <w:t xml:space="preserve"> </w:t>
      </w:r>
      <w:r>
        <w:rPr>
          <w:i/>
        </w:rPr>
        <w:t>al.,</w:t>
      </w:r>
      <w:r>
        <w:rPr>
          <w:i/>
          <w:spacing w:val="6"/>
        </w:rPr>
        <w:t xml:space="preserve"> </w:t>
      </w:r>
      <w:r>
        <w:t>2022).</w:t>
      </w:r>
      <w:r>
        <w:rPr>
          <w:spacing w:val="5"/>
        </w:rPr>
        <w:t xml:space="preserve"> </w:t>
      </w:r>
      <w:r>
        <w:t>One</w:t>
      </w:r>
      <w:r>
        <w:rPr>
          <w:spacing w:val="4"/>
        </w:rPr>
        <w:t xml:space="preserve"> </w:t>
      </w:r>
      <w:r>
        <w:t>widely</w:t>
      </w:r>
      <w:r>
        <w:rPr>
          <w:spacing w:val="2"/>
        </w:rPr>
        <w:t xml:space="preserve"> </w:t>
      </w:r>
      <w:r>
        <w:rPr>
          <w:spacing w:val="-4"/>
        </w:rPr>
        <w:t>used</w:t>
      </w:r>
    </w:p>
    <w:p w14:paraId="6D739743"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067EE5C5" w14:textId="77777777" w:rsidR="00A02889" w:rsidRDefault="00000000">
      <w:pPr>
        <w:pStyle w:val="BodyText"/>
        <w:spacing w:before="72" w:line="480" w:lineRule="auto"/>
        <w:ind w:left="720" w:right="716"/>
        <w:jc w:val="both"/>
      </w:pPr>
      <w:r>
        <w:lastRenderedPageBreak/>
        <w:t xml:space="preserve">synthetic antacid is magnesium hydroxide (commonly known as Milk of Magnesia, </w:t>
      </w:r>
      <w:proofErr w:type="gramStart"/>
      <w:r>
        <w:t>Mg(</w:t>
      </w:r>
      <w:proofErr w:type="gramEnd"/>
      <w:r>
        <w:t>OH)₂), which reacts with hydrochloric acid (HCl) to form magnesium chloride and water, providing effective relief from acidity (Tripathi, 2018). Another important ingredient is aluminum hydroxide</w:t>
      </w:r>
      <w:r>
        <w:rPr>
          <w:spacing w:val="-2"/>
        </w:rPr>
        <w:t xml:space="preserve"> </w:t>
      </w:r>
      <w:r>
        <w:t>(</w:t>
      </w:r>
      <w:proofErr w:type="gramStart"/>
      <w:r>
        <w:t>Al(</w:t>
      </w:r>
      <w:proofErr w:type="gramEnd"/>
      <w:r>
        <w:t>OH)₃),</w:t>
      </w:r>
      <w:r>
        <w:rPr>
          <w:spacing w:val="-1"/>
        </w:rPr>
        <w:t xml:space="preserve"> </w:t>
      </w:r>
      <w:r>
        <w:t>which</w:t>
      </w:r>
      <w:r>
        <w:rPr>
          <w:spacing w:val="-2"/>
        </w:rPr>
        <w:t xml:space="preserve"> </w:t>
      </w:r>
      <w:r>
        <w:t>neutralizes</w:t>
      </w:r>
      <w:r>
        <w:rPr>
          <w:spacing w:val="-1"/>
        </w:rPr>
        <w:t xml:space="preserve"> </w:t>
      </w:r>
      <w:r>
        <w:t>stomach</w:t>
      </w:r>
      <w:r>
        <w:rPr>
          <w:spacing w:val="-1"/>
        </w:rPr>
        <w:t xml:space="preserve"> </w:t>
      </w:r>
      <w:r>
        <w:t>acid</w:t>
      </w:r>
      <w:r>
        <w:rPr>
          <w:spacing w:val="-1"/>
        </w:rPr>
        <w:t xml:space="preserve"> </w:t>
      </w:r>
      <w:r>
        <w:t>without</w:t>
      </w:r>
      <w:r>
        <w:rPr>
          <w:spacing w:val="-1"/>
        </w:rPr>
        <w:t xml:space="preserve"> </w:t>
      </w:r>
      <w:r>
        <w:t>producing</w:t>
      </w:r>
      <w:r>
        <w:rPr>
          <w:spacing w:val="-1"/>
        </w:rPr>
        <w:t xml:space="preserve"> </w:t>
      </w:r>
      <w:r>
        <w:t>gas,</w:t>
      </w:r>
      <w:r>
        <w:rPr>
          <w:spacing w:val="-1"/>
        </w:rPr>
        <w:t xml:space="preserve"> </w:t>
      </w:r>
      <w:r>
        <w:t>making</w:t>
      </w:r>
      <w:r>
        <w:rPr>
          <w:spacing w:val="-4"/>
        </w:rPr>
        <w:t xml:space="preserve"> </w:t>
      </w:r>
      <w:r>
        <w:t>it</w:t>
      </w:r>
      <w:r>
        <w:rPr>
          <w:spacing w:val="-1"/>
        </w:rPr>
        <w:t xml:space="preserve"> </w:t>
      </w:r>
      <w:r>
        <w:t>a</w:t>
      </w:r>
      <w:r>
        <w:rPr>
          <w:spacing w:val="-2"/>
        </w:rPr>
        <w:t xml:space="preserve"> </w:t>
      </w:r>
      <w:r>
        <w:t xml:space="preserve">popular choice in products such as </w:t>
      </w:r>
      <w:proofErr w:type="spellStart"/>
      <w:r>
        <w:t>Digene</w:t>
      </w:r>
      <w:proofErr w:type="spellEnd"/>
      <w:r>
        <w:t xml:space="preserve"> and </w:t>
      </w:r>
      <w:proofErr w:type="spellStart"/>
      <w:r>
        <w:t>Gelusil</w:t>
      </w:r>
      <w:proofErr w:type="spellEnd"/>
      <w:r>
        <w:t xml:space="preserve"> (Ali </w:t>
      </w:r>
      <w:r>
        <w:rPr>
          <w:i/>
        </w:rPr>
        <w:t>et al.,</w:t>
      </w:r>
      <w:r>
        <w:rPr>
          <w:i/>
          <w:spacing w:val="40"/>
        </w:rPr>
        <w:t xml:space="preserve"> </w:t>
      </w:r>
      <w:r>
        <w:t>2021). Lastly, calcium carbonate (</w:t>
      </w:r>
      <w:proofErr w:type="spellStart"/>
      <w:r>
        <w:t>CaCO</w:t>
      </w:r>
      <w:proofErr w:type="spellEnd"/>
      <w:r>
        <w:t xml:space="preserve">₃) is known for its high effectiveness in acid neutralization; however, it can lead to acid rebound, where symptoms may return even stronger after its effects wear off (Katzung </w:t>
      </w:r>
      <w:r>
        <w:rPr>
          <w:i/>
        </w:rPr>
        <w:t xml:space="preserve">et al., </w:t>
      </w:r>
      <w:r>
        <w:rPr>
          <w:spacing w:val="-2"/>
        </w:rPr>
        <w:t>2012).</w:t>
      </w:r>
    </w:p>
    <w:p w14:paraId="4D4176EE" w14:textId="77777777" w:rsidR="00A02889" w:rsidRDefault="00A02889">
      <w:pPr>
        <w:pStyle w:val="BodyText"/>
        <w:spacing w:before="8"/>
      </w:pPr>
    </w:p>
    <w:p w14:paraId="637C636C" w14:textId="77777777" w:rsidR="00A02889" w:rsidRDefault="00000000">
      <w:pPr>
        <w:pStyle w:val="Heading2"/>
        <w:numPr>
          <w:ilvl w:val="1"/>
          <w:numId w:val="10"/>
        </w:numPr>
        <w:tabs>
          <w:tab w:val="left" w:pos="1080"/>
        </w:tabs>
      </w:pPr>
      <w:bookmarkStart w:id="22" w:name="_bookmark22"/>
      <w:bookmarkEnd w:id="22"/>
      <w:r>
        <w:t>Examples</w:t>
      </w:r>
      <w:r>
        <w:rPr>
          <w:spacing w:val="-2"/>
        </w:rPr>
        <w:t xml:space="preserve"> </w:t>
      </w:r>
      <w:r>
        <w:t>of</w:t>
      </w:r>
      <w:r>
        <w:rPr>
          <w:spacing w:val="-1"/>
        </w:rPr>
        <w:t xml:space="preserve"> </w:t>
      </w:r>
      <w:r>
        <w:rPr>
          <w:spacing w:val="-2"/>
        </w:rPr>
        <w:t>antacids</w:t>
      </w:r>
    </w:p>
    <w:p w14:paraId="35FF13B5" w14:textId="77777777" w:rsidR="00A02889" w:rsidRDefault="00A02889">
      <w:pPr>
        <w:pStyle w:val="BodyText"/>
        <w:rPr>
          <w:b/>
        </w:rPr>
      </w:pPr>
    </w:p>
    <w:p w14:paraId="15A3C8B2" w14:textId="77777777" w:rsidR="00A02889" w:rsidRDefault="00A02889">
      <w:pPr>
        <w:pStyle w:val="BodyText"/>
        <w:spacing w:before="5"/>
        <w:rPr>
          <w:b/>
        </w:rPr>
      </w:pPr>
    </w:p>
    <w:p w14:paraId="47570225" w14:textId="77777777" w:rsidR="00A02889" w:rsidRDefault="00000000">
      <w:pPr>
        <w:ind w:left="720"/>
        <w:jc w:val="both"/>
        <w:rPr>
          <w:b/>
          <w:sz w:val="24"/>
        </w:rPr>
      </w:pPr>
      <w:bookmarkStart w:id="23" w:name="_bookmark23"/>
      <w:bookmarkEnd w:id="23"/>
      <w:r>
        <w:rPr>
          <w:b/>
          <w:sz w:val="24"/>
        </w:rPr>
        <w:t>Table</w:t>
      </w:r>
      <w:r>
        <w:rPr>
          <w:b/>
          <w:spacing w:val="-1"/>
          <w:sz w:val="24"/>
        </w:rPr>
        <w:t xml:space="preserve"> </w:t>
      </w:r>
      <w:r>
        <w:rPr>
          <w:b/>
          <w:sz w:val="24"/>
        </w:rPr>
        <w:t>I:</w:t>
      </w:r>
      <w:r>
        <w:rPr>
          <w:b/>
          <w:spacing w:val="-2"/>
          <w:sz w:val="24"/>
        </w:rPr>
        <w:t xml:space="preserve"> </w:t>
      </w:r>
      <w:r>
        <w:rPr>
          <w:b/>
          <w:sz w:val="24"/>
        </w:rPr>
        <w:t>Examples</w:t>
      </w:r>
      <w:r>
        <w:rPr>
          <w:b/>
          <w:spacing w:val="-1"/>
          <w:sz w:val="24"/>
        </w:rPr>
        <w:t xml:space="preserve"> </w:t>
      </w:r>
      <w:r>
        <w:rPr>
          <w:b/>
          <w:sz w:val="24"/>
        </w:rPr>
        <w:t xml:space="preserve">of </w:t>
      </w:r>
      <w:r>
        <w:rPr>
          <w:b/>
          <w:spacing w:val="-2"/>
          <w:sz w:val="24"/>
        </w:rPr>
        <w:t>antacids</w:t>
      </w:r>
    </w:p>
    <w:p w14:paraId="6FFA2918" w14:textId="77777777" w:rsidR="00A02889" w:rsidRDefault="00A02889">
      <w:pPr>
        <w:pStyle w:val="BodyText"/>
        <w:rPr>
          <w:b/>
          <w:sz w:val="20"/>
        </w:rPr>
      </w:pPr>
    </w:p>
    <w:p w14:paraId="6B076DE2" w14:textId="77777777" w:rsidR="00A02889" w:rsidRDefault="00A02889">
      <w:pPr>
        <w:pStyle w:val="BodyText"/>
        <w:spacing w:before="100"/>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4540"/>
        <w:gridCol w:w="5037"/>
      </w:tblGrid>
      <w:tr w:rsidR="00A02889" w14:paraId="4DB54F94" w14:textId="77777777">
        <w:trPr>
          <w:trHeight w:val="551"/>
        </w:trPr>
        <w:tc>
          <w:tcPr>
            <w:tcW w:w="4540" w:type="dxa"/>
            <w:tcBorders>
              <w:top w:val="single" w:sz="4" w:space="0" w:color="000000"/>
              <w:bottom w:val="single" w:sz="4" w:space="0" w:color="000000"/>
            </w:tcBorders>
          </w:tcPr>
          <w:p w14:paraId="170F7429" w14:textId="77777777" w:rsidR="00A02889" w:rsidRDefault="00000000">
            <w:pPr>
              <w:pStyle w:val="TableParagraph"/>
              <w:spacing w:before="0" w:line="273" w:lineRule="exact"/>
              <w:ind w:left="247"/>
              <w:jc w:val="center"/>
              <w:rPr>
                <w:b/>
                <w:sz w:val="24"/>
              </w:rPr>
            </w:pPr>
            <w:r>
              <w:rPr>
                <w:b/>
                <w:spacing w:val="-2"/>
                <w:sz w:val="24"/>
              </w:rPr>
              <w:t>Natural</w:t>
            </w:r>
          </w:p>
        </w:tc>
        <w:tc>
          <w:tcPr>
            <w:tcW w:w="5037" w:type="dxa"/>
            <w:tcBorders>
              <w:top w:val="single" w:sz="4" w:space="0" w:color="000000"/>
              <w:bottom w:val="single" w:sz="4" w:space="0" w:color="000000"/>
            </w:tcBorders>
          </w:tcPr>
          <w:p w14:paraId="46E80284" w14:textId="77777777" w:rsidR="00A02889" w:rsidRDefault="00000000">
            <w:pPr>
              <w:pStyle w:val="TableParagraph"/>
              <w:spacing w:before="0" w:line="273" w:lineRule="exact"/>
              <w:ind w:left="248" w:right="2"/>
              <w:jc w:val="center"/>
              <w:rPr>
                <w:b/>
                <w:sz w:val="24"/>
              </w:rPr>
            </w:pPr>
            <w:r>
              <w:rPr>
                <w:b/>
                <w:spacing w:val="-2"/>
                <w:sz w:val="24"/>
              </w:rPr>
              <w:t>Synthetic</w:t>
            </w:r>
          </w:p>
        </w:tc>
      </w:tr>
      <w:tr w:rsidR="00A02889" w14:paraId="1D288D84" w14:textId="77777777">
        <w:trPr>
          <w:trHeight w:val="411"/>
        </w:trPr>
        <w:tc>
          <w:tcPr>
            <w:tcW w:w="4540" w:type="dxa"/>
            <w:tcBorders>
              <w:top w:val="single" w:sz="4" w:space="0" w:color="000000"/>
            </w:tcBorders>
          </w:tcPr>
          <w:p w14:paraId="3FBAC180" w14:textId="77777777" w:rsidR="00A02889" w:rsidRDefault="00000000">
            <w:pPr>
              <w:pStyle w:val="TableParagraph"/>
              <w:spacing w:before="0" w:line="268" w:lineRule="exact"/>
              <w:ind w:right="1530"/>
              <w:jc w:val="right"/>
              <w:rPr>
                <w:sz w:val="24"/>
              </w:rPr>
            </w:pPr>
            <w:r>
              <w:rPr>
                <w:sz w:val="24"/>
              </w:rPr>
              <w:t>Baking</w:t>
            </w:r>
            <w:r>
              <w:rPr>
                <w:spacing w:val="-4"/>
                <w:sz w:val="24"/>
              </w:rPr>
              <w:t xml:space="preserve"> Soda</w:t>
            </w:r>
          </w:p>
        </w:tc>
        <w:tc>
          <w:tcPr>
            <w:tcW w:w="5037" w:type="dxa"/>
            <w:tcBorders>
              <w:top w:val="single" w:sz="4" w:space="0" w:color="000000"/>
            </w:tcBorders>
          </w:tcPr>
          <w:p w14:paraId="7A9E1214" w14:textId="77777777" w:rsidR="00A02889" w:rsidRDefault="00000000">
            <w:pPr>
              <w:pStyle w:val="TableParagraph"/>
              <w:spacing w:before="0" w:line="268" w:lineRule="exact"/>
              <w:ind w:left="248"/>
              <w:jc w:val="center"/>
              <w:rPr>
                <w:sz w:val="24"/>
              </w:rPr>
            </w:pPr>
            <w:r>
              <w:rPr>
                <w:sz w:val="24"/>
              </w:rPr>
              <w:t>Magnesium</w:t>
            </w:r>
            <w:r>
              <w:rPr>
                <w:spacing w:val="-2"/>
                <w:sz w:val="24"/>
              </w:rPr>
              <w:t xml:space="preserve"> Hydroxide</w:t>
            </w:r>
          </w:p>
        </w:tc>
      </w:tr>
      <w:tr w:rsidR="00A02889" w14:paraId="21A4FFC9" w14:textId="77777777">
        <w:trPr>
          <w:trHeight w:val="551"/>
        </w:trPr>
        <w:tc>
          <w:tcPr>
            <w:tcW w:w="4540" w:type="dxa"/>
          </w:tcPr>
          <w:p w14:paraId="37C9CB5C" w14:textId="77777777" w:rsidR="00A02889" w:rsidRDefault="00000000">
            <w:pPr>
              <w:pStyle w:val="TableParagraph"/>
              <w:spacing w:before="133"/>
              <w:ind w:right="1664"/>
              <w:jc w:val="right"/>
              <w:rPr>
                <w:sz w:val="24"/>
              </w:rPr>
            </w:pPr>
            <w:r>
              <w:rPr>
                <w:sz w:val="24"/>
              </w:rPr>
              <w:t>Aloe</w:t>
            </w:r>
            <w:r>
              <w:rPr>
                <w:spacing w:val="-8"/>
                <w:sz w:val="24"/>
              </w:rPr>
              <w:t xml:space="preserve"> </w:t>
            </w:r>
            <w:r>
              <w:rPr>
                <w:spacing w:val="-4"/>
                <w:sz w:val="24"/>
              </w:rPr>
              <w:t>Vera</w:t>
            </w:r>
          </w:p>
        </w:tc>
        <w:tc>
          <w:tcPr>
            <w:tcW w:w="5037" w:type="dxa"/>
          </w:tcPr>
          <w:p w14:paraId="538B4A0F" w14:textId="77777777" w:rsidR="00A02889" w:rsidRDefault="00000000">
            <w:pPr>
              <w:pStyle w:val="TableParagraph"/>
              <w:spacing w:before="133"/>
              <w:ind w:left="248" w:right="2"/>
              <w:jc w:val="center"/>
              <w:rPr>
                <w:sz w:val="24"/>
              </w:rPr>
            </w:pPr>
            <w:r>
              <w:rPr>
                <w:sz w:val="24"/>
              </w:rPr>
              <w:t xml:space="preserve">Aluminum </w:t>
            </w:r>
            <w:r>
              <w:rPr>
                <w:spacing w:val="-2"/>
                <w:sz w:val="24"/>
              </w:rPr>
              <w:t>Hydroxide</w:t>
            </w:r>
          </w:p>
        </w:tc>
      </w:tr>
      <w:tr w:rsidR="00A02889" w14:paraId="3E98C036" w14:textId="77777777">
        <w:trPr>
          <w:trHeight w:val="408"/>
        </w:trPr>
        <w:tc>
          <w:tcPr>
            <w:tcW w:w="4540" w:type="dxa"/>
          </w:tcPr>
          <w:p w14:paraId="51F58FCB" w14:textId="77777777" w:rsidR="00A02889" w:rsidRDefault="00000000">
            <w:pPr>
              <w:pStyle w:val="TableParagraph"/>
              <w:spacing w:before="133" w:line="256" w:lineRule="exact"/>
              <w:ind w:left="247" w:right="4"/>
              <w:jc w:val="center"/>
              <w:rPr>
                <w:sz w:val="24"/>
              </w:rPr>
            </w:pPr>
            <w:r>
              <w:rPr>
                <w:spacing w:val="-2"/>
                <w:sz w:val="24"/>
              </w:rPr>
              <w:t>Ginger</w:t>
            </w:r>
          </w:p>
        </w:tc>
        <w:tc>
          <w:tcPr>
            <w:tcW w:w="5037" w:type="dxa"/>
          </w:tcPr>
          <w:p w14:paraId="549A4D6A" w14:textId="77777777" w:rsidR="00A02889" w:rsidRDefault="00000000">
            <w:pPr>
              <w:pStyle w:val="TableParagraph"/>
              <w:spacing w:before="133" w:line="256" w:lineRule="exact"/>
              <w:ind w:left="248" w:right="2"/>
              <w:jc w:val="center"/>
              <w:rPr>
                <w:sz w:val="24"/>
              </w:rPr>
            </w:pPr>
            <w:r>
              <w:rPr>
                <w:sz w:val="24"/>
              </w:rPr>
              <w:t>Calcium</w:t>
            </w:r>
            <w:r>
              <w:rPr>
                <w:spacing w:val="-1"/>
                <w:sz w:val="24"/>
              </w:rPr>
              <w:t xml:space="preserve"> </w:t>
            </w:r>
            <w:r>
              <w:rPr>
                <w:spacing w:val="-2"/>
                <w:sz w:val="24"/>
              </w:rPr>
              <w:t>Carbonate</w:t>
            </w:r>
          </w:p>
        </w:tc>
      </w:tr>
    </w:tbl>
    <w:p w14:paraId="0512B641" w14:textId="77777777" w:rsidR="00A02889" w:rsidRDefault="00000000">
      <w:pPr>
        <w:pStyle w:val="BodyText"/>
        <w:spacing w:before="200"/>
        <w:rPr>
          <w:b/>
          <w:sz w:val="20"/>
        </w:rPr>
      </w:pPr>
      <w:r>
        <w:rPr>
          <w:b/>
          <w:noProof/>
          <w:sz w:val="20"/>
        </w:rPr>
        <mc:AlternateContent>
          <mc:Choice Requires="wps">
            <w:drawing>
              <wp:anchor distT="0" distB="0" distL="0" distR="0" simplePos="0" relativeHeight="487587840" behindDoc="1" locked="0" layoutInCell="1" allowOverlap="1" wp14:anchorId="74605899" wp14:editId="2F33D78D">
                <wp:simplePos x="0" y="0"/>
                <wp:positionH relativeFrom="page">
                  <wp:posOffset>836980</wp:posOffset>
                </wp:positionH>
                <wp:positionV relativeFrom="paragraph">
                  <wp:posOffset>288670</wp:posOffset>
                </wp:positionV>
                <wp:extent cx="6090920" cy="635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0920" cy="6350"/>
                        </a:xfrm>
                        <a:custGeom>
                          <a:avLst/>
                          <a:gdLst/>
                          <a:ahLst/>
                          <a:cxnLst/>
                          <a:rect l="l" t="t" r="r" b="b"/>
                          <a:pathLst>
                            <a:path w="6090920" h="6350">
                              <a:moveTo>
                                <a:pt x="6090869" y="0"/>
                              </a:moveTo>
                              <a:lnTo>
                                <a:pt x="3049778" y="0"/>
                              </a:lnTo>
                              <a:lnTo>
                                <a:pt x="3046806" y="0"/>
                              </a:lnTo>
                              <a:lnTo>
                                <a:pt x="3040710" y="0"/>
                              </a:lnTo>
                              <a:lnTo>
                                <a:pt x="0" y="0"/>
                              </a:lnTo>
                              <a:lnTo>
                                <a:pt x="0" y="6096"/>
                              </a:lnTo>
                              <a:lnTo>
                                <a:pt x="3040710" y="6096"/>
                              </a:lnTo>
                              <a:lnTo>
                                <a:pt x="3046806" y="6096"/>
                              </a:lnTo>
                              <a:lnTo>
                                <a:pt x="3049778" y="6096"/>
                              </a:lnTo>
                              <a:lnTo>
                                <a:pt x="6090869" y="6096"/>
                              </a:lnTo>
                              <a:lnTo>
                                <a:pt x="609086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A9A9715" id="Graphic 3" o:spid="_x0000_s1026" style="position:absolute;margin-left:65.9pt;margin-top:22.75pt;width:479.6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60909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" path="m6090869,l3049778,r-2972,l3040710,,,,,6096r3040710,l3046806,6096r2972,l6090869,6096r,-6096xe" fillcolor="black" stroked="f">
                <v:path arrowok="t"/>
                <w10:wrap type="topAndBottom" anchorx="page"/>
              </v:shape>
            </w:pict>
          </mc:Fallback>
        </mc:AlternateContent>
      </w:r>
    </w:p>
    <w:p w14:paraId="39E69EE6" w14:textId="77777777" w:rsidR="00A02889" w:rsidRDefault="00000000">
      <w:pPr>
        <w:pStyle w:val="BodyText"/>
        <w:ind w:left="720"/>
        <w:jc w:val="both"/>
      </w:pPr>
      <w:r>
        <w:t>(Imam</w:t>
      </w:r>
      <w:r>
        <w:rPr>
          <w:spacing w:val="-2"/>
        </w:rPr>
        <w:t xml:space="preserve"> </w:t>
      </w:r>
      <w:r>
        <w:t>and</w:t>
      </w:r>
      <w:r>
        <w:rPr>
          <w:spacing w:val="-2"/>
        </w:rPr>
        <w:t xml:space="preserve"> </w:t>
      </w:r>
      <w:r>
        <w:t>Rafi,</w:t>
      </w:r>
      <w:r>
        <w:rPr>
          <w:spacing w:val="-1"/>
        </w:rPr>
        <w:t xml:space="preserve"> </w:t>
      </w:r>
      <w:r>
        <w:rPr>
          <w:spacing w:val="-2"/>
        </w:rPr>
        <w:t>2025).</w:t>
      </w:r>
    </w:p>
    <w:p w14:paraId="5F6ABBBD" w14:textId="77777777" w:rsidR="00A02889" w:rsidRDefault="00A02889">
      <w:pPr>
        <w:pStyle w:val="BodyText"/>
      </w:pPr>
    </w:p>
    <w:p w14:paraId="1CB127DD" w14:textId="77777777" w:rsidR="00A02889" w:rsidRDefault="00A02889">
      <w:pPr>
        <w:pStyle w:val="BodyText"/>
        <w:spacing w:before="1"/>
      </w:pPr>
    </w:p>
    <w:p w14:paraId="535319D5" w14:textId="77777777" w:rsidR="00A02889" w:rsidRDefault="00000000">
      <w:pPr>
        <w:pStyle w:val="Heading2"/>
        <w:numPr>
          <w:ilvl w:val="1"/>
          <w:numId w:val="10"/>
        </w:numPr>
        <w:tabs>
          <w:tab w:val="left" w:pos="1080"/>
        </w:tabs>
      </w:pPr>
      <w:bookmarkStart w:id="24" w:name="_bookmark24"/>
      <w:bookmarkEnd w:id="24"/>
      <w:r>
        <w:t>Mechanism</w:t>
      </w:r>
      <w:r>
        <w:rPr>
          <w:spacing w:val="-4"/>
        </w:rPr>
        <w:t xml:space="preserve"> </w:t>
      </w:r>
      <w:r>
        <w:t>of Action</w:t>
      </w:r>
      <w:r>
        <w:rPr>
          <w:spacing w:val="-1"/>
        </w:rPr>
        <w:t xml:space="preserve"> </w:t>
      </w:r>
      <w:r>
        <w:t>of</w:t>
      </w:r>
      <w:r>
        <w:rPr>
          <w:spacing w:val="1"/>
        </w:rPr>
        <w:t xml:space="preserve"> </w:t>
      </w:r>
      <w:r>
        <w:rPr>
          <w:spacing w:val="-2"/>
        </w:rPr>
        <w:t>antacids</w:t>
      </w:r>
    </w:p>
    <w:p w14:paraId="3612E456" w14:textId="77777777" w:rsidR="00A02889" w:rsidRDefault="00A02889">
      <w:pPr>
        <w:pStyle w:val="BodyText"/>
        <w:rPr>
          <w:b/>
        </w:rPr>
      </w:pPr>
    </w:p>
    <w:p w14:paraId="0DCE768F" w14:textId="77777777" w:rsidR="00A02889" w:rsidRDefault="00A02889">
      <w:pPr>
        <w:pStyle w:val="BodyText"/>
        <w:spacing w:before="1"/>
        <w:rPr>
          <w:b/>
        </w:rPr>
      </w:pPr>
    </w:p>
    <w:p w14:paraId="44A71215" w14:textId="77777777" w:rsidR="00A02889" w:rsidRDefault="00000000">
      <w:pPr>
        <w:pStyle w:val="BodyText"/>
        <w:spacing w:line="480" w:lineRule="auto"/>
        <w:ind w:left="720" w:right="718"/>
        <w:jc w:val="both"/>
      </w:pPr>
      <w:r>
        <w:t>Antacids function by neutralizing the acid present in the stomach, thereby reducing the amount</w:t>
      </w:r>
      <w:r>
        <w:rPr>
          <w:spacing w:val="40"/>
        </w:rPr>
        <w:t xml:space="preserve"> </w:t>
      </w:r>
      <w:r>
        <w:t>of acid that reaches the duodenum (Ahmed and Momoh, 2021). According to Houglum (2024), the primary therapeutic objectives of antacid use include alleviating pain, relieving</w:t>
      </w:r>
      <w:r>
        <w:rPr>
          <w:spacing w:val="40"/>
        </w:rPr>
        <w:t xml:space="preserve"> </w:t>
      </w:r>
      <w:r>
        <w:t>pylorospasms, and preventing the digestion and corrosion of tissues by acidic chyme.</w:t>
      </w:r>
    </w:p>
    <w:p w14:paraId="586D8A11"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7D56913A" w14:textId="77777777" w:rsidR="00A02889" w:rsidRDefault="00000000">
      <w:pPr>
        <w:pStyle w:val="Heading2"/>
        <w:numPr>
          <w:ilvl w:val="2"/>
          <w:numId w:val="10"/>
        </w:numPr>
        <w:tabs>
          <w:tab w:val="left" w:pos="1260"/>
        </w:tabs>
        <w:spacing w:before="76"/>
      </w:pPr>
      <w:bookmarkStart w:id="25" w:name="_bookmark25"/>
      <w:bookmarkEnd w:id="25"/>
      <w:r>
        <w:lastRenderedPageBreak/>
        <w:t>Aluminum</w:t>
      </w:r>
      <w:r>
        <w:rPr>
          <w:spacing w:val="-7"/>
        </w:rPr>
        <w:t xml:space="preserve"> </w:t>
      </w:r>
      <w:r>
        <w:rPr>
          <w:spacing w:val="-2"/>
        </w:rPr>
        <w:t>Hydroxide</w:t>
      </w:r>
    </w:p>
    <w:p w14:paraId="7D0E6337" w14:textId="77777777" w:rsidR="00A02889" w:rsidRDefault="00A02889">
      <w:pPr>
        <w:pStyle w:val="BodyText"/>
        <w:rPr>
          <w:b/>
        </w:rPr>
      </w:pPr>
    </w:p>
    <w:p w14:paraId="2C012CA4" w14:textId="77777777" w:rsidR="00A02889" w:rsidRDefault="00A02889">
      <w:pPr>
        <w:pStyle w:val="BodyText"/>
        <w:spacing w:before="1"/>
        <w:rPr>
          <w:b/>
        </w:rPr>
      </w:pPr>
    </w:p>
    <w:p w14:paraId="441A6C90" w14:textId="77777777" w:rsidR="00A02889" w:rsidRDefault="00000000">
      <w:pPr>
        <w:pStyle w:val="BodyText"/>
        <w:spacing w:line="480" w:lineRule="auto"/>
        <w:ind w:left="720" w:right="714"/>
        <w:jc w:val="both"/>
      </w:pPr>
      <w:r>
        <w:t>The formulation of</w:t>
      </w:r>
      <w:r>
        <w:rPr>
          <w:spacing w:val="-3"/>
        </w:rPr>
        <w:t xml:space="preserve"> </w:t>
      </w:r>
      <w:r>
        <w:t xml:space="preserve">aluminum hydrochloride and water results in the neutralization of the acid in the stomach. It is also known to inhibit pepsin activity (Weberg </w:t>
      </w:r>
      <w:r>
        <w:rPr>
          <w:i/>
        </w:rPr>
        <w:t xml:space="preserve">et al., </w:t>
      </w:r>
      <w:r>
        <w:t>1990).</w:t>
      </w:r>
      <w:r>
        <w:rPr>
          <w:spacing w:val="-2"/>
        </w:rPr>
        <w:t xml:space="preserve"> </w:t>
      </w:r>
      <w:r>
        <w:t xml:space="preserve">Aluminum hydroxide is complexed with a sulfated polysaccharide sucrose </w:t>
      </w:r>
      <w:proofErr w:type="spellStart"/>
      <w:r>
        <w:t>octasulfate</w:t>
      </w:r>
      <w:proofErr w:type="spellEnd"/>
      <w:r>
        <w:t xml:space="preserve"> to form sucralfate. This complex does not have a significant buffering action against the acid or has no effect on the pepsin secretion, and does not alter the gastric acid production in any way (Tarnawski </w:t>
      </w:r>
      <w:r>
        <w:rPr>
          <w:i/>
        </w:rPr>
        <w:t xml:space="preserve">et al., </w:t>
      </w:r>
      <w:r>
        <w:t>1995).</w:t>
      </w:r>
      <w:r>
        <w:rPr>
          <w:spacing w:val="-3"/>
        </w:rPr>
        <w:t xml:space="preserve"> </w:t>
      </w:r>
      <w:r>
        <w:t>Nevertheless, it is known to heal chronic ulcers and prevent acute mucosal damage induced</w:t>
      </w:r>
      <w:r>
        <w:rPr>
          <w:spacing w:val="80"/>
        </w:rPr>
        <w:t xml:space="preserve"> </w:t>
      </w:r>
      <w:r>
        <w:t>chemically</w:t>
      </w:r>
      <w:r>
        <w:rPr>
          <w:spacing w:val="80"/>
        </w:rPr>
        <w:t xml:space="preserve"> </w:t>
      </w:r>
      <w:r>
        <w:t>by</w:t>
      </w:r>
      <w:r>
        <w:rPr>
          <w:spacing w:val="80"/>
        </w:rPr>
        <w:t xml:space="preserve"> </w:t>
      </w:r>
      <w:r>
        <w:t>reducing</w:t>
      </w:r>
      <w:r>
        <w:rPr>
          <w:spacing w:val="80"/>
        </w:rPr>
        <w:t xml:space="preserve"> </w:t>
      </w:r>
      <w:r>
        <w:t>access</w:t>
      </w:r>
      <w:r>
        <w:rPr>
          <w:spacing w:val="80"/>
        </w:rPr>
        <w:t xml:space="preserve"> </w:t>
      </w:r>
      <w:r>
        <w:t>to</w:t>
      </w:r>
      <w:r>
        <w:rPr>
          <w:spacing w:val="80"/>
        </w:rPr>
        <w:t xml:space="preserve"> </w:t>
      </w:r>
      <w:r>
        <w:t>pepsin</w:t>
      </w:r>
      <w:r>
        <w:rPr>
          <w:spacing w:val="80"/>
          <w:w w:val="150"/>
        </w:rPr>
        <w:t xml:space="preserve"> </w:t>
      </w:r>
      <w:r>
        <w:t>and</w:t>
      </w:r>
      <w:r>
        <w:rPr>
          <w:spacing w:val="80"/>
        </w:rPr>
        <w:t xml:space="preserve"> </w:t>
      </w:r>
      <w:r>
        <w:t>acid.</w:t>
      </w:r>
      <w:r>
        <w:rPr>
          <w:spacing w:val="80"/>
        </w:rPr>
        <w:t xml:space="preserve"> </w:t>
      </w:r>
      <w:r>
        <w:t>Sucralfate,</w:t>
      </w:r>
      <w:r>
        <w:rPr>
          <w:spacing w:val="80"/>
          <w:w w:val="150"/>
        </w:rPr>
        <w:t xml:space="preserve"> </w:t>
      </w:r>
      <w:r>
        <w:t>like</w:t>
      </w:r>
      <w:r>
        <w:rPr>
          <w:spacing w:val="80"/>
        </w:rPr>
        <w:t xml:space="preserve"> </w:t>
      </w:r>
      <w:r>
        <w:t>its</w:t>
      </w:r>
      <w:r>
        <w:rPr>
          <w:spacing w:val="40"/>
        </w:rPr>
        <w:t xml:space="preserve"> </w:t>
      </w:r>
      <w:r>
        <w:t>aluminum</w:t>
      </w:r>
      <w:r>
        <w:rPr>
          <w:spacing w:val="-1"/>
        </w:rPr>
        <w:t xml:space="preserve"> </w:t>
      </w:r>
      <w:r>
        <w:t xml:space="preserve">hydroxide component, is known to stimulate angiogenesis and granulation tissue formation (Tarnawski </w:t>
      </w:r>
      <w:r>
        <w:rPr>
          <w:i/>
        </w:rPr>
        <w:t xml:space="preserve">et al., </w:t>
      </w:r>
      <w:r>
        <w:t>1995).</w:t>
      </w:r>
      <w:r>
        <w:rPr>
          <w:spacing w:val="40"/>
        </w:rPr>
        <w:t xml:space="preserve"> </w:t>
      </w:r>
      <w:r>
        <w:t>Aluminum</w:t>
      </w:r>
      <w:r>
        <w:rPr>
          <w:spacing w:val="-3"/>
        </w:rPr>
        <w:t xml:space="preserve"> </w:t>
      </w:r>
      <w:r>
        <w:t>hydroxide is also useful in hyperphosphatemia due to its</w:t>
      </w:r>
      <w:r>
        <w:rPr>
          <w:spacing w:val="-1"/>
        </w:rPr>
        <w:t xml:space="preserve"> </w:t>
      </w:r>
      <w:r>
        <w:t>ability</w:t>
      </w:r>
      <w:r>
        <w:rPr>
          <w:spacing w:val="-2"/>
        </w:rPr>
        <w:t xml:space="preserve"> </w:t>
      </w:r>
      <w:r>
        <w:t>to bind phosphate in the gastrointestinal (GI) tract and subsequently prevent the absorption of phosphate (Schucker and Ward, 2005).</w:t>
      </w:r>
    </w:p>
    <w:p w14:paraId="44C3BA1C" w14:textId="77777777" w:rsidR="00A02889" w:rsidRDefault="00000000">
      <w:pPr>
        <w:pStyle w:val="BodyText"/>
        <w:spacing w:before="203"/>
        <w:ind w:left="720"/>
        <w:jc w:val="both"/>
      </w:pPr>
      <w:r>
        <w:t>Aluminum</w:t>
      </w:r>
      <w:r>
        <w:rPr>
          <w:spacing w:val="-1"/>
        </w:rPr>
        <w:t xml:space="preserve"> </w:t>
      </w:r>
      <w:r>
        <w:t>compounds:</w:t>
      </w:r>
      <w:r>
        <w:rPr>
          <w:spacing w:val="-14"/>
        </w:rPr>
        <w:t xml:space="preserve"> </w:t>
      </w:r>
      <w:r>
        <w:t>Al (OH)</w:t>
      </w:r>
      <w:r>
        <w:rPr>
          <w:spacing w:val="-1"/>
        </w:rPr>
        <w:t xml:space="preserve"> </w:t>
      </w:r>
      <w:r>
        <w:rPr>
          <w:vertAlign w:val="subscript"/>
        </w:rPr>
        <w:t>3</w:t>
      </w:r>
      <w:r>
        <w:rPr>
          <w:spacing w:val="1"/>
        </w:rPr>
        <w:t xml:space="preserve"> </w:t>
      </w:r>
      <w:r>
        <w:t>+</w:t>
      </w:r>
      <w:r>
        <w:rPr>
          <w:spacing w:val="-1"/>
        </w:rPr>
        <w:t xml:space="preserve"> </w:t>
      </w:r>
      <w:r>
        <w:t>HCl</w:t>
      </w:r>
      <w:r>
        <w:rPr>
          <w:spacing w:val="-1"/>
        </w:rPr>
        <w:t xml:space="preserve"> </w:t>
      </w:r>
      <w:r>
        <w:t>→</w:t>
      </w:r>
      <w:r>
        <w:rPr>
          <w:spacing w:val="-15"/>
        </w:rPr>
        <w:t xml:space="preserve"> </w:t>
      </w:r>
      <w:proofErr w:type="spellStart"/>
      <w:r>
        <w:t>AlCl</w:t>
      </w:r>
      <w:proofErr w:type="spellEnd"/>
      <w:r>
        <w:rPr>
          <w:spacing w:val="-18"/>
        </w:rPr>
        <w:t xml:space="preserve"> </w:t>
      </w:r>
      <w:r>
        <w:rPr>
          <w:vertAlign w:val="subscript"/>
        </w:rPr>
        <w:t>3</w:t>
      </w:r>
      <w:r>
        <w:rPr>
          <w:spacing w:val="1"/>
        </w:rPr>
        <w:t xml:space="preserve"> </w:t>
      </w:r>
      <w:r>
        <w:t>+</w:t>
      </w:r>
      <w:r>
        <w:rPr>
          <w:spacing w:val="-1"/>
        </w:rPr>
        <w:t xml:space="preserve"> </w:t>
      </w:r>
      <w:r>
        <w:t xml:space="preserve">H2 </w:t>
      </w:r>
      <w:r>
        <w:rPr>
          <w:spacing w:val="-10"/>
        </w:rPr>
        <w:t>O</w:t>
      </w:r>
    </w:p>
    <w:p w14:paraId="23C7B04C" w14:textId="77777777" w:rsidR="00A02889" w:rsidRDefault="00A02889">
      <w:pPr>
        <w:pStyle w:val="BodyText"/>
      </w:pPr>
    </w:p>
    <w:p w14:paraId="3EC30B35" w14:textId="77777777" w:rsidR="00A02889" w:rsidRDefault="00A02889">
      <w:pPr>
        <w:pStyle w:val="BodyText"/>
        <w:spacing w:before="5"/>
      </w:pPr>
    </w:p>
    <w:p w14:paraId="5B91C18D" w14:textId="77777777" w:rsidR="00A02889" w:rsidRDefault="00000000">
      <w:pPr>
        <w:pStyle w:val="Heading2"/>
        <w:numPr>
          <w:ilvl w:val="2"/>
          <w:numId w:val="10"/>
        </w:numPr>
        <w:tabs>
          <w:tab w:val="left" w:pos="1260"/>
        </w:tabs>
      </w:pPr>
      <w:bookmarkStart w:id="26" w:name="_bookmark26"/>
      <w:bookmarkEnd w:id="26"/>
      <w:r>
        <w:t>Calcium</w:t>
      </w:r>
      <w:r>
        <w:rPr>
          <w:spacing w:val="-4"/>
        </w:rPr>
        <w:t xml:space="preserve"> Salts</w:t>
      </w:r>
    </w:p>
    <w:p w14:paraId="01BB1B23" w14:textId="77777777" w:rsidR="00A02889" w:rsidRDefault="00A02889">
      <w:pPr>
        <w:pStyle w:val="BodyText"/>
        <w:spacing w:before="236"/>
        <w:rPr>
          <w:b/>
        </w:rPr>
      </w:pPr>
    </w:p>
    <w:p w14:paraId="020CCA30" w14:textId="77777777" w:rsidR="00A02889" w:rsidRDefault="00000000">
      <w:pPr>
        <w:pStyle w:val="BodyText"/>
        <w:spacing w:line="480" w:lineRule="auto"/>
        <w:ind w:left="720" w:right="715"/>
        <w:jc w:val="both"/>
      </w:pPr>
      <w:r>
        <w:t xml:space="preserve">Calcium salts neutralize gastric acidity, resulting in increased gastric and duodenal bulb pH (Stefani, 2023). The calcium released from calcium carbonate is known to increase peristalsis in the esophagus, pushing the acid into the stomach and providing relief from heartburn symptoms. The calcium salts also form combined insoluble compounds with dietary phosphate and prevent the absorption of the latter (Rodriguez </w:t>
      </w:r>
      <w:r>
        <w:rPr>
          <w:i/>
        </w:rPr>
        <w:t xml:space="preserve">et al., </w:t>
      </w:r>
      <w:r>
        <w:t xml:space="preserve">2004). The acid-neutralizing mechanism of the antacids is well understood, as mentioned above. In addition to this, </w:t>
      </w:r>
      <w:proofErr w:type="gramStart"/>
      <w:r>
        <w:t>Other</w:t>
      </w:r>
      <w:proofErr w:type="gramEnd"/>
      <w:r>
        <w:t xml:space="preserve"> mechanisms also contribute to the ulcer-healing properties of this class of drugs. Although the exact mechanism remains</w:t>
      </w:r>
      <w:r>
        <w:rPr>
          <w:spacing w:val="12"/>
        </w:rPr>
        <w:t xml:space="preserve"> </w:t>
      </w:r>
      <w:r>
        <w:t>unclear,</w:t>
      </w:r>
      <w:r>
        <w:rPr>
          <w:spacing w:val="7"/>
        </w:rPr>
        <w:t xml:space="preserve"> </w:t>
      </w:r>
      <w:r>
        <w:t>Tarnawski</w:t>
      </w:r>
      <w:r>
        <w:rPr>
          <w:spacing w:val="13"/>
        </w:rPr>
        <w:t xml:space="preserve"> </w:t>
      </w:r>
      <w:r>
        <w:t>et</w:t>
      </w:r>
      <w:r>
        <w:rPr>
          <w:spacing w:val="13"/>
        </w:rPr>
        <w:t xml:space="preserve"> </w:t>
      </w:r>
      <w:r>
        <w:t>al.</w:t>
      </w:r>
      <w:r>
        <w:rPr>
          <w:spacing w:val="13"/>
        </w:rPr>
        <w:t xml:space="preserve"> </w:t>
      </w:r>
      <w:r>
        <w:t>(1990)</w:t>
      </w:r>
      <w:r>
        <w:rPr>
          <w:spacing w:val="11"/>
        </w:rPr>
        <w:t xml:space="preserve"> </w:t>
      </w:r>
      <w:r>
        <w:t>suggest</w:t>
      </w:r>
      <w:r>
        <w:rPr>
          <w:spacing w:val="13"/>
        </w:rPr>
        <w:t xml:space="preserve"> </w:t>
      </w:r>
      <w:r>
        <w:t>that</w:t>
      </w:r>
      <w:r>
        <w:rPr>
          <w:spacing w:val="13"/>
        </w:rPr>
        <w:t xml:space="preserve"> </w:t>
      </w:r>
      <w:r>
        <w:t>their</w:t>
      </w:r>
      <w:r>
        <w:rPr>
          <w:spacing w:val="11"/>
        </w:rPr>
        <w:t xml:space="preserve"> </w:t>
      </w:r>
      <w:r>
        <w:t>therapeutic</w:t>
      </w:r>
      <w:r>
        <w:rPr>
          <w:spacing w:val="11"/>
        </w:rPr>
        <w:t xml:space="preserve"> </w:t>
      </w:r>
      <w:r>
        <w:t>effects</w:t>
      </w:r>
      <w:r>
        <w:rPr>
          <w:spacing w:val="13"/>
        </w:rPr>
        <w:t xml:space="preserve"> </w:t>
      </w:r>
      <w:r>
        <w:t>may</w:t>
      </w:r>
      <w:r>
        <w:rPr>
          <w:spacing w:val="7"/>
        </w:rPr>
        <w:t xml:space="preserve"> </w:t>
      </w:r>
      <w:r>
        <w:t>result</w:t>
      </w:r>
      <w:r>
        <w:rPr>
          <w:spacing w:val="13"/>
        </w:rPr>
        <w:t xml:space="preserve"> </w:t>
      </w:r>
      <w:r>
        <w:t>from</w:t>
      </w:r>
      <w:r>
        <w:rPr>
          <w:spacing w:val="14"/>
        </w:rPr>
        <w:t xml:space="preserve"> </w:t>
      </w:r>
      <w:r>
        <w:rPr>
          <w:spacing w:val="-10"/>
        </w:rPr>
        <w:t>a</w:t>
      </w:r>
    </w:p>
    <w:p w14:paraId="3FB536F5"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260A233A" w14:textId="77777777" w:rsidR="00A02889" w:rsidRDefault="00000000">
      <w:pPr>
        <w:pStyle w:val="BodyText"/>
        <w:spacing w:before="72" w:line="482" w:lineRule="auto"/>
        <w:ind w:left="720" w:right="718"/>
      </w:pPr>
      <w:r>
        <w:lastRenderedPageBreak/>
        <w:t xml:space="preserve">combination of factors, including the ability to promote angiogenesis, bind to bile acids, inhibit peptic activity, and suppress the growth of Helicobacter pylori (Tarnawski </w:t>
      </w:r>
      <w:r>
        <w:rPr>
          <w:i/>
        </w:rPr>
        <w:t xml:space="preserve">et al., </w:t>
      </w:r>
      <w:r>
        <w:t>1990).</w:t>
      </w:r>
    </w:p>
    <w:p w14:paraId="6DF62C2D" w14:textId="77777777" w:rsidR="00A02889" w:rsidRDefault="00000000">
      <w:pPr>
        <w:pStyle w:val="BodyText"/>
        <w:spacing w:before="196" w:line="655" w:lineRule="auto"/>
        <w:ind w:left="720" w:right="2383"/>
      </w:pPr>
      <w:r>
        <w:t>Calcium</w:t>
      </w:r>
      <w:r>
        <w:rPr>
          <w:spacing w:val="-3"/>
        </w:rPr>
        <w:t xml:space="preserve"> </w:t>
      </w:r>
      <w:r>
        <w:t>carbonate:</w:t>
      </w:r>
      <w:r>
        <w:rPr>
          <w:spacing w:val="-3"/>
        </w:rPr>
        <w:t xml:space="preserve"> </w:t>
      </w:r>
      <w:r>
        <w:t>HCl</w:t>
      </w:r>
      <w:r>
        <w:rPr>
          <w:spacing w:val="-2"/>
        </w:rPr>
        <w:t xml:space="preserve"> </w:t>
      </w:r>
      <w:r>
        <w:t>(</w:t>
      </w:r>
      <w:proofErr w:type="spellStart"/>
      <w:r>
        <w:t>aq</w:t>
      </w:r>
      <w:proofErr w:type="spellEnd"/>
      <w:r>
        <w:t>)</w:t>
      </w:r>
      <w:r>
        <w:rPr>
          <w:spacing w:val="-4"/>
        </w:rPr>
        <w:t xml:space="preserve"> </w:t>
      </w:r>
      <w:r>
        <w:t>+</w:t>
      </w:r>
      <w:r>
        <w:rPr>
          <w:spacing w:val="-4"/>
        </w:rPr>
        <w:t xml:space="preserve"> </w:t>
      </w:r>
      <w:r>
        <w:t>CaCO</w:t>
      </w:r>
      <w:r>
        <w:rPr>
          <w:vertAlign w:val="subscript"/>
        </w:rPr>
        <w:t>3</w:t>
      </w:r>
      <w:r>
        <w:rPr>
          <w:spacing w:val="-2"/>
        </w:rPr>
        <w:t xml:space="preserve"> </w:t>
      </w:r>
      <w:r>
        <w:t>(</w:t>
      </w:r>
      <w:proofErr w:type="spellStart"/>
      <w:r>
        <w:t>aq</w:t>
      </w:r>
      <w:proofErr w:type="spellEnd"/>
      <w:r>
        <w:t>)</w:t>
      </w:r>
      <w:r>
        <w:rPr>
          <w:spacing w:val="-3"/>
        </w:rPr>
        <w:t xml:space="preserve"> </w:t>
      </w:r>
      <w:r>
        <w:t>→</w:t>
      </w:r>
      <w:r>
        <w:rPr>
          <w:spacing w:val="-3"/>
        </w:rPr>
        <w:t xml:space="preserve"> </w:t>
      </w:r>
      <w:proofErr w:type="spellStart"/>
      <w:r>
        <w:t>CaCI</w:t>
      </w:r>
      <w:proofErr w:type="spellEnd"/>
      <w:r>
        <w:rPr>
          <w:spacing w:val="-7"/>
        </w:rPr>
        <w:t xml:space="preserve"> </w:t>
      </w:r>
      <w:r>
        <w:rPr>
          <w:vertAlign w:val="subscript"/>
        </w:rPr>
        <w:t>2</w:t>
      </w:r>
      <w:r>
        <w:rPr>
          <w:spacing w:val="-2"/>
        </w:rPr>
        <w:t xml:space="preserve"> </w:t>
      </w:r>
      <w:r>
        <w:t>(</w:t>
      </w:r>
      <w:proofErr w:type="spellStart"/>
      <w:r>
        <w:t>aq</w:t>
      </w:r>
      <w:proofErr w:type="spellEnd"/>
      <w:r>
        <w:t>)</w:t>
      </w:r>
      <w:r>
        <w:rPr>
          <w:spacing w:val="-2"/>
        </w:rPr>
        <w:t xml:space="preserve"> </w:t>
      </w:r>
      <w:r>
        <w:t>+</w:t>
      </w:r>
      <w:r>
        <w:rPr>
          <w:spacing w:val="-4"/>
        </w:rPr>
        <w:t xml:space="preserve"> </w:t>
      </w:r>
      <w:r>
        <w:t>H2</w:t>
      </w:r>
      <w:r>
        <w:rPr>
          <w:spacing w:val="-3"/>
        </w:rPr>
        <w:t xml:space="preserve"> </w:t>
      </w:r>
      <w:r>
        <w:t>O</w:t>
      </w:r>
      <w:r>
        <w:rPr>
          <w:spacing w:val="-2"/>
        </w:rPr>
        <w:t xml:space="preserve"> </w:t>
      </w:r>
      <w:r>
        <w:t>+</w:t>
      </w:r>
      <w:r>
        <w:rPr>
          <w:spacing w:val="-4"/>
        </w:rPr>
        <w:t xml:space="preserve"> </w:t>
      </w:r>
      <w:r>
        <w:t>CO</w:t>
      </w:r>
      <w:r>
        <w:rPr>
          <w:vertAlign w:val="subscript"/>
        </w:rPr>
        <w:t>2</w:t>
      </w:r>
      <w:r>
        <w:t>. Others are;</w:t>
      </w:r>
    </w:p>
    <w:p w14:paraId="1809BED3" w14:textId="77777777" w:rsidR="00A02889" w:rsidRDefault="00000000">
      <w:pPr>
        <w:pStyle w:val="BodyText"/>
        <w:spacing w:line="652" w:lineRule="auto"/>
        <w:ind w:left="720" w:right="718"/>
      </w:pPr>
      <w:r>
        <w:t>Magnesium</w:t>
      </w:r>
      <w:r>
        <w:rPr>
          <w:spacing w:val="-1"/>
        </w:rPr>
        <w:t xml:space="preserve"> </w:t>
      </w:r>
      <w:r>
        <w:t>compounds:</w:t>
      </w:r>
      <w:r>
        <w:rPr>
          <w:spacing w:val="-2"/>
        </w:rPr>
        <w:t xml:space="preserve"> </w:t>
      </w:r>
      <w:r>
        <w:t>MgO</w:t>
      </w:r>
      <w:r>
        <w:rPr>
          <w:spacing w:val="-1"/>
        </w:rPr>
        <w:t xml:space="preserve"> </w:t>
      </w:r>
      <w:r>
        <w:t>+</w:t>
      </w:r>
      <w:r>
        <w:rPr>
          <w:spacing w:val="-3"/>
        </w:rPr>
        <w:t xml:space="preserve"> </w:t>
      </w:r>
      <w:r>
        <w:t>H</w:t>
      </w:r>
      <w:r>
        <w:rPr>
          <w:vertAlign w:val="subscript"/>
        </w:rPr>
        <w:t>2</w:t>
      </w:r>
      <w:r>
        <w:t>O</w:t>
      </w:r>
      <w:r>
        <w:rPr>
          <w:spacing w:val="-3"/>
        </w:rPr>
        <w:t xml:space="preserve"> </w:t>
      </w:r>
      <w:r>
        <w:t>→</w:t>
      </w:r>
      <w:r>
        <w:rPr>
          <w:spacing w:val="-2"/>
        </w:rPr>
        <w:t xml:space="preserve"> </w:t>
      </w:r>
      <w:r>
        <w:t>Mg</w:t>
      </w:r>
      <w:r>
        <w:rPr>
          <w:spacing w:val="-3"/>
        </w:rPr>
        <w:t xml:space="preserve"> </w:t>
      </w:r>
      <w:r>
        <w:t>(OH)</w:t>
      </w:r>
      <w:r>
        <w:rPr>
          <w:spacing w:val="-1"/>
        </w:rPr>
        <w:t xml:space="preserve"> </w:t>
      </w:r>
      <w:r>
        <w:rPr>
          <w:vertAlign w:val="subscript"/>
        </w:rPr>
        <w:t>2</w:t>
      </w:r>
      <w:r>
        <w:t>;</w:t>
      </w:r>
      <w:r>
        <w:rPr>
          <w:spacing w:val="-2"/>
        </w:rPr>
        <w:t xml:space="preserve"> </w:t>
      </w:r>
      <w:r>
        <w:t>HCl</w:t>
      </w:r>
      <w:r>
        <w:rPr>
          <w:spacing w:val="-1"/>
        </w:rPr>
        <w:t xml:space="preserve"> </w:t>
      </w:r>
      <w:r>
        <w:t>(</w:t>
      </w:r>
      <w:proofErr w:type="spellStart"/>
      <w:r>
        <w:t>aq</w:t>
      </w:r>
      <w:proofErr w:type="spellEnd"/>
      <w:r>
        <w:t>)</w:t>
      </w:r>
      <w:r>
        <w:rPr>
          <w:spacing w:val="-3"/>
        </w:rPr>
        <w:t xml:space="preserve"> </w:t>
      </w:r>
      <w:r>
        <w:t>+</w:t>
      </w:r>
      <w:r>
        <w:rPr>
          <w:spacing w:val="-3"/>
        </w:rPr>
        <w:t xml:space="preserve"> </w:t>
      </w:r>
      <w:r>
        <w:t>Mg</w:t>
      </w:r>
      <w:r>
        <w:rPr>
          <w:spacing w:val="-5"/>
        </w:rPr>
        <w:t xml:space="preserve"> </w:t>
      </w:r>
      <w:r>
        <w:t>(OH)</w:t>
      </w:r>
      <w:r>
        <w:rPr>
          <w:spacing w:val="-2"/>
        </w:rPr>
        <w:t xml:space="preserve"> </w:t>
      </w:r>
      <w:r>
        <w:rPr>
          <w:vertAlign w:val="subscript"/>
        </w:rPr>
        <w:t>2</w:t>
      </w:r>
      <w:r>
        <w:t xml:space="preserve"> →</w:t>
      </w:r>
      <w:r>
        <w:rPr>
          <w:spacing w:val="-2"/>
        </w:rPr>
        <w:t xml:space="preserve"> </w:t>
      </w:r>
      <w:proofErr w:type="spellStart"/>
      <w:r>
        <w:t>MgCl</w:t>
      </w:r>
      <w:proofErr w:type="spellEnd"/>
      <w:r>
        <w:rPr>
          <w:spacing w:val="-1"/>
        </w:rPr>
        <w:t xml:space="preserve"> </w:t>
      </w:r>
      <w:r>
        <w:rPr>
          <w:vertAlign w:val="subscript"/>
        </w:rPr>
        <w:t>2</w:t>
      </w:r>
      <w:r>
        <w:rPr>
          <w:spacing w:val="-1"/>
        </w:rPr>
        <w:t xml:space="preserve"> </w:t>
      </w:r>
      <w:r>
        <w:t>+</w:t>
      </w:r>
      <w:r>
        <w:rPr>
          <w:spacing w:val="-3"/>
        </w:rPr>
        <w:t xml:space="preserve"> </w:t>
      </w:r>
      <w:r>
        <w:t>H</w:t>
      </w:r>
      <w:r>
        <w:rPr>
          <w:vertAlign w:val="subscript"/>
        </w:rPr>
        <w:t>2</w:t>
      </w:r>
      <w:r>
        <w:t>O Sodium bicarbonate: HCl (</w:t>
      </w:r>
      <w:proofErr w:type="spellStart"/>
      <w:r>
        <w:t>aq</w:t>
      </w:r>
      <w:proofErr w:type="spellEnd"/>
      <w:r>
        <w:t>) + NaHCO</w:t>
      </w:r>
      <w:r>
        <w:rPr>
          <w:vertAlign w:val="subscript"/>
        </w:rPr>
        <w:t>3</w:t>
      </w:r>
      <w:r>
        <w:t xml:space="preserve"> (</w:t>
      </w:r>
      <w:proofErr w:type="spellStart"/>
      <w:r>
        <w:t>aq</w:t>
      </w:r>
      <w:proofErr w:type="spellEnd"/>
      <w:r>
        <w:t>) → NaCl (</w:t>
      </w:r>
      <w:proofErr w:type="spellStart"/>
      <w:r>
        <w:t>aq</w:t>
      </w:r>
      <w:proofErr w:type="spellEnd"/>
      <w:r>
        <w:t>) + H</w:t>
      </w:r>
      <w:r>
        <w:rPr>
          <w:vertAlign w:val="subscript"/>
        </w:rPr>
        <w:t>2</w:t>
      </w:r>
      <w:r>
        <w:t>O + CO</w:t>
      </w:r>
      <w:r>
        <w:rPr>
          <w:vertAlign w:val="subscript"/>
        </w:rPr>
        <w:t>2</w:t>
      </w:r>
      <w:r>
        <w:t>.</w:t>
      </w:r>
    </w:p>
    <w:p w14:paraId="48EA5D86" w14:textId="77777777" w:rsidR="00A02889" w:rsidRDefault="00000000">
      <w:pPr>
        <w:pStyle w:val="Heading2"/>
        <w:numPr>
          <w:ilvl w:val="1"/>
          <w:numId w:val="10"/>
        </w:numPr>
        <w:tabs>
          <w:tab w:val="left" w:pos="1080"/>
        </w:tabs>
        <w:spacing w:before="84"/>
      </w:pPr>
      <w:bookmarkStart w:id="27" w:name="_bookmark27"/>
      <w:bookmarkEnd w:id="27"/>
      <w:r>
        <w:t>Antacids</w:t>
      </w:r>
      <w:r>
        <w:rPr>
          <w:spacing w:val="-1"/>
        </w:rPr>
        <w:t xml:space="preserve"> </w:t>
      </w:r>
      <w:r>
        <w:rPr>
          <w:spacing w:val="-2"/>
        </w:rPr>
        <w:t>Administration</w:t>
      </w:r>
    </w:p>
    <w:p w14:paraId="6212B259" w14:textId="77777777" w:rsidR="00A02889" w:rsidRDefault="00A02889">
      <w:pPr>
        <w:pStyle w:val="BodyText"/>
        <w:rPr>
          <w:b/>
        </w:rPr>
      </w:pPr>
    </w:p>
    <w:p w14:paraId="0250E3EA" w14:textId="77777777" w:rsidR="00A02889" w:rsidRDefault="00A02889">
      <w:pPr>
        <w:pStyle w:val="BodyText"/>
        <w:rPr>
          <w:b/>
        </w:rPr>
      </w:pPr>
    </w:p>
    <w:p w14:paraId="74444AD7" w14:textId="77777777" w:rsidR="00A02889" w:rsidRDefault="00000000">
      <w:pPr>
        <w:pStyle w:val="BodyText"/>
        <w:spacing w:line="480" w:lineRule="auto"/>
        <w:ind w:left="720" w:right="715"/>
        <w:jc w:val="both"/>
      </w:pPr>
      <w:r>
        <w:t>The dose for antacids depends upon the patient's age, the purpose of administration (neutralization of acid or off label use), and the presence of other comorbidities like renal or hepatic impairment (Mondal, 2017).</w:t>
      </w:r>
      <w:r>
        <w:rPr>
          <w:spacing w:val="-3"/>
        </w:rPr>
        <w:t xml:space="preserve"> </w:t>
      </w:r>
      <w:r>
        <w:t>As all the forms of these medications are available in over- the-counter formulations, the dosing recommendation varies by product/and or manufacturer (Mahadevan and Kane, 2006).</w:t>
      </w:r>
      <w:r>
        <w:rPr>
          <w:spacing w:val="-1"/>
        </w:rPr>
        <w:t xml:space="preserve"> </w:t>
      </w:r>
      <w:r>
        <w:t>Antacids are used in the form of tablets and suspensions, they react with hydrogen ions only in a solute form, suspensions consist of smaller particles, they</w:t>
      </w:r>
      <w:r>
        <w:rPr>
          <w:spacing w:val="40"/>
        </w:rPr>
        <w:t xml:space="preserve"> </w:t>
      </w:r>
      <w:r>
        <w:t>have a larger surface area and are dissolved faster in an acidic environment when compared to tablets, and they are more effective in the form of suspension (Mondal, 2017).</w:t>
      </w:r>
    </w:p>
    <w:p w14:paraId="7AF81B35" w14:textId="77777777" w:rsidR="00A02889" w:rsidRDefault="00000000">
      <w:pPr>
        <w:pStyle w:val="BodyText"/>
        <w:spacing w:before="200" w:line="480" w:lineRule="auto"/>
        <w:ind w:left="720" w:right="716"/>
        <w:jc w:val="both"/>
      </w:pPr>
      <w:r>
        <w:t>The average therapeutic dose of an antacid is 10–15 ml of liquid or one to two tablets three to four times a day.</w:t>
      </w:r>
      <w:r>
        <w:rPr>
          <w:spacing w:val="-3"/>
        </w:rPr>
        <w:t xml:space="preserve"> </w:t>
      </w:r>
      <w:r>
        <w:t>When antacids are</w:t>
      </w:r>
      <w:r>
        <w:rPr>
          <w:spacing w:val="-1"/>
        </w:rPr>
        <w:t xml:space="preserve"> </w:t>
      </w:r>
      <w:r>
        <w:t>taken on an empty</w:t>
      </w:r>
      <w:r>
        <w:rPr>
          <w:spacing w:val="-6"/>
        </w:rPr>
        <w:t xml:space="preserve"> </w:t>
      </w:r>
      <w:r>
        <w:t>stomach they</w:t>
      </w:r>
      <w:r>
        <w:rPr>
          <w:spacing w:val="-4"/>
        </w:rPr>
        <w:t xml:space="preserve"> </w:t>
      </w:r>
      <w:r>
        <w:t>are rapidly</w:t>
      </w:r>
      <w:r>
        <w:rPr>
          <w:spacing w:val="-4"/>
        </w:rPr>
        <w:t xml:space="preserve"> </w:t>
      </w:r>
      <w:r>
        <w:t>emptied into the duodenum, in addition their effect is negated because food acts as a buffer for antacids (Mondal, 2017).</w:t>
      </w:r>
      <w:r>
        <w:rPr>
          <w:spacing w:val="-13"/>
        </w:rPr>
        <w:t xml:space="preserve"> </w:t>
      </w:r>
      <w:r>
        <w:t>Antacids should be prescribed 1–1.5 hours after meals, careful dosing must occur in those with hepatic and renal impairment (Mondal, 2017).</w:t>
      </w:r>
    </w:p>
    <w:p w14:paraId="1B38AFD3"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8BDF6F5" w14:textId="77777777" w:rsidR="00A02889" w:rsidRDefault="00A02889">
      <w:pPr>
        <w:pStyle w:val="BodyText"/>
        <w:spacing w:before="171"/>
      </w:pPr>
    </w:p>
    <w:p w14:paraId="5AB815E1" w14:textId="77777777" w:rsidR="00A02889" w:rsidRDefault="00000000">
      <w:pPr>
        <w:pStyle w:val="Heading2"/>
        <w:numPr>
          <w:ilvl w:val="1"/>
          <w:numId w:val="10"/>
        </w:numPr>
        <w:tabs>
          <w:tab w:val="left" w:pos="1080"/>
        </w:tabs>
      </w:pPr>
      <w:bookmarkStart w:id="28" w:name="_bookmark28"/>
      <w:bookmarkEnd w:id="28"/>
      <w:r>
        <w:t>Antacids</w:t>
      </w:r>
      <w:r>
        <w:rPr>
          <w:spacing w:val="-2"/>
        </w:rPr>
        <w:t xml:space="preserve"> </w:t>
      </w:r>
      <w:r>
        <w:t>Metabolism</w:t>
      </w:r>
      <w:r>
        <w:rPr>
          <w:spacing w:val="-3"/>
        </w:rPr>
        <w:t xml:space="preserve"> </w:t>
      </w:r>
      <w:r>
        <w:t>and</w:t>
      </w:r>
      <w:r>
        <w:rPr>
          <w:spacing w:val="-1"/>
        </w:rPr>
        <w:t xml:space="preserve"> </w:t>
      </w:r>
      <w:r>
        <w:rPr>
          <w:spacing w:val="-2"/>
        </w:rPr>
        <w:t>Excretion</w:t>
      </w:r>
    </w:p>
    <w:p w14:paraId="632C42C3" w14:textId="77777777" w:rsidR="00A02889" w:rsidRDefault="00A02889">
      <w:pPr>
        <w:pStyle w:val="BodyText"/>
        <w:rPr>
          <w:b/>
        </w:rPr>
      </w:pPr>
    </w:p>
    <w:p w14:paraId="340A0D81" w14:textId="77777777" w:rsidR="00A02889" w:rsidRDefault="00A02889">
      <w:pPr>
        <w:pStyle w:val="BodyText"/>
        <w:rPr>
          <w:b/>
        </w:rPr>
      </w:pPr>
    </w:p>
    <w:p w14:paraId="00B4DF77" w14:textId="77777777" w:rsidR="00A02889" w:rsidRDefault="00000000">
      <w:pPr>
        <w:pStyle w:val="BodyText"/>
        <w:spacing w:line="480" w:lineRule="auto"/>
        <w:ind w:left="720" w:right="716" w:firstLine="60"/>
        <w:jc w:val="both"/>
      </w:pPr>
      <w:r>
        <w:t xml:space="preserve">Antacids are inorganic compounds that primarily act locally in the stomach to neutralize excess gastric acid rather than undergoing significant systemic metabolism (Goodman and Gilman, 2018). Their therapeutic effect results from direct chemical reactions with hydrochloric acid, producing water and salts that are either excreted in the feces or absorbed in small quantities and eliminated renally (Rang </w:t>
      </w:r>
      <w:r>
        <w:rPr>
          <w:i/>
        </w:rPr>
        <w:t xml:space="preserve">et al., </w:t>
      </w:r>
      <w:r>
        <w:t xml:space="preserve">2021). Aluminum hydroxide reacts with hydrochloric acid to form aluminum chloride, often causing constipation (Goodman and Gilman, 2018). Magnesium hydroxide forms magnesium chloride, which can produce a mild laxative effect (Rang </w:t>
      </w:r>
      <w:r>
        <w:rPr>
          <w:i/>
        </w:rPr>
        <w:t xml:space="preserve">et al., </w:t>
      </w:r>
      <w:r>
        <w:t xml:space="preserve">2021). Calcium carbonate reacts to form calcium chloride and carbon dioxide, with partial calcium absorption that may lead to rebound acidity when used excessively (Goodman and Gilman, 2018). Sodium bicarbonate, a fast-acting antacid, neutralizes acid to form sodium chloride, water, and carbon dioxide, though overuse can lead to systemic alkalosis or sodium retention (Rang </w:t>
      </w:r>
      <w:r>
        <w:rPr>
          <w:i/>
        </w:rPr>
        <w:t xml:space="preserve">et al., </w:t>
      </w:r>
      <w:r>
        <w:t xml:space="preserve">2021). The excretion of antacids depends on their ionic composition; unabsorbed portions are eliminated through feces, while absorbed ions such as magnesium, calcium, sodium, or aluminum are primarily excreted via the kidneys (Goodman and Gilman, </w:t>
      </w:r>
      <w:r>
        <w:rPr>
          <w:spacing w:val="-2"/>
        </w:rPr>
        <w:t>2018).</w:t>
      </w:r>
    </w:p>
    <w:p w14:paraId="35ED844A" w14:textId="77777777" w:rsidR="00A02889" w:rsidRDefault="00A02889">
      <w:pPr>
        <w:pStyle w:val="BodyText"/>
        <w:spacing w:before="10"/>
      </w:pPr>
    </w:p>
    <w:p w14:paraId="73F8DD3A" w14:textId="77777777" w:rsidR="00A02889" w:rsidRDefault="00000000">
      <w:pPr>
        <w:pStyle w:val="Heading2"/>
        <w:numPr>
          <w:ilvl w:val="1"/>
          <w:numId w:val="10"/>
        </w:numPr>
        <w:tabs>
          <w:tab w:val="left" w:pos="1080"/>
        </w:tabs>
      </w:pPr>
      <w:bookmarkStart w:id="29" w:name="_bookmark29"/>
      <w:bookmarkEnd w:id="29"/>
      <w:r>
        <w:t>Adverse</w:t>
      </w:r>
      <w:r>
        <w:rPr>
          <w:spacing w:val="-2"/>
        </w:rPr>
        <w:t xml:space="preserve"> </w:t>
      </w:r>
      <w:r>
        <w:t>Effects</w:t>
      </w:r>
      <w:r>
        <w:rPr>
          <w:spacing w:val="-1"/>
        </w:rPr>
        <w:t xml:space="preserve"> </w:t>
      </w:r>
      <w:r>
        <w:t xml:space="preserve">of </w:t>
      </w:r>
      <w:r>
        <w:rPr>
          <w:spacing w:val="-2"/>
        </w:rPr>
        <w:t>Antacids</w:t>
      </w:r>
    </w:p>
    <w:p w14:paraId="2D4BF747" w14:textId="77777777" w:rsidR="00A02889" w:rsidRDefault="00A02889">
      <w:pPr>
        <w:pStyle w:val="BodyText"/>
        <w:rPr>
          <w:b/>
        </w:rPr>
      </w:pPr>
    </w:p>
    <w:p w14:paraId="565A2659" w14:textId="77777777" w:rsidR="00A02889" w:rsidRDefault="00A02889">
      <w:pPr>
        <w:pStyle w:val="BodyText"/>
        <w:rPr>
          <w:b/>
        </w:rPr>
      </w:pPr>
    </w:p>
    <w:p w14:paraId="5B7E1014" w14:textId="77777777" w:rsidR="00A02889" w:rsidRDefault="00000000">
      <w:pPr>
        <w:pStyle w:val="BodyText"/>
        <w:spacing w:line="480" w:lineRule="auto"/>
        <w:ind w:left="720" w:right="715"/>
        <w:jc w:val="both"/>
      </w:pPr>
      <w:r>
        <w:t xml:space="preserve">Adverse effects of antacids are particularly prominent in infants and the elderly (Levy </w:t>
      </w:r>
      <w:r>
        <w:rPr>
          <w:i/>
        </w:rPr>
        <w:t xml:space="preserve">et al., </w:t>
      </w:r>
      <w:r>
        <w:t>2022). The use of aluminum-containing antacids is associated with an increased risk of toxicity</w:t>
      </w:r>
      <w:r>
        <w:rPr>
          <w:spacing w:val="40"/>
        </w:rPr>
        <w:t xml:space="preserve"> </w:t>
      </w:r>
      <w:r>
        <w:t>in</w:t>
      </w:r>
      <w:r>
        <w:rPr>
          <w:spacing w:val="34"/>
        </w:rPr>
        <w:t xml:space="preserve"> </w:t>
      </w:r>
      <w:r>
        <w:t>individuals</w:t>
      </w:r>
      <w:r>
        <w:rPr>
          <w:spacing w:val="33"/>
        </w:rPr>
        <w:t xml:space="preserve"> </w:t>
      </w:r>
      <w:r>
        <w:t>with</w:t>
      </w:r>
      <w:r>
        <w:rPr>
          <w:spacing w:val="35"/>
        </w:rPr>
        <w:t xml:space="preserve"> </w:t>
      </w:r>
      <w:r>
        <w:t>renal</w:t>
      </w:r>
      <w:r>
        <w:rPr>
          <w:spacing w:val="34"/>
        </w:rPr>
        <w:t xml:space="preserve"> </w:t>
      </w:r>
      <w:r>
        <w:t>failure</w:t>
      </w:r>
      <w:r>
        <w:rPr>
          <w:spacing w:val="35"/>
        </w:rPr>
        <w:t xml:space="preserve"> </w:t>
      </w:r>
      <w:r>
        <w:t>and</w:t>
      </w:r>
      <w:r>
        <w:rPr>
          <w:spacing w:val="33"/>
        </w:rPr>
        <w:t xml:space="preserve"> </w:t>
      </w:r>
      <w:r>
        <w:t>in</w:t>
      </w:r>
      <w:r>
        <w:rPr>
          <w:spacing w:val="35"/>
        </w:rPr>
        <w:t xml:space="preserve"> </w:t>
      </w:r>
      <w:r>
        <w:t>infants</w:t>
      </w:r>
      <w:r>
        <w:rPr>
          <w:spacing w:val="34"/>
        </w:rPr>
        <w:t xml:space="preserve"> </w:t>
      </w:r>
      <w:r>
        <w:t>(Levy</w:t>
      </w:r>
      <w:r>
        <w:rPr>
          <w:spacing w:val="35"/>
        </w:rPr>
        <w:t xml:space="preserve"> </w:t>
      </w:r>
      <w:r>
        <w:rPr>
          <w:i/>
        </w:rPr>
        <w:t>et</w:t>
      </w:r>
      <w:r>
        <w:rPr>
          <w:i/>
          <w:spacing w:val="35"/>
        </w:rPr>
        <w:t xml:space="preserve"> </w:t>
      </w:r>
      <w:r>
        <w:rPr>
          <w:i/>
        </w:rPr>
        <w:t>al.,</w:t>
      </w:r>
      <w:r>
        <w:rPr>
          <w:i/>
          <w:spacing w:val="34"/>
        </w:rPr>
        <w:t xml:space="preserve"> </w:t>
      </w:r>
      <w:r>
        <w:t>2022).</w:t>
      </w:r>
      <w:r>
        <w:rPr>
          <w:spacing w:val="31"/>
        </w:rPr>
        <w:t xml:space="preserve"> </w:t>
      </w:r>
      <w:r>
        <w:t>These</w:t>
      </w:r>
      <w:r>
        <w:rPr>
          <w:spacing w:val="33"/>
        </w:rPr>
        <w:t xml:space="preserve"> </w:t>
      </w:r>
      <w:r>
        <w:t>adverse</w:t>
      </w:r>
      <w:r>
        <w:rPr>
          <w:spacing w:val="32"/>
        </w:rPr>
        <w:t xml:space="preserve"> </w:t>
      </w:r>
      <w:r>
        <w:t>effects</w:t>
      </w:r>
      <w:r>
        <w:rPr>
          <w:spacing w:val="35"/>
        </w:rPr>
        <w:t xml:space="preserve"> </w:t>
      </w:r>
      <w:r>
        <w:rPr>
          <w:spacing w:val="-5"/>
        </w:rPr>
        <w:t>can</w:t>
      </w:r>
    </w:p>
    <w:p w14:paraId="0E3BB0C0" w14:textId="77777777" w:rsidR="00A02889" w:rsidRDefault="00A02889">
      <w:pPr>
        <w:pStyle w:val="BodyText"/>
        <w:spacing w:line="480" w:lineRule="auto"/>
        <w:jc w:val="both"/>
        <w:sectPr w:rsidR="00A02889">
          <w:pgSz w:w="12240" w:h="15840"/>
          <w:pgMar w:top="1820" w:right="720" w:bottom="1260" w:left="720" w:header="0" w:footer="1068" w:gutter="0"/>
          <w:cols w:space="720"/>
        </w:sectPr>
      </w:pPr>
    </w:p>
    <w:p w14:paraId="22F8754B" w14:textId="77777777" w:rsidR="00A02889" w:rsidRDefault="00000000">
      <w:pPr>
        <w:pStyle w:val="BodyText"/>
        <w:spacing w:before="72" w:line="480" w:lineRule="auto"/>
        <w:ind w:left="720" w:right="717"/>
        <w:jc w:val="both"/>
      </w:pPr>
      <w:r>
        <w:lastRenderedPageBreak/>
        <w:t xml:space="preserve">manifest in various ways, including osteopenia, microcytic anemia, neurotoxicity, </w:t>
      </w:r>
      <w:proofErr w:type="spellStart"/>
      <w:r>
        <w:t>osteomalacia</w:t>
      </w:r>
      <w:proofErr w:type="spellEnd"/>
      <w:r>
        <w:t>, constipation, and fecal impaction (Garber and Smith, 2022). Gastrointestinal symptoms such as nausea, vomiting, abdominal cramps, abdominal pain, and anorexia may also occur, along with systemic effects like headache and hypercalcemia (Garber and Smith, 2022). Additionally, certain antacids may have specific contraindications that should be considered before use (Houglum, 2024). The absolute contraindication is hypersensitivity to any component of the formulation.</w:t>
      </w:r>
      <w:r>
        <w:rPr>
          <w:spacing w:val="-2"/>
        </w:rPr>
        <w:t xml:space="preserve"> </w:t>
      </w:r>
      <w:r>
        <w:t xml:space="preserve">Also, antacid agents require caution in patients with renal failure, heart failure, edema, cirrhosis, low-sodium diets, uremia and GI hemorrhages (Khandeparkar and </w:t>
      </w:r>
      <w:proofErr w:type="spellStart"/>
      <w:r>
        <w:t>Rataboli</w:t>
      </w:r>
      <w:proofErr w:type="spellEnd"/>
      <w:r>
        <w:t xml:space="preserve">, </w:t>
      </w:r>
      <w:r>
        <w:rPr>
          <w:spacing w:val="-2"/>
        </w:rPr>
        <w:t>2017).</w:t>
      </w:r>
    </w:p>
    <w:p w14:paraId="30B872EC" w14:textId="77777777" w:rsidR="00A02889" w:rsidRDefault="00A02889">
      <w:pPr>
        <w:pStyle w:val="BodyText"/>
        <w:spacing w:before="8"/>
      </w:pPr>
    </w:p>
    <w:p w14:paraId="2F1D95D0" w14:textId="77777777" w:rsidR="00A02889" w:rsidRDefault="00000000">
      <w:pPr>
        <w:pStyle w:val="Heading2"/>
        <w:numPr>
          <w:ilvl w:val="1"/>
          <w:numId w:val="10"/>
        </w:numPr>
        <w:tabs>
          <w:tab w:val="left" w:pos="1080"/>
        </w:tabs>
      </w:pPr>
      <w:bookmarkStart w:id="30" w:name="_bookmark30"/>
      <w:bookmarkEnd w:id="30"/>
      <w:r>
        <w:t>Aluminum</w:t>
      </w:r>
      <w:r>
        <w:rPr>
          <w:spacing w:val="-7"/>
        </w:rPr>
        <w:t xml:space="preserve"> </w:t>
      </w:r>
      <w:r>
        <w:rPr>
          <w:spacing w:val="-2"/>
        </w:rPr>
        <w:t>Hydroxide</w:t>
      </w:r>
    </w:p>
    <w:p w14:paraId="1D090A61" w14:textId="77777777" w:rsidR="00A02889" w:rsidRDefault="00A02889">
      <w:pPr>
        <w:pStyle w:val="BodyText"/>
        <w:rPr>
          <w:b/>
        </w:rPr>
      </w:pPr>
    </w:p>
    <w:p w14:paraId="7EDFFF74" w14:textId="77777777" w:rsidR="00A02889" w:rsidRDefault="00A02889">
      <w:pPr>
        <w:pStyle w:val="BodyText"/>
        <w:rPr>
          <w:b/>
        </w:rPr>
      </w:pPr>
    </w:p>
    <w:p w14:paraId="72580BA2" w14:textId="77777777" w:rsidR="00A02889" w:rsidRDefault="00000000">
      <w:pPr>
        <w:pStyle w:val="BodyText"/>
        <w:spacing w:line="480" w:lineRule="auto"/>
        <w:ind w:left="720" w:right="716"/>
        <w:jc w:val="both"/>
      </w:pPr>
      <w:r>
        <w:t xml:space="preserve">Aluminum hydroxide is a medication commonly used to manage and treat acid indigestion and belongs to the class of antacid drugs (Houglum, 2024). This compound is indicated for the relief of symptoms related to heartburn, gastroesophageal reflux, and acid indigestion, as well as for certain topical applications (Houglum, 2024). It is typically administered orally to provide temporary relief from gastrointestinal acidity (Houglum, 2024). Additionally, aluminum hydroxide can be applied topically to protect and soothe chafed or abraded skin, minor wounds, burns, and skin irritations caused by friction or rubbing (Murthy </w:t>
      </w:r>
      <w:r>
        <w:rPr>
          <w:i/>
        </w:rPr>
        <w:t xml:space="preserve">et al., </w:t>
      </w:r>
      <w:r>
        <w:t xml:space="preserve">2024). Additionally, it is approved for use as an adjuvant in numerous vaccines due to its ability to increase phagocytosis and spur immune responses. wide array of cosmetic products at varying concentrations (He </w:t>
      </w:r>
      <w:r>
        <w:rPr>
          <w:i/>
        </w:rPr>
        <w:t>et</w:t>
      </w:r>
      <w:r>
        <w:rPr>
          <w:i/>
          <w:spacing w:val="80"/>
        </w:rPr>
        <w:t xml:space="preserve"> </w:t>
      </w:r>
      <w:r>
        <w:rPr>
          <w:i/>
        </w:rPr>
        <w:t xml:space="preserve">al., </w:t>
      </w:r>
      <w:r>
        <w:t xml:space="preserve">2015). Aluminum hydroxide can also serve as a phosphate binder in patients with chronic renal disease (Becker </w:t>
      </w:r>
      <w:r>
        <w:rPr>
          <w:i/>
        </w:rPr>
        <w:t xml:space="preserve">et al., </w:t>
      </w:r>
      <w:r>
        <w:t>2016). However, its use in this manner is infrequent due to the risk</w:t>
      </w:r>
      <w:r>
        <w:rPr>
          <w:spacing w:val="40"/>
        </w:rPr>
        <w:t xml:space="preserve"> </w:t>
      </w:r>
      <w:r>
        <w:t xml:space="preserve">of adverse effects (Willhite </w:t>
      </w:r>
      <w:r>
        <w:rPr>
          <w:i/>
        </w:rPr>
        <w:t xml:space="preserve">et al., </w:t>
      </w:r>
      <w:r>
        <w:t>2014).</w:t>
      </w:r>
    </w:p>
    <w:p w14:paraId="36C347DA"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7CA855BA" w14:textId="77777777" w:rsidR="00A02889" w:rsidRDefault="00A02889">
      <w:pPr>
        <w:pStyle w:val="BodyText"/>
        <w:spacing w:before="7"/>
        <w:rPr>
          <w:sz w:val="3"/>
        </w:rPr>
      </w:pPr>
    </w:p>
    <w:p w14:paraId="60EDB11C" w14:textId="77777777" w:rsidR="00A02889" w:rsidRDefault="00000000">
      <w:pPr>
        <w:pStyle w:val="BodyText"/>
        <w:ind w:left="3637"/>
        <w:rPr>
          <w:sz w:val="20"/>
        </w:rPr>
      </w:pPr>
      <w:r>
        <w:rPr>
          <w:noProof/>
          <w:sz w:val="20"/>
        </w:rPr>
        <w:drawing>
          <wp:inline distT="0" distB="0" distL="0" distR="0" wp14:anchorId="72E0FA56" wp14:editId="3BF0A556">
            <wp:extent cx="2323814" cy="1950720"/>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stretch>
                      <a:fillRect/>
                    </a:stretch>
                  </pic:blipFill>
                  <pic:spPr>
                    <a:xfrm>
                      <a:off x="0" y="0"/>
                      <a:ext cx="2323814" cy="1950720"/>
                    </a:xfrm>
                    <a:prstGeom prst="rect">
                      <a:avLst/>
                    </a:prstGeom>
                  </pic:spPr>
                </pic:pic>
              </a:graphicData>
            </a:graphic>
          </wp:inline>
        </w:drawing>
      </w:r>
    </w:p>
    <w:p w14:paraId="19B078C8" w14:textId="77777777" w:rsidR="00A02889" w:rsidRDefault="00A02889">
      <w:pPr>
        <w:pStyle w:val="BodyText"/>
      </w:pPr>
    </w:p>
    <w:p w14:paraId="221662EE" w14:textId="77777777" w:rsidR="00A02889" w:rsidRDefault="00A02889">
      <w:pPr>
        <w:pStyle w:val="BodyText"/>
        <w:spacing w:before="22"/>
      </w:pPr>
    </w:p>
    <w:p w14:paraId="4FDE08DF" w14:textId="77777777" w:rsidR="00A02889" w:rsidRDefault="00000000">
      <w:pPr>
        <w:spacing w:line="482" w:lineRule="auto"/>
        <w:ind w:left="720" w:right="721"/>
        <w:jc w:val="both"/>
        <w:rPr>
          <w:sz w:val="24"/>
        </w:rPr>
      </w:pPr>
      <w:bookmarkStart w:id="31" w:name="_bookmark31"/>
      <w:bookmarkEnd w:id="31"/>
      <w:r>
        <w:rPr>
          <w:b/>
          <w:sz w:val="24"/>
        </w:rPr>
        <w:t xml:space="preserve">Figure 1. </w:t>
      </w:r>
      <w:proofErr w:type="spellStart"/>
      <w:r>
        <w:rPr>
          <w:b/>
          <w:sz w:val="24"/>
        </w:rPr>
        <w:t>Gestid</w:t>
      </w:r>
      <w:proofErr w:type="spellEnd"/>
      <w:r>
        <w:rPr>
          <w:b/>
          <w:sz w:val="24"/>
        </w:rPr>
        <w:t xml:space="preserve"> oral suspension</w:t>
      </w:r>
      <w:r>
        <w:rPr>
          <w:sz w:val="24"/>
        </w:rPr>
        <w:t>, an antacid used for relief of gastric acidity and heartburn. Source: (Padek Health, 2025).</w:t>
      </w:r>
    </w:p>
    <w:p w14:paraId="140726A2" w14:textId="77777777" w:rsidR="00A02889" w:rsidRDefault="00A02889">
      <w:pPr>
        <w:pStyle w:val="BodyText"/>
        <w:spacing w:before="4"/>
      </w:pPr>
    </w:p>
    <w:p w14:paraId="7161E399" w14:textId="77777777" w:rsidR="00A02889" w:rsidRDefault="00000000">
      <w:pPr>
        <w:pStyle w:val="Heading2"/>
        <w:numPr>
          <w:ilvl w:val="2"/>
          <w:numId w:val="10"/>
        </w:numPr>
        <w:tabs>
          <w:tab w:val="left" w:pos="1260"/>
        </w:tabs>
        <w:spacing w:before="1"/>
      </w:pPr>
      <w:bookmarkStart w:id="32" w:name="_bookmark32"/>
      <w:bookmarkEnd w:id="32"/>
      <w:r>
        <w:t>Mechanism</w:t>
      </w:r>
      <w:r>
        <w:rPr>
          <w:spacing w:val="-5"/>
        </w:rPr>
        <w:t xml:space="preserve"> </w:t>
      </w:r>
      <w:r>
        <w:t>of</w:t>
      </w:r>
      <w:r>
        <w:rPr>
          <w:spacing w:val="-1"/>
        </w:rPr>
        <w:t xml:space="preserve"> </w:t>
      </w:r>
      <w:r>
        <w:t>Action of</w:t>
      </w:r>
      <w:r>
        <w:rPr>
          <w:spacing w:val="-1"/>
        </w:rPr>
        <w:t xml:space="preserve"> </w:t>
      </w:r>
      <w:r>
        <w:t>Aluminum</w:t>
      </w:r>
      <w:r>
        <w:rPr>
          <w:spacing w:val="-5"/>
        </w:rPr>
        <w:t xml:space="preserve"> </w:t>
      </w:r>
      <w:r>
        <w:rPr>
          <w:spacing w:val="-2"/>
        </w:rPr>
        <w:t>Hydroxide</w:t>
      </w:r>
    </w:p>
    <w:p w14:paraId="5365611D" w14:textId="77777777" w:rsidR="00A02889" w:rsidRDefault="00A02889">
      <w:pPr>
        <w:pStyle w:val="BodyText"/>
        <w:spacing w:before="275"/>
        <w:rPr>
          <w:b/>
        </w:rPr>
      </w:pPr>
    </w:p>
    <w:p w14:paraId="734B6B2D" w14:textId="77777777" w:rsidR="00A02889" w:rsidRDefault="00000000">
      <w:pPr>
        <w:pStyle w:val="BodyText"/>
        <w:spacing w:before="1" w:line="480" w:lineRule="auto"/>
        <w:ind w:left="720" w:right="713"/>
        <w:jc w:val="both"/>
      </w:pPr>
      <w:r>
        <w:t>Aluminum hydroxide [</w:t>
      </w:r>
      <w:proofErr w:type="gramStart"/>
      <w:r>
        <w:t>Al(</w:t>
      </w:r>
      <w:proofErr w:type="gramEnd"/>
      <w:r>
        <w:t>OH)</w:t>
      </w:r>
      <w:r>
        <w:rPr>
          <w:vertAlign w:val="subscript"/>
        </w:rPr>
        <w:t>3</w:t>
      </w:r>
      <w:r>
        <w:t xml:space="preserve">] dissociates into Al3+ and OH- in the stomach. The freed hydroxide groups then bind to free protons, ultimately producing water and insoluble aluminum salts, mostly </w:t>
      </w:r>
      <w:proofErr w:type="gramStart"/>
      <w:r>
        <w:t>Al(</w:t>
      </w:r>
      <w:proofErr w:type="gramEnd"/>
      <w:r>
        <w:t>Cl)3, within the stomach (</w:t>
      </w:r>
      <w:proofErr w:type="spellStart"/>
      <w:r>
        <w:t>Hogenesch</w:t>
      </w:r>
      <w:proofErr w:type="spellEnd"/>
      <w:r>
        <w:t>, 2012). The proton binding serves to increase the overall pH of the stomach, i.e., less acidic, reducing the symptoms of indigestion. The produced aluminum salt primarily gets excreted in the feces, with less than 1% of the bioavailable</w:t>
      </w:r>
      <w:r>
        <w:rPr>
          <w:spacing w:val="-1"/>
        </w:rPr>
        <w:t xml:space="preserve"> </w:t>
      </w:r>
      <w:r>
        <w:t>aluminum absorbed within the</w:t>
      </w:r>
      <w:r>
        <w:rPr>
          <w:spacing w:val="-1"/>
        </w:rPr>
        <w:t xml:space="preserve"> </w:t>
      </w:r>
      <w:r>
        <w:t>GI</w:t>
      </w:r>
      <w:r>
        <w:rPr>
          <w:spacing w:val="-3"/>
        </w:rPr>
        <w:t xml:space="preserve"> </w:t>
      </w:r>
      <w:r>
        <w:t>tract.</w:t>
      </w:r>
      <w:r>
        <w:rPr>
          <w:spacing w:val="-14"/>
        </w:rPr>
        <w:t xml:space="preserve"> </w:t>
      </w:r>
      <w:r>
        <w:t>Aluminum exists at a</w:t>
      </w:r>
      <w:r>
        <w:rPr>
          <w:spacing w:val="-3"/>
        </w:rPr>
        <w:t xml:space="preserve"> </w:t>
      </w:r>
      <w:r>
        <w:t>steady-state</w:t>
      </w:r>
      <w:r>
        <w:rPr>
          <w:spacing w:val="-1"/>
        </w:rPr>
        <w:t xml:space="preserve"> </w:t>
      </w:r>
      <w:r>
        <w:t>within the body, so the body manages transient increases in aluminum uptake from use as an antacid with</w:t>
      </w:r>
      <w:r>
        <w:rPr>
          <w:spacing w:val="40"/>
        </w:rPr>
        <w:t xml:space="preserve"> </w:t>
      </w:r>
      <w:r>
        <w:t>an equivalent increase in urinary excretion of unmodified aluminum. However, the setpoint of that steady-state may become elevated with prolonged increased intake of aluminum, so aluminum hydroxide treatment should not be considered as a long-term solution for patients suffering from acid indigestion (</w:t>
      </w:r>
      <w:proofErr w:type="spellStart"/>
      <w:r>
        <w:t>Hogenesch</w:t>
      </w:r>
      <w:proofErr w:type="spellEnd"/>
      <w:r>
        <w:t>, 2012). Furthermore, patients with chronic kidney disease</w:t>
      </w:r>
      <w:r>
        <w:rPr>
          <w:spacing w:val="30"/>
        </w:rPr>
        <w:t xml:space="preserve"> </w:t>
      </w:r>
      <w:r>
        <w:t>may</w:t>
      </w:r>
      <w:r>
        <w:rPr>
          <w:spacing w:val="30"/>
        </w:rPr>
        <w:t xml:space="preserve"> </w:t>
      </w:r>
      <w:r>
        <w:t>not</w:t>
      </w:r>
      <w:r>
        <w:rPr>
          <w:spacing w:val="33"/>
        </w:rPr>
        <w:t xml:space="preserve"> </w:t>
      </w:r>
      <w:r>
        <w:t>be</w:t>
      </w:r>
      <w:r>
        <w:rPr>
          <w:spacing w:val="34"/>
        </w:rPr>
        <w:t xml:space="preserve"> </w:t>
      </w:r>
      <w:r>
        <w:t>able</w:t>
      </w:r>
      <w:r>
        <w:rPr>
          <w:spacing w:val="36"/>
        </w:rPr>
        <w:t xml:space="preserve"> </w:t>
      </w:r>
      <w:r>
        <w:t>to</w:t>
      </w:r>
      <w:r>
        <w:rPr>
          <w:spacing w:val="33"/>
        </w:rPr>
        <w:t xml:space="preserve"> </w:t>
      </w:r>
      <w:r>
        <w:t>excrete</w:t>
      </w:r>
      <w:r>
        <w:rPr>
          <w:spacing w:val="32"/>
        </w:rPr>
        <w:t xml:space="preserve"> </w:t>
      </w:r>
      <w:r>
        <w:t>the</w:t>
      </w:r>
      <w:r>
        <w:rPr>
          <w:spacing w:val="32"/>
        </w:rPr>
        <w:t xml:space="preserve"> </w:t>
      </w:r>
      <w:r>
        <w:t>increased</w:t>
      </w:r>
      <w:r>
        <w:rPr>
          <w:spacing w:val="33"/>
        </w:rPr>
        <w:t xml:space="preserve"> </w:t>
      </w:r>
      <w:r>
        <w:t>aluminum</w:t>
      </w:r>
      <w:r>
        <w:rPr>
          <w:spacing w:val="34"/>
        </w:rPr>
        <w:t xml:space="preserve"> </w:t>
      </w:r>
      <w:r>
        <w:t>and</w:t>
      </w:r>
      <w:r>
        <w:rPr>
          <w:spacing w:val="33"/>
        </w:rPr>
        <w:t xml:space="preserve"> </w:t>
      </w:r>
      <w:r>
        <w:t>thus</w:t>
      </w:r>
      <w:r>
        <w:rPr>
          <w:spacing w:val="34"/>
        </w:rPr>
        <w:t xml:space="preserve"> </w:t>
      </w:r>
      <w:r>
        <w:t>also</w:t>
      </w:r>
      <w:r>
        <w:rPr>
          <w:spacing w:val="33"/>
        </w:rPr>
        <w:t xml:space="preserve"> </w:t>
      </w:r>
      <w:r>
        <w:t>should</w:t>
      </w:r>
      <w:r>
        <w:rPr>
          <w:spacing w:val="33"/>
        </w:rPr>
        <w:t xml:space="preserve"> </w:t>
      </w:r>
      <w:r>
        <w:t>be</w:t>
      </w:r>
      <w:r>
        <w:rPr>
          <w:spacing w:val="33"/>
        </w:rPr>
        <w:t xml:space="preserve"> </w:t>
      </w:r>
      <w:r>
        <w:rPr>
          <w:spacing w:val="-2"/>
        </w:rPr>
        <w:t>carefully</w:t>
      </w:r>
    </w:p>
    <w:p w14:paraId="2F5B8ECA" w14:textId="77777777" w:rsidR="00A02889" w:rsidRDefault="00A02889">
      <w:pPr>
        <w:pStyle w:val="BodyText"/>
        <w:spacing w:line="480" w:lineRule="auto"/>
        <w:jc w:val="both"/>
        <w:sectPr w:rsidR="00A02889">
          <w:pgSz w:w="12240" w:h="15840"/>
          <w:pgMar w:top="1820" w:right="720" w:bottom="1260" w:left="720" w:header="0" w:footer="1068" w:gutter="0"/>
          <w:cols w:space="720"/>
        </w:sectPr>
      </w:pPr>
    </w:p>
    <w:p w14:paraId="6681B585" w14:textId="77777777" w:rsidR="00A02889" w:rsidRDefault="00000000">
      <w:pPr>
        <w:pStyle w:val="BodyText"/>
        <w:spacing w:before="72" w:line="480" w:lineRule="auto"/>
        <w:ind w:left="720" w:right="717"/>
        <w:jc w:val="both"/>
      </w:pPr>
      <w:r>
        <w:lastRenderedPageBreak/>
        <w:t>considered. Topical aluminum hydroxide creates an acidic, hydrophilic layer over the area of irritation; this serves as a protective barrier to prevent infection and deter bacterial growth within the wound. As an adjuvant in vaccines, aluminum hydroxide is known to increase macrophage phagocytosis, possibly via the upregulation of the NLRP3-inflammasome, increasing uptake of the desired antigen. Additionally, it is known to facilitate what is known as the "repository effect,"</w:t>
      </w:r>
      <w:r>
        <w:rPr>
          <w:spacing w:val="-2"/>
        </w:rPr>
        <w:t xml:space="preserve"> </w:t>
      </w:r>
      <w:r>
        <w:t>whereby</w:t>
      </w:r>
      <w:r>
        <w:rPr>
          <w:spacing w:val="-5"/>
        </w:rPr>
        <w:t xml:space="preserve"> </w:t>
      </w:r>
      <w:r>
        <w:t>the</w:t>
      </w:r>
      <w:r>
        <w:rPr>
          <w:spacing w:val="-1"/>
        </w:rPr>
        <w:t xml:space="preserve"> </w:t>
      </w:r>
      <w:r>
        <w:t>antigens aggregate on and around the</w:t>
      </w:r>
      <w:r>
        <w:rPr>
          <w:spacing w:val="-1"/>
        </w:rPr>
        <w:t xml:space="preserve"> </w:t>
      </w:r>
      <w:r>
        <w:t>molecule, which helps to prevent their degradation within the body (Hogenesch, 2012).</w:t>
      </w:r>
    </w:p>
    <w:p w14:paraId="191D9CDD" w14:textId="77777777" w:rsidR="00A02889" w:rsidRDefault="00A02889">
      <w:pPr>
        <w:pStyle w:val="BodyText"/>
        <w:spacing w:before="8"/>
      </w:pPr>
    </w:p>
    <w:p w14:paraId="20179331" w14:textId="77777777" w:rsidR="00A02889" w:rsidRDefault="00000000">
      <w:pPr>
        <w:pStyle w:val="Heading2"/>
        <w:numPr>
          <w:ilvl w:val="2"/>
          <w:numId w:val="10"/>
        </w:numPr>
        <w:tabs>
          <w:tab w:val="left" w:pos="1260"/>
        </w:tabs>
      </w:pPr>
      <w:bookmarkStart w:id="33" w:name="_bookmark33"/>
      <w:bookmarkEnd w:id="33"/>
      <w:r>
        <w:t>Administration</w:t>
      </w:r>
      <w:r>
        <w:rPr>
          <w:spacing w:val="-2"/>
        </w:rPr>
        <w:t xml:space="preserve"> </w:t>
      </w:r>
      <w:r>
        <w:t>of</w:t>
      </w:r>
      <w:r>
        <w:rPr>
          <w:spacing w:val="-1"/>
        </w:rPr>
        <w:t xml:space="preserve"> </w:t>
      </w:r>
      <w:r>
        <w:t>Aluminum</w:t>
      </w:r>
      <w:r>
        <w:rPr>
          <w:spacing w:val="-6"/>
        </w:rPr>
        <w:t xml:space="preserve"> </w:t>
      </w:r>
      <w:r>
        <w:rPr>
          <w:spacing w:val="-2"/>
        </w:rPr>
        <w:t>Hydroxide</w:t>
      </w:r>
    </w:p>
    <w:p w14:paraId="43768E86" w14:textId="77777777" w:rsidR="00A02889" w:rsidRDefault="00A02889">
      <w:pPr>
        <w:pStyle w:val="BodyText"/>
        <w:rPr>
          <w:b/>
        </w:rPr>
      </w:pPr>
    </w:p>
    <w:p w14:paraId="36468EB6" w14:textId="77777777" w:rsidR="00A02889" w:rsidRDefault="00A02889">
      <w:pPr>
        <w:pStyle w:val="BodyText"/>
        <w:rPr>
          <w:b/>
        </w:rPr>
      </w:pPr>
    </w:p>
    <w:p w14:paraId="4BDDA266" w14:textId="77777777" w:rsidR="00A02889" w:rsidRDefault="00000000">
      <w:pPr>
        <w:pStyle w:val="BodyText"/>
        <w:spacing w:line="480" w:lineRule="auto"/>
        <w:ind w:left="720" w:right="713"/>
        <w:jc w:val="both"/>
      </w:pPr>
      <w:r>
        <w:t>Aluminum hydroxide, when used as an antacid, is administered orally, the suspension should be shaken</w:t>
      </w:r>
      <w:r>
        <w:rPr>
          <w:spacing w:val="-2"/>
        </w:rPr>
        <w:t xml:space="preserve"> </w:t>
      </w:r>
      <w:r>
        <w:t>well</w:t>
      </w:r>
      <w:r>
        <w:rPr>
          <w:spacing w:val="-2"/>
        </w:rPr>
        <w:t xml:space="preserve"> </w:t>
      </w:r>
      <w:r>
        <w:t>before</w:t>
      </w:r>
      <w:r>
        <w:rPr>
          <w:spacing w:val="-3"/>
        </w:rPr>
        <w:t xml:space="preserve"> </w:t>
      </w:r>
      <w:r>
        <w:t>each use</w:t>
      </w:r>
      <w:r>
        <w:rPr>
          <w:spacing w:val="-3"/>
        </w:rPr>
        <w:t xml:space="preserve"> </w:t>
      </w:r>
      <w:r>
        <w:t>(Shetty</w:t>
      </w:r>
      <w:r>
        <w:rPr>
          <w:spacing w:val="-6"/>
        </w:rPr>
        <w:t xml:space="preserve"> </w:t>
      </w:r>
      <w:r>
        <w:t>and</w:t>
      </w:r>
      <w:r>
        <w:rPr>
          <w:spacing w:val="-6"/>
        </w:rPr>
        <w:t xml:space="preserve"> </w:t>
      </w:r>
      <w:r>
        <w:t>Vishwanath,</w:t>
      </w:r>
      <w:r>
        <w:rPr>
          <w:spacing w:val="-2"/>
        </w:rPr>
        <w:t xml:space="preserve"> </w:t>
      </w:r>
      <w:r>
        <w:t>2022). It</w:t>
      </w:r>
      <w:r>
        <w:rPr>
          <w:spacing w:val="-2"/>
        </w:rPr>
        <w:t xml:space="preserve"> </w:t>
      </w:r>
      <w:r>
        <w:t>is</w:t>
      </w:r>
      <w:r>
        <w:rPr>
          <w:spacing w:val="-2"/>
        </w:rPr>
        <w:t xml:space="preserve"> </w:t>
      </w:r>
      <w:r>
        <w:t>generally</w:t>
      </w:r>
      <w:r>
        <w:rPr>
          <w:spacing w:val="-5"/>
        </w:rPr>
        <w:t xml:space="preserve"> </w:t>
      </w:r>
      <w:r>
        <w:t>taken</w:t>
      </w:r>
      <w:r>
        <w:rPr>
          <w:spacing w:val="-2"/>
        </w:rPr>
        <w:t xml:space="preserve"> </w:t>
      </w:r>
      <w:r>
        <w:t>five</w:t>
      </w:r>
      <w:r>
        <w:rPr>
          <w:spacing w:val="-3"/>
        </w:rPr>
        <w:t xml:space="preserve"> </w:t>
      </w:r>
      <w:r>
        <w:t>to</w:t>
      </w:r>
      <w:r>
        <w:rPr>
          <w:spacing w:val="-2"/>
        </w:rPr>
        <w:t xml:space="preserve"> </w:t>
      </w:r>
      <w:r>
        <w:t>six</w:t>
      </w:r>
      <w:r>
        <w:rPr>
          <w:spacing w:val="-2"/>
        </w:rPr>
        <w:t xml:space="preserve"> </w:t>
      </w:r>
      <w:r>
        <w:t>times daily, after meals and at bedtime, with a maximum total daily dose of 3.84</w:t>
      </w:r>
      <w:r>
        <w:rPr>
          <w:spacing w:val="-13"/>
        </w:rPr>
        <w:t xml:space="preserve"> </w:t>
      </w:r>
      <w:r>
        <w:t>g (Shetty and Vishwanath,</w:t>
      </w:r>
      <w:r>
        <w:rPr>
          <w:spacing w:val="-1"/>
        </w:rPr>
        <w:t xml:space="preserve"> </w:t>
      </w:r>
      <w:r>
        <w:t>2022).</w:t>
      </w:r>
      <w:r>
        <w:rPr>
          <w:spacing w:val="-1"/>
        </w:rPr>
        <w:t xml:space="preserve"> </w:t>
      </w:r>
      <w:r>
        <w:t>Patients</w:t>
      </w:r>
      <w:r>
        <w:rPr>
          <w:spacing w:val="-1"/>
        </w:rPr>
        <w:t xml:space="preserve"> </w:t>
      </w:r>
      <w:r>
        <w:t>are</w:t>
      </w:r>
      <w:r>
        <w:rPr>
          <w:spacing w:val="-3"/>
        </w:rPr>
        <w:t xml:space="preserve"> </w:t>
      </w:r>
      <w:r>
        <w:t>advised</w:t>
      </w:r>
      <w:r>
        <w:rPr>
          <w:spacing w:val="-2"/>
        </w:rPr>
        <w:t xml:space="preserve"> </w:t>
      </w:r>
      <w:r>
        <w:t>to</w:t>
      </w:r>
      <w:r>
        <w:rPr>
          <w:spacing w:val="-1"/>
        </w:rPr>
        <w:t xml:space="preserve"> </w:t>
      </w:r>
      <w:r>
        <w:t>follow</w:t>
      </w:r>
      <w:r>
        <w:rPr>
          <w:spacing w:val="-4"/>
        </w:rPr>
        <w:t xml:space="preserve"> </w:t>
      </w:r>
      <w:r>
        <w:t>each</w:t>
      </w:r>
      <w:r>
        <w:rPr>
          <w:spacing w:val="-1"/>
        </w:rPr>
        <w:t xml:space="preserve"> </w:t>
      </w:r>
      <w:r>
        <w:t>dose</w:t>
      </w:r>
      <w:r>
        <w:rPr>
          <w:spacing w:val="-2"/>
        </w:rPr>
        <w:t xml:space="preserve"> </w:t>
      </w:r>
      <w:r>
        <w:t>with</w:t>
      </w:r>
      <w:r>
        <w:rPr>
          <w:spacing w:val="-1"/>
        </w:rPr>
        <w:t xml:space="preserve"> </w:t>
      </w:r>
      <w:r>
        <w:t>an</w:t>
      </w:r>
      <w:r>
        <w:rPr>
          <w:spacing w:val="-1"/>
        </w:rPr>
        <w:t xml:space="preserve"> </w:t>
      </w:r>
      <w:r>
        <w:t>adequate</w:t>
      </w:r>
      <w:r>
        <w:rPr>
          <w:spacing w:val="-2"/>
        </w:rPr>
        <w:t xml:space="preserve"> </w:t>
      </w:r>
      <w:r>
        <w:t>amount</w:t>
      </w:r>
      <w:r>
        <w:rPr>
          <w:spacing w:val="-1"/>
        </w:rPr>
        <w:t xml:space="preserve"> </w:t>
      </w:r>
      <w:r>
        <w:t>of</w:t>
      </w:r>
      <w:r>
        <w:rPr>
          <w:spacing w:val="-2"/>
        </w:rPr>
        <w:t xml:space="preserve"> </w:t>
      </w:r>
      <w:r>
        <w:t>water</w:t>
      </w:r>
      <w:r>
        <w:rPr>
          <w:spacing w:val="-3"/>
        </w:rPr>
        <w:t xml:space="preserve"> </w:t>
      </w:r>
      <w:r>
        <w:t>to ensure proper swallowing and effectiveness. For topical applications, aluminum hydroxide should be applied directly to the affected area and left in place, as its absorption through the skin is minimal, making it safe for localized treatment (Shetty and Vishwanath, 2022).</w:t>
      </w:r>
    </w:p>
    <w:p w14:paraId="10AC0B6F" w14:textId="77777777" w:rsidR="00A02889" w:rsidRDefault="00A02889">
      <w:pPr>
        <w:pStyle w:val="BodyText"/>
        <w:spacing w:before="8"/>
      </w:pPr>
    </w:p>
    <w:p w14:paraId="333F55C6" w14:textId="77777777" w:rsidR="00A02889" w:rsidRDefault="00000000">
      <w:pPr>
        <w:pStyle w:val="Heading2"/>
        <w:numPr>
          <w:ilvl w:val="2"/>
          <w:numId w:val="10"/>
        </w:numPr>
        <w:tabs>
          <w:tab w:val="left" w:pos="1260"/>
        </w:tabs>
      </w:pPr>
      <w:bookmarkStart w:id="34" w:name="_bookmark34"/>
      <w:bookmarkEnd w:id="34"/>
      <w:r>
        <w:t>Adverse</w:t>
      </w:r>
      <w:r>
        <w:rPr>
          <w:spacing w:val="-3"/>
        </w:rPr>
        <w:t xml:space="preserve"> </w:t>
      </w:r>
      <w:r>
        <w:t>Effects</w:t>
      </w:r>
      <w:r>
        <w:rPr>
          <w:spacing w:val="-1"/>
        </w:rPr>
        <w:t xml:space="preserve"> </w:t>
      </w:r>
      <w:r>
        <w:t>of</w:t>
      </w:r>
      <w:r>
        <w:rPr>
          <w:spacing w:val="-1"/>
        </w:rPr>
        <w:t xml:space="preserve"> </w:t>
      </w:r>
      <w:r>
        <w:t>Aluminum</w:t>
      </w:r>
      <w:r>
        <w:rPr>
          <w:spacing w:val="-5"/>
        </w:rPr>
        <w:t xml:space="preserve"> </w:t>
      </w:r>
      <w:r>
        <w:rPr>
          <w:spacing w:val="-2"/>
        </w:rPr>
        <w:t>Hydroxide</w:t>
      </w:r>
    </w:p>
    <w:p w14:paraId="1FCA6C77" w14:textId="77777777" w:rsidR="00A02889" w:rsidRDefault="00A02889">
      <w:pPr>
        <w:pStyle w:val="BodyText"/>
        <w:rPr>
          <w:b/>
        </w:rPr>
      </w:pPr>
    </w:p>
    <w:p w14:paraId="33AFDB69" w14:textId="77777777" w:rsidR="00A02889" w:rsidRDefault="00A02889">
      <w:pPr>
        <w:pStyle w:val="BodyText"/>
        <w:rPr>
          <w:b/>
        </w:rPr>
      </w:pPr>
    </w:p>
    <w:p w14:paraId="7C811E3D" w14:textId="77777777" w:rsidR="00A02889" w:rsidRDefault="00000000">
      <w:pPr>
        <w:pStyle w:val="BodyText"/>
        <w:spacing w:line="480" w:lineRule="auto"/>
        <w:ind w:left="720" w:right="714"/>
        <w:jc w:val="both"/>
      </w:pPr>
      <w:r>
        <w:t>The primary side effects of aluminum hydroxide include hypomagnesemia, hypophosphatemia, constipation,</w:t>
      </w:r>
      <w:r>
        <w:rPr>
          <w:spacing w:val="-4"/>
        </w:rPr>
        <w:t xml:space="preserve"> </w:t>
      </w:r>
      <w:r>
        <w:t>and</w:t>
      </w:r>
      <w:r>
        <w:rPr>
          <w:spacing w:val="-4"/>
        </w:rPr>
        <w:t xml:space="preserve"> </w:t>
      </w:r>
      <w:r>
        <w:t>anemia</w:t>
      </w:r>
      <w:r>
        <w:rPr>
          <w:spacing w:val="-5"/>
        </w:rPr>
        <w:t xml:space="preserve"> </w:t>
      </w:r>
      <w:r>
        <w:t>(Willhite</w:t>
      </w:r>
      <w:r>
        <w:rPr>
          <w:spacing w:val="40"/>
        </w:rPr>
        <w:t xml:space="preserve"> </w:t>
      </w:r>
      <w:r>
        <w:rPr>
          <w:i/>
        </w:rPr>
        <w:t>et</w:t>
      </w:r>
      <w:r>
        <w:rPr>
          <w:i/>
          <w:spacing w:val="-4"/>
        </w:rPr>
        <w:t xml:space="preserve"> </w:t>
      </w:r>
      <w:r>
        <w:rPr>
          <w:i/>
        </w:rPr>
        <w:t>al.,</w:t>
      </w:r>
      <w:r>
        <w:rPr>
          <w:i/>
          <w:spacing w:val="-3"/>
        </w:rPr>
        <w:t xml:space="preserve"> </w:t>
      </w:r>
      <w:r>
        <w:t>2014).</w:t>
      </w:r>
      <w:r>
        <w:rPr>
          <w:spacing w:val="-6"/>
        </w:rPr>
        <w:t xml:space="preserve"> </w:t>
      </w:r>
      <w:r>
        <w:t>Additionally,</w:t>
      </w:r>
      <w:r>
        <w:rPr>
          <w:spacing w:val="-4"/>
        </w:rPr>
        <w:t xml:space="preserve"> </w:t>
      </w:r>
      <w:r>
        <w:t>because</w:t>
      </w:r>
      <w:r>
        <w:rPr>
          <w:spacing w:val="-5"/>
        </w:rPr>
        <w:t xml:space="preserve"> </w:t>
      </w:r>
      <w:r>
        <w:t>of</w:t>
      </w:r>
      <w:r>
        <w:rPr>
          <w:spacing w:val="-3"/>
        </w:rPr>
        <w:t xml:space="preserve"> </w:t>
      </w:r>
      <w:r>
        <w:t>its</w:t>
      </w:r>
      <w:r>
        <w:rPr>
          <w:spacing w:val="-4"/>
        </w:rPr>
        <w:t xml:space="preserve"> </w:t>
      </w:r>
      <w:r>
        <w:t>immune-stimulating properties, aluminum hydroxide has been associated with cases of persistent granuloma formation</w:t>
      </w:r>
      <w:r>
        <w:rPr>
          <w:spacing w:val="39"/>
        </w:rPr>
        <w:t xml:space="preserve"> </w:t>
      </w:r>
      <w:r>
        <w:t>at</w:t>
      </w:r>
      <w:r>
        <w:rPr>
          <w:spacing w:val="42"/>
        </w:rPr>
        <w:t xml:space="preserve"> </w:t>
      </w:r>
      <w:r>
        <w:t>the</w:t>
      </w:r>
      <w:r>
        <w:rPr>
          <w:spacing w:val="41"/>
        </w:rPr>
        <w:t xml:space="preserve"> </w:t>
      </w:r>
      <w:r>
        <w:t>injection</w:t>
      </w:r>
      <w:r>
        <w:rPr>
          <w:spacing w:val="40"/>
        </w:rPr>
        <w:t xml:space="preserve"> </w:t>
      </w:r>
      <w:r>
        <w:t>sites</w:t>
      </w:r>
      <w:r>
        <w:rPr>
          <w:spacing w:val="42"/>
        </w:rPr>
        <w:t xml:space="preserve"> </w:t>
      </w:r>
      <w:r>
        <w:t>of</w:t>
      </w:r>
      <w:r>
        <w:rPr>
          <w:spacing w:val="41"/>
        </w:rPr>
        <w:t xml:space="preserve"> </w:t>
      </w:r>
      <w:r>
        <w:t>vaccines</w:t>
      </w:r>
      <w:r>
        <w:rPr>
          <w:spacing w:val="41"/>
        </w:rPr>
        <w:t xml:space="preserve"> </w:t>
      </w:r>
      <w:r>
        <w:t>containing</w:t>
      </w:r>
      <w:r>
        <w:rPr>
          <w:spacing w:val="38"/>
        </w:rPr>
        <w:t xml:space="preserve"> </w:t>
      </w:r>
      <w:r>
        <w:t>this</w:t>
      </w:r>
      <w:r>
        <w:rPr>
          <w:spacing w:val="42"/>
        </w:rPr>
        <w:t xml:space="preserve"> </w:t>
      </w:r>
      <w:r>
        <w:t>compound</w:t>
      </w:r>
      <w:r>
        <w:rPr>
          <w:spacing w:val="42"/>
        </w:rPr>
        <w:t xml:space="preserve"> </w:t>
      </w:r>
      <w:r>
        <w:t>(Zhang,</w:t>
      </w:r>
      <w:r>
        <w:rPr>
          <w:spacing w:val="43"/>
        </w:rPr>
        <w:t xml:space="preserve"> </w:t>
      </w:r>
      <w:proofErr w:type="gramStart"/>
      <w:r>
        <w:t>et</w:t>
      </w:r>
      <w:r>
        <w:rPr>
          <w:spacing w:val="42"/>
        </w:rPr>
        <w:t xml:space="preserve">  </w:t>
      </w:r>
      <w:r>
        <w:t>al.</w:t>
      </w:r>
      <w:proofErr w:type="gramEnd"/>
      <w:r>
        <w:t>,</w:t>
      </w:r>
      <w:r>
        <w:rPr>
          <w:spacing w:val="42"/>
        </w:rPr>
        <w:t xml:space="preserve"> </w:t>
      </w:r>
      <w:r>
        <w:rPr>
          <w:spacing w:val="-2"/>
        </w:rPr>
        <w:t>2023).</w:t>
      </w:r>
    </w:p>
    <w:p w14:paraId="0071F4DD"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2ECB6893" w14:textId="77777777" w:rsidR="00A02889" w:rsidRDefault="00000000">
      <w:pPr>
        <w:pStyle w:val="BodyText"/>
        <w:spacing w:before="72" w:line="482" w:lineRule="auto"/>
        <w:ind w:left="720" w:right="720"/>
        <w:jc w:val="both"/>
      </w:pPr>
      <w:r>
        <w:lastRenderedPageBreak/>
        <w:t xml:space="preserve">Topical applications have not demonstrated any adverse effects, primarily because aluminum hydroxide does not get absorbed through the epidermis (Becker </w:t>
      </w:r>
      <w:r>
        <w:rPr>
          <w:i/>
        </w:rPr>
        <w:t xml:space="preserve">et al., </w:t>
      </w:r>
      <w:r>
        <w:t>2016).</w:t>
      </w:r>
    </w:p>
    <w:p w14:paraId="4C77A246" w14:textId="77777777" w:rsidR="00A02889" w:rsidRDefault="00A02889">
      <w:pPr>
        <w:pStyle w:val="BodyText"/>
        <w:spacing w:before="2"/>
      </w:pPr>
    </w:p>
    <w:p w14:paraId="249938BA" w14:textId="77777777" w:rsidR="00A02889" w:rsidRDefault="00000000">
      <w:pPr>
        <w:pStyle w:val="Heading2"/>
        <w:numPr>
          <w:ilvl w:val="2"/>
          <w:numId w:val="10"/>
        </w:numPr>
        <w:tabs>
          <w:tab w:val="left" w:pos="1260"/>
        </w:tabs>
      </w:pPr>
      <w:bookmarkStart w:id="35" w:name="_bookmark35"/>
      <w:bookmarkEnd w:id="35"/>
      <w:r>
        <w:t>Contraindications</w:t>
      </w:r>
      <w:r>
        <w:rPr>
          <w:spacing w:val="-5"/>
        </w:rPr>
        <w:t xml:space="preserve"> </w:t>
      </w:r>
      <w:r>
        <w:t>of</w:t>
      </w:r>
      <w:r>
        <w:rPr>
          <w:spacing w:val="-1"/>
        </w:rPr>
        <w:t xml:space="preserve"> </w:t>
      </w:r>
      <w:r>
        <w:t>Aluminum</w:t>
      </w:r>
      <w:r>
        <w:rPr>
          <w:spacing w:val="-5"/>
        </w:rPr>
        <w:t xml:space="preserve"> </w:t>
      </w:r>
      <w:r>
        <w:rPr>
          <w:spacing w:val="-2"/>
        </w:rPr>
        <w:t>Hydroxide</w:t>
      </w:r>
    </w:p>
    <w:p w14:paraId="2521F8E9" w14:textId="77777777" w:rsidR="00A02889" w:rsidRDefault="00A02889">
      <w:pPr>
        <w:pStyle w:val="BodyText"/>
        <w:rPr>
          <w:b/>
        </w:rPr>
      </w:pPr>
    </w:p>
    <w:p w14:paraId="2356C51C" w14:textId="77777777" w:rsidR="00A02889" w:rsidRDefault="00A02889">
      <w:pPr>
        <w:pStyle w:val="BodyText"/>
        <w:rPr>
          <w:b/>
        </w:rPr>
      </w:pPr>
    </w:p>
    <w:p w14:paraId="52D47B11" w14:textId="77777777" w:rsidR="00A02889" w:rsidRDefault="00000000">
      <w:pPr>
        <w:pStyle w:val="BodyText"/>
        <w:spacing w:line="480" w:lineRule="auto"/>
        <w:ind w:left="720" w:right="711"/>
        <w:jc w:val="both"/>
      </w:pPr>
      <w:r>
        <w:t xml:space="preserve">Aluminum hydroxide is contraindicated for patients with documented hypersensitivity to the drugs. Prolonged administration should not be considered in a patient with renal impairment or a patient on dialysis, as impaired clearance of excess aluminum may precipitate the drug's adverse effects (Becker </w:t>
      </w:r>
      <w:r>
        <w:rPr>
          <w:i/>
        </w:rPr>
        <w:t xml:space="preserve">et al., </w:t>
      </w:r>
      <w:r>
        <w:t>2016). Due to aluminum hydroxide's ability to bind phosphate, it should</w:t>
      </w:r>
      <w:r>
        <w:rPr>
          <w:spacing w:val="40"/>
        </w:rPr>
        <w:t xml:space="preserve"> </w:t>
      </w:r>
      <w:r>
        <w:t>not be administered in patients with severe diarrhea, as hypophosphatemia may become exacerbated. Additionally, the administration of aluminum hydroxide before the use of a fluoroquinolone such as ciprofloxacin has demonstrated a reduction in the bioavailability of the antimicrobial, reducing its efficacy.</w:t>
      </w:r>
      <w:r>
        <w:rPr>
          <w:spacing w:val="-4"/>
        </w:rPr>
        <w:t xml:space="preserve"> </w:t>
      </w:r>
      <w:r>
        <w:t xml:space="preserve">As such, it is not to be administered concurrently with these drugs. Due to its nature as an alkalizing agent, it should also not be administered concurrently with drugs that depend upon acidic absorption, such as </w:t>
      </w:r>
      <w:proofErr w:type="spellStart"/>
      <w:r>
        <w:t>riociguat</w:t>
      </w:r>
      <w:proofErr w:type="spellEnd"/>
      <w:r>
        <w:t xml:space="preserve"> or </w:t>
      </w:r>
      <w:proofErr w:type="spellStart"/>
      <w:r>
        <w:t>raltegravir</w:t>
      </w:r>
      <w:proofErr w:type="spellEnd"/>
      <w:r>
        <w:t xml:space="preserve">, as it will reduce the efficacy of these treatments (Krishna </w:t>
      </w:r>
      <w:r>
        <w:rPr>
          <w:i/>
        </w:rPr>
        <w:t xml:space="preserve">et al., </w:t>
      </w:r>
      <w:r>
        <w:t>2016).</w:t>
      </w:r>
    </w:p>
    <w:p w14:paraId="3C822859" w14:textId="77777777" w:rsidR="00A02889" w:rsidRDefault="00A02889">
      <w:pPr>
        <w:pStyle w:val="BodyText"/>
        <w:spacing w:before="8"/>
      </w:pPr>
    </w:p>
    <w:p w14:paraId="6852AAC2" w14:textId="77777777" w:rsidR="00A02889" w:rsidRDefault="00000000">
      <w:pPr>
        <w:pStyle w:val="Heading2"/>
        <w:numPr>
          <w:ilvl w:val="2"/>
          <w:numId w:val="10"/>
        </w:numPr>
        <w:tabs>
          <w:tab w:val="left" w:pos="1260"/>
        </w:tabs>
        <w:spacing w:before="1"/>
      </w:pPr>
      <w:bookmarkStart w:id="36" w:name="_bookmark36"/>
      <w:bookmarkEnd w:id="36"/>
      <w:r>
        <w:t>Toxicity</w:t>
      </w:r>
      <w:r>
        <w:rPr>
          <w:spacing w:val="-2"/>
        </w:rPr>
        <w:t xml:space="preserve"> </w:t>
      </w:r>
      <w:r>
        <w:t>of</w:t>
      </w:r>
      <w:r>
        <w:rPr>
          <w:spacing w:val="-1"/>
        </w:rPr>
        <w:t xml:space="preserve"> </w:t>
      </w:r>
      <w:r>
        <w:t>Aluminum</w:t>
      </w:r>
      <w:r>
        <w:rPr>
          <w:spacing w:val="-4"/>
        </w:rPr>
        <w:t xml:space="preserve"> </w:t>
      </w:r>
      <w:r>
        <w:rPr>
          <w:spacing w:val="-2"/>
        </w:rPr>
        <w:t>Hydroxide</w:t>
      </w:r>
    </w:p>
    <w:p w14:paraId="466DB8CE" w14:textId="77777777" w:rsidR="00A02889" w:rsidRDefault="00A02889">
      <w:pPr>
        <w:pStyle w:val="BodyText"/>
        <w:rPr>
          <w:b/>
        </w:rPr>
      </w:pPr>
    </w:p>
    <w:p w14:paraId="7A5798FD" w14:textId="77777777" w:rsidR="00A02889" w:rsidRDefault="00A02889">
      <w:pPr>
        <w:pStyle w:val="BodyText"/>
        <w:rPr>
          <w:b/>
        </w:rPr>
      </w:pPr>
    </w:p>
    <w:p w14:paraId="0D95202B" w14:textId="77777777" w:rsidR="00A02889" w:rsidRDefault="00000000">
      <w:pPr>
        <w:pStyle w:val="BodyText"/>
        <w:spacing w:line="480" w:lineRule="auto"/>
        <w:ind w:left="720" w:right="718"/>
        <w:jc w:val="both"/>
      </w:pPr>
      <w:r>
        <w:t xml:space="preserve">Seizures, </w:t>
      </w:r>
      <w:proofErr w:type="spellStart"/>
      <w:r>
        <w:t>osteomalacia</w:t>
      </w:r>
      <w:proofErr w:type="spellEnd"/>
      <w:r>
        <w:t>, and encephalopathy are well-established toxic effects associated with aluminum hydroxide (Gökmen and Gül,</w:t>
      </w:r>
      <w:r>
        <w:rPr>
          <w:spacing w:val="40"/>
        </w:rPr>
        <w:t xml:space="preserve"> </w:t>
      </w:r>
      <w:r>
        <w:t>2023). Before administering aluminum hydroxide, patients should be screened for kidney dysfunction, as these adverse outcomes have been</w:t>
      </w:r>
      <w:r>
        <w:rPr>
          <w:spacing w:val="40"/>
        </w:rPr>
        <w:t xml:space="preserve"> </w:t>
      </w:r>
      <w:r>
        <w:t xml:space="preserve">strongly linked to its use as a phosphate binder in dialysis patients (Gökmen and Gül, 2023). Most cases of encephalopathy and </w:t>
      </w:r>
      <w:proofErr w:type="spellStart"/>
      <w:r>
        <w:t>osteomalacia</w:t>
      </w:r>
      <w:proofErr w:type="spellEnd"/>
      <w:r>
        <w:t xml:space="preserve"> were reported during a period when water purification</w:t>
      </w:r>
      <w:r>
        <w:rPr>
          <w:spacing w:val="20"/>
        </w:rPr>
        <w:t xml:space="preserve"> </w:t>
      </w:r>
      <w:r>
        <w:t>standards</w:t>
      </w:r>
      <w:r>
        <w:rPr>
          <w:spacing w:val="19"/>
        </w:rPr>
        <w:t xml:space="preserve"> </w:t>
      </w:r>
      <w:r>
        <w:t>for</w:t>
      </w:r>
      <w:r>
        <w:rPr>
          <w:spacing w:val="19"/>
        </w:rPr>
        <w:t xml:space="preserve"> </w:t>
      </w:r>
      <w:r>
        <w:t>dialysis</w:t>
      </w:r>
      <w:r>
        <w:rPr>
          <w:spacing w:val="22"/>
        </w:rPr>
        <w:t xml:space="preserve"> </w:t>
      </w:r>
      <w:r>
        <w:t>were</w:t>
      </w:r>
      <w:r>
        <w:rPr>
          <w:spacing w:val="19"/>
        </w:rPr>
        <w:t xml:space="preserve"> </w:t>
      </w:r>
      <w:r>
        <w:t>less</w:t>
      </w:r>
      <w:r>
        <w:rPr>
          <w:spacing w:val="20"/>
        </w:rPr>
        <w:t xml:space="preserve"> </w:t>
      </w:r>
      <w:r>
        <w:t>stringent,</w:t>
      </w:r>
      <w:r>
        <w:rPr>
          <w:spacing w:val="23"/>
        </w:rPr>
        <w:t xml:space="preserve"> </w:t>
      </w:r>
      <w:r>
        <w:t>which</w:t>
      </w:r>
      <w:r>
        <w:rPr>
          <w:spacing w:val="21"/>
        </w:rPr>
        <w:t xml:space="preserve"> </w:t>
      </w:r>
      <w:r>
        <w:t>likely</w:t>
      </w:r>
      <w:r>
        <w:rPr>
          <w:spacing w:val="15"/>
        </w:rPr>
        <w:t xml:space="preserve"> </w:t>
      </w:r>
      <w:r>
        <w:t>confounded</w:t>
      </w:r>
      <w:r>
        <w:rPr>
          <w:spacing w:val="20"/>
        </w:rPr>
        <w:t xml:space="preserve"> </w:t>
      </w:r>
      <w:r>
        <w:t>the</w:t>
      </w:r>
      <w:r>
        <w:rPr>
          <w:spacing w:val="20"/>
        </w:rPr>
        <w:t xml:space="preserve"> </w:t>
      </w:r>
      <w:r>
        <w:rPr>
          <w:spacing w:val="-2"/>
        </w:rPr>
        <w:t>relationship</w:t>
      </w:r>
    </w:p>
    <w:p w14:paraId="2CFFC7A5"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B9ADD5B" w14:textId="77777777" w:rsidR="00A02889" w:rsidRDefault="00000000">
      <w:pPr>
        <w:pStyle w:val="BodyText"/>
        <w:spacing w:before="72" w:line="480" w:lineRule="auto"/>
        <w:ind w:left="720" w:right="718"/>
        <w:jc w:val="both"/>
      </w:pPr>
      <w:r>
        <w:lastRenderedPageBreak/>
        <w:t>between oral aluminum and toxicity (Hamid, 2024). Toxic effects of aluminum hydroxide are generally reversible upon discontinuation of the drug. In contrast, topical applications of aluminum hydroxide and aluminum-containing adjuvant vaccines have not been associated with toxicity, likely due to the low concentrations involved in these uses (Hamid, 2024).</w:t>
      </w:r>
    </w:p>
    <w:p w14:paraId="2F2AD2C9" w14:textId="77777777" w:rsidR="00A02889" w:rsidRDefault="00A02889">
      <w:pPr>
        <w:pStyle w:val="BodyText"/>
        <w:spacing w:before="7"/>
      </w:pPr>
    </w:p>
    <w:p w14:paraId="18E5440F" w14:textId="77777777" w:rsidR="00A02889" w:rsidRDefault="00000000">
      <w:pPr>
        <w:pStyle w:val="Heading2"/>
        <w:numPr>
          <w:ilvl w:val="1"/>
          <w:numId w:val="10"/>
        </w:numPr>
        <w:tabs>
          <w:tab w:val="left" w:pos="1080"/>
        </w:tabs>
      </w:pPr>
      <w:bookmarkStart w:id="37" w:name="_bookmark37"/>
      <w:bookmarkEnd w:id="37"/>
      <w:r>
        <w:t>Magnesium</w:t>
      </w:r>
      <w:r>
        <w:rPr>
          <w:spacing w:val="-5"/>
        </w:rPr>
        <w:t xml:space="preserve"> </w:t>
      </w:r>
      <w:r>
        <w:rPr>
          <w:spacing w:val="-2"/>
        </w:rPr>
        <w:t>Trisilicate</w:t>
      </w:r>
    </w:p>
    <w:p w14:paraId="2E70C187" w14:textId="77777777" w:rsidR="00A02889" w:rsidRDefault="00A02889">
      <w:pPr>
        <w:pStyle w:val="BodyText"/>
        <w:rPr>
          <w:b/>
        </w:rPr>
      </w:pPr>
    </w:p>
    <w:p w14:paraId="36BD15DC" w14:textId="77777777" w:rsidR="00A02889" w:rsidRDefault="00A02889">
      <w:pPr>
        <w:pStyle w:val="BodyText"/>
        <w:rPr>
          <w:b/>
        </w:rPr>
      </w:pPr>
    </w:p>
    <w:p w14:paraId="0EFC6D25" w14:textId="77777777" w:rsidR="00A02889" w:rsidRDefault="00000000">
      <w:pPr>
        <w:pStyle w:val="BodyText"/>
        <w:spacing w:before="1" w:line="480" w:lineRule="auto"/>
        <w:ind w:left="720" w:right="714"/>
        <w:jc w:val="both"/>
      </w:pPr>
      <w:r>
        <w:t xml:space="preserve">Magnesium trisilicate is one of many salts of magnesium used clinically for the relief of the symptoms of dyspepsia by virtue of its antacid properties (Garg </w:t>
      </w:r>
      <w:r>
        <w:rPr>
          <w:i/>
        </w:rPr>
        <w:t xml:space="preserve">et al., </w:t>
      </w:r>
      <w:r>
        <w:t>2022). Individual salts</w:t>
      </w:r>
      <w:r>
        <w:rPr>
          <w:spacing w:val="40"/>
        </w:rPr>
        <w:t xml:space="preserve"> </w:t>
      </w:r>
      <w:r>
        <w:t>may be used for relief of gastrointestinal symptoms of dyspepsia, heartburn, gastroesophageal reflux disease, and constipation by</w:t>
      </w:r>
      <w:r>
        <w:rPr>
          <w:spacing w:val="-3"/>
        </w:rPr>
        <w:t xml:space="preserve"> </w:t>
      </w:r>
      <w:r>
        <w:t xml:space="preserve">acting as antacids and laxatives (Garg </w:t>
      </w:r>
      <w:r>
        <w:rPr>
          <w:i/>
        </w:rPr>
        <w:t xml:space="preserve">et al., </w:t>
      </w:r>
      <w:r>
        <w:t>2022). They</w:t>
      </w:r>
      <w:r>
        <w:rPr>
          <w:spacing w:val="-3"/>
        </w:rPr>
        <w:t xml:space="preserve"> </w:t>
      </w:r>
      <w:r>
        <w:t xml:space="preserve">also have other uses as indicated in records for the individual salts, the sulfate salt in particular has many additional medical uses and the reader is referred particularly to the record for magnesium sulfate (Garg </w:t>
      </w:r>
      <w:r>
        <w:rPr>
          <w:i/>
        </w:rPr>
        <w:t xml:space="preserve">et al., </w:t>
      </w:r>
      <w:r>
        <w:t>2022).</w:t>
      </w:r>
    </w:p>
    <w:p w14:paraId="04F3DE37" w14:textId="77777777" w:rsidR="00A02889" w:rsidRDefault="00000000">
      <w:pPr>
        <w:pStyle w:val="BodyText"/>
        <w:rPr>
          <w:sz w:val="16"/>
        </w:rPr>
      </w:pPr>
      <w:r>
        <w:rPr>
          <w:noProof/>
          <w:sz w:val="16"/>
        </w:rPr>
        <w:drawing>
          <wp:anchor distT="0" distB="0" distL="0" distR="0" simplePos="0" relativeHeight="487588352" behindDoc="1" locked="0" layoutInCell="1" allowOverlap="1" wp14:anchorId="1A03A3E5" wp14:editId="18B33EE4">
            <wp:simplePos x="0" y="0"/>
            <wp:positionH relativeFrom="page">
              <wp:posOffset>2750270</wp:posOffset>
            </wp:positionH>
            <wp:positionV relativeFrom="paragraph">
              <wp:posOffset>132085</wp:posOffset>
            </wp:positionV>
            <wp:extent cx="2348361" cy="2392299"/>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0" cstate="print"/>
                    <a:stretch>
                      <a:fillRect/>
                    </a:stretch>
                  </pic:blipFill>
                  <pic:spPr>
                    <a:xfrm>
                      <a:off x="0" y="0"/>
                      <a:ext cx="2348361" cy="2392299"/>
                    </a:xfrm>
                    <a:prstGeom prst="rect">
                      <a:avLst/>
                    </a:prstGeom>
                  </pic:spPr>
                </pic:pic>
              </a:graphicData>
            </a:graphic>
          </wp:anchor>
        </w:drawing>
      </w:r>
    </w:p>
    <w:p w14:paraId="1AA0992F" w14:textId="77777777" w:rsidR="00A02889" w:rsidRDefault="00A02889">
      <w:pPr>
        <w:pStyle w:val="BodyText"/>
      </w:pPr>
    </w:p>
    <w:p w14:paraId="1E215234" w14:textId="77777777" w:rsidR="00A02889" w:rsidRDefault="00A02889">
      <w:pPr>
        <w:pStyle w:val="BodyText"/>
        <w:spacing w:before="113"/>
      </w:pPr>
    </w:p>
    <w:p w14:paraId="7F5B5C38" w14:textId="77777777" w:rsidR="00A02889" w:rsidRDefault="00000000">
      <w:pPr>
        <w:pStyle w:val="Heading2"/>
        <w:ind w:left="720" w:firstLine="0"/>
        <w:jc w:val="both"/>
      </w:pPr>
      <w:bookmarkStart w:id="38" w:name="_bookmark38"/>
      <w:bookmarkEnd w:id="38"/>
      <w:r>
        <w:t>Figure</w:t>
      </w:r>
      <w:r>
        <w:rPr>
          <w:spacing w:val="-2"/>
        </w:rPr>
        <w:t xml:space="preserve"> </w:t>
      </w:r>
      <w:r>
        <w:t>2: Magnesium</w:t>
      </w:r>
      <w:r>
        <w:rPr>
          <w:spacing w:val="-4"/>
        </w:rPr>
        <w:t xml:space="preserve"> </w:t>
      </w:r>
      <w:r>
        <w:rPr>
          <w:spacing w:val="-2"/>
        </w:rPr>
        <w:t>Trisilicate.</w:t>
      </w:r>
    </w:p>
    <w:p w14:paraId="6EEDCD8C" w14:textId="77777777" w:rsidR="00A02889" w:rsidRDefault="00A02889">
      <w:pPr>
        <w:pStyle w:val="BodyText"/>
        <w:rPr>
          <w:b/>
        </w:rPr>
      </w:pPr>
    </w:p>
    <w:p w14:paraId="33F361C8" w14:textId="77777777" w:rsidR="00A02889" w:rsidRDefault="00A02889">
      <w:pPr>
        <w:pStyle w:val="BodyText"/>
        <w:spacing w:before="2"/>
        <w:rPr>
          <w:b/>
        </w:rPr>
      </w:pPr>
    </w:p>
    <w:p w14:paraId="1AFAFB1E" w14:textId="77777777" w:rsidR="00A02889" w:rsidRDefault="00000000">
      <w:pPr>
        <w:pStyle w:val="BodyText"/>
        <w:spacing w:before="1"/>
        <w:ind w:left="720"/>
        <w:jc w:val="both"/>
      </w:pPr>
      <w:r>
        <w:t>Source:</w:t>
      </w:r>
      <w:r>
        <w:rPr>
          <w:spacing w:val="-2"/>
        </w:rPr>
        <w:t xml:space="preserve"> </w:t>
      </w:r>
      <w:r>
        <w:t>(</w:t>
      </w:r>
      <w:proofErr w:type="spellStart"/>
      <w:r>
        <w:t>Fidson</w:t>
      </w:r>
      <w:proofErr w:type="spellEnd"/>
      <w:r>
        <w:rPr>
          <w:spacing w:val="-2"/>
        </w:rPr>
        <w:t xml:space="preserve"> </w:t>
      </w:r>
      <w:r>
        <w:t>Healthcare</w:t>
      </w:r>
      <w:r>
        <w:rPr>
          <w:spacing w:val="-4"/>
        </w:rPr>
        <w:t xml:space="preserve"> </w:t>
      </w:r>
      <w:r>
        <w:t>Plc,</w:t>
      </w:r>
      <w:r>
        <w:rPr>
          <w:spacing w:val="-1"/>
        </w:rPr>
        <w:t xml:space="preserve"> </w:t>
      </w:r>
      <w:r>
        <w:rPr>
          <w:spacing w:val="-2"/>
        </w:rPr>
        <w:t>2022)</w:t>
      </w:r>
    </w:p>
    <w:p w14:paraId="29806FFD" w14:textId="77777777" w:rsidR="00A02889" w:rsidRDefault="00A02889">
      <w:pPr>
        <w:pStyle w:val="BodyText"/>
        <w:jc w:val="both"/>
        <w:sectPr w:rsidR="00A02889">
          <w:pgSz w:w="12240" w:h="15840"/>
          <w:pgMar w:top="1360" w:right="720" w:bottom="1260" w:left="720" w:header="0" w:footer="1068" w:gutter="0"/>
          <w:cols w:space="720"/>
        </w:sectPr>
      </w:pPr>
    </w:p>
    <w:p w14:paraId="3F54F854" w14:textId="77777777" w:rsidR="00A02889" w:rsidRDefault="00A02889">
      <w:pPr>
        <w:pStyle w:val="BodyText"/>
        <w:spacing w:before="171"/>
      </w:pPr>
    </w:p>
    <w:p w14:paraId="39C789EE" w14:textId="77777777" w:rsidR="00A02889" w:rsidRDefault="00000000">
      <w:pPr>
        <w:pStyle w:val="Heading2"/>
        <w:numPr>
          <w:ilvl w:val="2"/>
          <w:numId w:val="10"/>
        </w:numPr>
        <w:tabs>
          <w:tab w:val="left" w:pos="1260"/>
        </w:tabs>
      </w:pPr>
      <w:bookmarkStart w:id="39" w:name="_bookmark39"/>
      <w:bookmarkEnd w:id="39"/>
      <w:r>
        <w:t>Pharmacokinetics</w:t>
      </w:r>
      <w:r>
        <w:rPr>
          <w:spacing w:val="-1"/>
        </w:rPr>
        <w:t xml:space="preserve"> </w:t>
      </w:r>
      <w:r>
        <w:t>of</w:t>
      </w:r>
      <w:r>
        <w:rPr>
          <w:spacing w:val="-2"/>
        </w:rPr>
        <w:t xml:space="preserve"> </w:t>
      </w:r>
      <w:r>
        <w:t>Magnesium</w:t>
      </w:r>
      <w:r>
        <w:rPr>
          <w:spacing w:val="-6"/>
        </w:rPr>
        <w:t xml:space="preserve"> </w:t>
      </w:r>
      <w:r>
        <w:rPr>
          <w:spacing w:val="-2"/>
        </w:rPr>
        <w:t>trisilicate</w:t>
      </w:r>
    </w:p>
    <w:p w14:paraId="37033A04" w14:textId="77777777" w:rsidR="00A02889" w:rsidRDefault="00A02889">
      <w:pPr>
        <w:pStyle w:val="BodyText"/>
        <w:rPr>
          <w:b/>
        </w:rPr>
      </w:pPr>
    </w:p>
    <w:p w14:paraId="11D57B08" w14:textId="77777777" w:rsidR="00A02889" w:rsidRDefault="00A02889">
      <w:pPr>
        <w:pStyle w:val="BodyText"/>
        <w:rPr>
          <w:b/>
        </w:rPr>
      </w:pPr>
    </w:p>
    <w:p w14:paraId="45DD91A3" w14:textId="77777777" w:rsidR="00A02889" w:rsidRDefault="00000000">
      <w:pPr>
        <w:pStyle w:val="BodyText"/>
        <w:spacing w:line="480" w:lineRule="auto"/>
        <w:ind w:left="720" w:right="716"/>
        <w:jc w:val="both"/>
      </w:pPr>
      <w:r>
        <w:t>Magnesium trisilicate is virtually insoluble in water. However, the chloride formed in the stomach following magnesium trisilicate reaction with gastric acid is highly soluble and up to</w:t>
      </w:r>
      <w:r>
        <w:rPr>
          <w:spacing w:val="40"/>
        </w:rPr>
        <w:t xml:space="preserve"> </w:t>
      </w:r>
      <w:r>
        <w:t>10-30% of the chloride can be absorbed and widely</w:t>
      </w:r>
      <w:r>
        <w:rPr>
          <w:spacing w:val="-3"/>
        </w:rPr>
        <w:t xml:space="preserve"> </w:t>
      </w:r>
      <w:r>
        <w:t>distributed (Sweetman, 2002).</w:t>
      </w:r>
      <w:r>
        <w:rPr>
          <w:spacing w:val="-2"/>
        </w:rPr>
        <w:t xml:space="preserve"> </w:t>
      </w:r>
      <w:r>
        <w:t>The trisilicate salt reacts more slowly with hydrochloric acid than the hydroxide salt (Sweetman, 2002). The fraction absorbed into plasma exists as 33% bound to protein and 7% bound to phosphate and other anions. It is widely and rapidly</w:t>
      </w:r>
      <w:r>
        <w:rPr>
          <w:spacing w:val="-3"/>
        </w:rPr>
        <w:t xml:space="preserve"> </w:t>
      </w:r>
      <w:r>
        <w:t>distributed to about 90% in soft tissue and bone; only</w:t>
      </w:r>
      <w:r>
        <w:rPr>
          <w:spacing w:val="-5"/>
        </w:rPr>
        <w:t xml:space="preserve"> </w:t>
      </w:r>
      <w:r>
        <w:t>small amounts remain in blood. Excretion is rapid and largely by the renal route; there is saturable reabsorption of magnesium across the renal tubule; significant renal impairment may result in accumulation; renal impairment may require dosage adjustment if high doses are being taken. Tubular reabsorption by saturable mechanism takes place and if the plasma levels exceed the critical renal threshold, excretion takes place rapidly (Ranade and Somberg, 2001).</w:t>
      </w:r>
    </w:p>
    <w:p w14:paraId="6028E8BD" w14:textId="77777777" w:rsidR="00A02889" w:rsidRDefault="00A02889">
      <w:pPr>
        <w:pStyle w:val="BodyText"/>
        <w:spacing w:before="9"/>
      </w:pPr>
    </w:p>
    <w:p w14:paraId="1C75824A" w14:textId="77777777" w:rsidR="00A02889" w:rsidRDefault="00000000">
      <w:pPr>
        <w:pStyle w:val="Heading2"/>
        <w:numPr>
          <w:ilvl w:val="2"/>
          <w:numId w:val="10"/>
        </w:numPr>
        <w:tabs>
          <w:tab w:val="left" w:pos="1260"/>
        </w:tabs>
      </w:pPr>
      <w:bookmarkStart w:id="40" w:name="_bookmark40"/>
      <w:bookmarkEnd w:id="40"/>
      <w:r>
        <w:t>Adverse</w:t>
      </w:r>
      <w:r>
        <w:rPr>
          <w:spacing w:val="-2"/>
        </w:rPr>
        <w:t xml:space="preserve"> </w:t>
      </w:r>
      <w:r>
        <w:t>Effects</w:t>
      </w:r>
      <w:r>
        <w:rPr>
          <w:spacing w:val="-1"/>
        </w:rPr>
        <w:t xml:space="preserve"> </w:t>
      </w:r>
      <w:r>
        <w:t>of</w:t>
      </w:r>
      <w:r>
        <w:rPr>
          <w:spacing w:val="-1"/>
        </w:rPr>
        <w:t xml:space="preserve"> </w:t>
      </w:r>
      <w:r>
        <w:t>Magnesium</w:t>
      </w:r>
      <w:r>
        <w:rPr>
          <w:spacing w:val="-4"/>
        </w:rPr>
        <w:t xml:space="preserve"> </w:t>
      </w:r>
      <w:r>
        <w:rPr>
          <w:spacing w:val="-2"/>
        </w:rPr>
        <w:t>trisilicate</w:t>
      </w:r>
    </w:p>
    <w:p w14:paraId="63140C60" w14:textId="77777777" w:rsidR="00A02889" w:rsidRDefault="00A02889">
      <w:pPr>
        <w:pStyle w:val="BodyText"/>
        <w:rPr>
          <w:b/>
        </w:rPr>
      </w:pPr>
    </w:p>
    <w:p w14:paraId="132BA142" w14:textId="77777777" w:rsidR="00A02889" w:rsidRDefault="00A02889">
      <w:pPr>
        <w:pStyle w:val="BodyText"/>
        <w:rPr>
          <w:b/>
        </w:rPr>
      </w:pPr>
    </w:p>
    <w:p w14:paraId="0BD6276A" w14:textId="77777777" w:rsidR="00A02889" w:rsidRDefault="00000000">
      <w:pPr>
        <w:pStyle w:val="BodyText"/>
        <w:spacing w:line="480" w:lineRule="auto"/>
        <w:ind w:left="720" w:right="719"/>
        <w:jc w:val="both"/>
      </w:pPr>
      <w:r>
        <w:t xml:space="preserve">Adverse effects are most frequently observed with magnesium salts when administered parenterally, and less commonly with high-dose oral use or in patients with renal impairment (Yadav, </w:t>
      </w:r>
      <w:r>
        <w:rPr>
          <w:i/>
        </w:rPr>
        <w:t xml:space="preserve">et al., </w:t>
      </w:r>
      <w:r>
        <w:t xml:space="preserve">2024). These effects can include dehydration, diarrhea, increased urination, hypermagnesemia, hypophosphatemia, hypotension, nausea, vomiting, and neuromuscular blockade (Yadav, </w:t>
      </w:r>
      <w:r>
        <w:rPr>
          <w:i/>
        </w:rPr>
        <w:t xml:space="preserve">et al., </w:t>
      </w:r>
      <w:r>
        <w:t>2024).</w:t>
      </w:r>
    </w:p>
    <w:p w14:paraId="31B2B718" w14:textId="77777777" w:rsidR="00A02889" w:rsidRDefault="00A02889">
      <w:pPr>
        <w:pStyle w:val="BodyText"/>
        <w:spacing w:before="10"/>
      </w:pPr>
    </w:p>
    <w:p w14:paraId="3026E64B" w14:textId="77777777" w:rsidR="00A02889" w:rsidRDefault="00000000">
      <w:pPr>
        <w:pStyle w:val="Heading2"/>
        <w:numPr>
          <w:ilvl w:val="1"/>
          <w:numId w:val="10"/>
        </w:numPr>
        <w:tabs>
          <w:tab w:val="left" w:pos="1200"/>
        </w:tabs>
        <w:spacing w:before="1"/>
        <w:ind w:left="1200" w:hanging="480"/>
      </w:pPr>
      <w:bookmarkStart w:id="41" w:name="_bookmark41"/>
      <w:bookmarkEnd w:id="41"/>
      <w:r>
        <w:rPr>
          <w:spacing w:val="-2"/>
        </w:rPr>
        <w:t>Ginger</w:t>
      </w:r>
    </w:p>
    <w:p w14:paraId="5F5D852A" w14:textId="77777777" w:rsidR="00A02889" w:rsidRDefault="00A02889">
      <w:pPr>
        <w:pStyle w:val="Heading2"/>
        <w:sectPr w:rsidR="00A02889">
          <w:pgSz w:w="12240" w:h="15840"/>
          <w:pgMar w:top="1820" w:right="720" w:bottom="1260" w:left="720" w:header="0" w:footer="1068" w:gutter="0"/>
          <w:cols w:space="720"/>
        </w:sectPr>
      </w:pPr>
    </w:p>
    <w:p w14:paraId="21CA85C2" w14:textId="77777777" w:rsidR="00A02889" w:rsidRDefault="00000000">
      <w:pPr>
        <w:pStyle w:val="BodyText"/>
        <w:spacing w:before="72" w:line="480" w:lineRule="auto"/>
        <w:ind w:left="720" w:right="721"/>
        <w:jc w:val="both"/>
      </w:pPr>
      <w:r>
        <w:lastRenderedPageBreak/>
        <w:t>The use of ―natural‖ or alternative medicines has increased markedly over the last few years. More and more older adults (i.e., baby boomers) are using complementary and alternative medicine dietary supplements and herbal remedies without advice from a physician on the assumption that these substances will have a beneficial effect (Cohen and Pan, 2002).</w:t>
      </w:r>
    </w:p>
    <w:p w14:paraId="717A33B9" w14:textId="77777777" w:rsidR="00A02889" w:rsidRDefault="00000000">
      <w:pPr>
        <w:pStyle w:val="BodyText"/>
        <w:spacing w:before="199" w:line="480" w:lineRule="auto"/>
        <w:ind w:left="720" w:right="715"/>
        <w:jc w:val="both"/>
      </w:pPr>
      <w:r>
        <w:t>Ginger (</w:t>
      </w:r>
      <w:r>
        <w:rPr>
          <w:i/>
        </w:rPr>
        <w:t xml:space="preserve">Zingiber officinale Roscoe, </w:t>
      </w:r>
      <w:proofErr w:type="spellStart"/>
      <w:r>
        <w:rPr>
          <w:i/>
        </w:rPr>
        <w:t>Zingiberaceae</w:t>
      </w:r>
      <w:proofErr w:type="spellEnd"/>
      <w:r>
        <w:t xml:space="preserve">) is one of the most commonly consumed dietary condiments in the world (Surh </w:t>
      </w:r>
      <w:r>
        <w:rPr>
          <w:i/>
        </w:rPr>
        <w:t xml:space="preserve">et al. </w:t>
      </w:r>
      <w:r>
        <w:t>2002). The oleoresin (i.e., oily resin) from the rhizomes (i.e., roots) of ginger contains many</w:t>
      </w:r>
      <w:r>
        <w:rPr>
          <w:spacing w:val="-4"/>
        </w:rPr>
        <w:t xml:space="preserve"> </w:t>
      </w:r>
      <w:r>
        <w:t>bioactive components that function in reducing the acids in gastrointestinal tract, such as; gingerol (1</w:t>
      </w:r>
      <w:proofErr w:type="gramStart"/>
      <w:r>
        <w:t>-[</w:t>
      </w:r>
      <w:proofErr w:type="gramEnd"/>
      <w:r>
        <w:t xml:space="preserve">4′ hydroxy-3′- methoxyphenyl], hydroxy-3- </w:t>
      </w:r>
      <w:proofErr w:type="spellStart"/>
      <w:r>
        <w:t>decanone</w:t>
      </w:r>
      <w:proofErr w:type="spellEnd"/>
      <w:r>
        <w:t>, which is the primary pungent ingredient that is believed to exert a variety of remarkable pharmacological and physiological activities. Although ginger is generally</w:t>
      </w:r>
      <w:r>
        <w:rPr>
          <w:spacing w:val="40"/>
        </w:rPr>
        <w:t xml:space="preserve"> </w:t>
      </w:r>
      <w:r>
        <w:t>considered to be safe (Kaul and Joshi 2001), the lack of a complete understanding of its mechanisms</w:t>
      </w:r>
      <w:r>
        <w:rPr>
          <w:spacing w:val="-4"/>
        </w:rPr>
        <w:t xml:space="preserve"> </w:t>
      </w:r>
      <w:r>
        <w:t>of</w:t>
      </w:r>
      <w:r>
        <w:rPr>
          <w:spacing w:val="-2"/>
        </w:rPr>
        <w:t xml:space="preserve"> </w:t>
      </w:r>
      <w:r>
        <w:t>action</w:t>
      </w:r>
      <w:r>
        <w:rPr>
          <w:spacing w:val="-3"/>
        </w:rPr>
        <w:t xml:space="preserve"> </w:t>
      </w:r>
      <w:r>
        <w:t>suggests</w:t>
      </w:r>
      <w:r>
        <w:rPr>
          <w:spacing w:val="-1"/>
        </w:rPr>
        <w:t xml:space="preserve"> </w:t>
      </w:r>
      <w:r>
        <w:t>caution</w:t>
      </w:r>
      <w:r>
        <w:rPr>
          <w:spacing w:val="-3"/>
        </w:rPr>
        <w:t xml:space="preserve"> </w:t>
      </w:r>
      <w:r>
        <w:t>in</w:t>
      </w:r>
      <w:r>
        <w:rPr>
          <w:spacing w:val="-3"/>
        </w:rPr>
        <w:t xml:space="preserve"> </w:t>
      </w:r>
      <w:r>
        <w:t>its</w:t>
      </w:r>
      <w:r>
        <w:rPr>
          <w:spacing w:val="-4"/>
        </w:rPr>
        <w:t xml:space="preserve"> </w:t>
      </w:r>
      <w:r>
        <w:t>therapeutic</w:t>
      </w:r>
      <w:r>
        <w:rPr>
          <w:spacing w:val="-4"/>
        </w:rPr>
        <w:t xml:space="preserve"> </w:t>
      </w:r>
      <w:r>
        <w:t>use</w:t>
      </w:r>
      <w:r>
        <w:rPr>
          <w:spacing w:val="-2"/>
        </w:rPr>
        <w:t xml:space="preserve"> </w:t>
      </w:r>
      <w:r>
        <w:t>(Wilkinson,</w:t>
      </w:r>
      <w:r>
        <w:rPr>
          <w:spacing w:val="-3"/>
        </w:rPr>
        <w:t xml:space="preserve"> </w:t>
      </w:r>
      <w:r>
        <w:t>2000).</w:t>
      </w:r>
      <w:r>
        <w:rPr>
          <w:spacing w:val="-3"/>
        </w:rPr>
        <w:t xml:space="preserve"> </w:t>
      </w:r>
      <w:r>
        <w:t>Previous</w:t>
      </w:r>
      <w:r>
        <w:rPr>
          <w:spacing w:val="-3"/>
        </w:rPr>
        <w:t xml:space="preserve"> </w:t>
      </w:r>
      <w:r>
        <w:t xml:space="preserve">reviews (Talalay, 2001) have emphasized the importance of careful scientific research in establishing the safety and efficacy of potential therapeutic plant remedies and in defining the risks and benefits of herbal medicine. Ginger has been used for thousands of years for the treatment of numerous ailments, such as colds, nausea, arthritis, migraines, and hypertension. Over the last few years, interest in ginger or its various components as valid preventive or therapeutic agents has increased markedly, and scientific studies focusing on verification of </w:t>
      </w:r>
      <w:proofErr w:type="gramStart"/>
      <w:r>
        <w:t>ginger‘</w:t>
      </w:r>
      <w:proofErr w:type="gramEnd"/>
      <w:r>
        <w:t xml:space="preserve">s pharmacological and physiological actions have likewise increased (Ali </w:t>
      </w:r>
      <w:r>
        <w:rPr>
          <w:i/>
        </w:rPr>
        <w:t xml:space="preserve">et al. </w:t>
      </w:r>
      <w:r>
        <w:t>2008).</w:t>
      </w:r>
    </w:p>
    <w:p w14:paraId="781F2EA6"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5F4D8C9D" w14:textId="77777777" w:rsidR="00A02889" w:rsidRDefault="00A02889">
      <w:pPr>
        <w:pStyle w:val="BodyText"/>
        <w:rPr>
          <w:sz w:val="20"/>
        </w:rPr>
      </w:pPr>
    </w:p>
    <w:p w14:paraId="3D185C0B" w14:textId="77777777" w:rsidR="00A02889" w:rsidRDefault="00A02889">
      <w:pPr>
        <w:pStyle w:val="BodyText"/>
        <w:rPr>
          <w:sz w:val="20"/>
        </w:rPr>
      </w:pPr>
    </w:p>
    <w:p w14:paraId="6A8FF93F" w14:textId="77777777" w:rsidR="00A02889" w:rsidRDefault="00A02889">
      <w:pPr>
        <w:pStyle w:val="BodyText"/>
        <w:rPr>
          <w:sz w:val="20"/>
        </w:rPr>
      </w:pPr>
    </w:p>
    <w:p w14:paraId="3059CB44" w14:textId="77777777" w:rsidR="00A02889" w:rsidRDefault="00A02889">
      <w:pPr>
        <w:pStyle w:val="BodyText"/>
        <w:rPr>
          <w:sz w:val="20"/>
        </w:rPr>
      </w:pPr>
    </w:p>
    <w:p w14:paraId="7FD7C053" w14:textId="77777777" w:rsidR="00A02889" w:rsidRDefault="00A02889">
      <w:pPr>
        <w:pStyle w:val="BodyText"/>
        <w:rPr>
          <w:sz w:val="20"/>
        </w:rPr>
      </w:pPr>
    </w:p>
    <w:p w14:paraId="12FA1B14" w14:textId="77777777" w:rsidR="00A02889" w:rsidRDefault="00A02889">
      <w:pPr>
        <w:pStyle w:val="BodyText"/>
        <w:rPr>
          <w:sz w:val="20"/>
        </w:rPr>
      </w:pPr>
    </w:p>
    <w:p w14:paraId="1FED8989" w14:textId="77777777" w:rsidR="00A02889" w:rsidRDefault="00A02889">
      <w:pPr>
        <w:pStyle w:val="BodyText"/>
        <w:rPr>
          <w:sz w:val="20"/>
        </w:rPr>
      </w:pPr>
    </w:p>
    <w:p w14:paraId="76C21A3E" w14:textId="77777777" w:rsidR="00A02889" w:rsidRDefault="00A02889">
      <w:pPr>
        <w:pStyle w:val="BodyText"/>
        <w:spacing w:before="36"/>
        <w:rPr>
          <w:sz w:val="20"/>
        </w:rPr>
      </w:pPr>
    </w:p>
    <w:p w14:paraId="0F75B5B0" w14:textId="77777777" w:rsidR="00A02889" w:rsidRDefault="00000000">
      <w:pPr>
        <w:pStyle w:val="BodyText"/>
        <w:ind w:left="3442"/>
        <w:rPr>
          <w:sz w:val="20"/>
        </w:rPr>
      </w:pPr>
      <w:r>
        <w:rPr>
          <w:noProof/>
          <w:sz w:val="20"/>
        </w:rPr>
        <w:drawing>
          <wp:inline distT="0" distB="0" distL="0" distR="0" wp14:anchorId="2F807B3C" wp14:editId="6F046E6E">
            <wp:extent cx="2477127" cy="2322576"/>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2477127" cy="2322576"/>
                    </a:xfrm>
                    <a:prstGeom prst="rect">
                      <a:avLst/>
                    </a:prstGeom>
                  </pic:spPr>
                </pic:pic>
              </a:graphicData>
            </a:graphic>
          </wp:inline>
        </w:drawing>
      </w:r>
    </w:p>
    <w:p w14:paraId="31C7C97A" w14:textId="77777777" w:rsidR="00A02889" w:rsidRDefault="00A02889">
      <w:pPr>
        <w:pStyle w:val="BodyText"/>
        <w:spacing w:before="206"/>
      </w:pPr>
    </w:p>
    <w:p w14:paraId="58890B0F" w14:textId="77777777" w:rsidR="00A02889" w:rsidRDefault="00000000">
      <w:pPr>
        <w:pStyle w:val="BodyText"/>
        <w:spacing w:line="655" w:lineRule="auto"/>
        <w:ind w:left="720" w:right="1307"/>
      </w:pPr>
      <w:r>
        <w:rPr>
          <w:b/>
        </w:rPr>
        <w:t>Figure</w:t>
      </w:r>
      <w:r>
        <w:rPr>
          <w:b/>
          <w:spacing w:val="-5"/>
        </w:rPr>
        <w:t xml:space="preserve"> </w:t>
      </w:r>
      <w:r>
        <w:rPr>
          <w:b/>
        </w:rPr>
        <w:t>3:</w:t>
      </w:r>
      <w:r>
        <w:rPr>
          <w:b/>
          <w:spacing w:val="-4"/>
        </w:rPr>
        <w:t xml:space="preserve"> </w:t>
      </w:r>
      <w:r>
        <w:rPr>
          <w:b/>
        </w:rPr>
        <w:t>Ginger</w:t>
      </w:r>
      <w:r>
        <w:rPr>
          <w:b/>
          <w:spacing w:val="-4"/>
        </w:rPr>
        <w:t xml:space="preserve"> </w:t>
      </w:r>
      <w:r>
        <w:t>commonly</w:t>
      </w:r>
      <w:r>
        <w:rPr>
          <w:spacing w:val="-9"/>
        </w:rPr>
        <w:t xml:space="preserve"> </w:t>
      </w:r>
      <w:r>
        <w:t>used</w:t>
      </w:r>
      <w:r>
        <w:rPr>
          <w:spacing w:val="-5"/>
        </w:rPr>
        <w:t xml:space="preserve"> </w:t>
      </w:r>
      <w:r>
        <w:t>for</w:t>
      </w:r>
      <w:r>
        <w:rPr>
          <w:spacing w:val="-4"/>
        </w:rPr>
        <w:t xml:space="preserve"> </w:t>
      </w:r>
      <w:r>
        <w:t>digestive</w:t>
      </w:r>
      <w:r>
        <w:rPr>
          <w:spacing w:val="-5"/>
        </w:rPr>
        <w:t xml:space="preserve"> </w:t>
      </w:r>
      <w:r>
        <w:t>relief</w:t>
      </w:r>
      <w:r>
        <w:rPr>
          <w:spacing w:val="-4"/>
        </w:rPr>
        <w:t xml:space="preserve"> </w:t>
      </w:r>
      <w:r>
        <w:t>and</w:t>
      </w:r>
      <w:r>
        <w:rPr>
          <w:spacing w:val="-4"/>
        </w:rPr>
        <w:t xml:space="preserve"> </w:t>
      </w:r>
      <w:r>
        <w:t>anti-inflammatory</w:t>
      </w:r>
      <w:r>
        <w:rPr>
          <w:spacing w:val="-7"/>
        </w:rPr>
        <w:t xml:space="preserve"> </w:t>
      </w:r>
      <w:r>
        <w:t>effects. Source: National Center for Complementary and Integrative Health (2025).</w:t>
      </w:r>
    </w:p>
    <w:p w14:paraId="1C7A3211" w14:textId="77777777" w:rsidR="00A02889" w:rsidRDefault="00000000">
      <w:pPr>
        <w:pStyle w:val="Heading2"/>
        <w:numPr>
          <w:ilvl w:val="2"/>
          <w:numId w:val="10"/>
        </w:numPr>
        <w:tabs>
          <w:tab w:val="left" w:pos="1380"/>
        </w:tabs>
        <w:spacing w:before="80"/>
        <w:ind w:left="1380" w:hanging="660"/>
      </w:pPr>
      <w:bookmarkStart w:id="42" w:name="_bookmark42"/>
      <w:bookmarkEnd w:id="42"/>
      <w:r>
        <w:t>Usage,</w:t>
      </w:r>
      <w:r>
        <w:rPr>
          <w:spacing w:val="-1"/>
        </w:rPr>
        <w:t xml:space="preserve"> </w:t>
      </w:r>
      <w:r>
        <w:t>Preparation</w:t>
      </w:r>
      <w:r>
        <w:rPr>
          <w:spacing w:val="-2"/>
        </w:rPr>
        <w:t xml:space="preserve"> </w:t>
      </w:r>
      <w:r>
        <w:t>and</w:t>
      </w:r>
      <w:r>
        <w:rPr>
          <w:spacing w:val="-2"/>
        </w:rPr>
        <w:t xml:space="preserve"> </w:t>
      </w:r>
      <w:r>
        <w:t>Processing</w:t>
      </w:r>
      <w:r>
        <w:rPr>
          <w:spacing w:val="-2"/>
        </w:rPr>
        <w:t xml:space="preserve"> </w:t>
      </w:r>
      <w:r>
        <w:t>of</w:t>
      </w:r>
      <w:r>
        <w:rPr>
          <w:spacing w:val="-1"/>
        </w:rPr>
        <w:t xml:space="preserve"> </w:t>
      </w:r>
      <w:r>
        <w:rPr>
          <w:spacing w:val="-2"/>
        </w:rPr>
        <w:t>Ginger</w:t>
      </w:r>
    </w:p>
    <w:p w14:paraId="16DF7412" w14:textId="77777777" w:rsidR="00A02889" w:rsidRDefault="00A02889">
      <w:pPr>
        <w:pStyle w:val="BodyText"/>
        <w:rPr>
          <w:b/>
        </w:rPr>
      </w:pPr>
    </w:p>
    <w:p w14:paraId="15748B5E" w14:textId="77777777" w:rsidR="00A02889" w:rsidRDefault="00A02889">
      <w:pPr>
        <w:pStyle w:val="BodyText"/>
        <w:rPr>
          <w:b/>
        </w:rPr>
      </w:pPr>
    </w:p>
    <w:p w14:paraId="33134ACC" w14:textId="77777777" w:rsidR="00A02889" w:rsidRDefault="00000000">
      <w:pPr>
        <w:pStyle w:val="BodyText"/>
        <w:spacing w:line="480" w:lineRule="auto"/>
        <w:ind w:left="720" w:right="716"/>
        <w:jc w:val="both"/>
      </w:pPr>
      <w:r>
        <w:t>Ginger is utilized in a variety of forms, including fresh, dried, pickled, preserved, crystallized, candied,</w:t>
      </w:r>
      <w:r>
        <w:rPr>
          <w:spacing w:val="-1"/>
        </w:rPr>
        <w:t xml:space="preserve"> </w:t>
      </w:r>
      <w:r>
        <w:t>and powdered (</w:t>
      </w:r>
      <w:proofErr w:type="spellStart"/>
      <w:r>
        <w:t>Ersedo</w:t>
      </w:r>
      <w:proofErr w:type="spellEnd"/>
      <w:r>
        <w:t xml:space="preserve"> </w:t>
      </w:r>
      <w:r>
        <w:rPr>
          <w:i/>
        </w:rPr>
        <w:t>et al.,</w:t>
      </w:r>
      <w:r>
        <w:rPr>
          <w:i/>
          <w:spacing w:val="40"/>
        </w:rPr>
        <w:t xml:space="preserve"> </w:t>
      </w:r>
      <w:r>
        <w:t>2023). It has a</w:t>
      </w:r>
      <w:r>
        <w:rPr>
          <w:spacing w:val="-1"/>
        </w:rPr>
        <w:t xml:space="preserve"> </w:t>
      </w:r>
      <w:r>
        <w:t>slightly</w:t>
      </w:r>
      <w:r>
        <w:rPr>
          <w:spacing w:val="-8"/>
        </w:rPr>
        <w:t xml:space="preserve"> </w:t>
      </w:r>
      <w:r>
        <w:t>sweet, peppery</w:t>
      </w:r>
      <w:r>
        <w:rPr>
          <w:spacing w:val="-5"/>
        </w:rPr>
        <w:t xml:space="preserve"> </w:t>
      </w:r>
      <w:r>
        <w:t>flavor</w:t>
      </w:r>
      <w:r>
        <w:rPr>
          <w:spacing w:val="-1"/>
        </w:rPr>
        <w:t xml:space="preserve"> </w:t>
      </w:r>
      <w:r>
        <w:t>and a</w:t>
      </w:r>
      <w:r>
        <w:rPr>
          <w:spacing w:val="-1"/>
        </w:rPr>
        <w:t xml:space="preserve"> </w:t>
      </w:r>
      <w:r>
        <w:t>strong, spicy aroma. As ginger matures, the concentration of its essential oils increases, meaning the intended use of the rhizome dictates the optimal harvest time (</w:t>
      </w:r>
      <w:proofErr w:type="spellStart"/>
      <w:r>
        <w:t>Ersedo</w:t>
      </w:r>
      <w:proofErr w:type="spellEnd"/>
      <w:r>
        <w:t xml:space="preserve"> </w:t>
      </w:r>
      <w:r>
        <w:rPr>
          <w:i/>
        </w:rPr>
        <w:t>et al.,</w:t>
      </w:r>
      <w:r>
        <w:rPr>
          <w:i/>
          <w:spacing w:val="40"/>
        </w:rPr>
        <w:t xml:space="preserve"> </w:t>
      </w:r>
      <w:r>
        <w:t>2023). For instance, when oil extraction is the primary goal, ginger can be harvested after nine months or more. Pickled ginger, often prepared in sweet vinegar which imparts a pink color, is particularly popular</w:t>
      </w:r>
      <w:r>
        <w:rPr>
          <w:spacing w:val="24"/>
        </w:rPr>
        <w:t xml:space="preserve"> </w:t>
      </w:r>
      <w:r>
        <w:t>as</w:t>
      </w:r>
      <w:r>
        <w:rPr>
          <w:spacing w:val="27"/>
        </w:rPr>
        <w:t xml:space="preserve"> </w:t>
      </w:r>
      <w:r>
        <w:t>an</w:t>
      </w:r>
      <w:r>
        <w:rPr>
          <w:spacing w:val="28"/>
        </w:rPr>
        <w:t xml:space="preserve"> </w:t>
      </w:r>
      <w:r>
        <w:t>accompaniment</w:t>
      </w:r>
      <w:r>
        <w:rPr>
          <w:spacing w:val="28"/>
        </w:rPr>
        <w:t xml:space="preserve"> </w:t>
      </w:r>
      <w:r>
        <w:t>to</w:t>
      </w:r>
      <w:r>
        <w:rPr>
          <w:spacing w:val="28"/>
        </w:rPr>
        <w:t xml:space="preserve"> </w:t>
      </w:r>
      <w:r>
        <w:t>sushi</w:t>
      </w:r>
      <w:r>
        <w:rPr>
          <w:spacing w:val="29"/>
        </w:rPr>
        <w:t xml:space="preserve"> </w:t>
      </w:r>
      <w:r>
        <w:t>(</w:t>
      </w:r>
      <w:proofErr w:type="spellStart"/>
      <w:r>
        <w:t>Ersedo</w:t>
      </w:r>
      <w:proofErr w:type="spellEnd"/>
      <w:r>
        <w:rPr>
          <w:spacing w:val="30"/>
        </w:rPr>
        <w:t xml:space="preserve"> </w:t>
      </w:r>
      <w:r>
        <w:rPr>
          <w:i/>
        </w:rPr>
        <w:t>et</w:t>
      </w:r>
      <w:r>
        <w:rPr>
          <w:i/>
          <w:spacing w:val="28"/>
        </w:rPr>
        <w:t xml:space="preserve"> </w:t>
      </w:r>
      <w:r>
        <w:rPr>
          <w:i/>
        </w:rPr>
        <w:t>al.</w:t>
      </w:r>
      <w:proofErr w:type="gramStart"/>
      <w:r>
        <w:rPr>
          <w:i/>
        </w:rPr>
        <w:t>,</w:t>
      </w:r>
      <w:r>
        <w:rPr>
          <w:i/>
          <w:spacing w:val="28"/>
        </w:rPr>
        <w:t xml:space="preserve">  </w:t>
      </w:r>
      <w:r>
        <w:t>2023</w:t>
      </w:r>
      <w:proofErr w:type="gramEnd"/>
      <w:r>
        <w:t>).</w:t>
      </w:r>
      <w:r>
        <w:rPr>
          <w:spacing w:val="28"/>
        </w:rPr>
        <w:t xml:space="preserve"> </w:t>
      </w:r>
      <w:r>
        <w:t>Ginger</w:t>
      </w:r>
      <w:r>
        <w:rPr>
          <w:spacing w:val="27"/>
        </w:rPr>
        <w:t xml:space="preserve"> </w:t>
      </w:r>
      <w:r>
        <w:t>harvested</w:t>
      </w:r>
      <w:r>
        <w:rPr>
          <w:spacing w:val="27"/>
        </w:rPr>
        <w:t xml:space="preserve"> </w:t>
      </w:r>
      <w:r>
        <w:t>at</w:t>
      </w:r>
      <w:r>
        <w:rPr>
          <w:spacing w:val="28"/>
        </w:rPr>
        <w:t xml:space="preserve"> </w:t>
      </w:r>
      <w:r>
        <w:t>8–9</w:t>
      </w:r>
      <w:r>
        <w:rPr>
          <w:spacing w:val="28"/>
        </w:rPr>
        <w:t xml:space="preserve"> </w:t>
      </w:r>
      <w:r>
        <w:rPr>
          <w:spacing w:val="-2"/>
        </w:rPr>
        <w:t>months</w:t>
      </w:r>
    </w:p>
    <w:p w14:paraId="0629500D" w14:textId="77777777" w:rsidR="00A02889" w:rsidRDefault="00A02889">
      <w:pPr>
        <w:pStyle w:val="BodyText"/>
        <w:spacing w:line="480" w:lineRule="auto"/>
        <w:jc w:val="both"/>
        <w:sectPr w:rsidR="00A02889">
          <w:pgSz w:w="12240" w:h="15840"/>
          <w:pgMar w:top="1820" w:right="720" w:bottom="1260" w:left="720" w:header="0" w:footer="1068" w:gutter="0"/>
          <w:cols w:space="720"/>
        </w:sectPr>
      </w:pPr>
    </w:p>
    <w:p w14:paraId="79F0B153" w14:textId="77777777" w:rsidR="00A02889" w:rsidRDefault="00000000">
      <w:pPr>
        <w:pStyle w:val="BodyText"/>
        <w:spacing w:before="72" w:line="482" w:lineRule="auto"/>
        <w:ind w:left="720" w:right="722"/>
        <w:jc w:val="both"/>
      </w:pPr>
      <w:r>
        <w:lastRenderedPageBreak/>
        <w:t xml:space="preserve">develops a tougher skin that must be removed before consumption, and its pungency is heightened, making it suitable for drying or grinding into powdered ginger (Engdal </w:t>
      </w:r>
      <w:r>
        <w:rPr>
          <w:i/>
        </w:rPr>
        <w:t xml:space="preserve">et al., </w:t>
      </w:r>
      <w:r>
        <w:t>2009).</w:t>
      </w:r>
    </w:p>
    <w:p w14:paraId="21CFBC9C" w14:textId="77777777" w:rsidR="00A02889" w:rsidRDefault="00A02889">
      <w:pPr>
        <w:pStyle w:val="BodyText"/>
      </w:pPr>
    </w:p>
    <w:p w14:paraId="39835F19" w14:textId="77777777" w:rsidR="00A02889" w:rsidRDefault="00A02889">
      <w:pPr>
        <w:pStyle w:val="BodyText"/>
      </w:pPr>
    </w:p>
    <w:p w14:paraId="7FE42549" w14:textId="77777777" w:rsidR="00A02889" w:rsidRDefault="00A02889">
      <w:pPr>
        <w:pStyle w:val="BodyText"/>
        <w:spacing w:before="203"/>
      </w:pPr>
    </w:p>
    <w:p w14:paraId="6E774E3D" w14:textId="77777777" w:rsidR="00A02889" w:rsidRDefault="00000000">
      <w:pPr>
        <w:pStyle w:val="Heading2"/>
        <w:numPr>
          <w:ilvl w:val="2"/>
          <w:numId w:val="10"/>
        </w:numPr>
        <w:tabs>
          <w:tab w:val="left" w:pos="1380"/>
        </w:tabs>
        <w:ind w:left="1380" w:hanging="660"/>
      </w:pPr>
      <w:bookmarkStart w:id="43" w:name="_bookmark43"/>
      <w:bookmarkEnd w:id="43"/>
      <w:r>
        <w:t>Health</w:t>
      </w:r>
      <w:r>
        <w:rPr>
          <w:spacing w:val="-1"/>
        </w:rPr>
        <w:t xml:space="preserve"> </w:t>
      </w:r>
      <w:r>
        <w:t>Effects</w:t>
      </w:r>
      <w:r>
        <w:rPr>
          <w:spacing w:val="-1"/>
        </w:rPr>
        <w:t xml:space="preserve"> </w:t>
      </w:r>
      <w:r>
        <w:t>of Ginger</w:t>
      </w:r>
      <w:r>
        <w:rPr>
          <w:spacing w:val="-2"/>
        </w:rPr>
        <w:t xml:space="preserve"> </w:t>
      </w:r>
      <w:r>
        <w:t>as</w:t>
      </w:r>
      <w:r>
        <w:rPr>
          <w:spacing w:val="-1"/>
        </w:rPr>
        <w:t xml:space="preserve"> </w:t>
      </w:r>
      <w:r>
        <w:t xml:space="preserve">an </w:t>
      </w:r>
      <w:r>
        <w:rPr>
          <w:spacing w:val="-2"/>
        </w:rPr>
        <w:t>Antacid</w:t>
      </w:r>
    </w:p>
    <w:p w14:paraId="72016993" w14:textId="77777777" w:rsidR="00A02889" w:rsidRDefault="00A02889">
      <w:pPr>
        <w:pStyle w:val="BodyText"/>
        <w:rPr>
          <w:b/>
        </w:rPr>
      </w:pPr>
    </w:p>
    <w:p w14:paraId="3B3C3080" w14:textId="77777777" w:rsidR="00A02889" w:rsidRDefault="00A02889">
      <w:pPr>
        <w:pStyle w:val="BodyText"/>
        <w:rPr>
          <w:b/>
        </w:rPr>
      </w:pPr>
    </w:p>
    <w:p w14:paraId="0F1D8155" w14:textId="77777777" w:rsidR="00A02889" w:rsidRDefault="00000000">
      <w:pPr>
        <w:pStyle w:val="BodyText"/>
        <w:spacing w:before="1" w:line="480" w:lineRule="auto"/>
        <w:ind w:left="720" w:right="718"/>
        <w:jc w:val="both"/>
      </w:pPr>
      <w:r>
        <w:t>Given that ginger and its metabolites tend to accumulate in the gastrointestinal tract, it is unsurprising</w:t>
      </w:r>
      <w:r>
        <w:rPr>
          <w:spacing w:val="-4"/>
        </w:rPr>
        <w:t xml:space="preserve"> </w:t>
      </w:r>
      <w:r>
        <w:t>that</w:t>
      </w:r>
      <w:r>
        <w:rPr>
          <w:spacing w:val="-1"/>
        </w:rPr>
        <w:t xml:space="preserve"> </w:t>
      </w:r>
      <w:r>
        <w:t>many</w:t>
      </w:r>
      <w:r>
        <w:rPr>
          <w:spacing w:val="-6"/>
        </w:rPr>
        <w:t xml:space="preserve"> </w:t>
      </w:r>
      <w:r>
        <w:t>of</w:t>
      </w:r>
      <w:r>
        <w:rPr>
          <w:spacing w:val="-2"/>
        </w:rPr>
        <w:t xml:space="preserve"> </w:t>
      </w:r>
      <w:r>
        <w:t>its</w:t>
      </w:r>
      <w:r>
        <w:rPr>
          <w:spacing w:val="-1"/>
        </w:rPr>
        <w:t xml:space="preserve"> </w:t>
      </w:r>
      <w:r>
        <w:t>effects are</w:t>
      </w:r>
      <w:r>
        <w:rPr>
          <w:spacing w:val="-2"/>
        </w:rPr>
        <w:t xml:space="preserve"> </w:t>
      </w:r>
      <w:r>
        <w:t>observed in</w:t>
      </w:r>
      <w:r>
        <w:rPr>
          <w:spacing w:val="-1"/>
        </w:rPr>
        <w:t xml:space="preserve"> </w:t>
      </w:r>
      <w:r>
        <w:t>this</w:t>
      </w:r>
      <w:r>
        <w:rPr>
          <w:spacing w:val="-1"/>
        </w:rPr>
        <w:t xml:space="preserve"> </w:t>
      </w:r>
      <w:r>
        <w:t xml:space="preserve">area (Edo </w:t>
      </w:r>
      <w:r>
        <w:rPr>
          <w:i/>
        </w:rPr>
        <w:t>et</w:t>
      </w:r>
      <w:r>
        <w:rPr>
          <w:i/>
          <w:spacing w:val="-1"/>
        </w:rPr>
        <w:t xml:space="preserve"> </w:t>
      </w:r>
      <w:r>
        <w:rPr>
          <w:i/>
        </w:rPr>
        <w:t>al.,</w:t>
      </w:r>
      <w:r>
        <w:rPr>
          <w:i/>
          <w:spacing w:val="40"/>
        </w:rPr>
        <w:t xml:space="preserve"> </w:t>
      </w:r>
      <w:r>
        <w:t>2025).</w:t>
      </w:r>
      <w:r>
        <w:rPr>
          <w:spacing w:val="-2"/>
        </w:rPr>
        <w:t xml:space="preserve"> </w:t>
      </w:r>
      <w:r>
        <w:t xml:space="preserve">Historically, the most widely recognized use of ginger has been for the relief of nausea and vomiting (Langmead and Rampton, 2001). Reviews on herbal treatments for liver and gastrointestinal disorders have highlighted both the benefits and potential risks of such therapies (Feng, </w:t>
      </w:r>
      <w:r>
        <w:rPr>
          <w:i/>
        </w:rPr>
        <w:t xml:space="preserve">et al., </w:t>
      </w:r>
      <w:r>
        <w:t>2022), and</w:t>
      </w:r>
      <w:r>
        <w:rPr>
          <w:spacing w:val="40"/>
        </w:rPr>
        <w:t xml:space="preserve"> </w:t>
      </w:r>
      <w:r>
        <w:t xml:space="preserve">several controlled studies have demonstrated that ginger is generally effective as an antiemetic (Feng, </w:t>
      </w:r>
      <w:r>
        <w:rPr>
          <w:i/>
        </w:rPr>
        <w:t xml:space="preserve">et al., </w:t>
      </w:r>
      <w:r>
        <w:t xml:space="preserve">2022). Its antiemetic properties are thought to result from its carminative effect, which facilitates the breakdown and expulsion of intestinal gas. Supporting this mechanism, a randomized, double-blind trial in healthy volunteers found that ginger accelerated gastric emptying and stimulated antral contractions (Wu </w:t>
      </w:r>
      <w:r>
        <w:rPr>
          <w:i/>
        </w:rPr>
        <w:t xml:space="preserve">et al., </w:t>
      </w:r>
      <w:r>
        <w:t>2008).</w:t>
      </w:r>
    </w:p>
    <w:p w14:paraId="79F763C1" w14:textId="77777777" w:rsidR="00A02889" w:rsidRDefault="00A02889">
      <w:pPr>
        <w:pStyle w:val="BodyText"/>
        <w:spacing w:before="8"/>
      </w:pPr>
    </w:p>
    <w:p w14:paraId="22BAE710" w14:textId="77777777" w:rsidR="00A02889" w:rsidRDefault="00000000">
      <w:pPr>
        <w:pStyle w:val="Heading2"/>
        <w:numPr>
          <w:ilvl w:val="1"/>
          <w:numId w:val="10"/>
        </w:numPr>
        <w:tabs>
          <w:tab w:val="left" w:pos="1200"/>
        </w:tabs>
        <w:ind w:left="1200" w:hanging="480"/>
      </w:pPr>
      <w:bookmarkStart w:id="44" w:name="_bookmark44"/>
      <w:bookmarkEnd w:id="44"/>
      <w:r>
        <w:t>Baking</w:t>
      </w:r>
      <w:r>
        <w:rPr>
          <w:spacing w:val="-2"/>
        </w:rPr>
        <w:t xml:space="preserve"> </w:t>
      </w:r>
      <w:r>
        <w:rPr>
          <w:spacing w:val="-4"/>
        </w:rPr>
        <w:t>Soda</w:t>
      </w:r>
    </w:p>
    <w:p w14:paraId="773F25B4" w14:textId="77777777" w:rsidR="00A02889" w:rsidRDefault="00A02889">
      <w:pPr>
        <w:pStyle w:val="BodyText"/>
        <w:rPr>
          <w:b/>
        </w:rPr>
      </w:pPr>
    </w:p>
    <w:p w14:paraId="4C9662E0" w14:textId="77777777" w:rsidR="00A02889" w:rsidRDefault="00A02889">
      <w:pPr>
        <w:pStyle w:val="BodyText"/>
        <w:rPr>
          <w:b/>
        </w:rPr>
      </w:pPr>
    </w:p>
    <w:p w14:paraId="405C0836" w14:textId="77777777" w:rsidR="00A02889" w:rsidRDefault="00000000">
      <w:pPr>
        <w:pStyle w:val="BodyText"/>
        <w:spacing w:line="480" w:lineRule="auto"/>
        <w:ind w:left="720" w:right="715"/>
        <w:jc w:val="both"/>
      </w:pPr>
      <w:r>
        <w:t>Baking soda, chemically known as sodium bicarbonate (NaHCO</w:t>
      </w:r>
      <w:r>
        <w:rPr>
          <w:vertAlign w:val="subscript"/>
        </w:rPr>
        <w:t>3</w:t>
      </w:r>
      <w:r>
        <w:t>) is a common household item recognized</w:t>
      </w:r>
      <w:r>
        <w:rPr>
          <w:spacing w:val="-2"/>
        </w:rPr>
        <w:t xml:space="preserve"> </w:t>
      </w:r>
      <w:r>
        <w:t>for</w:t>
      </w:r>
      <w:r>
        <w:rPr>
          <w:spacing w:val="-3"/>
        </w:rPr>
        <w:t xml:space="preserve"> </w:t>
      </w:r>
      <w:r>
        <w:t>its</w:t>
      </w:r>
      <w:r>
        <w:rPr>
          <w:spacing w:val="-2"/>
        </w:rPr>
        <w:t xml:space="preserve"> </w:t>
      </w:r>
      <w:r>
        <w:t>multifaceted</w:t>
      </w:r>
      <w:r>
        <w:rPr>
          <w:spacing w:val="-3"/>
        </w:rPr>
        <w:t xml:space="preserve"> </w:t>
      </w:r>
      <w:r>
        <w:t>uses,</w:t>
      </w:r>
      <w:r>
        <w:rPr>
          <w:spacing w:val="-3"/>
        </w:rPr>
        <w:t xml:space="preserve"> </w:t>
      </w:r>
      <w:r>
        <w:t>particularly</w:t>
      </w:r>
      <w:r>
        <w:rPr>
          <w:spacing w:val="-6"/>
        </w:rPr>
        <w:t xml:space="preserve"> </w:t>
      </w:r>
      <w:r>
        <w:t>in</w:t>
      </w:r>
      <w:r>
        <w:rPr>
          <w:spacing w:val="-2"/>
        </w:rPr>
        <w:t xml:space="preserve"> </w:t>
      </w:r>
      <w:r>
        <w:t>cooking,</w:t>
      </w:r>
      <w:r>
        <w:rPr>
          <w:spacing w:val="-2"/>
        </w:rPr>
        <w:t xml:space="preserve"> </w:t>
      </w:r>
      <w:r>
        <w:t>cleaning,</w:t>
      </w:r>
      <w:r>
        <w:rPr>
          <w:spacing w:val="-2"/>
        </w:rPr>
        <w:t xml:space="preserve"> </w:t>
      </w:r>
      <w:r>
        <w:t>and medicinal</w:t>
      </w:r>
      <w:r>
        <w:rPr>
          <w:spacing w:val="-2"/>
        </w:rPr>
        <w:t xml:space="preserve"> </w:t>
      </w:r>
      <w:r>
        <w:t>applications (Raman and Ajmera, 2025). In the realm of medicine, its role as an antacid is particularly noteworthy. With increasing incidences of acid-related gastrointestinal issues such as heartburn, acid reflux, and indigestion baking soda has become a popular and effective remedy for alleviating</w:t>
      </w:r>
      <w:r>
        <w:rPr>
          <w:spacing w:val="32"/>
        </w:rPr>
        <w:t xml:space="preserve"> </w:t>
      </w:r>
      <w:r>
        <w:t>these</w:t>
      </w:r>
      <w:r>
        <w:rPr>
          <w:spacing w:val="33"/>
        </w:rPr>
        <w:t xml:space="preserve"> </w:t>
      </w:r>
      <w:r>
        <w:t>uncomfortable</w:t>
      </w:r>
      <w:r>
        <w:rPr>
          <w:spacing w:val="33"/>
        </w:rPr>
        <w:t xml:space="preserve"> </w:t>
      </w:r>
      <w:r>
        <w:t>symptoms</w:t>
      </w:r>
      <w:r>
        <w:rPr>
          <w:spacing w:val="35"/>
        </w:rPr>
        <w:t xml:space="preserve"> </w:t>
      </w:r>
      <w:r>
        <w:t>(Garg</w:t>
      </w:r>
      <w:r>
        <w:rPr>
          <w:spacing w:val="38"/>
        </w:rPr>
        <w:t xml:space="preserve"> </w:t>
      </w:r>
      <w:r>
        <w:rPr>
          <w:i/>
        </w:rPr>
        <w:t>et</w:t>
      </w:r>
      <w:r>
        <w:rPr>
          <w:i/>
          <w:spacing w:val="35"/>
        </w:rPr>
        <w:t xml:space="preserve"> </w:t>
      </w:r>
      <w:r>
        <w:rPr>
          <w:i/>
        </w:rPr>
        <w:t>al.,</w:t>
      </w:r>
      <w:r>
        <w:rPr>
          <w:i/>
          <w:spacing w:val="35"/>
        </w:rPr>
        <w:t xml:space="preserve"> </w:t>
      </w:r>
      <w:r>
        <w:t>2022).</w:t>
      </w:r>
      <w:r>
        <w:rPr>
          <w:spacing w:val="35"/>
        </w:rPr>
        <w:t xml:space="preserve"> </w:t>
      </w:r>
      <w:r>
        <w:t>The</w:t>
      </w:r>
      <w:r>
        <w:rPr>
          <w:spacing w:val="33"/>
        </w:rPr>
        <w:t xml:space="preserve"> </w:t>
      </w:r>
      <w:r>
        <w:t>physiological</w:t>
      </w:r>
      <w:r>
        <w:rPr>
          <w:spacing w:val="35"/>
        </w:rPr>
        <w:t xml:space="preserve"> </w:t>
      </w:r>
      <w:r>
        <w:t>basis</w:t>
      </w:r>
      <w:r>
        <w:rPr>
          <w:spacing w:val="35"/>
        </w:rPr>
        <w:t xml:space="preserve"> </w:t>
      </w:r>
      <w:r>
        <w:t>for</w:t>
      </w:r>
      <w:r>
        <w:rPr>
          <w:spacing w:val="34"/>
        </w:rPr>
        <w:t xml:space="preserve"> </w:t>
      </w:r>
      <w:r>
        <w:rPr>
          <w:spacing w:val="-5"/>
        </w:rPr>
        <w:t>its</w:t>
      </w:r>
    </w:p>
    <w:p w14:paraId="25B3DB7B"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7FF7CBAE" w14:textId="77777777" w:rsidR="00A02889" w:rsidRDefault="00000000">
      <w:pPr>
        <w:pStyle w:val="BodyText"/>
        <w:spacing w:before="72" w:line="480" w:lineRule="auto"/>
        <w:ind w:left="720" w:right="717"/>
        <w:jc w:val="both"/>
      </w:pPr>
      <w:r>
        <w:lastRenderedPageBreak/>
        <w:t>effectiveness lies in its ability to neutralize excess stomach acid. When individuals consume foods</w:t>
      </w:r>
      <w:r>
        <w:rPr>
          <w:spacing w:val="-1"/>
        </w:rPr>
        <w:t xml:space="preserve"> </w:t>
      </w:r>
      <w:r>
        <w:t>or</w:t>
      </w:r>
      <w:r>
        <w:rPr>
          <w:spacing w:val="-1"/>
        </w:rPr>
        <w:t xml:space="preserve"> </w:t>
      </w:r>
      <w:r>
        <w:t>beverages that trigger acid production, the</w:t>
      </w:r>
      <w:r>
        <w:rPr>
          <w:spacing w:val="-1"/>
        </w:rPr>
        <w:t xml:space="preserve"> </w:t>
      </w:r>
      <w:r>
        <w:t>resulting</w:t>
      </w:r>
      <w:r>
        <w:rPr>
          <w:spacing w:val="-3"/>
        </w:rPr>
        <w:t xml:space="preserve"> </w:t>
      </w:r>
      <w:r>
        <w:t>hyperacidity</w:t>
      </w:r>
      <w:r>
        <w:rPr>
          <w:spacing w:val="-5"/>
        </w:rPr>
        <w:t xml:space="preserve"> </w:t>
      </w:r>
      <w:r>
        <w:t xml:space="preserve">can lead to discomfort, characterized by a burning sensation in the chest, bloating, and nausea (Garg </w:t>
      </w:r>
      <w:r>
        <w:rPr>
          <w:i/>
        </w:rPr>
        <w:t xml:space="preserve">et al., </w:t>
      </w:r>
      <w:r>
        <w:t>2022).</w:t>
      </w:r>
      <w:r>
        <w:rPr>
          <w:spacing w:val="40"/>
        </w:rPr>
        <w:t xml:space="preserve"> </w:t>
      </w:r>
      <w:r>
        <w:t xml:space="preserve">Baking soda acts by rapidly increasing the pH levels in the stomach, providing quick relief from these symptoms (Garg </w:t>
      </w:r>
      <w:r>
        <w:rPr>
          <w:i/>
        </w:rPr>
        <w:t xml:space="preserve">et al., </w:t>
      </w:r>
      <w:r>
        <w:t xml:space="preserve">2022). The reaction between sodium bicarbonate and hydrochloric acid in the stomach produces sodium chloride (table salt), carbon dioxide gas, and water, effectively mitigating the acidic environment that causes discomfort (Garg </w:t>
      </w:r>
      <w:r>
        <w:rPr>
          <w:i/>
        </w:rPr>
        <w:t xml:space="preserve">et al., </w:t>
      </w:r>
      <w:r>
        <w:t>2022).</w:t>
      </w:r>
    </w:p>
    <w:p w14:paraId="604DD5C9" w14:textId="77777777" w:rsidR="00A02889" w:rsidRDefault="00000000">
      <w:pPr>
        <w:pStyle w:val="BodyText"/>
        <w:spacing w:before="96"/>
        <w:rPr>
          <w:sz w:val="20"/>
        </w:rPr>
      </w:pPr>
      <w:r>
        <w:rPr>
          <w:noProof/>
          <w:sz w:val="20"/>
        </w:rPr>
        <w:drawing>
          <wp:anchor distT="0" distB="0" distL="0" distR="0" simplePos="0" relativeHeight="487588864" behindDoc="1" locked="0" layoutInCell="1" allowOverlap="1" wp14:anchorId="180D76A9" wp14:editId="578DFF3E">
            <wp:simplePos x="0" y="0"/>
            <wp:positionH relativeFrom="page">
              <wp:posOffset>3221695</wp:posOffset>
            </wp:positionH>
            <wp:positionV relativeFrom="paragraph">
              <wp:posOffset>222440</wp:posOffset>
            </wp:positionV>
            <wp:extent cx="1397547" cy="2132552"/>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2" cstate="print"/>
                    <a:stretch>
                      <a:fillRect/>
                    </a:stretch>
                  </pic:blipFill>
                  <pic:spPr>
                    <a:xfrm>
                      <a:off x="0" y="0"/>
                      <a:ext cx="1397547" cy="2132552"/>
                    </a:xfrm>
                    <a:prstGeom prst="rect">
                      <a:avLst/>
                    </a:prstGeom>
                  </pic:spPr>
                </pic:pic>
              </a:graphicData>
            </a:graphic>
          </wp:anchor>
        </w:drawing>
      </w:r>
    </w:p>
    <w:p w14:paraId="250F585D" w14:textId="77777777" w:rsidR="00A02889" w:rsidRDefault="00A02889">
      <w:pPr>
        <w:pStyle w:val="BodyText"/>
      </w:pPr>
    </w:p>
    <w:p w14:paraId="58BDA12E" w14:textId="77777777" w:rsidR="00A02889" w:rsidRDefault="00A02889">
      <w:pPr>
        <w:pStyle w:val="BodyText"/>
        <w:spacing w:before="1"/>
      </w:pPr>
    </w:p>
    <w:p w14:paraId="7DDD40CB" w14:textId="77777777" w:rsidR="00A02889" w:rsidRDefault="00000000">
      <w:pPr>
        <w:pStyle w:val="Heading2"/>
        <w:ind w:left="720" w:firstLine="0"/>
        <w:jc w:val="both"/>
      </w:pPr>
      <w:bookmarkStart w:id="45" w:name="_bookmark45"/>
      <w:bookmarkEnd w:id="45"/>
      <w:r>
        <w:t>Figure</w:t>
      </w:r>
      <w:r>
        <w:rPr>
          <w:spacing w:val="-15"/>
        </w:rPr>
        <w:t xml:space="preserve"> </w:t>
      </w:r>
      <w:r>
        <w:t>4:</w:t>
      </w:r>
      <w:r>
        <w:rPr>
          <w:spacing w:val="-3"/>
        </w:rPr>
        <w:t xml:space="preserve"> </w:t>
      </w:r>
      <w:r>
        <w:t>Baking</w:t>
      </w:r>
      <w:r>
        <w:rPr>
          <w:spacing w:val="-3"/>
        </w:rPr>
        <w:t xml:space="preserve"> </w:t>
      </w:r>
      <w:r>
        <w:t>soda</w:t>
      </w:r>
      <w:r>
        <w:rPr>
          <w:spacing w:val="-3"/>
        </w:rPr>
        <w:t xml:space="preserve"> </w:t>
      </w:r>
      <w:r>
        <w:t>(sodium</w:t>
      </w:r>
      <w:r>
        <w:rPr>
          <w:spacing w:val="-6"/>
        </w:rPr>
        <w:t xml:space="preserve"> </w:t>
      </w:r>
      <w:r>
        <w:rPr>
          <w:spacing w:val="-2"/>
        </w:rPr>
        <w:t>bicarbonate)</w:t>
      </w:r>
    </w:p>
    <w:p w14:paraId="2C0B98D8" w14:textId="77777777" w:rsidR="00A02889" w:rsidRDefault="00A02889">
      <w:pPr>
        <w:pStyle w:val="BodyText"/>
        <w:rPr>
          <w:b/>
        </w:rPr>
      </w:pPr>
    </w:p>
    <w:p w14:paraId="53F35BED" w14:textId="77777777" w:rsidR="00A02889" w:rsidRDefault="00A02889">
      <w:pPr>
        <w:pStyle w:val="BodyText"/>
        <w:rPr>
          <w:b/>
        </w:rPr>
      </w:pPr>
    </w:p>
    <w:p w14:paraId="3A1A7B8C" w14:textId="77777777" w:rsidR="00A02889" w:rsidRDefault="00000000">
      <w:pPr>
        <w:pStyle w:val="BodyText"/>
        <w:ind w:left="720"/>
        <w:jc w:val="both"/>
      </w:pPr>
      <w:r>
        <w:t>Source:</w:t>
      </w:r>
      <w:r>
        <w:rPr>
          <w:spacing w:val="-1"/>
        </w:rPr>
        <w:t xml:space="preserve"> </w:t>
      </w:r>
      <w:r>
        <w:t>Medical</w:t>
      </w:r>
      <w:r>
        <w:rPr>
          <w:spacing w:val="-1"/>
        </w:rPr>
        <w:t xml:space="preserve"> </w:t>
      </w:r>
      <w:r>
        <w:t>News Today</w:t>
      </w:r>
      <w:r>
        <w:rPr>
          <w:spacing w:val="-3"/>
        </w:rPr>
        <w:t xml:space="preserve"> </w:t>
      </w:r>
      <w:r>
        <w:rPr>
          <w:spacing w:val="-2"/>
        </w:rPr>
        <w:t>(2023)</w:t>
      </w:r>
    </w:p>
    <w:p w14:paraId="25028BA5" w14:textId="77777777" w:rsidR="00A02889" w:rsidRDefault="00A02889">
      <w:pPr>
        <w:pStyle w:val="BodyText"/>
      </w:pPr>
    </w:p>
    <w:p w14:paraId="6DB3EDFD" w14:textId="77777777" w:rsidR="00A02889" w:rsidRDefault="00A02889">
      <w:pPr>
        <w:pStyle w:val="BodyText"/>
        <w:spacing w:before="7"/>
      </w:pPr>
    </w:p>
    <w:p w14:paraId="2ABDF3D4" w14:textId="77777777" w:rsidR="00A02889" w:rsidRDefault="00000000">
      <w:pPr>
        <w:pStyle w:val="Heading2"/>
        <w:numPr>
          <w:ilvl w:val="2"/>
          <w:numId w:val="10"/>
        </w:numPr>
        <w:tabs>
          <w:tab w:val="left" w:pos="1380"/>
        </w:tabs>
        <w:ind w:left="1380" w:hanging="660"/>
      </w:pPr>
      <w:bookmarkStart w:id="46" w:name="_bookmark46"/>
      <w:bookmarkEnd w:id="46"/>
      <w:r>
        <w:t>Administration of</w:t>
      </w:r>
      <w:r>
        <w:rPr>
          <w:spacing w:val="-1"/>
        </w:rPr>
        <w:t xml:space="preserve"> </w:t>
      </w:r>
      <w:r>
        <w:t xml:space="preserve">Baking </w:t>
      </w:r>
      <w:r>
        <w:rPr>
          <w:spacing w:val="-4"/>
        </w:rPr>
        <w:t>Soda</w:t>
      </w:r>
    </w:p>
    <w:p w14:paraId="543FDBAA" w14:textId="77777777" w:rsidR="00A02889" w:rsidRDefault="00A02889">
      <w:pPr>
        <w:pStyle w:val="BodyText"/>
        <w:rPr>
          <w:b/>
        </w:rPr>
      </w:pPr>
    </w:p>
    <w:p w14:paraId="30DAE5D2" w14:textId="77777777" w:rsidR="00A02889" w:rsidRDefault="00A02889">
      <w:pPr>
        <w:pStyle w:val="BodyText"/>
        <w:spacing w:before="1"/>
        <w:rPr>
          <w:b/>
        </w:rPr>
      </w:pPr>
    </w:p>
    <w:p w14:paraId="58AF73B1" w14:textId="77777777" w:rsidR="00A02889" w:rsidRDefault="00000000">
      <w:pPr>
        <w:pStyle w:val="BodyText"/>
        <w:spacing w:line="480" w:lineRule="auto"/>
        <w:ind w:left="720" w:right="714"/>
        <w:jc w:val="both"/>
      </w:pPr>
      <w:r>
        <w:t>Baking soda, or sodium bicarbonate, is administered orally, typically by dissolving about 1/2 teaspoon in a glass of water, primarily for relief from acid-related gastrointestinal issues like heartburn and indigestion (Cherney, 2024).</w:t>
      </w:r>
    </w:p>
    <w:p w14:paraId="5DF6354D" w14:textId="77777777" w:rsidR="00A02889" w:rsidRDefault="00A02889">
      <w:pPr>
        <w:pStyle w:val="BodyText"/>
        <w:spacing w:before="7"/>
      </w:pPr>
    </w:p>
    <w:p w14:paraId="4967A94F" w14:textId="77777777" w:rsidR="00A02889" w:rsidRDefault="00000000">
      <w:pPr>
        <w:pStyle w:val="Heading2"/>
        <w:numPr>
          <w:ilvl w:val="2"/>
          <w:numId w:val="10"/>
        </w:numPr>
        <w:tabs>
          <w:tab w:val="left" w:pos="1380"/>
        </w:tabs>
        <w:ind w:left="1380" w:hanging="660"/>
      </w:pPr>
      <w:bookmarkStart w:id="47" w:name="_bookmark47"/>
      <w:bookmarkEnd w:id="47"/>
      <w:r>
        <w:t>Mechanism</w:t>
      </w:r>
      <w:r>
        <w:rPr>
          <w:spacing w:val="-4"/>
        </w:rPr>
        <w:t xml:space="preserve"> </w:t>
      </w:r>
      <w:r>
        <w:t>of</w:t>
      </w:r>
      <w:r>
        <w:rPr>
          <w:spacing w:val="1"/>
        </w:rPr>
        <w:t xml:space="preserve"> </w:t>
      </w:r>
      <w:r>
        <w:t>Action</w:t>
      </w:r>
      <w:r>
        <w:rPr>
          <w:spacing w:val="-1"/>
        </w:rPr>
        <w:t xml:space="preserve"> </w:t>
      </w:r>
      <w:r>
        <w:t>of</w:t>
      </w:r>
      <w:r>
        <w:rPr>
          <w:spacing w:val="1"/>
        </w:rPr>
        <w:t xml:space="preserve"> </w:t>
      </w:r>
      <w:r>
        <w:t>Baking</w:t>
      </w:r>
      <w:r>
        <w:rPr>
          <w:spacing w:val="-3"/>
        </w:rPr>
        <w:t xml:space="preserve"> </w:t>
      </w:r>
      <w:r>
        <w:rPr>
          <w:spacing w:val="-4"/>
        </w:rPr>
        <w:t>Soda</w:t>
      </w:r>
    </w:p>
    <w:p w14:paraId="28D7097A" w14:textId="77777777" w:rsidR="00A02889" w:rsidRDefault="00A02889">
      <w:pPr>
        <w:pStyle w:val="Heading2"/>
        <w:sectPr w:rsidR="00A02889">
          <w:pgSz w:w="12240" w:h="15840"/>
          <w:pgMar w:top="1360" w:right="720" w:bottom="1260" w:left="720" w:header="0" w:footer="1068" w:gutter="0"/>
          <w:cols w:space="720"/>
        </w:sectPr>
      </w:pPr>
    </w:p>
    <w:p w14:paraId="5C9355A0" w14:textId="77777777" w:rsidR="00A02889" w:rsidRDefault="00000000">
      <w:pPr>
        <w:pStyle w:val="BodyText"/>
        <w:spacing w:before="72" w:line="480" w:lineRule="auto"/>
        <w:ind w:left="720" w:right="718"/>
        <w:jc w:val="both"/>
      </w:pPr>
      <w:r>
        <w:lastRenderedPageBreak/>
        <w:t>When ingested, baking soda (sodium bicarbonate) performs its antacid function by chemically neutralizing excessive gastric acid. Specifically, sodium bicarbonate reacts with hydrochloric acid in the stomach to form sodium chloride, water, and carbon dioxide, which increases the pH of the stomach contents and alleviates symptoms of heartburn or acid indigestion (</w:t>
      </w:r>
      <w:proofErr w:type="spellStart"/>
      <w:r>
        <w:t>DrugBank</w:t>
      </w:r>
      <w:proofErr w:type="spellEnd"/>
      <w:r>
        <w:t xml:space="preserve">, 2024; WebMD, 2025). The rise in gastric pH also diminishes </w:t>
      </w:r>
      <w:proofErr w:type="gramStart"/>
      <w:r>
        <w:t>pepsin‘</w:t>
      </w:r>
      <w:proofErr w:type="gramEnd"/>
      <w:r>
        <w:t>s proteolytic activity,</w:t>
      </w:r>
      <w:r>
        <w:rPr>
          <w:spacing w:val="40"/>
        </w:rPr>
        <w:t xml:space="preserve"> </w:t>
      </w:r>
      <w:r>
        <w:t>further contributing to symptomatic relief (BMC Gastroenterology, 2022). Because baking soda is</w:t>
      </w:r>
      <w:r>
        <w:rPr>
          <w:spacing w:val="-2"/>
        </w:rPr>
        <w:t xml:space="preserve"> </w:t>
      </w:r>
      <w:r>
        <w:t>highly</w:t>
      </w:r>
      <w:r>
        <w:rPr>
          <w:spacing w:val="-7"/>
        </w:rPr>
        <w:t xml:space="preserve"> </w:t>
      </w:r>
      <w:r>
        <w:t>soluble</w:t>
      </w:r>
      <w:r>
        <w:rPr>
          <w:spacing w:val="-1"/>
        </w:rPr>
        <w:t xml:space="preserve"> </w:t>
      </w:r>
      <w:r>
        <w:t>and</w:t>
      </w:r>
      <w:r>
        <w:rPr>
          <w:spacing w:val="-2"/>
        </w:rPr>
        <w:t xml:space="preserve"> </w:t>
      </w:r>
      <w:r>
        <w:t>rapidly</w:t>
      </w:r>
      <w:r>
        <w:rPr>
          <w:spacing w:val="-7"/>
        </w:rPr>
        <w:t xml:space="preserve"> </w:t>
      </w:r>
      <w:r>
        <w:t>absorbed</w:t>
      </w:r>
      <w:r>
        <w:rPr>
          <w:spacing w:val="-2"/>
        </w:rPr>
        <w:t xml:space="preserve"> </w:t>
      </w:r>
      <w:r>
        <w:t>in</w:t>
      </w:r>
      <w:r>
        <w:rPr>
          <w:spacing w:val="-2"/>
        </w:rPr>
        <w:t xml:space="preserve"> </w:t>
      </w:r>
      <w:r>
        <w:t>the</w:t>
      </w:r>
      <w:r>
        <w:rPr>
          <w:spacing w:val="-3"/>
        </w:rPr>
        <w:t xml:space="preserve"> </w:t>
      </w:r>
      <w:r>
        <w:t>small intestine,</w:t>
      </w:r>
      <w:r>
        <w:rPr>
          <w:spacing w:val="-2"/>
        </w:rPr>
        <w:t xml:space="preserve"> </w:t>
      </w:r>
      <w:r>
        <w:t>prolonged or</w:t>
      </w:r>
      <w:r>
        <w:rPr>
          <w:spacing w:val="-2"/>
        </w:rPr>
        <w:t xml:space="preserve"> </w:t>
      </w:r>
      <w:r>
        <w:t>excessive</w:t>
      </w:r>
      <w:r>
        <w:rPr>
          <w:spacing w:val="-3"/>
        </w:rPr>
        <w:t xml:space="preserve"> </w:t>
      </w:r>
      <w:r>
        <w:t>use</w:t>
      </w:r>
      <w:r>
        <w:rPr>
          <w:spacing w:val="-2"/>
        </w:rPr>
        <w:t xml:space="preserve"> </w:t>
      </w:r>
      <w:r>
        <w:t>may</w:t>
      </w:r>
      <w:r>
        <w:rPr>
          <w:spacing w:val="-7"/>
        </w:rPr>
        <w:t xml:space="preserve"> </w:t>
      </w:r>
      <w:r>
        <w:t>lead to systemic alkalinization and possible electrolyte disturbances, especially in individuals with renal or cardiovascular conditions (</w:t>
      </w:r>
      <w:proofErr w:type="spellStart"/>
      <w:r>
        <w:t>StatPearls</w:t>
      </w:r>
      <w:proofErr w:type="spellEnd"/>
      <w:r>
        <w:t>, 2025).</w:t>
      </w:r>
    </w:p>
    <w:p w14:paraId="1B48BFD5" w14:textId="77777777" w:rsidR="00A02889" w:rsidRDefault="00A02889">
      <w:pPr>
        <w:pStyle w:val="BodyText"/>
        <w:spacing w:before="8"/>
      </w:pPr>
    </w:p>
    <w:p w14:paraId="50F406A6" w14:textId="77777777" w:rsidR="00A02889" w:rsidRDefault="00000000">
      <w:pPr>
        <w:pStyle w:val="Heading2"/>
        <w:numPr>
          <w:ilvl w:val="2"/>
          <w:numId w:val="10"/>
        </w:numPr>
        <w:tabs>
          <w:tab w:val="left" w:pos="1380"/>
        </w:tabs>
        <w:ind w:left="1380" w:hanging="660"/>
      </w:pPr>
      <w:bookmarkStart w:id="48" w:name="_bookmark48"/>
      <w:bookmarkEnd w:id="48"/>
      <w:r>
        <w:t>Contraindication</w:t>
      </w:r>
      <w:r>
        <w:rPr>
          <w:spacing w:val="-5"/>
        </w:rPr>
        <w:t xml:space="preserve"> </w:t>
      </w:r>
      <w:r>
        <w:t>and</w:t>
      </w:r>
      <w:r>
        <w:rPr>
          <w:spacing w:val="-1"/>
        </w:rPr>
        <w:t xml:space="preserve"> </w:t>
      </w:r>
      <w:r>
        <w:t>Toxicity</w:t>
      </w:r>
      <w:r>
        <w:rPr>
          <w:spacing w:val="-1"/>
        </w:rPr>
        <w:t xml:space="preserve"> </w:t>
      </w:r>
      <w:r>
        <w:t>of</w:t>
      </w:r>
      <w:r>
        <w:rPr>
          <w:spacing w:val="-2"/>
        </w:rPr>
        <w:t xml:space="preserve"> </w:t>
      </w:r>
      <w:r>
        <w:t>Baking</w:t>
      </w:r>
      <w:r>
        <w:rPr>
          <w:spacing w:val="-4"/>
        </w:rPr>
        <w:t xml:space="preserve"> Soda</w:t>
      </w:r>
    </w:p>
    <w:p w14:paraId="3CAFF7F4" w14:textId="77777777" w:rsidR="00A02889" w:rsidRDefault="00A02889">
      <w:pPr>
        <w:pStyle w:val="BodyText"/>
        <w:rPr>
          <w:b/>
        </w:rPr>
      </w:pPr>
    </w:p>
    <w:p w14:paraId="45C829D3" w14:textId="77777777" w:rsidR="00A02889" w:rsidRDefault="00A02889">
      <w:pPr>
        <w:pStyle w:val="BodyText"/>
        <w:rPr>
          <w:b/>
        </w:rPr>
      </w:pPr>
    </w:p>
    <w:p w14:paraId="2AF969DB" w14:textId="77777777" w:rsidR="00A02889" w:rsidRDefault="00000000">
      <w:pPr>
        <w:pStyle w:val="BodyText"/>
        <w:spacing w:line="480" w:lineRule="auto"/>
        <w:ind w:left="720" w:right="714"/>
        <w:jc w:val="both"/>
      </w:pPr>
      <w:r>
        <w:t>Baking</w:t>
      </w:r>
      <w:r>
        <w:rPr>
          <w:spacing w:val="-3"/>
        </w:rPr>
        <w:t xml:space="preserve"> </w:t>
      </w:r>
      <w:r>
        <w:t>soda</w:t>
      </w:r>
      <w:r>
        <w:rPr>
          <w:spacing w:val="-1"/>
        </w:rPr>
        <w:t xml:space="preserve"> </w:t>
      </w:r>
      <w:r>
        <w:t>(sodium bicarbonate)</w:t>
      </w:r>
      <w:r>
        <w:rPr>
          <w:spacing w:val="-1"/>
        </w:rPr>
        <w:t xml:space="preserve"> </w:t>
      </w:r>
      <w:r>
        <w:t>is generally</w:t>
      </w:r>
      <w:r>
        <w:rPr>
          <w:spacing w:val="-5"/>
        </w:rPr>
        <w:t xml:space="preserve"> </w:t>
      </w:r>
      <w:r>
        <w:t>safe</w:t>
      </w:r>
      <w:r>
        <w:rPr>
          <w:spacing w:val="-1"/>
        </w:rPr>
        <w:t xml:space="preserve"> </w:t>
      </w:r>
      <w:r>
        <w:t>for</w:t>
      </w:r>
      <w:r>
        <w:rPr>
          <w:spacing w:val="-2"/>
        </w:rPr>
        <w:t xml:space="preserve"> </w:t>
      </w:r>
      <w:r>
        <w:t>occasional use</w:t>
      </w:r>
      <w:r>
        <w:rPr>
          <w:spacing w:val="-1"/>
        </w:rPr>
        <w:t xml:space="preserve"> </w:t>
      </w:r>
      <w:r>
        <w:t>as an antacid, but there</w:t>
      </w:r>
      <w:r>
        <w:rPr>
          <w:spacing w:val="-1"/>
        </w:rPr>
        <w:t xml:space="preserve"> </w:t>
      </w:r>
      <w:r>
        <w:t>are important contraindications and potential toxicity concerns to consider (</w:t>
      </w:r>
      <w:proofErr w:type="spellStart"/>
      <w:r>
        <w:t>Senewiratne</w:t>
      </w:r>
      <w:proofErr w:type="spellEnd"/>
      <w:r>
        <w:t xml:space="preserve"> </w:t>
      </w:r>
      <w:r>
        <w:rPr>
          <w:i/>
        </w:rPr>
        <w:t>et al.,</w:t>
      </w:r>
      <w:r>
        <w:rPr>
          <w:i/>
          <w:spacing w:val="40"/>
        </w:rPr>
        <w:t xml:space="preserve"> </w:t>
      </w:r>
      <w:r>
        <w:t>2024). It should be avoided by individuals with hypertension or those on sodium-restricted diets due to its high sodium content, which can exacerbate blood pressure issues (</w:t>
      </w:r>
      <w:proofErr w:type="spellStart"/>
      <w:r>
        <w:t>Senewiratne</w:t>
      </w:r>
      <w:proofErr w:type="spellEnd"/>
      <w:r>
        <w:t xml:space="preserve"> </w:t>
      </w:r>
      <w:r>
        <w:rPr>
          <w:i/>
        </w:rPr>
        <w:t xml:space="preserve">et al., </w:t>
      </w:r>
      <w:r>
        <w:t>2024).</w:t>
      </w:r>
      <w:r>
        <w:rPr>
          <w:spacing w:val="-2"/>
        </w:rPr>
        <w:t xml:space="preserve"> </w:t>
      </w:r>
      <w:r>
        <w:t>People</w:t>
      </w:r>
      <w:r>
        <w:rPr>
          <w:spacing w:val="-2"/>
        </w:rPr>
        <w:t xml:space="preserve"> </w:t>
      </w:r>
      <w:r>
        <w:t>with</w:t>
      </w:r>
      <w:r>
        <w:rPr>
          <w:spacing w:val="-2"/>
        </w:rPr>
        <w:t xml:space="preserve"> </w:t>
      </w:r>
      <w:r>
        <w:t>kidney</w:t>
      </w:r>
      <w:r>
        <w:rPr>
          <w:spacing w:val="-5"/>
        </w:rPr>
        <w:t xml:space="preserve"> </w:t>
      </w:r>
      <w:r>
        <w:t>disease</w:t>
      </w:r>
      <w:r>
        <w:rPr>
          <w:spacing w:val="-1"/>
        </w:rPr>
        <w:t xml:space="preserve"> </w:t>
      </w:r>
      <w:r>
        <w:t>are</w:t>
      </w:r>
      <w:r>
        <w:rPr>
          <w:spacing w:val="-2"/>
        </w:rPr>
        <w:t xml:space="preserve"> </w:t>
      </w:r>
      <w:r>
        <w:t>at</w:t>
      </w:r>
      <w:r>
        <w:rPr>
          <w:spacing w:val="-2"/>
        </w:rPr>
        <w:t xml:space="preserve"> </w:t>
      </w:r>
      <w:r>
        <w:t>risk for</w:t>
      </w:r>
      <w:r>
        <w:rPr>
          <w:spacing w:val="-2"/>
        </w:rPr>
        <w:t xml:space="preserve"> </w:t>
      </w:r>
      <w:r>
        <w:t>metabolic</w:t>
      </w:r>
      <w:r>
        <w:rPr>
          <w:spacing w:val="-3"/>
        </w:rPr>
        <w:t xml:space="preserve"> </w:t>
      </w:r>
      <w:r>
        <w:t>alkalosis,</w:t>
      </w:r>
      <w:r>
        <w:rPr>
          <w:spacing w:val="-2"/>
        </w:rPr>
        <w:t xml:space="preserve"> </w:t>
      </w:r>
      <w:r>
        <w:t>as</w:t>
      </w:r>
      <w:r>
        <w:rPr>
          <w:spacing w:val="-3"/>
        </w:rPr>
        <w:t xml:space="preserve"> </w:t>
      </w:r>
      <w:r>
        <w:t>their</w:t>
      </w:r>
      <w:r>
        <w:rPr>
          <w:spacing w:val="-2"/>
        </w:rPr>
        <w:t xml:space="preserve"> </w:t>
      </w:r>
      <w:r>
        <w:t>bodies</w:t>
      </w:r>
      <w:r>
        <w:rPr>
          <w:spacing w:val="-3"/>
        </w:rPr>
        <w:t xml:space="preserve"> </w:t>
      </w:r>
      <w:r>
        <w:t>may</w:t>
      </w:r>
      <w:r>
        <w:rPr>
          <w:spacing w:val="-7"/>
        </w:rPr>
        <w:t xml:space="preserve"> </w:t>
      </w:r>
      <w:r>
        <w:t>struggle to excrete excess sodium and bicarbonate (Al-Abri and Olson, 2013). Additionally, those with cardiovascular problems should use caution, as increased sodium intake can lead to fluid retention and strain on the heart. Pregnant or breastfeeding women should only use baking soda under medical supervision, as its effects on fetal and infant health are not fully understood (Al- Abri</w:t>
      </w:r>
      <w:r>
        <w:rPr>
          <w:spacing w:val="-2"/>
        </w:rPr>
        <w:t xml:space="preserve"> </w:t>
      </w:r>
      <w:r>
        <w:t>and</w:t>
      </w:r>
      <w:r>
        <w:rPr>
          <w:spacing w:val="-2"/>
        </w:rPr>
        <w:t xml:space="preserve"> </w:t>
      </w:r>
      <w:r>
        <w:t>Olson,</w:t>
      </w:r>
      <w:r>
        <w:rPr>
          <w:spacing w:val="-2"/>
        </w:rPr>
        <w:t xml:space="preserve"> </w:t>
      </w:r>
      <w:r>
        <w:t>2013).</w:t>
      </w:r>
      <w:r>
        <w:rPr>
          <w:spacing w:val="-2"/>
        </w:rPr>
        <w:t xml:space="preserve"> </w:t>
      </w:r>
      <w:r>
        <w:t>Overconsumption</w:t>
      </w:r>
      <w:r>
        <w:rPr>
          <w:spacing w:val="-2"/>
        </w:rPr>
        <w:t xml:space="preserve"> </w:t>
      </w:r>
      <w:r>
        <w:t>of</w:t>
      </w:r>
      <w:r>
        <w:rPr>
          <w:spacing w:val="-3"/>
        </w:rPr>
        <w:t xml:space="preserve"> </w:t>
      </w:r>
      <w:r>
        <w:t>baking</w:t>
      </w:r>
      <w:r>
        <w:rPr>
          <w:spacing w:val="-4"/>
        </w:rPr>
        <w:t xml:space="preserve"> </w:t>
      </w:r>
      <w:r>
        <w:t>soda</w:t>
      </w:r>
      <w:r>
        <w:rPr>
          <w:spacing w:val="-3"/>
        </w:rPr>
        <w:t xml:space="preserve"> </w:t>
      </w:r>
      <w:r>
        <w:t>can</w:t>
      </w:r>
      <w:r>
        <w:rPr>
          <w:spacing w:val="-2"/>
        </w:rPr>
        <w:t xml:space="preserve"> </w:t>
      </w:r>
      <w:r>
        <w:t>lead to</w:t>
      </w:r>
      <w:r>
        <w:rPr>
          <w:spacing w:val="-2"/>
        </w:rPr>
        <w:t xml:space="preserve"> </w:t>
      </w:r>
      <w:r>
        <w:t>serious</w:t>
      </w:r>
      <w:r>
        <w:rPr>
          <w:spacing w:val="-3"/>
        </w:rPr>
        <w:t xml:space="preserve"> </w:t>
      </w:r>
      <w:r>
        <w:t>health</w:t>
      </w:r>
      <w:r>
        <w:rPr>
          <w:spacing w:val="-2"/>
        </w:rPr>
        <w:t xml:space="preserve"> </w:t>
      </w:r>
      <w:r>
        <w:t>issues</w:t>
      </w:r>
      <w:r>
        <w:rPr>
          <w:spacing w:val="-3"/>
        </w:rPr>
        <w:t xml:space="preserve"> </w:t>
      </w:r>
      <w:r>
        <w:t>such</w:t>
      </w:r>
      <w:r>
        <w:rPr>
          <w:spacing w:val="-1"/>
        </w:rPr>
        <w:t xml:space="preserve"> </w:t>
      </w:r>
      <w:r>
        <w:t>as metabolic alkalosis, gastrointestinal distress, fluid retention, and electrolyte imbalances,</w:t>
      </w:r>
      <w:r>
        <w:rPr>
          <w:spacing w:val="40"/>
        </w:rPr>
        <w:t xml:space="preserve"> </w:t>
      </w:r>
      <w:r>
        <w:t>including hypokalemia (Al-Abri and Olson, 2013).</w:t>
      </w:r>
    </w:p>
    <w:p w14:paraId="3D5EC71B"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78093AC3" w14:textId="77777777" w:rsidR="00A02889" w:rsidRDefault="00A02889">
      <w:pPr>
        <w:pStyle w:val="BodyText"/>
        <w:spacing w:before="4"/>
        <w:rPr>
          <w:sz w:val="17"/>
        </w:rPr>
      </w:pPr>
    </w:p>
    <w:p w14:paraId="15203085" w14:textId="77777777" w:rsidR="00A02889" w:rsidRDefault="00A02889">
      <w:pPr>
        <w:pStyle w:val="BodyText"/>
        <w:rPr>
          <w:sz w:val="17"/>
        </w:rPr>
        <w:sectPr w:rsidR="00A02889">
          <w:pgSz w:w="12240" w:h="15840"/>
          <w:pgMar w:top="1820" w:right="720" w:bottom="1260" w:left="720" w:header="0" w:footer="1068" w:gutter="0"/>
          <w:cols w:space="720"/>
        </w:sectPr>
      </w:pPr>
    </w:p>
    <w:p w14:paraId="0EF22487" w14:textId="77777777" w:rsidR="00A02889" w:rsidRDefault="00000000">
      <w:pPr>
        <w:pStyle w:val="Heading1"/>
      </w:pPr>
      <w:bookmarkStart w:id="49" w:name="_bookmark49"/>
      <w:bookmarkEnd w:id="49"/>
      <w:r>
        <w:lastRenderedPageBreak/>
        <w:t>CHAPTER</w:t>
      </w:r>
      <w:r>
        <w:rPr>
          <w:spacing w:val="-10"/>
        </w:rPr>
        <w:t xml:space="preserve"> </w:t>
      </w:r>
      <w:r>
        <w:rPr>
          <w:spacing w:val="-2"/>
        </w:rPr>
        <w:t>THREE</w:t>
      </w:r>
    </w:p>
    <w:p w14:paraId="7A700A15" w14:textId="77777777" w:rsidR="00A02889" w:rsidRDefault="00A02889">
      <w:pPr>
        <w:pStyle w:val="BodyText"/>
        <w:rPr>
          <w:b/>
        </w:rPr>
      </w:pPr>
    </w:p>
    <w:p w14:paraId="373FCCED" w14:textId="77777777" w:rsidR="00A02889" w:rsidRDefault="00A02889">
      <w:pPr>
        <w:pStyle w:val="BodyText"/>
        <w:spacing w:before="6"/>
        <w:rPr>
          <w:b/>
        </w:rPr>
      </w:pPr>
    </w:p>
    <w:p w14:paraId="25A57F55" w14:textId="77777777" w:rsidR="00A02889" w:rsidRDefault="00000000">
      <w:pPr>
        <w:pStyle w:val="Heading2"/>
        <w:numPr>
          <w:ilvl w:val="1"/>
          <w:numId w:val="9"/>
        </w:numPr>
        <w:tabs>
          <w:tab w:val="left" w:pos="1080"/>
        </w:tabs>
      </w:pPr>
      <w:bookmarkStart w:id="50" w:name="_bookmark50"/>
      <w:bookmarkEnd w:id="50"/>
      <w:r>
        <w:t>Materials</w:t>
      </w:r>
      <w:r>
        <w:rPr>
          <w:spacing w:val="-4"/>
        </w:rPr>
        <w:t xml:space="preserve"> </w:t>
      </w:r>
      <w:r>
        <w:t>and</w:t>
      </w:r>
      <w:r>
        <w:rPr>
          <w:spacing w:val="-2"/>
        </w:rPr>
        <w:t xml:space="preserve"> Method</w:t>
      </w:r>
    </w:p>
    <w:p w14:paraId="5912B48C" w14:textId="77777777" w:rsidR="00A02889" w:rsidRDefault="00A02889">
      <w:pPr>
        <w:pStyle w:val="BodyText"/>
        <w:rPr>
          <w:b/>
        </w:rPr>
      </w:pPr>
    </w:p>
    <w:p w14:paraId="3DA54271" w14:textId="77777777" w:rsidR="00A02889" w:rsidRDefault="00A02889">
      <w:pPr>
        <w:pStyle w:val="BodyText"/>
        <w:spacing w:before="2"/>
        <w:rPr>
          <w:b/>
        </w:rPr>
      </w:pPr>
    </w:p>
    <w:p w14:paraId="07F2ABE4" w14:textId="77777777" w:rsidR="00A02889" w:rsidRDefault="00000000">
      <w:pPr>
        <w:pStyle w:val="Heading2"/>
        <w:numPr>
          <w:ilvl w:val="1"/>
          <w:numId w:val="9"/>
        </w:numPr>
        <w:tabs>
          <w:tab w:val="left" w:pos="1080"/>
        </w:tabs>
      </w:pPr>
      <w:bookmarkStart w:id="51" w:name="_bookmark51"/>
      <w:bookmarkEnd w:id="51"/>
      <w:r>
        <w:rPr>
          <w:spacing w:val="-2"/>
        </w:rPr>
        <w:t>Materials</w:t>
      </w:r>
    </w:p>
    <w:p w14:paraId="03B8FE35" w14:textId="77777777" w:rsidR="00A02889" w:rsidRDefault="00A02889">
      <w:pPr>
        <w:pStyle w:val="BodyText"/>
        <w:rPr>
          <w:b/>
        </w:rPr>
      </w:pPr>
    </w:p>
    <w:p w14:paraId="6AFCE974" w14:textId="77777777" w:rsidR="00A02889" w:rsidRDefault="00A02889">
      <w:pPr>
        <w:pStyle w:val="BodyText"/>
        <w:rPr>
          <w:b/>
        </w:rPr>
      </w:pPr>
    </w:p>
    <w:p w14:paraId="0394FBCF" w14:textId="77777777" w:rsidR="00A02889" w:rsidRDefault="00000000">
      <w:pPr>
        <w:pStyle w:val="BodyText"/>
        <w:spacing w:line="480" w:lineRule="auto"/>
        <w:ind w:left="720" w:right="718"/>
        <w:jc w:val="both"/>
      </w:pPr>
      <w:r>
        <w:t>The study employs a mixed-methods design combining laboratory experiments and consumer surveys to evaluate and compare the effectiveness of natural and synthetic antacids in relieving symptoms of acid-related disorders. In the laboratory component, a controlled experiment assessed the neutralization capacity of selected natural antacids (sodium bicarbonate, ginger extract, and chamomile tea) versus synthetic antacids (aluminum hydroxide, magnesium hydroxide, and calcium carbonate) by</w:t>
      </w:r>
      <w:r>
        <w:rPr>
          <w:spacing w:val="-4"/>
        </w:rPr>
        <w:t xml:space="preserve"> </w:t>
      </w:r>
      <w:r>
        <w:t>measuring</w:t>
      </w:r>
      <w:r>
        <w:rPr>
          <w:spacing w:val="-1"/>
        </w:rPr>
        <w:t xml:space="preserve"> </w:t>
      </w:r>
      <w:r>
        <w:t>pH changes in a standardized hydrochloric acid solution after the addition of each antacid. Simultaneously, a structured questionnaire was distributed to gather consumer perceptions and preferences regarding these antacids, focusing on factors such as effectiveness, safety, and prior usage</w:t>
      </w:r>
    </w:p>
    <w:p w14:paraId="058CE0A3" w14:textId="77777777" w:rsidR="00A02889" w:rsidRDefault="00A02889">
      <w:pPr>
        <w:pStyle w:val="BodyText"/>
        <w:spacing w:before="9"/>
      </w:pPr>
    </w:p>
    <w:p w14:paraId="089275AE" w14:textId="77777777" w:rsidR="00A02889" w:rsidRDefault="00000000">
      <w:pPr>
        <w:pStyle w:val="Heading2"/>
        <w:numPr>
          <w:ilvl w:val="1"/>
          <w:numId w:val="9"/>
        </w:numPr>
        <w:tabs>
          <w:tab w:val="left" w:pos="1080"/>
        </w:tabs>
      </w:pPr>
      <w:bookmarkStart w:id="52" w:name="_bookmark52"/>
      <w:bookmarkEnd w:id="52"/>
      <w:r>
        <w:t>Study</w:t>
      </w:r>
      <w:r>
        <w:rPr>
          <w:spacing w:val="-2"/>
        </w:rPr>
        <w:t xml:space="preserve"> </w:t>
      </w:r>
      <w:r>
        <w:rPr>
          <w:spacing w:val="-4"/>
        </w:rPr>
        <w:t>Area</w:t>
      </w:r>
    </w:p>
    <w:p w14:paraId="75B94AFB" w14:textId="77777777" w:rsidR="00A02889" w:rsidRDefault="00A02889">
      <w:pPr>
        <w:pStyle w:val="BodyText"/>
        <w:rPr>
          <w:b/>
        </w:rPr>
      </w:pPr>
    </w:p>
    <w:p w14:paraId="607E76EB" w14:textId="77777777" w:rsidR="00A02889" w:rsidRDefault="00A02889">
      <w:pPr>
        <w:pStyle w:val="BodyText"/>
        <w:rPr>
          <w:b/>
        </w:rPr>
      </w:pPr>
    </w:p>
    <w:p w14:paraId="6EA4F966" w14:textId="77777777" w:rsidR="00A02889" w:rsidRDefault="00000000">
      <w:pPr>
        <w:pStyle w:val="BodyText"/>
        <w:spacing w:line="480" w:lineRule="auto"/>
        <w:ind w:left="720" w:right="714"/>
        <w:jc w:val="both"/>
      </w:pPr>
      <w:r>
        <w:t>Sokoto Metropolis is located between Latitudes 12°58‘N and 13° 40‘N and between Longitudes 5°10‘E and 5°18‘E (</w:t>
      </w:r>
      <w:proofErr w:type="spellStart"/>
      <w:r>
        <w:t>Sifawa</w:t>
      </w:r>
      <w:proofErr w:type="spellEnd"/>
      <w:r>
        <w:t xml:space="preserve"> </w:t>
      </w:r>
      <w:r>
        <w:rPr>
          <w:i/>
        </w:rPr>
        <w:t xml:space="preserve">et al., </w:t>
      </w:r>
      <w:r>
        <w:t xml:space="preserve">2024). It comprises two major Local Government Areas, namely; Sokoto North and Sokoto South, and some parts of Dange Shuni, Kware, </w:t>
      </w:r>
      <w:proofErr w:type="spellStart"/>
      <w:r>
        <w:t>Bodinga</w:t>
      </w:r>
      <w:proofErr w:type="spellEnd"/>
      <w:r>
        <w:t xml:space="preserve"> and </w:t>
      </w:r>
      <w:proofErr w:type="spellStart"/>
      <w:r>
        <w:t>Wamakko</w:t>
      </w:r>
      <w:proofErr w:type="spellEnd"/>
      <w:r>
        <w:t xml:space="preserve"> Local Government</w:t>
      </w:r>
      <w:r>
        <w:rPr>
          <w:spacing w:val="-15"/>
        </w:rPr>
        <w:t xml:space="preserve"> </w:t>
      </w:r>
      <w:r>
        <w:t>Areas, all</w:t>
      </w:r>
      <w:r>
        <w:rPr>
          <w:spacing w:val="-2"/>
        </w:rPr>
        <w:t xml:space="preserve"> </w:t>
      </w:r>
      <w:r>
        <w:t>within</w:t>
      </w:r>
      <w:r>
        <w:rPr>
          <w:spacing w:val="-2"/>
        </w:rPr>
        <w:t xml:space="preserve"> </w:t>
      </w:r>
      <w:r>
        <w:t>the</w:t>
      </w:r>
      <w:r>
        <w:rPr>
          <w:spacing w:val="-3"/>
        </w:rPr>
        <w:t xml:space="preserve"> </w:t>
      </w:r>
      <w:r>
        <w:t>Sokoto State</w:t>
      </w:r>
      <w:r>
        <w:rPr>
          <w:spacing w:val="-3"/>
        </w:rPr>
        <w:t xml:space="preserve"> </w:t>
      </w:r>
      <w:r>
        <w:t>(</w:t>
      </w:r>
      <w:proofErr w:type="spellStart"/>
      <w:r>
        <w:t>Sifawa</w:t>
      </w:r>
      <w:proofErr w:type="spellEnd"/>
      <w:r>
        <w:rPr>
          <w:spacing w:val="-1"/>
        </w:rPr>
        <w:t xml:space="preserve"> </w:t>
      </w:r>
      <w:r>
        <w:rPr>
          <w:i/>
        </w:rPr>
        <w:t>et</w:t>
      </w:r>
      <w:r>
        <w:rPr>
          <w:i/>
          <w:spacing w:val="-2"/>
        </w:rPr>
        <w:t xml:space="preserve"> </w:t>
      </w:r>
      <w:r>
        <w:rPr>
          <w:i/>
        </w:rPr>
        <w:t>al.,</w:t>
      </w:r>
      <w:r>
        <w:rPr>
          <w:i/>
          <w:spacing w:val="-1"/>
        </w:rPr>
        <w:t xml:space="preserve"> </w:t>
      </w:r>
      <w:r>
        <w:t xml:space="preserve">2024). Laboratory work was carried out in the Agricultural Science Laboratory, Faculty of Agriculture at </w:t>
      </w:r>
      <w:proofErr w:type="spellStart"/>
      <w:r>
        <w:t>Usmanu</w:t>
      </w:r>
      <w:proofErr w:type="spellEnd"/>
      <w:r>
        <w:t xml:space="preserve"> </w:t>
      </w:r>
      <w:proofErr w:type="spellStart"/>
      <w:r>
        <w:t>Danfodiyo</w:t>
      </w:r>
      <w:proofErr w:type="spellEnd"/>
      <w:r>
        <w:t xml:space="preserve"> University,</w:t>
      </w:r>
    </w:p>
    <w:p w14:paraId="4A00AAB3"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16A17D8E" w14:textId="77777777" w:rsidR="00A02889" w:rsidRDefault="00A02889">
      <w:pPr>
        <w:pStyle w:val="BodyText"/>
        <w:spacing w:before="171"/>
      </w:pPr>
    </w:p>
    <w:p w14:paraId="4C5A72F9" w14:textId="77777777" w:rsidR="00A02889" w:rsidRDefault="00000000">
      <w:pPr>
        <w:pStyle w:val="Heading2"/>
        <w:numPr>
          <w:ilvl w:val="1"/>
          <w:numId w:val="9"/>
        </w:numPr>
        <w:tabs>
          <w:tab w:val="left" w:pos="1080"/>
        </w:tabs>
      </w:pPr>
      <w:bookmarkStart w:id="53" w:name="_bookmark53"/>
      <w:bookmarkEnd w:id="53"/>
      <w:r>
        <w:t xml:space="preserve">Study </w:t>
      </w:r>
      <w:r>
        <w:rPr>
          <w:spacing w:val="-2"/>
        </w:rPr>
        <w:t>population</w:t>
      </w:r>
    </w:p>
    <w:p w14:paraId="44F991C0" w14:textId="77777777" w:rsidR="00A02889" w:rsidRDefault="00A02889">
      <w:pPr>
        <w:pStyle w:val="BodyText"/>
        <w:rPr>
          <w:b/>
        </w:rPr>
      </w:pPr>
    </w:p>
    <w:p w14:paraId="35593DAE" w14:textId="77777777" w:rsidR="00A02889" w:rsidRDefault="00A02889">
      <w:pPr>
        <w:pStyle w:val="BodyText"/>
        <w:rPr>
          <w:b/>
        </w:rPr>
      </w:pPr>
    </w:p>
    <w:p w14:paraId="3BA00844" w14:textId="77777777" w:rsidR="00A02889" w:rsidRDefault="00000000">
      <w:pPr>
        <w:pStyle w:val="BodyText"/>
        <w:spacing w:line="480" w:lineRule="auto"/>
        <w:ind w:left="720" w:right="716"/>
        <w:jc w:val="both"/>
      </w:pPr>
      <w:r>
        <w:t>The study population consists of adults aged 16 years and older who experience symptoms of acid-related</w:t>
      </w:r>
      <w:r>
        <w:rPr>
          <w:spacing w:val="-4"/>
        </w:rPr>
        <w:t xml:space="preserve"> </w:t>
      </w:r>
      <w:r>
        <w:t>disorders,</w:t>
      </w:r>
      <w:r>
        <w:rPr>
          <w:spacing w:val="-4"/>
        </w:rPr>
        <w:t xml:space="preserve"> </w:t>
      </w:r>
      <w:r>
        <w:t>such</w:t>
      </w:r>
      <w:r>
        <w:rPr>
          <w:spacing w:val="-4"/>
        </w:rPr>
        <w:t xml:space="preserve"> </w:t>
      </w:r>
      <w:r>
        <w:t>as</w:t>
      </w:r>
      <w:r>
        <w:rPr>
          <w:spacing w:val="-5"/>
        </w:rPr>
        <w:t xml:space="preserve"> </w:t>
      </w:r>
      <w:r>
        <w:t>heartburn</w:t>
      </w:r>
      <w:r>
        <w:rPr>
          <w:spacing w:val="-4"/>
        </w:rPr>
        <w:t xml:space="preserve"> </w:t>
      </w:r>
      <w:r>
        <w:t>or</w:t>
      </w:r>
      <w:r>
        <w:rPr>
          <w:spacing w:val="-3"/>
        </w:rPr>
        <w:t xml:space="preserve"> </w:t>
      </w:r>
      <w:r>
        <w:t>gastroesophageal</w:t>
      </w:r>
      <w:r>
        <w:rPr>
          <w:spacing w:val="-2"/>
        </w:rPr>
        <w:t xml:space="preserve"> </w:t>
      </w:r>
      <w:r>
        <w:t>reflux</w:t>
      </w:r>
      <w:r>
        <w:rPr>
          <w:spacing w:val="-3"/>
        </w:rPr>
        <w:t xml:space="preserve"> </w:t>
      </w:r>
      <w:r>
        <w:t>disease</w:t>
      </w:r>
      <w:r>
        <w:rPr>
          <w:spacing w:val="-3"/>
        </w:rPr>
        <w:t xml:space="preserve"> </w:t>
      </w:r>
      <w:r>
        <w:t>(GERD).</w:t>
      </w:r>
      <w:r>
        <w:rPr>
          <w:spacing w:val="-4"/>
        </w:rPr>
        <w:t xml:space="preserve"> </w:t>
      </w:r>
      <w:r>
        <w:t>Participants were recruited from local health clinics and community centers, and</w:t>
      </w:r>
      <w:r>
        <w:rPr>
          <w:spacing w:val="80"/>
        </w:rPr>
        <w:t xml:space="preserve"> </w:t>
      </w:r>
      <w:r>
        <w:t xml:space="preserve">to ensure a diverse demographic. Inclusion criteria </w:t>
      </w:r>
      <w:proofErr w:type="gramStart"/>
      <w:r>
        <w:t>encompasses</w:t>
      </w:r>
      <w:proofErr w:type="gramEnd"/>
      <w:r>
        <w:t xml:space="preserve"> individuals reporting mild to moderate symptoms and the ability to provide informed consent, while those with severe gastrointestinal disorders, pregnant or breastfeeding women, and individuals currently</w:t>
      </w:r>
      <w:r>
        <w:rPr>
          <w:spacing w:val="-3"/>
        </w:rPr>
        <w:t xml:space="preserve"> </w:t>
      </w:r>
      <w:r>
        <w:t>taking medications that may</w:t>
      </w:r>
      <w:r>
        <w:rPr>
          <w:spacing w:val="-3"/>
        </w:rPr>
        <w:t xml:space="preserve"> </w:t>
      </w:r>
      <w:r>
        <w:t>interact with antacids will be excluded. The target sample size will be approximately 50 participants, allowing for a comprehensive analysis of both the clinical effectiveness of natural versus synthetic antacids and consumer perceptions.</w:t>
      </w:r>
    </w:p>
    <w:p w14:paraId="0569DA32" w14:textId="77777777" w:rsidR="00A02889" w:rsidRDefault="00A02889">
      <w:pPr>
        <w:pStyle w:val="BodyText"/>
        <w:spacing w:before="9"/>
      </w:pPr>
    </w:p>
    <w:p w14:paraId="48E45A33" w14:textId="77777777" w:rsidR="00A02889" w:rsidRDefault="00000000">
      <w:pPr>
        <w:pStyle w:val="Heading2"/>
        <w:numPr>
          <w:ilvl w:val="1"/>
          <w:numId w:val="9"/>
        </w:numPr>
        <w:tabs>
          <w:tab w:val="left" w:pos="1080"/>
        </w:tabs>
      </w:pPr>
      <w:bookmarkStart w:id="54" w:name="_bookmark54"/>
      <w:bookmarkEnd w:id="54"/>
      <w:r>
        <w:rPr>
          <w:spacing w:val="-2"/>
        </w:rPr>
        <w:t>Materials</w:t>
      </w:r>
    </w:p>
    <w:p w14:paraId="7B652C8B" w14:textId="77777777" w:rsidR="00A02889" w:rsidRDefault="00A02889">
      <w:pPr>
        <w:pStyle w:val="BodyText"/>
        <w:rPr>
          <w:b/>
        </w:rPr>
      </w:pPr>
    </w:p>
    <w:p w14:paraId="736ABE6A" w14:textId="77777777" w:rsidR="00A02889" w:rsidRDefault="00A02889">
      <w:pPr>
        <w:pStyle w:val="BodyText"/>
        <w:spacing w:before="5"/>
        <w:rPr>
          <w:b/>
        </w:rPr>
      </w:pPr>
    </w:p>
    <w:p w14:paraId="6117D454" w14:textId="77777777" w:rsidR="00A02889" w:rsidRDefault="00000000">
      <w:pPr>
        <w:pStyle w:val="Heading2"/>
        <w:ind w:left="720" w:firstLine="0"/>
        <w:jc w:val="both"/>
      </w:pPr>
      <w:bookmarkStart w:id="55" w:name="_bookmark55"/>
      <w:bookmarkEnd w:id="55"/>
      <w:r>
        <w:t>Table</w:t>
      </w:r>
      <w:r>
        <w:rPr>
          <w:spacing w:val="-2"/>
        </w:rPr>
        <w:t xml:space="preserve"> </w:t>
      </w:r>
      <w:r>
        <w:t>3.1:</w:t>
      </w:r>
      <w:r>
        <w:rPr>
          <w:spacing w:val="-3"/>
        </w:rPr>
        <w:t xml:space="preserve"> </w:t>
      </w:r>
      <w:r>
        <w:t>Materials,</w:t>
      </w:r>
      <w:r>
        <w:rPr>
          <w:spacing w:val="-1"/>
        </w:rPr>
        <w:t xml:space="preserve"> </w:t>
      </w:r>
      <w:r>
        <w:t>Manufacturers,</w:t>
      </w:r>
      <w:r>
        <w:rPr>
          <w:spacing w:val="-1"/>
        </w:rPr>
        <w:t xml:space="preserve"> </w:t>
      </w:r>
      <w:r>
        <w:t>and</w:t>
      </w:r>
      <w:r>
        <w:rPr>
          <w:spacing w:val="-1"/>
        </w:rPr>
        <w:t xml:space="preserve"> </w:t>
      </w:r>
      <w:r>
        <w:rPr>
          <w:spacing w:val="-2"/>
        </w:rPr>
        <w:t>Models</w:t>
      </w:r>
    </w:p>
    <w:p w14:paraId="6A39830A" w14:textId="77777777" w:rsidR="00A02889" w:rsidRDefault="00A02889">
      <w:pPr>
        <w:pStyle w:val="BodyText"/>
        <w:rPr>
          <w:b/>
          <w:sz w:val="20"/>
        </w:rPr>
      </w:pPr>
    </w:p>
    <w:p w14:paraId="3B64FF62" w14:textId="77777777" w:rsidR="00A02889" w:rsidRDefault="00A02889">
      <w:pPr>
        <w:pStyle w:val="BodyText"/>
        <w:spacing w:before="100"/>
        <w:rPr>
          <w:b/>
          <w:sz w:val="20"/>
        </w:r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3"/>
        <w:gridCol w:w="2881"/>
        <w:gridCol w:w="2250"/>
        <w:gridCol w:w="2154"/>
        <w:gridCol w:w="2260"/>
      </w:tblGrid>
      <w:tr w:rsidR="00A02889" w14:paraId="2B57719B" w14:textId="77777777">
        <w:trPr>
          <w:trHeight w:val="1103"/>
        </w:trPr>
        <w:tc>
          <w:tcPr>
            <w:tcW w:w="723" w:type="dxa"/>
          </w:tcPr>
          <w:p w14:paraId="2CA629E5" w14:textId="77777777" w:rsidR="00A02889" w:rsidRDefault="00000000">
            <w:pPr>
              <w:pStyle w:val="TableParagraph"/>
              <w:spacing w:before="272"/>
              <w:ind w:left="172"/>
              <w:rPr>
                <w:b/>
                <w:sz w:val="24"/>
              </w:rPr>
            </w:pPr>
            <w:r>
              <w:rPr>
                <w:b/>
                <w:spacing w:val="-5"/>
                <w:sz w:val="24"/>
              </w:rPr>
              <w:t>S/N</w:t>
            </w:r>
          </w:p>
        </w:tc>
        <w:tc>
          <w:tcPr>
            <w:tcW w:w="2881" w:type="dxa"/>
          </w:tcPr>
          <w:p w14:paraId="7DA2011E" w14:textId="77777777" w:rsidR="00A02889" w:rsidRDefault="00000000">
            <w:pPr>
              <w:pStyle w:val="TableParagraph"/>
              <w:spacing w:before="272"/>
              <w:ind w:left="275"/>
              <w:rPr>
                <w:b/>
                <w:sz w:val="24"/>
              </w:rPr>
            </w:pPr>
            <w:r>
              <w:rPr>
                <w:b/>
                <w:sz w:val="24"/>
              </w:rPr>
              <w:t>Materials</w:t>
            </w:r>
            <w:r>
              <w:rPr>
                <w:b/>
                <w:spacing w:val="-3"/>
                <w:sz w:val="24"/>
              </w:rPr>
              <w:t xml:space="preserve"> </w:t>
            </w:r>
            <w:r>
              <w:rPr>
                <w:b/>
                <w:sz w:val="24"/>
              </w:rPr>
              <w:t>/</w:t>
            </w:r>
            <w:r>
              <w:rPr>
                <w:b/>
                <w:spacing w:val="-2"/>
                <w:sz w:val="24"/>
              </w:rPr>
              <w:t xml:space="preserve"> Equipment</w:t>
            </w:r>
          </w:p>
        </w:tc>
        <w:tc>
          <w:tcPr>
            <w:tcW w:w="2250" w:type="dxa"/>
          </w:tcPr>
          <w:p w14:paraId="4B11CE50" w14:textId="77777777" w:rsidR="00A02889" w:rsidRDefault="00000000">
            <w:pPr>
              <w:pStyle w:val="TableParagraph"/>
              <w:spacing w:before="272"/>
              <w:ind w:left="181"/>
              <w:rPr>
                <w:b/>
                <w:sz w:val="24"/>
              </w:rPr>
            </w:pPr>
            <w:r>
              <w:rPr>
                <w:b/>
                <w:sz w:val="24"/>
              </w:rPr>
              <w:t>Type</w:t>
            </w:r>
            <w:r>
              <w:rPr>
                <w:b/>
                <w:spacing w:val="-10"/>
                <w:sz w:val="24"/>
              </w:rPr>
              <w:t xml:space="preserve"> </w:t>
            </w:r>
            <w:r>
              <w:rPr>
                <w:b/>
                <w:sz w:val="24"/>
              </w:rPr>
              <w:t>/</w:t>
            </w:r>
            <w:r>
              <w:rPr>
                <w:b/>
                <w:spacing w:val="-9"/>
                <w:sz w:val="24"/>
              </w:rPr>
              <w:t xml:space="preserve"> </w:t>
            </w:r>
            <w:r>
              <w:rPr>
                <w:b/>
                <w:spacing w:val="-2"/>
                <w:sz w:val="24"/>
              </w:rPr>
              <w:t>Description</w:t>
            </w:r>
          </w:p>
        </w:tc>
        <w:tc>
          <w:tcPr>
            <w:tcW w:w="2154" w:type="dxa"/>
          </w:tcPr>
          <w:p w14:paraId="0524BAFE" w14:textId="77777777" w:rsidR="00A02889" w:rsidRDefault="00000000">
            <w:pPr>
              <w:pStyle w:val="TableParagraph"/>
              <w:spacing w:before="272"/>
              <w:ind w:left="348"/>
              <w:rPr>
                <w:b/>
                <w:sz w:val="24"/>
              </w:rPr>
            </w:pPr>
            <w:r>
              <w:rPr>
                <w:b/>
                <w:spacing w:val="-2"/>
                <w:sz w:val="24"/>
              </w:rPr>
              <w:t>Manufacturer</w:t>
            </w:r>
          </w:p>
        </w:tc>
        <w:tc>
          <w:tcPr>
            <w:tcW w:w="2260" w:type="dxa"/>
          </w:tcPr>
          <w:p w14:paraId="6D265346" w14:textId="77777777" w:rsidR="00A02889" w:rsidRDefault="00000000">
            <w:pPr>
              <w:pStyle w:val="TableParagraph"/>
              <w:spacing w:before="0" w:line="273" w:lineRule="exact"/>
              <w:ind w:left="2"/>
              <w:jc w:val="center"/>
              <w:rPr>
                <w:b/>
                <w:sz w:val="24"/>
              </w:rPr>
            </w:pPr>
            <w:r>
              <w:rPr>
                <w:b/>
                <w:sz w:val="24"/>
              </w:rPr>
              <w:t>Model</w:t>
            </w:r>
            <w:r>
              <w:rPr>
                <w:b/>
                <w:spacing w:val="-5"/>
                <w:sz w:val="24"/>
              </w:rPr>
              <w:t xml:space="preserve"> </w:t>
            </w:r>
            <w:r>
              <w:rPr>
                <w:b/>
                <w:spacing w:val="-10"/>
                <w:sz w:val="24"/>
              </w:rPr>
              <w:t>/</w:t>
            </w:r>
          </w:p>
          <w:p w14:paraId="72559CB0" w14:textId="77777777" w:rsidR="00A02889" w:rsidRDefault="00A02889">
            <w:pPr>
              <w:pStyle w:val="TableParagraph"/>
              <w:spacing w:before="0"/>
              <w:rPr>
                <w:b/>
                <w:sz w:val="24"/>
              </w:rPr>
            </w:pPr>
          </w:p>
          <w:p w14:paraId="5968FA4E" w14:textId="77777777" w:rsidR="00A02889" w:rsidRDefault="00000000">
            <w:pPr>
              <w:pStyle w:val="TableParagraph"/>
              <w:spacing w:before="0"/>
              <w:ind w:left="2" w:right="1"/>
              <w:jc w:val="center"/>
              <w:rPr>
                <w:b/>
                <w:sz w:val="24"/>
              </w:rPr>
            </w:pPr>
            <w:r>
              <w:rPr>
                <w:b/>
                <w:spacing w:val="-2"/>
                <w:sz w:val="24"/>
              </w:rPr>
              <w:t>Specification</w:t>
            </w:r>
          </w:p>
        </w:tc>
      </w:tr>
      <w:tr w:rsidR="00A02889" w14:paraId="1C2F6EE8" w14:textId="77777777">
        <w:trPr>
          <w:trHeight w:val="1104"/>
        </w:trPr>
        <w:tc>
          <w:tcPr>
            <w:tcW w:w="723" w:type="dxa"/>
          </w:tcPr>
          <w:p w14:paraId="54AE1708" w14:textId="77777777" w:rsidR="00A02889" w:rsidRDefault="00000000">
            <w:pPr>
              <w:pStyle w:val="TableParagraph"/>
              <w:spacing w:before="267"/>
              <w:ind w:left="107"/>
              <w:rPr>
                <w:sz w:val="24"/>
              </w:rPr>
            </w:pPr>
            <w:r>
              <w:rPr>
                <w:spacing w:val="-10"/>
                <w:sz w:val="24"/>
              </w:rPr>
              <w:t>1</w:t>
            </w:r>
          </w:p>
        </w:tc>
        <w:tc>
          <w:tcPr>
            <w:tcW w:w="2881" w:type="dxa"/>
          </w:tcPr>
          <w:p w14:paraId="35B671F0" w14:textId="77777777" w:rsidR="00A02889" w:rsidRDefault="00000000">
            <w:pPr>
              <w:pStyle w:val="TableParagraph"/>
              <w:spacing w:before="267"/>
              <w:ind w:left="105"/>
              <w:rPr>
                <w:sz w:val="24"/>
              </w:rPr>
            </w:pPr>
            <w:r>
              <w:rPr>
                <w:sz w:val="24"/>
              </w:rPr>
              <w:t xml:space="preserve">Sodium </w:t>
            </w:r>
            <w:r>
              <w:rPr>
                <w:spacing w:val="-2"/>
                <w:sz w:val="24"/>
              </w:rPr>
              <w:t>bicarbonate</w:t>
            </w:r>
          </w:p>
        </w:tc>
        <w:tc>
          <w:tcPr>
            <w:tcW w:w="2250" w:type="dxa"/>
          </w:tcPr>
          <w:p w14:paraId="333DCA79" w14:textId="77777777" w:rsidR="00A02889" w:rsidRDefault="00000000">
            <w:pPr>
              <w:pStyle w:val="TableParagraph"/>
              <w:spacing w:before="267"/>
              <w:ind w:left="104"/>
              <w:rPr>
                <w:sz w:val="24"/>
              </w:rPr>
            </w:pPr>
            <w:r>
              <w:rPr>
                <w:sz w:val="24"/>
              </w:rPr>
              <w:t>Natural</w:t>
            </w:r>
            <w:r>
              <w:rPr>
                <w:spacing w:val="-4"/>
                <w:sz w:val="24"/>
              </w:rPr>
              <w:t xml:space="preserve"> </w:t>
            </w:r>
            <w:r>
              <w:rPr>
                <w:spacing w:val="-2"/>
                <w:sz w:val="24"/>
              </w:rPr>
              <w:t>antacid</w:t>
            </w:r>
          </w:p>
        </w:tc>
        <w:tc>
          <w:tcPr>
            <w:tcW w:w="2154" w:type="dxa"/>
          </w:tcPr>
          <w:p w14:paraId="648D45F8" w14:textId="77777777" w:rsidR="00A02889" w:rsidRDefault="00000000">
            <w:pPr>
              <w:pStyle w:val="TableParagraph"/>
              <w:tabs>
                <w:tab w:val="left" w:pos="1027"/>
              </w:tabs>
              <w:spacing w:before="0" w:line="268" w:lineRule="exact"/>
              <w:ind w:left="106"/>
              <w:rPr>
                <w:sz w:val="24"/>
              </w:rPr>
            </w:pPr>
            <w:r>
              <w:rPr>
                <w:spacing w:val="-5"/>
                <w:sz w:val="24"/>
              </w:rPr>
              <w:t>BDH</w:t>
            </w:r>
            <w:r>
              <w:rPr>
                <w:sz w:val="24"/>
              </w:rPr>
              <w:tab/>
            </w:r>
            <w:r>
              <w:rPr>
                <w:spacing w:val="-2"/>
                <w:sz w:val="24"/>
              </w:rPr>
              <w:t>Chemicals</w:t>
            </w:r>
          </w:p>
          <w:p w14:paraId="1AC215E9" w14:textId="77777777" w:rsidR="00A02889" w:rsidRDefault="00A02889">
            <w:pPr>
              <w:pStyle w:val="TableParagraph"/>
              <w:spacing w:before="0"/>
              <w:rPr>
                <w:b/>
                <w:sz w:val="24"/>
              </w:rPr>
            </w:pPr>
          </w:p>
          <w:p w14:paraId="22CF44D1" w14:textId="77777777" w:rsidR="00A02889" w:rsidRDefault="00000000">
            <w:pPr>
              <w:pStyle w:val="TableParagraph"/>
              <w:spacing w:before="0"/>
              <w:ind w:left="106"/>
              <w:rPr>
                <w:sz w:val="24"/>
              </w:rPr>
            </w:pPr>
            <w:r>
              <w:rPr>
                <w:sz w:val="24"/>
              </w:rPr>
              <w:t>Ltd.,</w:t>
            </w:r>
            <w:r>
              <w:rPr>
                <w:spacing w:val="-3"/>
                <w:sz w:val="24"/>
              </w:rPr>
              <w:t xml:space="preserve"> </w:t>
            </w:r>
            <w:r>
              <w:rPr>
                <w:spacing w:val="-5"/>
                <w:sz w:val="24"/>
              </w:rPr>
              <w:t>UK</w:t>
            </w:r>
          </w:p>
        </w:tc>
        <w:tc>
          <w:tcPr>
            <w:tcW w:w="2260" w:type="dxa"/>
          </w:tcPr>
          <w:p w14:paraId="048FD01C" w14:textId="77777777" w:rsidR="00A02889" w:rsidRDefault="00000000">
            <w:pPr>
              <w:pStyle w:val="TableParagraph"/>
              <w:spacing w:before="267"/>
              <w:ind w:left="105"/>
              <w:rPr>
                <w:sz w:val="24"/>
              </w:rPr>
            </w:pPr>
            <w:r>
              <w:rPr>
                <w:sz w:val="24"/>
              </w:rPr>
              <w:t>Analytical</w:t>
            </w:r>
            <w:r>
              <w:rPr>
                <w:spacing w:val="-2"/>
                <w:sz w:val="24"/>
              </w:rPr>
              <w:t xml:space="preserve"> grade</w:t>
            </w:r>
          </w:p>
        </w:tc>
      </w:tr>
      <w:tr w:rsidR="00A02889" w14:paraId="54A04305" w14:textId="77777777">
        <w:trPr>
          <w:trHeight w:val="1103"/>
        </w:trPr>
        <w:tc>
          <w:tcPr>
            <w:tcW w:w="723" w:type="dxa"/>
          </w:tcPr>
          <w:p w14:paraId="62BE7E9D" w14:textId="77777777" w:rsidR="00A02889" w:rsidRDefault="00000000">
            <w:pPr>
              <w:pStyle w:val="TableParagraph"/>
              <w:spacing w:before="267"/>
              <w:ind w:left="107"/>
              <w:rPr>
                <w:sz w:val="24"/>
              </w:rPr>
            </w:pPr>
            <w:r>
              <w:rPr>
                <w:spacing w:val="-10"/>
                <w:sz w:val="24"/>
              </w:rPr>
              <w:t>2</w:t>
            </w:r>
          </w:p>
        </w:tc>
        <w:tc>
          <w:tcPr>
            <w:tcW w:w="2881" w:type="dxa"/>
          </w:tcPr>
          <w:p w14:paraId="410C400D" w14:textId="77777777" w:rsidR="00A02889" w:rsidRDefault="00000000">
            <w:pPr>
              <w:pStyle w:val="TableParagraph"/>
              <w:spacing w:before="267"/>
              <w:ind w:left="105"/>
              <w:rPr>
                <w:sz w:val="24"/>
              </w:rPr>
            </w:pPr>
            <w:r>
              <w:rPr>
                <w:sz w:val="24"/>
              </w:rPr>
              <w:t>Ginger</w:t>
            </w:r>
            <w:r>
              <w:rPr>
                <w:spacing w:val="-2"/>
                <w:sz w:val="24"/>
              </w:rPr>
              <w:t xml:space="preserve"> extract</w:t>
            </w:r>
          </w:p>
        </w:tc>
        <w:tc>
          <w:tcPr>
            <w:tcW w:w="2250" w:type="dxa"/>
          </w:tcPr>
          <w:p w14:paraId="0E020599" w14:textId="77777777" w:rsidR="00A02889" w:rsidRDefault="00000000">
            <w:pPr>
              <w:pStyle w:val="TableParagraph"/>
              <w:spacing w:before="267"/>
              <w:ind w:left="104"/>
              <w:rPr>
                <w:sz w:val="24"/>
              </w:rPr>
            </w:pPr>
            <w:r>
              <w:rPr>
                <w:sz w:val="24"/>
              </w:rPr>
              <w:t>Natural</w:t>
            </w:r>
            <w:r>
              <w:rPr>
                <w:spacing w:val="-4"/>
                <w:sz w:val="24"/>
              </w:rPr>
              <w:t xml:space="preserve"> </w:t>
            </w:r>
            <w:r>
              <w:rPr>
                <w:spacing w:val="-2"/>
                <w:sz w:val="24"/>
              </w:rPr>
              <w:t>antacid</w:t>
            </w:r>
          </w:p>
        </w:tc>
        <w:tc>
          <w:tcPr>
            <w:tcW w:w="2154" w:type="dxa"/>
          </w:tcPr>
          <w:p w14:paraId="7E9D6E02" w14:textId="77777777" w:rsidR="00A02889" w:rsidRDefault="00000000">
            <w:pPr>
              <w:pStyle w:val="TableParagraph"/>
              <w:spacing w:before="0" w:line="270" w:lineRule="exact"/>
              <w:ind w:left="106"/>
              <w:rPr>
                <w:sz w:val="24"/>
              </w:rPr>
            </w:pPr>
            <w:proofErr w:type="gramStart"/>
            <w:r>
              <w:rPr>
                <w:sz w:val="24"/>
              </w:rPr>
              <w:t>Locally</w:t>
            </w:r>
            <w:r>
              <w:rPr>
                <w:spacing w:val="35"/>
                <w:sz w:val="24"/>
              </w:rPr>
              <w:t xml:space="preserve">  </w:t>
            </w:r>
            <w:r>
              <w:rPr>
                <w:sz w:val="24"/>
              </w:rPr>
              <w:t>sourced</w:t>
            </w:r>
            <w:proofErr w:type="gramEnd"/>
            <w:r>
              <w:rPr>
                <w:spacing w:val="37"/>
                <w:sz w:val="24"/>
              </w:rPr>
              <w:t xml:space="preserve">  </w:t>
            </w:r>
            <w:r>
              <w:rPr>
                <w:spacing w:val="-10"/>
                <w:sz w:val="24"/>
              </w:rPr>
              <w:t>/</w:t>
            </w:r>
          </w:p>
          <w:p w14:paraId="7892421A" w14:textId="77777777" w:rsidR="00A02889" w:rsidRDefault="00000000">
            <w:pPr>
              <w:pStyle w:val="TableParagraph"/>
              <w:spacing w:before="273"/>
              <w:ind w:left="106"/>
              <w:rPr>
                <w:sz w:val="24"/>
              </w:rPr>
            </w:pPr>
            <w:r>
              <w:rPr>
                <w:sz w:val="24"/>
              </w:rPr>
              <w:t>Extracted</w:t>
            </w:r>
            <w:r>
              <w:rPr>
                <w:spacing w:val="-1"/>
                <w:sz w:val="24"/>
              </w:rPr>
              <w:t xml:space="preserve"> </w:t>
            </w:r>
            <w:r>
              <w:rPr>
                <w:sz w:val="24"/>
              </w:rPr>
              <w:t>in</w:t>
            </w:r>
            <w:r>
              <w:rPr>
                <w:spacing w:val="-1"/>
                <w:sz w:val="24"/>
              </w:rPr>
              <w:t xml:space="preserve"> </w:t>
            </w:r>
            <w:r>
              <w:rPr>
                <w:spacing w:val="-5"/>
                <w:sz w:val="24"/>
              </w:rPr>
              <w:t>lab</w:t>
            </w:r>
          </w:p>
        </w:tc>
        <w:tc>
          <w:tcPr>
            <w:tcW w:w="2260" w:type="dxa"/>
          </w:tcPr>
          <w:p w14:paraId="1DFED78F" w14:textId="77777777" w:rsidR="00A02889" w:rsidRDefault="00000000">
            <w:pPr>
              <w:pStyle w:val="TableParagraph"/>
              <w:spacing w:before="267"/>
              <w:ind w:left="105"/>
              <w:rPr>
                <w:sz w:val="24"/>
              </w:rPr>
            </w:pPr>
            <w:r>
              <w:rPr>
                <w:sz w:val="24"/>
              </w:rPr>
              <w:t>Ethanolic</w:t>
            </w:r>
            <w:r>
              <w:rPr>
                <w:spacing w:val="-2"/>
                <w:sz w:val="24"/>
              </w:rPr>
              <w:t xml:space="preserve"> extract</w:t>
            </w:r>
          </w:p>
        </w:tc>
      </w:tr>
      <w:tr w:rsidR="00A02889" w14:paraId="30548CA2" w14:textId="77777777">
        <w:trPr>
          <w:trHeight w:val="553"/>
        </w:trPr>
        <w:tc>
          <w:tcPr>
            <w:tcW w:w="723" w:type="dxa"/>
          </w:tcPr>
          <w:p w14:paraId="2337E7E4" w14:textId="77777777" w:rsidR="00A02889" w:rsidRDefault="00000000">
            <w:pPr>
              <w:pStyle w:val="TableParagraph"/>
              <w:spacing w:before="0" w:line="270" w:lineRule="exact"/>
              <w:ind w:left="107"/>
              <w:rPr>
                <w:sz w:val="24"/>
              </w:rPr>
            </w:pPr>
            <w:r>
              <w:rPr>
                <w:spacing w:val="-10"/>
                <w:sz w:val="24"/>
              </w:rPr>
              <w:t>3</w:t>
            </w:r>
          </w:p>
        </w:tc>
        <w:tc>
          <w:tcPr>
            <w:tcW w:w="2881" w:type="dxa"/>
          </w:tcPr>
          <w:p w14:paraId="32C7DDD6" w14:textId="77777777" w:rsidR="00A02889" w:rsidRDefault="00000000">
            <w:pPr>
              <w:pStyle w:val="TableParagraph"/>
              <w:spacing w:before="0" w:line="270" w:lineRule="exact"/>
              <w:ind w:left="105"/>
              <w:rPr>
                <w:sz w:val="24"/>
              </w:rPr>
            </w:pPr>
            <w:r>
              <w:rPr>
                <w:sz w:val="24"/>
              </w:rPr>
              <w:t xml:space="preserve">Aluminum </w:t>
            </w:r>
            <w:r>
              <w:rPr>
                <w:spacing w:val="-2"/>
                <w:sz w:val="24"/>
              </w:rPr>
              <w:t>hydroxide</w:t>
            </w:r>
          </w:p>
        </w:tc>
        <w:tc>
          <w:tcPr>
            <w:tcW w:w="2250" w:type="dxa"/>
          </w:tcPr>
          <w:p w14:paraId="38962393" w14:textId="77777777" w:rsidR="00A02889" w:rsidRDefault="00000000">
            <w:pPr>
              <w:pStyle w:val="TableParagraph"/>
              <w:spacing w:before="0" w:line="270" w:lineRule="exact"/>
              <w:ind w:left="104"/>
              <w:rPr>
                <w:sz w:val="24"/>
              </w:rPr>
            </w:pPr>
            <w:r>
              <w:rPr>
                <w:sz w:val="24"/>
              </w:rPr>
              <w:t>Synthetic</w:t>
            </w:r>
            <w:r>
              <w:rPr>
                <w:spacing w:val="-2"/>
                <w:sz w:val="24"/>
              </w:rPr>
              <w:t xml:space="preserve"> antacid</w:t>
            </w:r>
          </w:p>
        </w:tc>
        <w:tc>
          <w:tcPr>
            <w:tcW w:w="2154" w:type="dxa"/>
          </w:tcPr>
          <w:p w14:paraId="72DF8728" w14:textId="77777777" w:rsidR="00A02889" w:rsidRDefault="00000000">
            <w:pPr>
              <w:pStyle w:val="TableParagraph"/>
              <w:spacing w:before="0" w:line="270" w:lineRule="exact"/>
              <w:ind w:left="106"/>
              <w:rPr>
                <w:sz w:val="24"/>
              </w:rPr>
            </w:pPr>
            <w:r>
              <w:rPr>
                <w:spacing w:val="-2"/>
                <w:sz w:val="24"/>
              </w:rPr>
              <w:t>Sigma-Aldrich,</w:t>
            </w:r>
          </w:p>
        </w:tc>
        <w:tc>
          <w:tcPr>
            <w:tcW w:w="2260" w:type="dxa"/>
          </w:tcPr>
          <w:p w14:paraId="0450F1B0" w14:textId="77777777" w:rsidR="00A02889" w:rsidRDefault="00000000">
            <w:pPr>
              <w:pStyle w:val="TableParagraph"/>
              <w:spacing w:before="0" w:line="270" w:lineRule="exact"/>
              <w:ind w:left="105"/>
              <w:rPr>
                <w:sz w:val="24"/>
              </w:rPr>
            </w:pPr>
            <w:r>
              <w:rPr>
                <w:sz w:val="24"/>
              </w:rPr>
              <w:t>Analytical</w:t>
            </w:r>
            <w:r>
              <w:rPr>
                <w:spacing w:val="-3"/>
                <w:sz w:val="24"/>
              </w:rPr>
              <w:t xml:space="preserve"> </w:t>
            </w:r>
            <w:r>
              <w:rPr>
                <w:spacing w:val="-4"/>
                <w:sz w:val="24"/>
              </w:rPr>
              <w:t>grade</w:t>
            </w:r>
          </w:p>
        </w:tc>
      </w:tr>
    </w:tbl>
    <w:p w14:paraId="36A3F653" w14:textId="77777777" w:rsidR="00A02889" w:rsidRDefault="00A02889">
      <w:pPr>
        <w:pStyle w:val="TableParagraph"/>
        <w:spacing w:line="270" w:lineRule="exact"/>
        <w:rPr>
          <w:sz w:val="24"/>
        </w:rPr>
        <w:sectPr w:rsidR="00A02889">
          <w:pgSz w:w="12240" w:h="15840"/>
          <w:pgMar w:top="1820" w:right="720" w:bottom="1634" w:left="72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3"/>
        <w:gridCol w:w="2881"/>
        <w:gridCol w:w="2250"/>
        <w:gridCol w:w="2154"/>
        <w:gridCol w:w="2260"/>
      </w:tblGrid>
      <w:tr w:rsidR="00A02889" w14:paraId="353D7825" w14:textId="77777777">
        <w:trPr>
          <w:trHeight w:val="552"/>
        </w:trPr>
        <w:tc>
          <w:tcPr>
            <w:tcW w:w="723" w:type="dxa"/>
          </w:tcPr>
          <w:p w14:paraId="4B2D8EF7" w14:textId="77777777" w:rsidR="00A02889" w:rsidRDefault="00A02889">
            <w:pPr>
              <w:pStyle w:val="TableParagraph"/>
              <w:spacing w:before="0"/>
              <w:rPr>
                <w:sz w:val="24"/>
              </w:rPr>
            </w:pPr>
          </w:p>
        </w:tc>
        <w:tc>
          <w:tcPr>
            <w:tcW w:w="2881" w:type="dxa"/>
          </w:tcPr>
          <w:p w14:paraId="2DD27824" w14:textId="77777777" w:rsidR="00A02889" w:rsidRDefault="00A02889">
            <w:pPr>
              <w:pStyle w:val="TableParagraph"/>
              <w:spacing w:before="0"/>
              <w:rPr>
                <w:sz w:val="24"/>
              </w:rPr>
            </w:pPr>
          </w:p>
        </w:tc>
        <w:tc>
          <w:tcPr>
            <w:tcW w:w="2250" w:type="dxa"/>
          </w:tcPr>
          <w:p w14:paraId="7E57D1D2" w14:textId="77777777" w:rsidR="00A02889" w:rsidRDefault="00A02889">
            <w:pPr>
              <w:pStyle w:val="TableParagraph"/>
              <w:spacing w:before="0"/>
              <w:rPr>
                <w:sz w:val="24"/>
              </w:rPr>
            </w:pPr>
          </w:p>
        </w:tc>
        <w:tc>
          <w:tcPr>
            <w:tcW w:w="2154" w:type="dxa"/>
          </w:tcPr>
          <w:p w14:paraId="0A194FD7" w14:textId="77777777" w:rsidR="00A02889" w:rsidRDefault="00000000">
            <w:pPr>
              <w:pStyle w:val="TableParagraph"/>
              <w:spacing w:before="0" w:line="268" w:lineRule="exact"/>
              <w:ind w:left="106"/>
              <w:rPr>
                <w:sz w:val="24"/>
              </w:rPr>
            </w:pPr>
            <w:r>
              <w:rPr>
                <w:spacing w:val="-5"/>
                <w:sz w:val="24"/>
              </w:rPr>
              <w:t>USA</w:t>
            </w:r>
          </w:p>
        </w:tc>
        <w:tc>
          <w:tcPr>
            <w:tcW w:w="2260" w:type="dxa"/>
          </w:tcPr>
          <w:p w14:paraId="0818A9F9" w14:textId="77777777" w:rsidR="00A02889" w:rsidRDefault="00A02889">
            <w:pPr>
              <w:pStyle w:val="TableParagraph"/>
              <w:spacing w:before="0"/>
              <w:rPr>
                <w:sz w:val="24"/>
              </w:rPr>
            </w:pPr>
          </w:p>
        </w:tc>
      </w:tr>
      <w:tr w:rsidR="00A02889" w14:paraId="55B3D6F0" w14:textId="77777777">
        <w:trPr>
          <w:trHeight w:val="551"/>
        </w:trPr>
        <w:tc>
          <w:tcPr>
            <w:tcW w:w="723" w:type="dxa"/>
          </w:tcPr>
          <w:p w14:paraId="1236F03F" w14:textId="77777777" w:rsidR="00A02889" w:rsidRDefault="00000000">
            <w:pPr>
              <w:pStyle w:val="TableParagraph"/>
              <w:spacing w:before="0" w:line="268" w:lineRule="exact"/>
              <w:ind w:left="107"/>
              <w:rPr>
                <w:sz w:val="24"/>
              </w:rPr>
            </w:pPr>
            <w:r>
              <w:rPr>
                <w:spacing w:val="-10"/>
                <w:sz w:val="24"/>
              </w:rPr>
              <w:t>4</w:t>
            </w:r>
          </w:p>
        </w:tc>
        <w:tc>
          <w:tcPr>
            <w:tcW w:w="2881" w:type="dxa"/>
          </w:tcPr>
          <w:p w14:paraId="60AB5B54" w14:textId="77777777" w:rsidR="00A02889" w:rsidRDefault="00000000">
            <w:pPr>
              <w:pStyle w:val="TableParagraph"/>
              <w:spacing w:before="0" w:line="268" w:lineRule="exact"/>
              <w:ind w:left="105"/>
              <w:rPr>
                <w:sz w:val="24"/>
              </w:rPr>
            </w:pPr>
            <w:r>
              <w:rPr>
                <w:sz w:val="24"/>
              </w:rPr>
              <w:t>Magnesium</w:t>
            </w:r>
            <w:r>
              <w:rPr>
                <w:spacing w:val="-2"/>
                <w:sz w:val="24"/>
              </w:rPr>
              <w:t xml:space="preserve"> hydroxide</w:t>
            </w:r>
          </w:p>
        </w:tc>
        <w:tc>
          <w:tcPr>
            <w:tcW w:w="2250" w:type="dxa"/>
          </w:tcPr>
          <w:p w14:paraId="28DB996E" w14:textId="77777777" w:rsidR="00A02889" w:rsidRDefault="00000000">
            <w:pPr>
              <w:pStyle w:val="TableParagraph"/>
              <w:spacing w:before="0" w:line="268" w:lineRule="exact"/>
              <w:ind w:left="104"/>
              <w:rPr>
                <w:sz w:val="24"/>
              </w:rPr>
            </w:pPr>
            <w:r>
              <w:rPr>
                <w:sz w:val="24"/>
              </w:rPr>
              <w:t>Synthetic</w:t>
            </w:r>
            <w:r>
              <w:rPr>
                <w:spacing w:val="-2"/>
                <w:sz w:val="24"/>
              </w:rPr>
              <w:t xml:space="preserve"> antacid</w:t>
            </w:r>
          </w:p>
        </w:tc>
        <w:tc>
          <w:tcPr>
            <w:tcW w:w="2154" w:type="dxa"/>
          </w:tcPr>
          <w:p w14:paraId="0B99EABB" w14:textId="77777777" w:rsidR="00A02889" w:rsidRDefault="00000000">
            <w:pPr>
              <w:pStyle w:val="TableParagraph"/>
              <w:spacing w:before="0" w:line="268" w:lineRule="exact"/>
              <w:ind w:left="106"/>
              <w:rPr>
                <w:sz w:val="24"/>
              </w:rPr>
            </w:pPr>
            <w:r>
              <w:rPr>
                <w:sz w:val="24"/>
              </w:rPr>
              <w:t>Merck,</w:t>
            </w:r>
            <w:r>
              <w:rPr>
                <w:spacing w:val="-3"/>
                <w:sz w:val="24"/>
              </w:rPr>
              <w:t xml:space="preserve"> </w:t>
            </w:r>
            <w:r>
              <w:rPr>
                <w:spacing w:val="-2"/>
                <w:sz w:val="24"/>
              </w:rPr>
              <w:t>Germany</w:t>
            </w:r>
          </w:p>
        </w:tc>
        <w:tc>
          <w:tcPr>
            <w:tcW w:w="2260" w:type="dxa"/>
          </w:tcPr>
          <w:p w14:paraId="2ACEAC47" w14:textId="77777777" w:rsidR="00A02889" w:rsidRDefault="00000000">
            <w:pPr>
              <w:pStyle w:val="TableParagraph"/>
              <w:spacing w:before="0" w:line="268" w:lineRule="exact"/>
              <w:ind w:left="105"/>
              <w:rPr>
                <w:sz w:val="24"/>
              </w:rPr>
            </w:pPr>
            <w:r>
              <w:rPr>
                <w:sz w:val="24"/>
              </w:rPr>
              <w:t>Analytical</w:t>
            </w:r>
            <w:r>
              <w:rPr>
                <w:spacing w:val="-3"/>
                <w:sz w:val="24"/>
              </w:rPr>
              <w:t xml:space="preserve"> </w:t>
            </w:r>
            <w:r>
              <w:rPr>
                <w:spacing w:val="-4"/>
                <w:sz w:val="24"/>
              </w:rPr>
              <w:t>grade</w:t>
            </w:r>
          </w:p>
        </w:tc>
      </w:tr>
      <w:tr w:rsidR="00A02889" w14:paraId="5355D758" w14:textId="77777777">
        <w:trPr>
          <w:trHeight w:val="1103"/>
        </w:trPr>
        <w:tc>
          <w:tcPr>
            <w:tcW w:w="723" w:type="dxa"/>
          </w:tcPr>
          <w:p w14:paraId="6F49A966" w14:textId="77777777" w:rsidR="00A02889" w:rsidRDefault="00000000">
            <w:pPr>
              <w:pStyle w:val="TableParagraph"/>
              <w:spacing w:before="267"/>
              <w:ind w:left="107"/>
              <w:rPr>
                <w:sz w:val="24"/>
              </w:rPr>
            </w:pPr>
            <w:r>
              <w:rPr>
                <w:spacing w:val="-10"/>
                <w:sz w:val="24"/>
              </w:rPr>
              <w:t>5</w:t>
            </w:r>
          </w:p>
        </w:tc>
        <w:tc>
          <w:tcPr>
            <w:tcW w:w="2881" w:type="dxa"/>
          </w:tcPr>
          <w:p w14:paraId="77F4A3B0" w14:textId="77777777" w:rsidR="00A02889" w:rsidRDefault="00000000">
            <w:pPr>
              <w:pStyle w:val="TableParagraph"/>
              <w:spacing w:before="267"/>
              <w:ind w:left="105"/>
              <w:rPr>
                <w:sz w:val="24"/>
              </w:rPr>
            </w:pPr>
            <w:r>
              <w:rPr>
                <w:sz w:val="24"/>
              </w:rPr>
              <w:t>pH</w:t>
            </w:r>
            <w:r>
              <w:rPr>
                <w:spacing w:val="-2"/>
                <w:sz w:val="24"/>
              </w:rPr>
              <w:t xml:space="preserve"> meter</w:t>
            </w:r>
          </w:p>
        </w:tc>
        <w:tc>
          <w:tcPr>
            <w:tcW w:w="2250" w:type="dxa"/>
          </w:tcPr>
          <w:p w14:paraId="7F389E08" w14:textId="77777777" w:rsidR="00A02889" w:rsidRDefault="00000000">
            <w:pPr>
              <w:pStyle w:val="TableParagraph"/>
              <w:tabs>
                <w:tab w:val="left" w:pos="1136"/>
              </w:tabs>
              <w:spacing w:before="0" w:line="268" w:lineRule="exact"/>
              <w:ind w:left="104"/>
              <w:rPr>
                <w:sz w:val="24"/>
              </w:rPr>
            </w:pPr>
            <w:r>
              <w:rPr>
                <w:spacing w:val="-5"/>
                <w:sz w:val="24"/>
              </w:rPr>
              <w:t>For</w:t>
            </w:r>
            <w:r>
              <w:rPr>
                <w:sz w:val="24"/>
              </w:rPr>
              <w:tab/>
            </w:r>
            <w:r>
              <w:rPr>
                <w:spacing w:val="-2"/>
                <w:sz w:val="24"/>
              </w:rPr>
              <w:t>measuring</w:t>
            </w:r>
          </w:p>
          <w:p w14:paraId="3A1385ED" w14:textId="77777777" w:rsidR="00A02889" w:rsidRDefault="00A02889">
            <w:pPr>
              <w:pStyle w:val="TableParagraph"/>
              <w:spacing w:before="0"/>
              <w:rPr>
                <w:b/>
                <w:sz w:val="24"/>
              </w:rPr>
            </w:pPr>
          </w:p>
          <w:p w14:paraId="1A05BA07" w14:textId="77777777" w:rsidR="00A02889" w:rsidRDefault="00000000">
            <w:pPr>
              <w:pStyle w:val="TableParagraph"/>
              <w:spacing w:before="0"/>
              <w:ind w:left="104"/>
              <w:rPr>
                <w:sz w:val="24"/>
              </w:rPr>
            </w:pPr>
            <w:r>
              <w:rPr>
                <w:spacing w:val="-2"/>
                <w:sz w:val="24"/>
              </w:rPr>
              <w:t>acidity/alkalinity</w:t>
            </w:r>
          </w:p>
        </w:tc>
        <w:tc>
          <w:tcPr>
            <w:tcW w:w="2154" w:type="dxa"/>
          </w:tcPr>
          <w:p w14:paraId="68BE6BB8" w14:textId="77777777" w:rsidR="00A02889" w:rsidRDefault="00000000">
            <w:pPr>
              <w:pStyle w:val="TableParagraph"/>
              <w:spacing w:before="267"/>
              <w:ind w:left="106"/>
              <w:rPr>
                <w:sz w:val="24"/>
              </w:rPr>
            </w:pPr>
            <w:r>
              <w:rPr>
                <w:sz w:val="24"/>
              </w:rPr>
              <w:t>Hanna</w:t>
            </w:r>
            <w:r>
              <w:rPr>
                <w:spacing w:val="-1"/>
                <w:sz w:val="24"/>
              </w:rPr>
              <w:t xml:space="preserve"> </w:t>
            </w:r>
            <w:r>
              <w:rPr>
                <w:spacing w:val="-2"/>
                <w:sz w:val="24"/>
              </w:rPr>
              <w:t>Instruments</w:t>
            </w:r>
          </w:p>
        </w:tc>
        <w:tc>
          <w:tcPr>
            <w:tcW w:w="2260" w:type="dxa"/>
          </w:tcPr>
          <w:p w14:paraId="6C374F21" w14:textId="77777777" w:rsidR="00A02889" w:rsidRDefault="00000000">
            <w:pPr>
              <w:pStyle w:val="TableParagraph"/>
              <w:spacing w:before="0" w:line="268" w:lineRule="exact"/>
              <w:ind w:left="105"/>
              <w:rPr>
                <w:sz w:val="24"/>
              </w:rPr>
            </w:pPr>
            <w:r>
              <w:rPr>
                <w:sz w:val="24"/>
              </w:rPr>
              <w:t>HI</w:t>
            </w:r>
            <w:r>
              <w:rPr>
                <w:spacing w:val="67"/>
                <w:sz w:val="24"/>
              </w:rPr>
              <w:t xml:space="preserve"> </w:t>
            </w:r>
            <w:r>
              <w:rPr>
                <w:sz w:val="24"/>
              </w:rPr>
              <w:t>2211</w:t>
            </w:r>
            <w:r>
              <w:rPr>
                <w:spacing w:val="74"/>
                <w:sz w:val="24"/>
              </w:rPr>
              <w:t xml:space="preserve"> </w:t>
            </w:r>
            <w:r>
              <w:rPr>
                <w:sz w:val="24"/>
              </w:rPr>
              <w:t>Bench</w:t>
            </w:r>
            <w:r>
              <w:rPr>
                <w:spacing w:val="73"/>
                <w:sz w:val="24"/>
              </w:rPr>
              <w:t xml:space="preserve"> </w:t>
            </w:r>
            <w:r>
              <w:rPr>
                <w:spacing w:val="-5"/>
                <w:sz w:val="24"/>
              </w:rPr>
              <w:t>pH</w:t>
            </w:r>
          </w:p>
          <w:p w14:paraId="20E3844D" w14:textId="77777777" w:rsidR="00A02889" w:rsidRDefault="00A02889">
            <w:pPr>
              <w:pStyle w:val="TableParagraph"/>
              <w:spacing w:before="0"/>
              <w:rPr>
                <w:b/>
                <w:sz w:val="24"/>
              </w:rPr>
            </w:pPr>
          </w:p>
          <w:p w14:paraId="5357333F" w14:textId="77777777" w:rsidR="00A02889" w:rsidRDefault="00000000">
            <w:pPr>
              <w:pStyle w:val="TableParagraph"/>
              <w:spacing w:before="0"/>
              <w:ind w:left="105"/>
              <w:rPr>
                <w:sz w:val="24"/>
              </w:rPr>
            </w:pPr>
            <w:r>
              <w:rPr>
                <w:spacing w:val="-2"/>
                <w:sz w:val="24"/>
              </w:rPr>
              <w:t>Meter</w:t>
            </w:r>
          </w:p>
        </w:tc>
      </w:tr>
      <w:tr w:rsidR="00A02889" w14:paraId="7964F195" w14:textId="77777777">
        <w:trPr>
          <w:trHeight w:val="1105"/>
        </w:trPr>
        <w:tc>
          <w:tcPr>
            <w:tcW w:w="723" w:type="dxa"/>
          </w:tcPr>
          <w:p w14:paraId="1F33348C" w14:textId="77777777" w:rsidR="00A02889" w:rsidRDefault="00000000">
            <w:pPr>
              <w:pStyle w:val="TableParagraph"/>
              <w:spacing w:before="270"/>
              <w:ind w:left="107"/>
              <w:rPr>
                <w:sz w:val="24"/>
              </w:rPr>
            </w:pPr>
            <w:r>
              <w:rPr>
                <w:spacing w:val="-10"/>
                <w:sz w:val="24"/>
              </w:rPr>
              <w:t>7</w:t>
            </w:r>
          </w:p>
        </w:tc>
        <w:tc>
          <w:tcPr>
            <w:tcW w:w="2881" w:type="dxa"/>
          </w:tcPr>
          <w:p w14:paraId="0A738FB7" w14:textId="77777777" w:rsidR="00A02889" w:rsidRDefault="00000000">
            <w:pPr>
              <w:pStyle w:val="TableParagraph"/>
              <w:spacing w:before="270"/>
              <w:ind w:left="105"/>
              <w:rPr>
                <w:sz w:val="24"/>
              </w:rPr>
            </w:pPr>
            <w:r>
              <w:rPr>
                <w:sz w:val="24"/>
              </w:rPr>
              <w:t>Beakers</w:t>
            </w:r>
            <w:r>
              <w:rPr>
                <w:spacing w:val="-5"/>
                <w:sz w:val="24"/>
              </w:rPr>
              <w:t xml:space="preserve"> </w:t>
            </w:r>
            <w:r>
              <w:rPr>
                <w:sz w:val="24"/>
              </w:rPr>
              <w:t>(100</w:t>
            </w:r>
            <w:r>
              <w:rPr>
                <w:spacing w:val="-2"/>
                <w:sz w:val="24"/>
              </w:rPr>
              <w:t xml:space="preserve"> </w:t>
            </w:r>
            <w:r>
              <w:rPr>
                <w:sz w:val="24"/>
              </w:rPr>
              <w:t>mL,</w:t>
            </w:r>
            <w:r>
              <w:rPr>
                <w:spacing w:val="-2"/>
                <w:sz w:val="24"/>
              </w:rPr>
              <w:t xml:space="preserve"> </w:t>
            </w:r>
            <w:r>
              <w:rPr>
                <w:sz w:val="24"/>
              </w:rPr>
              <w:t>250</w:t>
            </w:r>
            <w:r>
              <w:rPr>
                <w:spacing w:val="-1"/>
                <w:sz w:val="24"/>
              </w:rPr>
              <w:t xml:space="preserve"> </w:t>
            </w:r>
            <w:r>
              <w:rPr>
                <w:spacing w:val="-5"/>
                <w:sz w:val="24"/>
              </w:rPr>
              <w:t>mL)</w:t>
            </w:r>
          </w:p>
        </w:tc>
        <w:tc>
          <w:tcPr>
            <w:tcW w:w="2250" w:type="dxa"/>
          </w:tcPr>
          <w:p w14:paraId="0E5D2372" w14:textId="77777777" w:rsidR="00A02889" w:rsidRDefault="00000000">
            <w:pPr>
              <w:pStyle w:val="TableParagraph"/>
              <w:tabs>
                <w:tab w:val="left" w:pos="771"/>
                <w:tab w:val="left" w:pos="1790"/>
              </w:tabs>
              <w:spacing w:before="0" w:line="270" w:lineRule="exact"/>
              <w:ind w:left="104"/>
              <w:rPr>
                <w:sz w:val="24"/>
              </w:rPr>
            </w:pPr>
            <w:r>
              <w:rPr>
                <w:spacing w:val="-5"/>
                <w:sz w:val="24"/>
              </w:rPr>
              <w:t>For</w:t>
            </w:r>
            <w:r>
              <w:rPr>
                <w:sz w:val="24"/>
              </w:rPr>
              <w:tab/>
            </w:r>
            <w:r>
              <w:rPr>
                <w:spacing w:val="-2"/>
                <w:sz w:val="24"/>
              </w:rPr>
              <w:t>mixing</w:t>
            </w:r>
            <w:r>
              <w:rPr>
                <w:sz w:val="24"/>
              </w:rPr>
              <w:tab/>
            </w:r>
            <w:r>
              <w:rPr>
                <w:spacing w:val="-5"/>
                <w:sz w:val="24"/>
              </w:rPr>
              <w:t>and</w:t>
            </w:r>
          </w:p>
          <w:p w14:paraId="2625763A" w14:textId="77777777" w:rsidR="00A02889" w:rsidRDefault="00A02889">
            <w:pPr>
              <w:pStyle w:val="TableParagraph"/>
              <w:spacing w:before="0"/>
              <w:rPr>
                <w:b/>
                <w:sz w:val="24"/>
              </w:rPr>
            </w:pPr>
          </w:p>
          <w:p w14:paraId="06355030" w14:textId="77777777" w:rsidR="00A02889" w:rsidRDefault="00000000">
            <w:pPr>
              <w:pStyle w:val="TableParagraph"/>
              <w:spacing w:before="0"/>
              <w:ind w:left="104"/>
              <w:rPr>
                <w:sz w:val="24"/>
              </w:rPr>
            </w:pPr>
            <w:r>
              <w:rPr>
                <w:spacing w:val="-2"/>
                <w:sz w:val="24"/>
              </w:rPr>
              <w:t>reactions</w:t>
            </w:r>
          </w:p>
        </w:tc>
        <w:tc>
          <w:tcPr>
            <w:tcW w:w="2154" w:type="dxa"/>
          </w:tcPr>
          <w:p w14:paraId="4651EEFE" w14:textId="77777777" w:rsidR="00A02889" w:rsidRDefault="00000000">
            <w:pPr>
              <w:pStyle w:val="TableParagraph"/>
              <w:spacing w:before="270"/>
              <w:ind w:left="106"/>
              <w:rPr>
                <w:sz w:val="24"/>
              </w:rPr>
            </w:pPr>
            <w:r>
              <w:rPr>
                <w:spacing w:val="-2"/>
                <w:sz w:val="24"/>
              </w:rPr>
              <w:t>Pyrex</w:t>
            </w:r>
          </w:p>
        </w:tc>
        <w:tc>
          <w:tcPr>
            <w:tcW w:w="2260" w:type="dxa"/>
          </w:tcPr>
          <w:p w14:paraId="504A70E5" w14:textId="77777777" w:rsidR="00A02889" w:rsidRDefault="00000000">
            <w:pPr>
              <w:pStyle w:val="TableParagraph"/>
              <w:tabs>
                <w:tab w:val="left" w:pos="1158"/>
              </w:tabs>
              <w:spacing w:before="0" w:line="270" w:lineRule="exact"/>
              <w:ind w:left="105"/>
              <w:rPr>
                <w:sz w:val="24"/>
              </w:rPr>
            </w:pPr>
            <w:r>
              <w:rPr>
                <w:spacing w:val="-2"/>
                <w:sz w:val="24"/>
              </w:rPr>
              <w:t>Standard</w:t>
            </w:r>
            <w:r>
              <w:rPr>
                <w:sz w:val="24"/>
              </w:rPr>
              <w:tab/>
            </w:r>
            <w:r>
              <w:rPr>
                <w:spacing w:val="-2"/>
                <w:sz w:val="24"/>
              </w:rPr>
              <w:t>laboratory</w:t>
            </w:r>
          </w:p>
          <w:p w14:paraId="52D9ED3D" w14:textId="77777777" w:rsidR="00A02889" w:rsidRDefault="00A02889">
            <w:pPr>
              <w:pStyle w:val="TableParagraph"/>
              <w:spacing w:before="0"/>
              <w:rPr>
                <w:b/>
                <w:sz w:val="24"/>
              </w:rPr>
            </w:pPr>
          </w:p>
          <w:p w14:paraId="0D6F1428" w14:textId="77777777" w:rsidR="00A02889" w:rsidRDefault="00000000">
            <w:pPr>
              <w:pStyle w:val="TableParagraph"/>
              <w:spacing w:before="0"/>
              <w:ind w:left="105"/>
              <w:rPr>
                <w:sz w:val="24"/>
              </w:rPr>
            </w:pPr>
            <w:r>
              <w:rPr>
                <w:spacing w:val="-2"/>
                <w:sz w:val="24"/>
              </w:rPr>
              <w:t>glassware</w:t>
            </w:r>
          </w:p>
        </w:tc>
      </w:tr>
      <w:tr w:rsidR="00A02889" w14:paraId="0E93CA4C" w14:textId="77777777">
        <w:trPr>
          <w:trHeight w:val="1104"/>
        </w:trPr>
        <w:tc>
          <w:tcPr>
            <w:tcW w:w="723" w:type="dxa"/>
          </w:tcPr>
          <w:p w14:paraId="3094E408" w14:textId="77777777" w:rsidR="00A02889" w:rsidRDefault="00000000">
            <w:pPr>
              <w:pStyle w:val="TableParagraph"/>
              <w:spacing w:before="268"/>
              <w:ind w:left="107"/>
              <w:rPr>
                <w:sz w:val="24"/>
              </w:rPr>
            </w:pPr>
            <w:r>
              <w:rPr>
                <w:spacing w:val="-10"/>
                <w:sz w:val="24"/>
              </w:rPr>
              <w:t>9</w:t>
            </w:r>
          </w:p>
        </w:tc>
        <w:tc>
          <w:tcPr>
            <w:tcW w:w="2881" w:type="dxa"/>
          </w:tcPr>
          <w:p w14:paraId="5AFCC6F8" w14:textId="77777777" w:rsidR="00A02889" w:rsidRDefault="00000000">
            <w:pPr>
              <w:pStyle w:val="TableParagraph"/>
              <w:spacing w:before="268"/>
              <w:ind w:left="105"/>
              <w:rPr>
                <w:sz w:val="24"/>
              </w:rPr>
            </w:pPr>
            <w:r>
              <w:rPr>
                <w:sz w:val="24"/>
              </w:rPr>
              <w:t>Graduated</w:t>
            </w:r>
            <w:r>
              <w:rPr>
                <w:spacing w:val="-3"/>
                <w:sz w:val="24"/>
              </w:rPr>
              <w:t xml:space="preserve"> </w:t>
            </w:r>
            <w:r>
              <w:rPr>
                <w:spacing w:val="-2"/>
                <w:sz w:val="24"/>
              </w:rPr>
              <w:t>cylinders</w:t>
            </w:r>
          </w:p>
        </w:tc>
        <w:tc>
          <w:tcPr>
            <w:tcW w:w="2250" w:type="dxa"/>
          </w:tcPr>
          <w:p w14:paraId="2E69FD8C" w14:textId="77777777" w:rsidR="00A02889" w:rsidRDefault="00000000">
            <w:pPr>
              <w:pStyle w:val="TableParagraph"/>
              <w:spacing w:before="0" w:line="268" w:lineRule="exact"/>
              <w:ind w:left="104"/>
              <w:rPr>
                <w:sz w:val="24"/>
              </w:rPr>
            </w:pPr>
            <w:r>
              <w:rPr>
                <w:sz w:val="24"/>
              </w:rPr>
              <w:t>For</w:t>
            </w:r>
            <w:r>
              <w:rPr>
                <w:spacing w:val="8"/>
                <w:sz w:val="24"/>
              </w:rPr>
              <w:t xml:space="preserve"> </w:t>
            </w:r>
            <w:r>
              <w:rPr>
                <w:sz w:val="24"/>
              </w:rPr>
              <w:t>measuring</w:t>
            </w:r>
            <w:r>
              <w:rPr>
                <w:spacing w:val="6"/>
                <w:sz w:val="24"/>
              </w:rPr>
              <w:t xml:space="preserve"> </w:t>
            </w:r>
            <w:r>
              <w:rPr>
                <w:spacing w:val="-2"/>
                <w:sz w:val="24"/>
              </w:rPr>
              <w:t>liquid</w:t>
            </w:r>
          </w:p>
          <w:p w14:paraId="3330BB74" w14:textId="77777777" w:rsidR="00A02889" w:rsidRDefault="00A02889">
            <w:pPr>
              <w:pStyle w:val="TableParagraph"/>
              <w:spacing w:before="0"/>
              <w:rPr>
                <w:b/>
                <w:sz w:val="24"/>
              </w:rPr>
            </w:pPr>
          </w:p>
          <w:p w14:paraId="6F941194" w14:textId="77777777" w:rsidR="00A02889" w:rsidRDefault="00000000">
            <w:pPr>
              <w:pStyle w:val="TableParagraph"/>
              <w:spacing w:before="0"/>
              <w:ind w:left="104"/>
              <w:rPr>
                <w:sz w:val="24"/>
              </w:rPr>
            </w:pPr>
            <w:r>
              <w:rPr>
                <w:spacing w:val="-2"/>
                <w:sz w:val="24"/>
              </w:rPr>
              <w:t>volumes</w:t>
            </w:r>
          </w:p>
        </w:tc>
        <w:tc>
          <w:tcPr>
            <w:tcW w:w="2154" w:type="dxa"/>
          </w:tcPr>
          <w:p w14:paraId="1E733CB3" w14:textId="77777777" w:rsidR="00A02889" w:rsidRDefault="00000000">
            <w:pPr>
              <w:pStyle w:val="TableParagraph"/>
              <w:spacing w:before="268"/>
              <w:ind w:left="106"/>
              <w:rPr>
                <w:sz w:val="24"/>
              </w:rPr>
            </w:pPr>
            <w:r>
              <w:rPr>
                <w:spacing w:val="-2"/>
                <w:sz w:val="24"/>
              </w:rPr>
              <w:t>Pyrex</w:t>
            </w:r>
          </w:p>
        </w:tc>
        <w:tc>
          <w:tcPr>
            <w:tcW w:w="2260" w:type="dxa"/>
          </w:tcPr>
          <w:p w14:paraId="45EC6217" w14:textId="77777777" w:rsidR="00A02889" w:rsidRDefault="00000000">
            <w:pPr>
              <w:pStyle w:val="TableParagraph"/>
              <w:spacing w:before="0" w:line="268" w:lineRule="exact"/>
              <w:ind w:left="105"/>
              <w:rPr>
                <w:sz w:val="24"/>
              </w:rPr>
            </w:pPr>
            <w:r>
              <w:rPr>
                <w:sz w:val="24"/>
              </w:rPr>
              <w:t>50</w:t>
            </w:r>
            <w:r>
              <w:rPr>
                <w:spacing w:val="50"/>
                <w:sz w:val="24"/>
              </w:rPr>
              <w:t xml:space="preserve"> </w:t>
            </w:r>
            <w:r>
              <w:rPr>
                <w:sz w:val="24"/>
              </w:rPr>
              <w:t>mL</w:t>
            </w:r>
            <w:r>
              <w:rPr>
                <w:spacing w:val="37"/>
                <w:sz w:val="24"/>
              </w:rPr>
              <w:t xml:space="preserve"> </w:t>
            </w:r>
            <w:r>
              <w:rPr>
                <w:sz w:val="24"/>
              </w:rPr>
              <w:t>and</w:t>
            </w:r>
            <w:r>
              <w:rPr>
                <w:spacing w:val="52"/>
                <w:sz w:val="24"/>
              </w:rPr>
              <w:t xml:space="preserve"> </w:t>
            </w:r>
            <w:r>
              <w:rPr>
                <w:sz w:val="24"/>
              </w:rPr>
              <w:t>100</w:t>
            </w:r>
            <w:r>
              <w:rPr>
                <w:spacing w:val="53"/>
                <w:sz w:val="24"/>
              </w:rPr>
              <w:t xml:space="preserve"> </w:t>
            </w:r>
            <w:r>
              <w:rPr>
                <w:spacing w:val="-5"/>
                <w:sz w:val="24"/>
              </w:rPr>
              <w:t>mL</w:t>
            </w:r>
          </w:p>
          <w:p w14:paraId="187BD5A3" w14:textId="77777777" w:rsidR="00A02889" w:rsidRDefault="00A02889">
            <w:pPr>
              <w:pStyle w:val="TableParagraph"/>
              <w:spacing w:before="0"/>
              <w:rPr>
                <w:b/>
                <w:sz w:val="24"/>
              </w:rPr>
            </w:pPr>
          </w:p>
          <w:p w14:paraId="61BF9A6A" w14:textId="77777777" w:rsidR="00A02889" w:rsidRDefault="00000000">
            <w:pPr>
              <w:pStyle w:val="TableParagraph"/>
              <w:spacing w:before="0"/>
              <w:ind w:left="105"/>
              <w:rPr>
                <w:sz w:val="24"/>
              </w:rPr>
            </w:pPr>
            <w:r>
              <w:rPr>
                <w:spacing w:val="-2"/>
                <w:sz w:val="24"/>
              </w:rPr>
              <w:t>capacities</w:t>
            </w:r>
          </w:p>
        </w:tc>
      </w:tr>
      <w:tr w:rsidR="00A02889" w14:paraId="17525511" w14:textId="77777777">
        <w:trPr>
          <w:trHeight w:val="1103"/>
        </w:trPr>
        <w:tc>
          <w:tcPr>
            <w:tcW w:w="723" w:type="dxa"/>
          </w:tcPr>
          <w:p w14:paraId="56C48DC4" w14:textId="77777777" w:rsidR="00A02889" w:rsidRDefault="00000000">
            <w:pPr>
              <w:pStyle w:val="TableParagraph"/>
              <w:spacing w:before="267"/>
              <w:ind w:left="107"/>
              <w:rPr>
                <w:sz w:val="24"/>
              </w:rPr>
            </w:pPr>
            <w:r>
              <w:rPr>
                <w:spacing w:val="-5"/>
                <w:sz w:val="24"/>
              </w:rPr>
              <w:t>10</w:t>
            </w:r>
          </w:p>
        </w:tc>
        <w:tc>
          <w:tcPr>
            <w:tcW w:w="2881" w:type="dxa"/>
          </w:tcPr>
          <w:p w14:paraId="4D7F6EF8" w14:textId="77777777" w:rsidR="00A02889" w:rsidRDefault="00000000">
            <w:pPr>
              <w:pStyle w:val="TableParagraph"/>
              <w:spacing w:before="267"/>
              <w:ind w:left="105"/>
              <w:rPr>
                <w:sz w:val="24"/>
              </w:rPr>
            </w:pPr>
            <w:r>
              <w:rPr>
                <w:sz w:val="24"/>
              </w:rPr>
              <w:t>Analytical</w:t>
            </w:r>
            <w:r>
              <w:rPr>
                <w:spacing w:val="-5"/>
                <w:sz w:val="24"/>
              </w:rPr>
              <w:t xml:space="preserve"> </w:t>
            </w:r>
            <w:r>
              <w:rPr>
                <w:spacing w:val="-2"/>
                <w:sz w:val="24"/>
              </w:rPr>
              <w:t>balance</w:t>
            </w:r>
          </w:p>
        </w:tc>
        <w:tc>
          <w:tcPr>
            <w:tcW w:w="2250" w:type="dxa"/>
          </w:tcPr>
          <w:p w14:paraId="2CD106F9" w14:textId="77777777" w:rsidR="00A02889" w:rsidRDefault="00000000">
            <w:pPr>
              <w:pStyle w:val="TableParagraph"/>
              <w:spacing w:before="267"/>
              <w:ind w:left="104"/>
              <w:rPr>
                <w:sz w:val="24"/>
              </w:rPr>
            </w:pPr>
            <w:r>
              <w:rPr>
                <w:sz w:val="24"/>
              </w:rPr>
              <w:t>For</w:t>
            </w:r>
            <w:r>
              <w:rPr>
                <w:spacing w:val="-3"/>
                <w:sz w:val="24"/>
              </w:rPr>
              <w:t xml:space="preserve"> </w:t>
            </w:r>
            <w:r>
              <w:rPr>
                <w:sz w:val="24"/>
              </w:rPr>
              <w:t>precise</w:t>
            </w:r>
            <w:r>
              <w:rPr>
                <w:spacing w:val="-1"/>
                <w:sz w:val="24"/>
              </w:rPr>
              <w:t xml:space="preserve"> </w:t>
            </w:r>
            <w:r>
              <w:rPr>
                <w:spacing w:val="-2"/>
                <w:sz w:val="24"/>
              </w:rPr>
              <w:t>weighing</w:t>
            </w:r>
          </w:p>
        </w:tc>
        <w:tc>
          <w:tcPr>
            <w:tcW w:w="2154" w:type="dxa"/>
          </w:tcPr>
          <w:p w14:paraId="6A0540FE" w14:textId="77777777" w:rsidR="00A02889" w:rsidRDefault="00000000">
            <w:pPr>
              <w:pStyle w:val="TableParagraph"/>
              <w:spacing w:before="267"/>
              <w:ind w:left="106"/>
              <w:rPr>
                <w:sz w:val="24"/>
              </w:rPr>
            </w:pPr>
            <w:r>
              <w:rPr>
                <w:sz w:val="24"/>
              </w:rPr>
              <w:t>Mettler</w:t>
            </w:r>
            <w:r>
              <w:rPr>
                <w:spacing w:val="-7"/>
                <w:sz w:val="24"/>
              </w:rPr>
              <w:t xml:space="preserve"> </w:t>
            </w:r>
            <w:r>
              <w:rPr>
                <w:spacing w:val="-2"/>
                <w:sz w:val="24"/>
              </w:rPr>
              <w:t>Toledo</w:t>
            </w:r>
          </w:p>
        </w:tc>
        <w:tc>
          <w:tcPr>
            <w:tcW w:w="2260" w:type="dxa"/>
          </w:tcPr>
          <w:p w14:paraId="669B3580" w14:textId="77777777" w:rsidR="00A02889" w:rsidRDefault="00000000">
            <w:pPr>
              <w:pStyle w:val="TableParagraph"/>
              <w:spacing w:before="0" w:line="268" w:lineRule="exact"/>
              <w:ind w:left="105"/>
              <w:rPr>
                <w:sz w:val="24"/>
              </w:rPr>
            </w:pPr>
            <w:r>
              <w:rPr>
                <w:sz w:val="24"/>
              </w:rPr>
              <w:t>ME204/E</w:t>
            </w:r>
            <w:r>
              <w:rPr>
                <w:spacing w:val="48"/>
                <w:sz w:val="24"/>
              </w:rPr>
              <w:t xml:space="preserve"> </w:t>
            </w:r>
            <w:r>
              <w:rPr>
                <w:spacing w:val="-2"/>
                <w:sz w:val="24"/>
              </w:rPr>
              <w:t>Analytical</w:t>
            </w:r>
          </w:p>
          <w:p w14:paraId="6B60588C" w14:textId="77777777" w:rsidR="00A02889" w:rsidRDefault="00A02889">
            <w:pPr>
              <w:pStyle w:val="TableParagraph"/>
              <w:spacing w:before="0"/>
              <w:rPr>
                <w:b/>
                <w:sz w:val="24"/>
              </w:rPr>
            </w:pPr>
          </w:p>
          <w:p w14:paraId="6A31E606" w14:textId="77777777" w:rsidR="00A02889" w:rsidRDefault="00000000">
            <w:pPr>
              <w:pStyle w:val="TableParagraph"/>
              <w:spacing w:before="0"/>
              <w:ind w:left="105"/>
              <w:rPr>
                <w:sz w:val="24"/>
              </w:rPr>
            </w:pPr>
            <w:r>
              <w:rPr>
                <w:spacing w:val="-2"/>
                <w:sz w:val="24"/>
              </w:rPr>
              <w:t>Balance</w:t>
            </w:r>
          </w:p>
        </w:tc>
      </w:tr>
      <w:tr w:rsidR="00A02889" w14:paraId="503A32F6" w14:textId="77777777">
        <w:trPr>
          <w:trHeight w:val="1103"/>
        </w:trPr>
        <w:tc>
          <w:tcPr>
            <w:tcW w:w="723" w:type="dxa"/>
          </w:tcPr>
          <w:p w14:paraId="4C961B55" w14:textId="77777777" w:rsidR="00A02889" w:rsidRDefault="00000000">
            <w:pPr>
              <w:pStyle w:val="TableParagraph"/>
              <w:spacing w:before="267"/>
              <w:ind w:left="107"/>
              <w:rPr>
                <w:sz w:val="24"/>
              </w:rPr>
            </w:pPr>
            <w:r>
              <w:rPr>
                <w:spacing w:val="-5"/>
                <w:sz w:val="24"/>
              </w:rPr>
              <w:t>11</w:t>
            </w:r>
          </w:p>
        </w:tc>
        <w:tc>
          <w:tcPr>
            <w:tcW w:w="2881" w:type="dxa"/>
          </w:tcPr>
          <w:p w14:paraId="35A36186" w14:textId="77777777" w:rsidR="00A02889" w:rsidRDefault="00000000">
            <w:pPr>
              <w:pStyle w:val="TableParagraph"/>
              <w:spacing w:before="267"/>
              <w:ind w:left="105"/>
              <w:rPr>
                <w:sz w:val="24"/>
              </w:rPr>
            </w:pPr>
            <w:r>
              <w:rPr>
                <w:spacing w:val="-2"/>
                <w:sz w:val="24"/>
              </w:rPr>
              <w:t>Thermometer</w:t>
            </w:r>
          </w:p>
        </w:tc>
        <w:tc>
          <w:tcPr>
            <w:tcW w:w="2250" w:type="dxa"/>
          </w:tcPr>
          <w:p w14:paraId="57E11CC2" w14:textId="77777777" w:rsidR="00A02889" w:rsidRDefault="00000000">
            <w:pPr>
              <w:pStyle w:val="TableParagraph"/>
              <w:tabs>
                <w:tab w:val="left" w:pos="990"/>
              </w:tabs>
              <w:spacing w:before="0" w:line="268" w:lineRule="exact"/>
              <w:ind w:left="104"/>
              <w:rPr>
                <w:sz w:val="24"/>
              </w:rPr>
            </w:pPr>
            <w:r>
              <w:rPr>
                <w:spacing w:val="-5"/>
                <w:sz w:val="24"/>
              </w:rPr>
              <w:t>For</w:t>
            </w:r>
            <w:r>
              <w:rPr>
                <w:sz w:val="24"/>
              </w:rPr>
              <w:tab/>
            </w:r>
            <w:r>
              <w:rPr>
                <w:spacing w:val="-2"/>
                <w:sz w:val="24"/>
              </w:rPr>
              <w:t>temperature</w:t>
            </w:r>
          </w:p>
          <w:p w14:paraId="72191876" w14:textId="77777777" w:rsidR="00A02889" w:rsidRDefault="00A02889">
            <w:pPr>
              <w:pStyle w:val="TableParagraph"/>
              <w:spacing w:before="0"/>
              <w:rPr>
                <w:b/>
                <w:sz w:val="24"/>
              </w:rPr>
            </w:pPr>
          </w:p>
          <w:p w14:paraId="47CC6CD7" w14:textId="77777777" w:rsidR="00A02889" w:rsidRDefault="00000000">
            <w:pPr>
              <w:pStyle w:val="TableParagraph"/>
              <w:spacing w:before="0"/>
              <w:ind w:left="104"/>
              <w:rPr>
                <w:sz w:val="24"/>
              </w:rPr>
            </w:pPr>
            <w:r>
              <w:rPr>
                <w:spacing w:val="-2"/>
                <w:sz w:val="24"/>
              </w:rPr>
              <w:t>measurement</w:t>
            </w:r>
          </w:p>
        </w:tc>
        <w:tc>
          <w:tcPr>
            <w:tcW w:w="2154" w:type="dxa"/>
          </w:tcPr>
          <w:p w14:paraId="08784542" w14:textId="77777777" w:rsidR="00A02889" w:rsidRDefault="00000000">
            <w:pPr>
              <w:pStyle w:val="TableParagraph"/>
              <w:tabs>
                <w:tab w:val="left" w:pos="1440"/>
              </w:tabs>
              <w:spacing w:before="0" w:line="268" w:lineRule="exact"/>
              <w:ind w:left="106"/>
              <w:rPr>
                <w:sz w:val="24"/>
              </w:rPr>
            </w:pPr>
            <w:proofErr w:type="spellStart"/>
            <w:r>
              <w:rPr>
                <w:spacing w:val="-2"/>
                <w:sz w:val="24"/>
              </w:rPr>
              <w:t>Thermo</w:t>
            </w:r>
            <w:proofErr w:type="spellEnd"/>
            <w:r>
              <w:rPr>
                <w:sz w:val="24"/>
              </w:rPr>
              <w:tab/>
            </w:r>
            <w:r>
              <w:rPr>
                <w:spacing w:val="-2"/>
                <w:sz w:val="24"/>
              </w:rPr>
              <w:t>Fisher</w:t>
            </w:r>
          </w:p>
          <w:p w14:paraId="09059D97" w14:textId="77777777" w:rsidR="00A02889" w:rsidRDefault="00A02889">
            <w:pPr>
              <w:pStyle w:val="TableParagraph"/>
              <w:spacing w:before="0"/>
              <w:rPr>
                <w:b/>
                <w:sz w:val="24"/>
              </w:rPr>
            </w:pPr>
          </w:p>
          <w:p w14:paraId="377B6E91" w14:textId="77777777" w:rsidR="00A02889" w:rsidRDefault="00000000">
            <w:pPr>
              <w:pStyle w:val="TableParagraph"/>
              <w:spacing w:before="0"/>
              <w:ind w:left="106"/>
              <w:rPr>
                <w:sz w:val="24"/>
              </w:rPr>
            </w:pPr>
            <w:r>
              <w:rPr>
                <w:spacing w:val="-2"/>
                <w:sz w:val="24"/>
              </w:rPr>
              <w:t>Scientific</w:t>
            </w:r>
          </w:p>
        </w:tc>
        <w:tc>
          <w:tcPr>
            <w:tcW w:w="2260" w:type="dxa"/>
          </w:tcPr>
          <w:p w14:paraId="154D79CF" w14:textId="77777777" w:rsidR="00A02889" w:rsidRDefault="00000000">
            <w:pPr>
              <w:pStyle w:val="TableParagraph"/>
              <w:tabs>
                <w:tab w:val="left" w:pos="1084"/>
                <w:tab w:val="left" w:pos="1960"/>
              </w:tabs>
              <w:spacing w:before="0" w:line="268" w:lineRule="exact"/>
              <w:ind w:left="105"/>
              <w:rPr>
                <w:sz w:val="24"/>
              </w:rPr>
            </w:pPr>
            <w:r>
              <w:rPr>
                <w:spacing w:val="-2"/>
                <w:sz w:val="24"/>
              </w:rPr>
              <w:t>Range:</w:t>
            </w:r>
            <w:r>
              <w:rPr>
                <w:sz w:val="24"/>
              </w:rPr>
              <w:tab/>
            </w:r>
            <w:r>
              <w:rPr>
                <w:spacing w:val="-2"/>
                <w:sz w:val="24"/>
              </w:rPr>
              <w:t>-</w:t>
            </w:r>
            <w:r>
              <w:rPr>
                <w:spacing w:val="-4"/>
                <w:sz w:val="24"/>
              </w:rPr>
              <w:t>10°C</w:t>
            </w:r>
            <w:r>
              <w:rPr>
                <w:sz w:val="24"/>
              </w:rPr>
              <w:tab/>
            </w:r>
            <w:r>
              <w:rPr>
                <w:spacing w:val="-5"/>
                <w:sz w:val="24"/>
              </w:rPr>
              <w:t>to</w:t>
            </w:r>
          </w:p>
          <w:p w14:paraId="5846B877" w14:textId="77777777" w:rsidR="00A02889" w:rsidRDefault="00A02889">
            <w:pPr>
              <w:pStyle w:val="TableParagraph"/>
              <w:spacing w:before="0"/>
              <w:rPr>
                <w:b/>
                <w:sz w:val="24"/>
              </w:rPr>
            </w:pPr>
          </w:p>
          <w:p w14:paraId="2C1F84E6" w14:textId="77777777" w:rsidR="00A02889" w:rsidRDefault="00000000">
            <w:pPr>
              <w:pStyle w:val="TableParagraph"/>
              <w:spacing w:before="0"/>
              <w:ind w:left="105"/>
              <w:rPr>
                <w:sz w:val="24"/>
              </w:rPr>
            </w:pPr>
            <w:r>
              <w:rPr>
                <w:spacing w:val="-2"/>
                <w:sz w:val="24"/>
              </w:rPr>
              <w:t>110°C</w:t>
            </w:r>
          </w:p>
        </w:tc>
      </w:tr>
    </w:tbl>
    <w:p w14:paraId="63C1E52D" w14:textId="77777777" w:rsidR="00A02889" w:rsidRDefault="00A02889">
      <w:pPr>
        <w:pStyle w:val="BodyText"/>
        <w:rPr>
          <w:b/>
        </w:rPr>
      </w:pPr>
    </w:p>
    <w:p w14:paraId="2081D913" w14:textId="77777777" w:rsidR="00A02889" w:rsidRDefault="00A02889">
      <w:pPr>
        <w:pStyle w:val="BodyText"/>
        <w:rPr>
          <w:b/>
        </w:rPr>
      </w:pPr>
    </w:p>
    <w:p w14:paraId="30716CB2" w14:textId="77777777" w:rsidR="00A02889" w:rsidRDefault="00A02889">
      <w:pPr>
        <w:pStyle w:val="BodyText"/>
        <w:spacing w:before="22"/>
        <w:rPr>
          <w:b/>
        </w:rPr>
      </w:pPr>
    </w:p>
    <w:p w14:paraId="0A63A463" w14:textId="77777777" w:rsidR="00A02889" w:rsidRDefault="00000000">
      <w:pPr>
        <w:pStyle w:val="Heading2"/>
        <w:numPr>
          <w:ilvl w:val="1"/>
          <w:numId w:val="9"/>
        </w:numPr>
        <w:tabs>
          <w:tab w:val="left" w:pos="1080"/>
        </w:tabs>
        <w:spacing w:before="1"/>
      </w:pPr>
      <w:bookmarkStart w:id="56" w:name="_bookmark56"/>
      <w:bookmarkEnd w:id="56"/>
      <w:r>
        <w:t>Laboratory</w:t>
      </w:r>
      <w:r>
        <w:rPr>
          <w:spacing w:val="-3"/>
        </w:rPr>
        <w:t xml:space="preserve"> </w:t>
      </w:r>
      <w:r>
        <w:rPr>
          <w:spacing w:val="-2"/>
        </w:rPr>
        <w:t>Methods</w:t>
      </w:r>
    </w:p>
    <w:p w14:paraId="2BA61487" w14:textId="77777777" w:rsidR="00A02889" w:rsidRDefault="00A02889">
      <w:pPr>
        <w:pStyle w:val="BodyText"/>
        <w:rPr>
          <w:b/>
        </w:rPr>
      </w:pPr>
    </w:p>
    <w:p w14:paraId="1D6E391D" w14:textId="77777777" w:rsidR="00A02889" w:rsidRDefault="00A02889">
      <w:pPr>
        <w:pStyle w:val="BodyText"/>
        <w:spacing w:before="4"/>
        <w:rPr>
          <w:b/>
        </w:rPr>
      </w:pPr>
    </w:p>
    <w:p w14:paraId="2891DE9C" w14:textId="77777777" w:rsidR="00A02889" w:rsidRDefault="00000000">
      <w:pPr>
        <w:pStyle w:val="Heading2"/>
        <w:numPr>
          <w:ilvl w:val="2"/>
          <w:numId w:val="9"/>
        </w:numPr>
        <w:tabs>
          <w:tab w:val="left" w:pos="1260"/>
        </w:tabs>
      </w:pPr>
      <w:bookmarkStart w:id="57" w:name="_bookmark57"/>
      <w:bookmarkEnd w:id="57"/>
      <w:r>
        <w:t>Preparation</w:t>
      </w:r>
      <w:r>
        <w:rPr>
          <w:spacing w:val="-2"/>
        </w:rPr>
        <w:t xml:space="preserve"> </w:t>
      </w:r>
      <w:r>
        <w:t>of</w:t>
      </w:r>
      <w:r>
        <w:rPr>
          <w:spacing w:val="-2"/>
        </w:rPr>
        <w:t xml:space="preserve"> </w:t>
      </w:r>
      <w:r>
        <w:t>Natural</w:t>
      </w:r>
      <w:r>
        <w:rPr>
          <w:spacing w:val="-2"/>
        </w:rPr>
        <w:t xml:space="preserve"> Antacids</w:t>
      </w:r>
    </w:p>
    <w:p w14:paraId="7F15CEAD" w14:textId="77777777" w:rsidR="00A02889" w:rsidRDefault="00A02889">
      <w:pPr>
        <w:pStyle w:val="BodyText"/>
        <w:rPr>
          <w:b/>
        </w:rPr>
      </w:pPr>
    </w:p>
    <w:p w14:paraId="02A6B20C" w14:textId="77777777" w:rsidR="00A02889" w:rsidRDefault="00A02889">
      <w:pPr>
        <w:pStyle w:val="BodyText"/>
        <w:spacing w:before="7"/>
        <w:rPr>
          <w:b/>
        </w:rPr>
      </w:pPr>
    </w:p>
    <w:p w14:paraId="500918C0" w14:textId="77777777" w:rsidR="00A02889" w:rsidRDefault="00000000">
      <w:pPr>
        <w:spacing w:before="1"/>
        <w:ind w:left="720"/>
        <w:jc w:val="both"/>
        <w:rPr>
          <w:b/>
          <w:sz w:val="24"/>
        </w:rPr>
      </w:pPr>
      <w:r>
        <w:rPr>
          <w:b/>
          <w:sz w:val="24"/>
        </w:rPr>
        <w:t>Sodium</w:t>
      </w:r>
      <w:r>
        <w:rPr>
          <w:b/>
          <w:spacing w:val="-5"/>
          <w:sz w:val="24"/>
        </w:rPr>
        <w:t xml:space="preserve"> </w:t>
      </w:r>
      <w:r>
        <w:rPr>
          <w:b/>
          <w:spacing w:val="-2"/>
          <w:sz w:val="24"/>
        </w:rPr>
        <w:t>Bicarbonate:</w:t>
      </w:r>
    </w:p>
    <w:p w14:paraId="080765E8" w14:textId="77777777" w:rsidR="00A02889" w:rsidRDefault="00A02889">
      <w:pPr>
        <w:pStyle w:val="BodyText"/>
        <w:spacing w:before="192"/>
        <w:rPr>
          <w:b/>
        </w:rPr>
      </w:pPr>
    </w:p>
    <w:p w14:paraId="1EDD2BD5" w14:textId="77777777" w:rsidR="00A02889" w:rsidRDefault="00000000">
      <w:pPr>
        <w:pStyle w:val="BodyText"/>
        <w:spacing w:line="480" w:lineRule="auto"/>
        <w:ind w:left="720" w:right="714"/>
        <w:jc w:val="both"/>
      </w:pPr>
      <w:r>
        <w:t xml:space="preserve">A sodium bicarbonate solution was prepared by accurately weighing 5 grams of sodium bicarbonate using an analytical balance (Zhang </w:t>
      </w:r>
      <w:r>
        <w:rPr>
          <w:i/>
        </w:rPr>
        <w:t xml:space="preserve">et al., </w:t>
      </w:r>
      <w:r>
        <w:t>2024). The measured sample was transferred into a 100 mL</w:t>
      </w:r>
      <w:r>
        <w:rPr>
          <w:spacing w:val="-7"/>
        </w:rPr>
        <w:t xml:space="preserve"> </w:t>
      </w:r>
      <w:r>
        <w:t>beaker, after which 100 mL</w:t>
      </w:r>
      <w:r>
        <w:rPr>
          <w:spacing w:val="-10"/>
        </w:rPr>
        <w:t xml:space="preserve"> </w:t>
      </w:r>
      <w:r>
        <w:t xml:space="preserve">of distilled water was added (Zhang </w:t>
      </w:r>
      <w:r>
        <w:rPr>
          <w:i/>
        </w:rPr>
        <w:t xml:space="preserve">et al., </w:t>
      </w:r>
      <w:r>
        <w:t>2024).</w:t>
      </w:r>
      <w:r>
        <w:rPr>
          <w:spacing w:val="68"/>
        </w:rPr>
        <w:t xml:space="preserve"> </w:t>
      </w:r>
      <w:r>
        <w:t>The</w:t>
      </w:r>
      <w:r>
        <w:rPr>
          <w:spacing w:val="73"/>
        </w:rPr>
        <w:t xml:space="preserve"> </w:t>
      </w:r>
      <w:r>
        <w:t>mixture</w:t>
      </w:r>
      <w:r>
        <w:rPr>
          <w:spacing w:val="73"/>
        </w:rPr>
        <w:t xml:space="preserve"> </w:t>
      </w:r>
      <w:r>
        <w:t>was</w:t>
      </w:r>
      <w:r>
        <w:rPr>
          <w:spacing w:val="74"/>
        </w:rPr>
        <w:t xml:space="preserve"> </w:t>
      </w:r>
      <w:r>
        <w:t>stirred</w:t>
      </w:r>
      <w:r>
        <w:rPr>
          <w:spacing w:val="73"/>
        </w:rPr>
        <w:t xml:space="preserve"> </w:t>
      </w:r>
      <w:r>
        <w:t>continuously</w:t>
      </w:r>
      <w:r>
        <w:rPr>
          <w:spacing w:val="71"/>
        </w:rPr>
        <w:t xml:space="preserve"> </w:t>
      </w:r>
      <w:r>
        <w:t>using</w:t>
      </w:r>
      <w:r>
        <w:rPr>
          <w:spacing w:val="72"/>
        </w:rPr>
        <w:t xml:space="preserve"> </w:t>
      </w:r>
      <w:r>
        <w:t>a</w:t>
      </w:r>
      <w:r>
        <w:rPr>
          <w:spacing w:val="76"/>
        </w:rPr>
        <w:t xml:space="preserve"> </w:t>
      </w:r>
      <w:r>
        <w:t>magnetic</w:t>
      </w:r>
      <w:r>
        <w:rPr>
          <w:spacing w:val="73"/>
        </w:rPr>
        <w:t xml:space="preserve"> </w:t>
      </w:r>
      <w:r>
        <w:t>stirrer</w:t>
      </w:r>
      <w:r>
        <w:rPr>
          <w:spacing w:val="74"/>
        </w:rPr>
        <w:t xml:space="preserve">   </w:t>
      </w:r>
      <w:r>
        <w:t>until</w:t>
      </w:r>
      <w:r>
        <w:rPr>
          <w:spacing w:val="75"/>
        </w:rPr>
        <w:t xml:space="preserve"> </w:t>
      </w:r>
      <w:r>
        <w:t>the</w:t>
      </w:r>
      <w:r>
        <w:rPr>
          <w:spacing w:val="73"/>
        </w:rPr>
        <w:t xml:space="preserve"> </w:t>
      </w:r>
      <w:r>
        <w:rPr>
          <w:spacing w:val="-2"/>
        </w:rPr>
        <w:t>sodium</w:t>
      </w:r>
    </w:p>
    <w:p w14:paraId="25E746D9" w14:textId="77777777" w:rsidR="00A02889" w:rsidRDefault="00A02889">
      <w:pPr>
        <w:pStyle w:val="BodyText"/>
        <w:spacing w:line="480" w:lineRule="auto"/>
        <w:jc w:val="both"/>
        <w:sectPr w:rsidR="00A02889">
          <w:type w:val="continuous"/>
          <w:pgSz w:w="12240" w:h="15840"/>
          <w:pgMar w:top="1420" w:right="720" w:bottom="1260" w:left="720" w:header="0" w:footer="1068" w:gutter="0"/>
          <w:cols w:space="720"/>
        </w:sectPr>
      </w:pPr>
    </w:p>
    <w:p w14:paraId="3495BCB6" w14:textId="77777777" w:rsidR="00A02889" w:rsidRDefault="00000000">
      <w:pPr>
        <w:pStyle w:val="BodyText"/>
        <w:spacing w:before="72" w:line="482" w:lineRule="auto"/>
        <w:ind w:left="720" w:right="714"/>
        <w:jc w:val="both"/>
      </w:pPr>
      <w:r>
        <w:lastRenderedPageBreak/>
        <w:t xml:space="preserve">bicarbonate completely dissolved, forming a clear and homogeneous solution suitable for subsequent analysis (Zhang </w:t>
      </w:r>
      <w:r>
        <w:rPr>
          <w:i/>
        </w:rPr>
        <w:t xml:space="preserve">et al., </w:t>
      </w:r>
      <w:r>
        <w:t>2024).</w:t>
      </w:r>
    </w:p>
    <w:p w14:paraId="6F756FB3" w14:textId="77777777" w:rsidR="00A02889" w:rsidRDefault="00000000">
      <w:pPr>
        <w:pStyle w:val="Heading2"/>
        <w:spacing w:before="201"/>
        <w:ind w:left="720" w:firstLine="0"/>
        <w:jc w:val="both"/>
      </w:pPr>
      <w:r>
        <w:t>Ginger</w:t>
      </w:r>
      <w:r>
        <w:rPr>
          <w:spacing w:val="-9"/>
        </w:rPr>
        <w:t xml:space="preserve"> </w:t>
      </w:r>
      <w:r>
        <w:rPr>
          <w:spacing w:val="-2"/>
        </w:rPr>
        <w:t>Extract:</w:t>
      </w:r>
    </w:p>
    <w:p w14:paraId="074B2137" w14:textId="77777777" w:rsidR="00A02889" w:rsidRDefault="00A02889">
      <w:pPr>
        <w:pStyle w:val="BodyText"/>
        <w:spacing w:before="194"/>
        <w:rPr>
          <w:b/>
        </w:rPr>
      </w:pPr>
    </w:p>
    <w:p w14:paraId="6845DFC5" w14:textId="77777777" w:rsidR="00A02889" w:rsidRDefault="00000000">
      <w:pPr>
        <w:pStyle w:val="BodyText"/>
        <w:spacing w:line="480" w:lineRule="auto"/>
        <w:ind w:left="720" w:right="712"/>
        <w:jc w:val="both"/>
      </w:pPr>
      <w:r>
        <w:t xml:space="preserve">To prepare the ginger extract, approximately 5 grams of dried ginger root were accurately weighed using an analytical balance (García </w:t>
      </w:r>
      <w:r>
        <w:rPr>
          <w:i/>
        </w:rPr>
        <w:t xml:space="preserve">et al., </w:t>
      </w:r>
      <w:r>
        <w:t>2022). The weighed sample was transferred into a beaker containing 200 mL of distilled water and boiled for 15 minutes to facilitate the extraction of active phytochemical</w:t>
      </w:r>
      <w:r>
        <w:rPr>
          <w:spacing w:val="80"/>
        </w:rPr>
        <w:t xml:space="preserve"> </w:t>
      </w:r>
      <w:r>
        <w:t>compounds (</w:t>
      </w:r>
      <w:proofErr w:type="spellStart"/>
      <w:r>
        <w:t>Alqani</w:t>
      </w:r>
      <w:proofErr w:type="spellEnd"/>
      <w:r>
        <w:t xml:space="preserve"> </w:t>
      </w:r>
      <w:r>
        <w:rPr>
          <w:i/>
        </w:rPr>
        <w:t xml:space="preserve">et al., </w:t>
      </w:r>
      <w:r>
        <w:t>2022).</w:t>
      </w:r>
      <w:r>
        <w:rPr>
          <w:spacing w:val="-5"/>
        </w:rPr>
        <w:t xml:space="preserve"> </w:t>
      </w:r>
      <w:r>
        <w:t>After boiling, the mixture was allowed to cool to room temperature before being filtered through Whatman filter paper to remove</w:t>
      </w:r>
      <w:r>
        <w:rPr>
          <w:spacing w:val="-3"/>
        </w:rPr>
        <w:t xml:space="preserve"> </w:t>
      </w:r>
      <w:r>
        <w:t>solid</w:t>
      </w:r>
      <w:r>
        <w:rPr>
          <w:spacing w:val="-1"/>
        </w:rPr>
        <w:t xml:space="preserve"> </w:t>
      </w:r>
      <w:r>
        <w:t>residues.</w:t>
      </w:r>
      <w:r>
        <w:rPr>
          <w:spacing w:val="-5"/>
        </w:rPr>
        <w:t xml:space="preserve"> </w:t>
      </w:r>
      <w:r>
        <w:t>The</w:t>
      </w:r>
      <w:r>
        <w:rPr>
          <w:spacing w:val="-4"/>
        </w:rPr>
        <w:t xml:space="preserve"> </w:t>
      </w:r>
      <w:r>
        <w:t>resulting</w:t>
      </w:r>
      <w:r>
        <w:rPr>
          <w:spacing w:val="-3"/>
        </w:rPr>
        <w:t xml:space="preserve"> </w:t>
      </w:r>
      <w:r>
        <w:t>clear</w:t>
      </w:r>
      <w:r>
        <w:rPr>
          <w:spacing w:val="-3"/>
        </w:rPr>
        <w:t xml:space="preserve"> </w:t>
      </w:r>
      <w:r>
        <w:t>filtrate</w:t>
      </w:r>
      <w:r>
        <w:rPr>
          <w:spacing w:val="-2"/>
        </w:rPr>
        <w:t xml:space="preserve"> </w:t>
      </w:r>
      <w:r>
        <w:t>constituted</w:t>
      </w:r>
      <w:r>
        <w:rPr>
          <w:spacing w:val="-3"/>
        </w:rPr>
        <w:t xml:space="preserve"> </w:t>
      </w:r>
      <w:r>
        <w:t>the ginger</w:t>
      </w:r>
      <w:r>
        <w:rPr>
          <w:spacing w:val="-2"/>
        </w:rPr>
        <w:t xml:space="preserve"> </w:t>
      </w:r>
      <w:r>
        <w:t>extract,</w:t>
      </w:r>
      <w:r>
        <w:rPr>
          <w:spacing w:val="-1"/>
        </w:rPr>
        <w:t xml:space="preserve"> </w:t>
      </w:r>
      <w:r>
        <w:t>which</w:t>
      </w:r>
      <w:r>
        <w:rPr>
          <w:spacing w:val="-3"/>
        </w:rPr>
        <w:t xml:space="preserve"> </w:t>
      </w:r>
      <w:r>
        <w:t>was</w:t>
      </w:r>
      <w:r>
        <w:rPr>
          <w:spacing w:val="-4"/>
        </w:rPr>
        <w:t xml:space="preserve"> </w:t>
      </w:r>
      <w:r>
        <w:t xml:space="preserve">stored in a clean, labeled container for subsequent experimental use (Bahuguna </w:t>
      </w:r>
      <w:r>
        <w:rPr>
          <w:i/>
        </w:rPr>
        <w:t xml:space="preserve">et al., </w:t>
      </w:r>
      <w:r>
        <w:t>2022).</w:t>
      </w:r>
    </w:p>
    <w:p w14:paraId="5BA66986" w14:textId="77777777" w:rsidR="00A02889" w:rsidRDefault="00A02889">
      <w:pPr>
        <w:pStyle w:val="BodyText"/>
        <w:spacing w:before="8"/>
      </w:pPr>
    </w:p>
    <w:p w14:paraId="1A2B152B" w14:textId="77777777" w:rsidR="00A02889" w:rsidRDefault="00000000">
      <w:pPr>
        <w:pStyle w:val="Heading2"/>
        <w:numPr>
          <w:ilvl w:val="2"/>
          <w:numId w:val="9"/>
        </w:numPr>
        <w:tabs>
          <w:tab w:val="left" w:pos="1260"/>
        </w:tabs>
        <w:spacing w:before="1"/>
      </w:pPr>
      <w:bookmarkStart w:id="58" w:name="_bookmark58"/>
      <w:bookmarkEnd w:id="58"/>
      <w:r>
        <w:t>Preparation</w:t>
      </w:r>
      <w:r>
        <w:rPr>
          <w:spacing w:val="-2"/>
        </w:rPr>
        <w:t xml:space="preserve"> </w:t>
      </w:r>
      <w:r>
        <w:t>of</w:t>
      </w:r>
      <w:r>
        <w:rPr>
          <w:spacing w:val="-1"/>
        </w:rPr>
        <w:t xml:space="preserve"> </w:t>
      </w:r>
      <w:r>
        <w:t>Synthetic</w:t>
      </w:r>
      <w:r>
        <w:rPr>
          <w:spacing w:val="-2"/>
        </w:rPr>
        <w:t xml:space="preserve"> Antacids</w:t>
      </w:r>
    </w:p>
    <w:p w14:paraId="01D7E426" w14:textId="77777777" w:rsidR="00A02889" w:rsidRDefault="00A02889">
      <w:pPr>
        <w:pStyle w:val="BodyText"/>
        <w:rPr>
          <w:b/>
        </w:rPr>
      </w:pPr>
    </w:p>
    <w:p w14:paraId="52582AE5" w14:textId="77777777" w:rsidR="00A02889" w:rsidRDefault="00A02889">
      <w:pPr>
        <w:pStyle w:val="BodyText"/>
        <w:rPr>
          <w:b/>
        </w:rPr>
      </w:pPr>
    </w:p>
    <w:p w14:paraId="1B7269AA" w14:textId="77777777" w:rsidR="00A02889" w:rsidRDefault="00000000">
      <w:pPr>
        <w:pStyle w:val="BodyText"/>
        <w:spacing w:line="480" w:lineRule="auto"/>
        <w:ind w:left="720" w:right="720"/>
        <w:jc w:val="both"/>
      </w:pPr>
      <w:r>
        <w:t xml:space="preserve">Obtain commercially available formulations of aluminum hydroxide and magnesium hydroxide. Follow the manufacturer's instructions for preparation, typically involving dissolving the appropriate dosage in a specified volume of water (Joshi </w:t>
      </w:r>
      <w:r>
        <w:rPr>
          <w:i/>
        </w:rPr>
        <w:t xml:space="preserve">et al., </w:t>
      </w:r>
      <w:r>
        <w:t>2024).</w:t>
      </w:r>
    </w:p>
    <w:p w14:paraId="0F4C5A67" w14:textId="77777777" w:rsidR="00A02889" w:rsidRDefault="00A02889">
      <w:pPr>
        <w:pStyle w:val="BodyText"/>
        <w:spacing w:before="7"/>
      </w:pPr>
    </w:p>
    <w:p w14:paraId="7F34EB5E" w14:textId="77777777" w:rsidR="00A02889" w:rsidRDefault="00000000">
      <w:pPr>
        <w:pStyle w:val="Heading2"/>
        <w:numPr>
          <w:ilvl w:val="1"/>
          <w:numId w:val="9"/>
        </w:numPr>
        <w:tabs>
          <w:tab w:val="left" w:pos="1080"/>
        </w:tabs>
      </w:pPr>
      <w:bookmarkStart w:id="59" w:name="_bookmark59"/>
      <w:bookmarkEnd w:id="59"/>
      <w:r>
        <w:t>Effectiveness</w:t>
      </w:r>
      <w:r>
        <w:rPr>
          <w:spacing w:val="-5"/>
        </w:rPr>
        <w:t xml:space="preserve"> </w:t>
      </w:r>
      <w:r>
        <w:rPr>
          <w:spacing w:val="-2"/>
        </w:rPr>
        <w:t>Testing</w:t>
      </w:r>
    </w:p>
    <w:p w14:paraId="2C368011" w14:textId="77777777" w:rsidR="00A02889" w:rsidRDefault="00A02889">
      <w:pPr>
        <w:pStyle w:val="BodyText"/>
        <w:rPr>
          <w:b/>
        </w:rPr>
      </w:pPr>
    </w:p>
    <w:p w14:paraId="41DBDD06" w14:textId="77777777" w:rsidR="00A02889" w:rsidRDefault="00A02889">
      <w:pPr>
        <w:pStyle w:val="BodyText"/>
        <w:spacing w:before="5"/>
        <w:rPr>
          <w:b/>
        </w:rPr>
      </w:pPr>
    </w:p>
    <w:p w14:paraId="2ABB08A5" w14:textId="77777777" w:rsidR="00A02889" w:rsidRDefault="00000000">
      <w:pPr>
        <w:pStyle w:val="Heading2"/>
        <w:numPr>
          <w:ilvl w:val="2"/>
          <w:numId w:val="9"/>
        </w:numPr>
        <w:tabs>
          <w:tab w:val="left" w:pos="1260"/>
        </w:tabs>
      </w:pPr>
      <w:bookmarkStart w:id="60" w:name="_bookmark60"/>
      <w:bookmarkEnd w:id="60"/>
      <w:r>
        <w:t>Neutralization</w:t>
      </w:r>
      <w:r>
        <w:rPr>
          <w:spacing w:val="-5"/>
        </w:rPr>
        <w:t xml:space="preserve"> </w:t>
      </w:r>
      <w:r>
        <w:rPr>
          <w:spacing w:val="-2"/>
        </w:rPr>
        <w:t>Capacity</w:t>
      </w:r>
    </w:p>
    <w:p w14:paraId="64477722" w14:textId="77777777" w:rsidR="00A02889" w:rsidRDefault="00A02889">
      <w:pPr>
        <w:pStyle w:val="BodyText"/>
        <w:rPr>
          <w:b/>
        </w:rPr>
      </w:pPr>
    </w:p>
    <w:p w14:paraId="24B24159" w14:textId="77777777" w:rsidR="00A02889" w:rsidRDefault="00A02889">
      <w:pPr>
        <w:pStyle w:val="BodyText"/>
        <w:spacing w:before="8"/>
        <w:rPr>
          <w:b/>
        </w:rPr>
      </w:pPr>
    </w:p>
    <w:p w14:paraId="6581BFAF" w14:textId="77777777" w:rsidR="00A02889" w:rsidRDefault="00000000">
      <w:pPr>
        <w:ind w:left="720"/>
        <w:jc w:val="both"/>
        <w:rPr>
          <w:b/>
          <w:sz w:val="24"/>
        </w:rPr>
      </w:pPr>
      <w:r>
        <w:rPr>
          <w:b/>
          <w:sz w:val="24"/>
        </w:rPr>
        <w:t xml:space="preserve">pH </w:t>
      </w:r>
      <w:r>
        <w:rPr>
          <w:b/>
          <w:spacing w:val="-2"/>
          <w:sz w:val="24"/>
        </w:rPr>
        <w:t>Measurement:</w:t>
      </w:r>
    </w:p>
    <w:p w14:paraId="3DA379EF" w14:textId="77777777" w:rsidR="00A02889" w:rsidRDefault="00A02889">
      <w:pPr>
        <w:pStyle w:val="BodyText"/>
        <w:spacing w:before="192"/>
        <w:rPr>
          <w:b/>
        </w:rPr>
      </w:pPr>
    </w:p>
    <w:p w14:paraId="4389AC1A" w14:textId="77777777" w:rsidR="00A02889" w:rsidRDefault="00000000">
      <w:pPr>
        <w:pStyle w:val="BodyText"/>
        <w:spacing w:line="480" w:lineRule="auto"/>
        <w:ind w:left="720" w:right="717"/>
        <w:jc w:val="both"/>
      </w:pPr>
      <w:r>
        <w:t xml:space="preserve">A 0.1 M hydrochloric acid solution was prepared and used as the test medium to evaluate the neutralizing capacity of the antacids (Ramadan </w:t>
      </w:r>
      <w:r>
        <w:rPr>
          <w:i/>
        </w:rPr>
        <w:t xml:space="preserve">et al., </w:t>
      </w:r>
      <w:r>
        <w:t>2024). The initial pH of the hydrochloric acid</w:t>
      </w:r>
      <w:r>
        <w:rPr>
          <w:spacing w:val="-3"/>
        </w:rPr>
        <w:t xml:space="preserve"> </w:t>
      </w:r>
      <w:r>
        <w:t>solution</w:t>
      </w:r>
      <w:r>
        <w:rPr>
          <w:spacing w:val="-1"/>
        </w:rPr>
        <w:t xml:space="preserve"> </w:t>
      </w:r>
      <w:r>
        <w:t>was</w:t>
      </w:r>
      <w:r>
        <w:rPr>
          <w:spacing w:val="-1"/>
        </w:rPr>
        <w:t xml:space="preserve"> </w:t>
      </w:r>
      <w:r>
        <w:t>measured</w:t>
      </w:r>
      <w:r>
        <w:rPr>
          <w:spacing w:val="-1"/>
        </w:rPr>
        <w:t xml:space="preserve"> </w:t>
      </w:r>
      <w:r>
        <w:t>using</w:t>
      </w:r>
      <w:r>
        <w:rPr>
          <w:spacing w:val="-1"/>
        </w:rPr>
        <w:t xml:space="preserve"> </w:t>
      </w:r>
      <w:r>
        <w:t>a</w:t>
      </w:r>
      <w:r>
        <w:rPr>
          <w:spacing w:val="-1"/>
        </w:rPr>
        <w:t xml:space="preserve"> </w:t>
      </w:r>
      <w:r>
        <w:t>calibrated pH meter to</w:t>
      </w:r>
      <w:r>
        <w:rPr>
          <w:spacing w:val="-1"/>
        </w:rPr>
        <w:t xml:space="preserve"> </w:t>
      </w:r>
      <w:r>
        <w:t>ensure</w:t>
      </w:r>
      <w:r>
        <w:rPr>
          <w:spacing w:val="-1"/>
        </w:rPr>
        <w:t xml:space="preserve"> </w:t>
      </w:r>
      <w:r>
        <w:t>accuracy</w:t>
      </w:r>
      <w:r>
        <w:rPr>
          <w:spacing w:val="-4"/>
        </w:rPr>
        <w:t xml:space="preserve"> </w:t>
      </w:r>
      <w:r>
        <w:t>and reproducibility</w:t>
      </w:r>
      <w:r>
        <w:rPr>
          <w:spacing w:val="-5"/>
        </w:rPr>
        <w:t xml:space="preserve"> of</w:t>
      </w:r>
    </w:p>
    <w:p w14:paraId="139C38F7"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B421533" w14:textId="77777777" w:rsidR="00A02889" w:rsidRDefault="00000000">
      <w:pPr>
        <w:pStyle w:val="BodyText"/>
        <w:spacing w:before="72" w:line="482" w:lineRule="auto"/>
        <w:ind w:left="720" w:right="720"/>
        <w:jc w:val="both"/>
      </w:pPr>
      <w:r>
        <w:lastRenderedPageBreak/>
        <w:t xml:space="preserve">the experimental data. Calibration of the pH meter was performed according to the </w:t>
      </w:r>
      <w:proofErr w:type="gramStart"/>
      <w:r>
        <w:t>manufacturer‘</w:t>
      </w:r>
      <w:proofErr w:type="gramEnd"/>
      <w:r>
        <w:t xml:space="preserve">s instructions using standard buffer solutions before taking measurements (Ramadan </w:t>
      </w:r>
      <w:r>
        <w:rPr>
          <w:i/>
        </w:rPr>
        <w:t xml:space="preserve">et al., </w:t>
      </w:r>
      <w:r>
        <w:t>2024).</w:t>
      </w:r>
    </w:p>
    <w:p w14:paraId="61342B94" w14:textId="77777777" w:rsidR="00A02889" w:rsidRDefault="00000000">
      <w:pPr>
        <w:pStyle w:val="Heading2"/>
        <w:spacing w:before="198"/>
        <w:ind w:left="720" w:firstLine="0"/>
        <w:jc w:val="both"/>
      </w:pPr>
      <w:r>
        <w:rPr>
          <w:spacing w:val="-2"/>
        </w:rPr>
        <w:t>Antacid</w:t>
      </w:r>
      <w:r>
        <w:rPr>
          <w:spacing w:val="-3"/>
        </w:rPr>
        <w:t xml:space="preserve"> </w:t>
      </w:r>
      <w:r>
        <w:rPr>
          <w:spacing w:val="-2"/>
        </w:rPr>
        <w:t>Addition:</w:t>
      </w:r>
    </w:p>
    <w:p w14:paraId="2978B5E4" w14:textId="77777777" w:rsidR="00A02889" w:rsidRDefault="00A02889">
      <w:pPr>
        <w:pStyle w:val="BodyText"/>
        <w:spacing w:before="195"/>
        <w:rPr>
          <w:b/>
        </w:rPr>
      </w:pPr>
    </w:p>
    <w:p w14:paraId="16E6BF9A" w14:textId="77777777" w:rsidR="00A02889" w:rsidRDefault="00000000">
      <w:pPr>
        <w:pStyle w:val="BodyText"/>
        <w:spacing w:line="480" w:lineRule="auto"/>
        <w:ind w:left="720" w:right="716"/>
        <w:jc w:val="both"/>
      </w:pPr>
      <w:r>
        <w:t>To evaluate the neutralizing capacity of the antacids, 10 mL of the standardized 0.1</w:t>
      </w:r>
      <w:r>
        <w:rPr>
          <w:spacing w:val="-13"/>
        </w:rPr>
        <w:t xml:space="preserve"> </w:t>
      </w:r>
      <w:r>
        <w:t xml:space="preserve">M hydrochloric acid solution was transferred into a 250 mL beaker </w:t>
      </w:r>
      <w:r>
        <w:rPr>
          <w:b/>
        </w:rPr>
        <w:t>(</w:t>
      </w:r>
      <w:proofErr w:type="spellStart"/>
      <w:r>
        <w:t>Ebeshi</w:t>
      </w:r>
      <w:proofErr w:type="spellEnd"/>
      <w:r>
        <w:t xml:space="preserve">, </w:t>
      </w:r>
      <w:r>
        <w:rPr>
          <w:i/>
        </w:rPr>
        <w:t xml:space="preserve">et al., </w:t>
      </w:r>
      <w:r>
        <w:t>2022). Subsequently, 5 mL of each antacid solution—both natural (e.g., ginger extract, sodium bicarbonate) and synthetic (e.g., aluminum hydroxide, magnesium hydroxide), was added to the acid solution. The mixture was stirred continuously using a magnetic stirrer to ensure uniform distribution of the antacid and facilitate complete interaction between the acid and the base (</w:t>
      </w:r>
      <w:proofErr w:type="spellStart"/>
      <w:r>
        <w:t>Ebeshi</w:t>
      </w:r>
      <w:proofErr w:type="spellEnd"/>
      <w:r>
        <w:t xml:space="preserve">, </w:t>
      </w:r>
      <w:r>
        <w:rPr>
          <w:i/>
        </w:rPr>
        <w:t xml:space="preserve">et al., </w:t>
      </w:r>
      <w:r>
        <w:t>2022).</w:t>
      </w:r>
    </w:p>
    <w:p w14:paraId="2D512D45" w14:textId="77777777" w:rsidR="00A02889" w:rsidRDefault="00000000">
      <w:pPr>
        <w:pStyle w:val="Heading2"/>
        <w:spacing w:before="207"/>
        <w:ind w:left="720" w:firstLine="0"/>
        <w:jc w:val="both"/>
      </w:pPr>
      <w:r>
        <w:t xml:space="preserve">pH </w:t>
      </w:r>
      <w:r>
        <w:rPr>
          <w:spacing w:val="-2"/>
        </w:rPr>
        <w:t>Monitoring:</w:t>
      </w:r>
    </w:p>
    <w:p w14:paraId="1E427DFF" w14:textId="77777777" w:rsidR="00A02889" w:rsidRDefault="00A02889">
      <w:pPr>
        <w:pStyle w:val="BodyText"/>
        <w:spacing w:before="274"/>
        <w:rPr>
          <w:b/>
        </w:rPr>
      </w:pPr>
    </w:p>
    <w:p w14:paraId="77E84F83" w14:textId="77777777" w:rsidR="00A02889" w:rsidRDefault="00000000">
      <w:pPr>
        <w:pStyle w:val="BodyText"/>
        <w:spacing w:line="480" w:lineRule="auto"/>
        <w:ind w:left="720" w:right="714"/>
        <w:jc w:val="both"/>
      </w:pPr>
      <w:r>
        <w:t>Following</w:t>
      </w:r>
      <w:r>
        <w:rPr>
          <w:spacing w:val="-5"/>
        </w:rPr>
        <w:t xml:space="preserve"> </w:t>
      </w:r>
      <w:r>
        <w:t>the</w:t>
      </w:r>
      <w:r>
        <w:rPr>
          <w:spacing w:val="-3"/>
        </w:rPr>
        <w:t xml:space="preserve"> </w:t>
      </w:r>
      <w:r>
        <w:t>addition</w:t>
      </w:r>
      <w:r>
        <w:rPr>
          <w:spacing w:val="-2"/>
        </w:rPr>
        <w:t xml:space="preserve"> </w:t>
      </w:r>
      <w:r>
        <w:t>of</w:t>
      </w:r>
      <w:r>
        <w:rPr>
          <w:spacing w:val="-1"/>
        </w:rPr>
        <w:t xml:space="preserve"> </w:t>
      </w:r>
      <w:r>
        <w:t>the</w:t>
      </w:r>
      <w:r>
        <w:rPr>
          <w:spacing w:val="-2"/>
        </w:rPr>
        <w:t xml:space="preserve"> </w:t>
      </w:r>
      <w:r>
        <w:t>antacid</w:t>
      </w:r>
      <w:r>
        <w:rPr>
          <w:spacing w:val="-2"/>
        </w:rPr>
        <w:t xml:space="preserve"> </w:t>
      </w:r>
      <w:r>
        <w:t>to</w:t>
      </w:r>
      <w:r>
        <w:rPr>
          <w:spacing w:val="-2"/>
        </w:rPr>
        <w:t xml:space="preserve"> </w:t>
      </w:r>
      <w:r>
        <w:t>the</w:t>
      </w:r>
      <w:r>
        <w:rPr>
          <w:spacing w:val="-2"/>
        </w:rPr>
        <w:t xml:space="preserve"> </w:t>
      </w:r>
      <w:r>
        <w:t>hydrochloric</w:t>
      </w:r>
      <w:r>
        <w:rPr>
          <w:spacing w:val="-3"/>
        </w:rPr>
        <w:t xml:space="preserve"> </w:t>
      </w:r>
      <w:r>
        <w:t>acid</w:t>
      </w:r>
      <w:r>
        <w:rPr>
          <w:spacing w:val="-2"/>
        </w:rPr>
        <w:t xml:space="preserve"> </w:t>
      </w:r>
      <w:r>
        <w:t>solution,</w:t>
      </w:r>
      <w:r>
        <w:rPr>
          <w:spacing w:val="-2"/>
        </w:rPr>
        <w:t xml:space="preserve"> </w:t>
      </w:r>
      <w:r>
        <w:t>the pH</w:t>
      </w:r>
      <w:r>
        <w:rPr>
          <w:spacing w:val="-3"/>
        </w:rPr>
        <w:t xml:space="preserve"> </w:t>
      </w:r>
      <w:r>
        <w:t>of</w:t>
      </w:r>
      <w:r>
        <w:rPr>
          <w:spacing w:val="-4"/>
        </w:rPr>
        <w:t xml:space="preserve"> </w:t>
      </w:r>
      <w:r>
        <w:t>the</w:t>
      </w:r>
      <w:r>
        <w:rPr>
          <w:spacing w:val="-2"/>
        </w:rPr>
        <w:t xml:space="preserve"> </w:t>
      </w:r>
      <w:r>
        <w:t>mixture</w:t>
      </w:r>
      <w:r>
        <w:rPr>
          <w:spacing w:val="-3"/>
        </w:rPr>
        <w:t xml:space="preserve"> </w:t>
      </w:r>
      <w:r>
        <w:t>was measured at regular intervals, typically every</w:t>
      </w:r>
      <w:r>
        <w:rPr>
          <w:spacing w:val="-2"/>
        </w:rPr>
        <w:t xml:space="preserve"> </w:t>
      </w:r>
      <w:r>
        <w:t>minute for 10 minutes, using a calibrated pH meter (Hassan and Momoh, 2021). Continuous monitoring allowed the observation of dynamic</w:t>
      </w:r>
      <w:r>
        <w:rPr>
          <w:spacing w:val="80"/>
        </w:rPr>
        <w:t xml:space="preserve"> </w:t>
      </w:r>
      <w:r>
        <w:t>changes in acidity and provided a quantitative assessment of the neutralizing capacity of each antacid type (Hassan and Momoh, 2021).</w:t>
      </w:r>
      <w:r>
        <w:rPr>
          <w:spacing w:val="-3"/>
        </w:rPr>
        <w:t xml:space="preserve"> </w:t>
      </w:r>
      <w:r>
        <w:t>The pH readings were recorded systematically for both natural and synthetic antacids, enabling a comparative analysis of their acid-neutralizing efficiency over time.</w:t>
      </w:r>
    </w:p>
    <w:p w14:paraId="263F576B" w14:textId="77777777" w:rsidR="00A02889" w:rsidRDefault="00A02889">
      <w:pPr>
        <w:pStyle w:val="BodyText"/>
        <w:spacing w:before="8"/>
      </w:pPr>
    </w:p>
    <w:p w14:paraId="67095D0A" w14:textId="77777777" w:rsidR="00A02889" w:rsidRDefault="00000000">
      <w:pPr>
        <w:pStyle w:val="Heading2"/>
        <w:numPr>
          <w:ilvl w:val="1"/>
          <w:numId w:val="9"/>
        </w:numPr>
        <w:tabs>
          <w:tab w:val="left" w:pos="1080"/>
        </w:tabs>
      </w:pPr>
      <w:bookmarkStart w:id="61" w:name="_bookmark61"/>
      <w:bookmarkEnd w:id="61"/>
      <w:r>
        <w:t>Data</w:t>
      </w:r>
      <w:r>
        <w:rPr>
          <w:spacing w:val="-2"/>
        </w:rPr>
        <w:t xml:space="preserve"> Collection</w:t>
      </w:r>
    </w:p>
    <w:p w14:paraId="6D43392C" w14:textId="77777777" w:rsidR="00A02889" w:rsidRDefault="00A02889">
      <w:pPr>
        <w:pStyle w:val="Heading2"/>
        <w:sectPr w:rsidR="00A02889">
          <w:pgSz w:w="12240" w:h="15840"/>
          <w:pgMar w:top="1360" w:right="720" w:bottom="1260" w:left="720" w:header="0" w:footer="1068" w:gutter="0"/>
          <w:cols w:space="720"/>
        </w:sectPr>
      </w:pPr>
    </w:p>
    <w:p w14:paraId="46F54671" w14:textId="77777777" w:rsidR="00A02889" w:rsidRDefault="00000000">
      <w:pPr>
        <w:pStyle w:val="BodyText"/>
        <w:spacing w:before="72" w:line="480" w:lineRule="auto"/>
        <w:ind w:left="720" w:right="717"/>
        <w:jc w:val="both"/>
      </w:pPr>
      <w:r>
        <w:lastRenderedPageBreak/>
        <w:t xml:space="preserve">Data were collected using a structured questionnaire titled </w:t>
      </w:r>
      <w:r>
        <w:rPr>
          <w:i/>
        </w:rPr>
        <w:t xml:space="preserve">“Consumer Perceptions and Preferences Regarding Natural and Synthetic Antacids,” </w:t>
      </w:r>
      <w:r>
        <w:t xml:space="preserve">designed to gather information on </w:t>
      </w:r>
      <w:proofErr w:type="gramStart"/>
      <w:r>
        <w:t>participants‘</w:t>
      </w:r>
      <w:r>
        <w:rPr>
          <w:spacing w:val="-3"/>
        </w:rPr>
        <w:t xml:space="preserve"> </w:t>
      </w:r>
      <w:r>
        <w:t>demographics</w:t>
      </w:r>
      <w:proofErr w:type="gramEnd"/>
      <w:r>
        <w:t>, health history, antacid usage, effectiveness, safety, and preferences. The questionnaire included sections on age, gender, experiences with acid-related symptoms, frequency of use, and opinions on the effectiveness and side effects of natural and synthetic antacids. It also examined factors influencing</w:t>
      </w:r>
      <w:r>
        <w:rPr>
          <w:spacing w:val="-2"/>
        </w:rPr>
        <w:t xml:space="preserve"> </w:t>
      </w:r>
      <w:proofErr w:type="gramStart"/>
      <w:r>
        <w:t>participants‘</w:t>
      </w:r>
      <w:r>
        <w:rPr>
          <w:spacing w:val="-15"/>
        </w:rPr>
        <w:t xml:space="preserve"> </w:t>
      </w:r>
      <w:r>
        <w:t>choices</w:t>
      </w:r>
      <w:proofErr w:type="gramEnd"/>
      <w:r>
        <w:t xml:space="preserve">, such as cost, availability, and ingredient preference. The instrument was administered once at the end of the study period, and </w:t>
      </w:r>
      <w:proofErr w:type="gramStart"/>
      <w:r>
        <w:t>participants‘</w:t>
      </w:r>
      <w:r>
        <w:rPr>
          <w:spacing w:val="-1"/>
        </w:rPr>
        <w:t xml:space="preserve"> </w:t>
      </w:r>
      <w:r>
        <w:t>responses</w:t>
      </w:r>
      <w:proofErr w:type="gramEnd"/>
      <w:r>
        <w:t xml:space="preserve"> provided both quantitative and qualitative insights into their experiences and attitudes toward different antacid formulations. The use of structured questionnaires is a reliable and effective method for collecting consumer health perception data in similar studies (Ahmed and Momoh, 2020).</w:t>
      </w:r>
    </w:p>
    <w:p w14:paraId="4A9C47D3" w14:textId="77777777" w:rsidR="00A02889" w:rsidRDefault="00A02889">
      <w:pPr>
        <w:pStyle w:val="BodyText"/>
        <w:spacing w:before="8"/>
      </w:pPr>
    </w:p>
    <w:p w14:paraId="687C3D45" w14:textId="77777777" w:rsidR="00A02889" w:rsidRDefault="00000000">
      <w:pPr>
        <w:pStyle w:val="Heading2"/>
        <w:numPr>
          <w:ilvl w:val="1"/>
          <w:numId w:val="9"/>
        </w:numPr>
        <w:tabs>
          <w:tab w:val="left" w:pos="1080"/>
        </w:tabs>
      </w:pPr>
      <w:bookmarkStart w:id="62" w:name="_bookmark62"/>
      <w:bookmarkEnd w:id="62"/>
      <w:r>
        <w:t>Data</w:t>
      </w:r>
      <w:r>
        <w:rPr>
          <w:spacing w:val="-2"/>
        </w:rPr>
        <w:t xml:space="preserve"> analysis</w:t>
      </w:r>
    </w:p>
    <w:p w14:paraId="0147752F" w14:textId="77777777" w:rsidR="00A02889" w:rsidRDefault="00A02889">
      <w:pPr>
        <w:pStyle w:val="BodyText"/>
        <w:rPr>
          <w:b/>
        </w:rPr>
      </w:pPr>
    </w:p>
    <w:p w14:paraId="2D673BE1" w14:textId="77777777" w:rsidR="00A02889" w:rsidRDefault="00A02889">
      <w:pPr>
        <w:pStyle w:val="BodyText"/>
        <w:spacing w:before="1"/>
        <w:rPr>
          <w:b/>
        </w:rPr>
      </w:pPr>
    </w:p>
    <w:p w14:paraId="6C70FC3B" w14:textId="77777777" w:rsidR="00A02889" w:rsidRDefault="00000000">
      <w:pPr>
        <w:pStyle w:val="BodyText"/>
        <w:spacing w:line="480" w:lineRule="auto"/>
        <w:ind w:left="720" w:right="716"/>
        <w:jc w:val="both"/>
      </w:pPr>
      <w:r>
        <w:t>The data obtained from the questionnaire were analyzed using descriptive statistical techniques. Responses were systematically</w:t>
      </w:r>
      <w:r>
        <w:rPr>
          <w:spacing w:val="-1"/>
        </w:rPr>
        <w:t xml:space="preserve"> </w:t>
      </w:r>
      <w:r>
        <w:t>organized, coded, and summarized through frequency</w:t>
      </w:r>
      <w:r>
        <w:rPr>
          <w:spacing w:val="-1"/>
        </w:rPr>
        <w:t xml:space="preserve"> </w:t>
      </w:r>
      <w:r>
        <w:t xml:space="preserve">counts and percentage distributions to describe </w:t>
      </w:r>
      <w:proofErr w:type="gramStart"/>
      <w:r>
        <w:t>participants‘</w:t>
      </w:r>
      <w:r>
        <w:rPr>
          <w:spacing w:val="-8"/>
        </w:rPr>
        <w:t xml:space="preserve"> </w:t>
      </w:r>
      <w:r>
        <w:t>demographic</w:t>
      </w:r>
      <w:proofErr w:type="gramEnd"/>
      <w:r>
        <w:t xml:space="preserve"> profiles, symptom frequency, and patterns of antacid usage. In addition, a one-way</w:t>
      </w:r>
      <w:r>
        <w:rPr>
          <w:spacing w:val="-9"/>
        </w:rPr>
        <w:t xml:space="preserve"> </w:t>
      </w:r>
      <w:r>
        <w:t>Analysis of</w:t>
      </w:r>
      <w:r>
        <w:rPr>
          <w:spacing w:val="-1"/>
        </w:rPr>
        <w:t xml:space="preserve"> </w:t>
      </w:r>
      <w:r>
        <w:t xml:space="preserve">Variance (ANOVA) was employed to assess whether significant differences existed in the mean pH values among the four tested antacid formulations. The findings were presented using tables and charts to illustrate trends in </w:t>
      </w:r>
      <w:proofErr w:type="gramStart"/>
      <w:r>
        <w:t>participants‘ preferences</w:t>
      </w:r>
      <w:proofErr w:type="gramEnd"/>
      <w:r>
        <w:t>, perceived effectiveness, and any reported side effects of natural and synthetic antacids.</w:t>
      </w:r>
      <w:r>
        <w:rPr>
          <w:spacing w:val="-2"/>
        </w:rPr>
        <w:t xml:space="preserve"> </w:t>
      </w:r>
      <w:r>
        <w:t>This analytical approach provided a clear and straightforward summary</w:t>
      </w:r>
      <w:r>
        <w:rPr>
          <w:spacing w:val="-3"/>
        </w:rPr>
        <w:t xml:space="preserve"> </w:t>
      </w:r>
      <w:r>
        <w:t>of the data</w:t>
      </w:r>
      <w:r>
        <w:rPr>
          <w:spacing w:val="5"/>
        </w:rPr>
        <w:t xml:space="preserve"> </w:t>
      </w:r>
      <w:r>
        <w:t>without</w:t>
      </w:r>
      <w:r>
        <w:rPr>
          <w:spacing w:val="8"/>
        </w:rPr>
        <w:t xml:space="preserve"> </w:t>
      </w:r>
      <w:r>
        <w:t>the</w:t>
      </w:r>
      <w:r>
        <w:rPr>
          <w:spacing w:val="8"/>
        </w:rPr>
        <w:t xml:space="preserve"> </w:t>
      </w:r>
      <w:r>
        <w:t>need</w:t>
      </w:r>
      <w:r>
        <w:rPr>
          <w:spacing w:val="7"/>
        </w:rPr>
        <w:t xml:space="preserve"> </w:t>
      </w:r>
      <w:r>
        <w:t>for</w:t>
      </w:r>
      <w:r>
        <w:rPr>
          <w:spacing w:val="9"/>
        </w:rPr>
        <w:t xml:space="preserve"> </w:t>
      </w:r>
      <w:r>
        <w:t>complex</w:t>
      </w:r>
      <w:r>
        <w:rPr>
          <w:spacing w:val="10"/>
        </w:rPr>
        <w:t xml:space="preserve"> </w:t>
      </w:r>
      <w:r>
        <w:t>statistical</w:t>
      </w:r>
      <w:r>
        <w:rPr>
          <w:spacing w:val="8"/>
        </w:rPr>
        <w:t xml:space="preserve"> </w:t>
      </w:r>
      <w:r>
        <w:t>procedures.</w:t>
      </w:r>
      <w:r>
        <w:rPr>
          <w:spacing w:val="3"/>
        </w:rPr>
        <w:t xml:space="preserve"> </w:t>
      </w:r>
      <w:r>
        <w:t>The</w:t>
      </w:r>
      <w:r>
        <w:rPr>
          <w:spacing w:val="8"/>
        </w:rPr>
        <w:t xml:space="preserve"> </w:t>
      </w:r>
      <w:r>
        <w:t>application</w:t>
      </w:r>
      <w:r>
        <w:rPr>
          <w:spacing w:val="7"/>
        </w:rPr>
        <w:t xml:space="preserve"> </w:t>
      </w:r>
      <w:r>
        <w:t>of</w:t>
      </w:r>
      <w:r>
        <w:rPr>
          <w:spacing w:val="8"/>
        </w:rPr>
        <w:t xml:space="preserve"> </w:t>
      </w:r>
      <w:r>
        <w:t>descriptive</w:t>
      </w:r>
      <w:r>
        <w:rPr>
          <w:spacing w:val="7"/>
        </w:rPr>
        <w:t xml:space="preserve"> </w:t>
      </w:r>
      <w:r>
        <w:rPr>
          <w:spacing w:val="-2"/>
        </w:rPr>
        <w:t>statistics</w:t>
      </w:r>
    </w:p>
    <w:p w14:paraId="45895271"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402C839B" w14:textId="77777777" w:rsidR="00A02889" w:rsidRDefault="00000000">
      <w:pPr>
        <w:pStyle w:val="BodyText"/>
        <w:spacing w:before="72" w:line="482" w:lineRule="auto"/>
        <w:ind w:left="720" w:right="718"/>
      </w:pPr>
      <w:r>
        <w:lastRenderedPageBreak/>
        <w:t>in</w:t>
      </w:r>
      <w:r>
        <w:rPr>
          <w:spacing w:val="32"/>
        </w:rPr>
        <w:t xml:space="preserve"> </w:t>
      </w:r>
      <w:r>
        <w:t>this</w:t>
      </w:r>
      <w:r>
        <w:rPr>
          <w:spacing w:val="31"/>
        </w:rPr>
        <w:t xml:space="preserve"> </w:t>
      </w:r>
      <w:r>
        <w:t>context</w:t>
      </w:r>
      <w:r>
        <w:rPr>
          <w:spacing w:val="30"/>
        </w:rPr>
        <w:t xml:space="preserve"> </w:t>
      </w:r>
      <w:r>
        <w:t>aligns</w:t>
      </w:r>
      <w:r>
        <w:rPr>
          <w:spacing w:val="31"/>
        </w:rPr>
        <w:t xml:space="preserve"> </w:t>
      </w:r>
      <w:r>
        <w:t>with</w:t>
      </w:r>
      <w:r>
        <w:rPr>
          <w:spacing w:val="32"/>
        </w:rPr>
        <w:t xml:space="preserve"> </w:t>
      </w:r>
      <w:r>
        <w:t>established</w:t>
      </w:r>
      <w:r>
        <w:rPr>
          <w:spacing w:val="31"/>
        </w:rPr>
        <w:t xml:space="preserve"> </w:t>
      </w:r>
      <w:r>
        <w:t>practices</w:t>
      </w:r>
      <w:r>
        <w:rPr>
          <w:spacing w:val="31"/>
        </w:rPr>
        <w:t xml:space="preserve"> </w:t>
      </w:r>
      <w:r>
        <w:t>in</w:t>
      </w:r>
      <w:r>
        <w:rPr>
          <w:spacing w:val="32"/>
        </w:rPr>
        <w:t xml:space="preserve"> </w:t>
      </w:r>
      <w:r>
        <w:t>consumer</w:t>
      </w:r>
      <w:r>
        <w:rPr>
          <w:spacing w:val="31"/>
        </w:rPr>
        <w:t xml:space="preserve"> </w:t>
      </w:r>
      <w:r>
        <w:t>perception</w:t>
      </w:r>
      <w:r>
        <w:rPr>
          <w:spacing w:val="31"/>
        </w:rPr>
        <w:t xml:space="preserve"> </w:t>
      </w:r>
      <w:r>
        <w:t>research,</w:t>
      </w:r>
      <w:r>
        <w:rPr>
          <w:spacing w:val="31"/>
        </w:rPr>
        <w:t xml:space="preserve"> </w:t>
      </w:r>
      <w:r>
        <w:t>as</w:t>
      </w:r>
      <w:r>
        <w:rPr>
          <w:spacing w:val="31"/>
        </w:rPr>
        <w:t xml:space="preserve"> </w:t>
      </w:r>
      <w:r>
        <w:t>noted</w:t>
      </w:r>
      <w:r>
        <w:rPr>
          <w:spacing w:val="31"/>
        </w:rPr>
        <w:t xml:space="preserve"> </w:t>
      </w:r>
      <w:r>
        <w:t>by Ahmed and Momoh (2020).</w:t>
      </w:r>
    </w:p>
    <w:p w14:paraId="06C1A0E3" w14:textId="77777777" w:rsidR="00A02889" w:rsidRDefault="00A02889">
      <w:pPr>
        <w:pStyle w:val="BodyText"/>
        <w:spacing w:line="482" w:lineRule="auto"/>
        <w:sectPr w:rsidR="00A02889">
          <w:pgSz w:w="12240" w:h="15840"/>
          <w:pgMar w:top="1360" w:right="720" w:bottom="1260" w:left="720" w:header="0" w:footer="1068" w:gutter="0"/>
          <w:cols w:space="720"/>
        </w:sectPr>
      </w:pPr>
    </w:p>
    <w:p w14:paraId="4D45D432" w14:textId="77777777" w:rsidR="00A02889" w:rsidRDefault="00000000">
      <w:pPr>
        <w:spacing w:before="79" w:line="360" w:lineRule="auto"/>
        <w:ind w:left="4947" w:hanging="4201"/>
        <w:rPr>
          <w:b/>
          <w:sz w:val="24"/>
        </w:rPr>
      </w:pPr>
      <w:r>
        <w:rPr>
          <w:b/>
          <w:sz w:val="24"/>
          <w:u w:val="single"/>
        </w:rPr>
        <w:lastRenderedPageBreak/>
        <w:t>Questionnaire</w:t>
      </w:r>
      <w:r>
        <w:rPr>
          <w:b/>
          <w:spacing w:val="-7"/>
          <w:sz w:val="24"/>
          <w:u w:val="single"/>
        </w:rPr>
        <w:t xml:space="preserve"> </w:t>
      </w:r>
      <w:r>
        <w:rPr>
          <w:b/>
          <w:sz w:val="24"/>
          <w:u w:val="single"/>
        </w:rPr>
        <w:t>on</w:t>
      </w:r>
      <w:r>
        <w:rPr>
          <w:b/>
          <w:spacing w:val="-6"/>
          <w:sz w:val="24"/>
          <w:u w:val="single"/>
        </w:rPr>
        <w:t xml:space="preserve"> </w:t>
      </w:r>
      <w:r>
        <w:rPr>
          <w:b/>
          <w:sz w:val="24"/>
          <w:u w:val="single"/>
        </w:rPr>
        <w:t>Consumer</w:t>
      </w:r>
      <w:r>
        <w:rPr>
          <w:b/>
          <w:spacing w:val="-10"/>
          <w:sz w:val="24"/>
          <w:u w:val="single"/>
        </w:rPr>
        <w:t xml:space="preserve"> </w:t>
      </w:r>
      <w:r>
        <w:rPr>
          <w:b/>
          <w:sz w:val="24"/>
          <w:u w:val="single"/>
        </w:rPr>
        <w:t>Perceptions</w:t>
      </w:r>
      <w:r>
        <w:rPr>
          <w:b/>
          <w:spacing w:val="-6"/>
          <w:sz w:val="24"/>
          <w:u w:val="single"/>
        </w:rPr>
        <w:t xml:space="preserve"> </w:t>
      </w:r>
      <w:r>
        <w:rPr>
          <w:b/>
          <w:sz w:val="24"/>
          <w:u w:val="single"/>
        </w:rPr>
        <w:t>and</w:t>
      </w:r>
      <w:r>
        <w:rPr>
          <w:b/>
          <w:spacing w:val="-6"/>
          <w:sz w:val="24"/>
          <w:u w:val="single"/>
        </w:rPr>
        <w:t xml:space="preserve"> </w:t>
      </w:r>
      <w:r>
        <w:rPr>
          <w:b/>
          <w:sz w:val="24"/>
          <w:u w:val="single"/>
        </w:rPr>
        <w:t>Preferences</w:t>
      </w:r>
      <w:r>
        <w:rPr>
          <w:b/>
          <w:spacing w:val="-7"/>
          <w:sz w:val="24"/>
          <w:u w:val="single"/>
        </w:rPr>
        <w:t xml:space="preserve"> </w:t>
      </w:r>
      <w:r>
        <w:rPr>
          <w:b/>
          <w:sz w:val="24"/>
          <w:u w:val="single"/>
        </w:rPr>
        <w:t>Regarding</w:t>
      </w:r>
      <w:r>
        <w:rPr>
          <w:b/>
          <w:spacing w:val="-6"/>
          <w:sz w:val="24"/>
          <w:u w:val="single"/>
        </w:rPr>
        <w:t xml:space="preserve"> </w:t>
      </w:r>
      <w:r>
        <w:rPr>
          <w:b/>
          <w:sz w:val="24"/>
          <w:u w:val="single"/>
        </w:rPr>
        <w:t>Natural</w:t>
      </w:r>
      <w:r>
        <w:rPr>
          <w:b/>
          <w:spacing w:val="-6"/>
          <w:sz w:val="24"/>
          <w:u w:val="single"/>
        </w:rPr>
        <w:t xml:space="preserve"> </w:t>
      </w:r>
      <w:r>
        <w:rPr>
          <w:b/>
          <w:sz w:val="24"/>
          <w:u w:val="single"/>
        </w:rPr>
        <w:t>and</w:t>
      </w:r>
      <w:r>
        <w:rPr>
          <w:b/>
          <w:spacing w:val="-6"/>
          <w:sz w:val="24"/>
          <w:u w:val="single"/>
        </w:rPr>
        <w:t xml:space="preserve"> </w:t>
      </w:r>
      <w:r>
        <w:rPr>
          <w:b/>
          <w:sz w:val="24"/>
          <w:u w:val="single"/>
        </w:rPr>
        <w:t>Synthetic</w:t>
      </w:r>
      <w:r>
        <w:rPr>
          <w:b/>
          <w:sz w:val="24"/>
        </w:rPr>
        <w:t xml:space="preserve"> </w:t>
      </w:r>
      <w:r>
        <w:rPr>
          <w:b/>
          <w:spacing w:val="-2"/>
          <w:sz w:val="24"/>
          <w:u w:val="single"/>
        </w:rPr>
        <w:t>Antacids</w:t>
      </w:r>
    </w:p>
    <w:p w14:paraId="0AEA50B1" w14:textId="77777777" w:rsidR="00A02889" w:rsidRDefault="00000000">
      <w:pPr>
        <w:pStyle w:val="Heading2"/>
        <w:spacing w:before="200"/>
        <w:ind w:left="720" w:firstLine="0"/>
      </w:pPr>
      <w:r>
        <w:t>Section</w:t>
      </w:r>
      <w:r>
        <w:rPr>
          <w:spacing w:val="-15"/>
        </w:rPr>
        <w:t xml:space="preserve"> </w:t>
      </w:r>
      <w:r>
        <w:t>A:</w:t>
      </w:r>
      <w:r>
        <w:rPr>
          <w:spacing w:val="-7"/>
        </w:rPr>
        <w:t xml:space="preserve"> </w:t>
      </w:r>
      <w:r>
        <w:t>Demographic</w:t>
      </w:r>
      <w:r>
        <w:rPr>
          <w:spacing w:val="-3"/>
        </w:rPr>
        <w:t xml:space="preserve"> </w:t>
      </w:r>
      <w:r>
        <w:rPr>
          <w:spacing w:val="-2"/>
        </w:rPr>
        <w:t>Information</w:t>
      </w:r>
    </w:p>
    <w:p w14:paraId="5A265790" w14:textId="77777777" w:rsidR="00A02889" w:rsidRDefault="00A02889">
      <w:pPr>
        <w:pStyle w:val="BodyText"/>
        <w:spacing w:before="63"/>
        <w:rPr>
          <w:b/>
        </w:rPr>
      </w:pPr>
    </w:p>
    <w:p w14:paraId="0BFA112C" w14:textId="77777777" w:rsidR="00A02889" w:rsidRDefault="00000000">
      <w:pPr>
        <w:pStyle w:val="ListParagraph"/>
        <w:numPr>
          <w:ilvl w:val="0"/>
          <w:numId w:val="8"/>
        </w:numPr>
        <w:tabs>
          <w:tab w:val="left" w:pos="945"/>
        </w:tabs>
        <w:ind w:left="945" w:hanging="225"/>
        <w:rPr>
          <w:sz w:val="24"/>
        </w:rPr>
      </w:pPr>
      <w:r>
        <w:rPr>
          <w:sz w:val="24"/>
        </w:rPr>
        <w:t>Age:</w:t>
      </w:r>
      <w:r>
        <w:rPr>
          <w:spacing w:val="1"/>
          <w:sz w:val="24"/>
        </w:rPr>
        <w:t xml:space="preserve"> </w:t>
      </w:r>
      <w:r>
        <w:rPr>
          <w:rFonts w:ascii="MS Gothic" w:hAnsi="MS Gothic"/>
          <w:sz w:val="24"/>
        </w:rPr>
        <w:t>☐</w:t>
      </w:r>
      <w:r>
        <w:rPr>
          <w:rFonts w:ascii="MS Gothic" w:hAnsi="MS Gothic"/>
          <w:spacing w:val="-60"/>
          <w:sz w:val="24"/>
        </w:rPr>
        <w:t xml:space="preserve"> </w:t>
      </w:r>
      <w:r>
        <w:rPr>
          <w:sz w:val="24"/>
        </w:rPr>
        <w:t>18–25</w:t>
      </w:r>
      <w:r>
        <w:rPr>
          <w:spacing w:val="-1"/>
          <w:sz w:val="24"/>
        </w:rPr>
        <w:t xml:space="preserve"> </w:t>
      </w:r>
      <w:r>
        <w:rPr>
          <w:rFonts w:ascii="MS Gothic" w:hAnsi="MS Gothic"/>
          <w:sz w:val="24"/>
        </w:rPr>
        <w:t>☐</w:t>
      </w:r>
      <w:r>
        <w:rPr>
          <w:rFonts w:ascii="MS Gothic" w:hAnsi="MS Gothic"/>
          <w:spacing w:val="-60"/>
          <w:sz w:val="24"/>
        </w:rPr>
        <w:t xml:space="preserve"> </w:t>
      </w:r>
      <w:r>
        <w:rPr>
          <w:sz w:val="24"/>
        </w:rPr>
        <w:t xml:space="preserve">26–35 </w:t>
      </w:r>
      <w:r>
        <w:rPr>
          <w:rFonts w:ascii="MS Gothic" w:hAnsi="MS Gothic"/>
          <w:sz w:val="24"/>
        </w:rPr>
        <w:t>☐</w:t>
      </w:r>
      <w:r>
        <w:rPr>
          <w:rFonts w:ascii="MS Gothic" w:hAnsi="MS Gothic"/>
          <w:spacing w:val="-60"/>
          <w:sz w:val="24"/>
        </w:rPr>
        <w:t xml:space="preserve"> </w:t>
      </w:r>
      <w:r>
        <w:rPr>
          <w:sz w:val="24"/>
        </w:rPr>
        <w:t xml:space="preserve">36–45 </w:t>
      </w:r>
      <w:r>
        <w:rPr>
          <w:rFonts w:ascii="MS Gothic" w:hAnsi="MS Gothic"/>
          <w:sz w:val="24"/>
        </w:rPr>
        <w:t>☐</w:t>
      </w:r>
      <w:r>
        <w:rPr>
          <w:rFonts w:ascii="MS Gothic" w:hAnsi="MS Gothic"/>
          <w:spacing w:val="-60"/>
          <w:sz w:val="24"/>
        </w:rPr>
        <w:t xml:space="preserve"> </w:t>
      </w:r>
      <w:r>
        <w:rPr>
          <w:sz w:val="24"/>
        </w:rPr>
        <w:t>46–55</w:t>
      </w:r>
      <w:r>
        <w:rPr>
          <w:spacing w:val="-1"/>
          <w:sz w:val="24"/>
        </w:rPr>
        <w:t xml:space="preserve"> </w:t>
      </w:r>
      <w:r>
        <w:rPr>
          <w:rFonts w:ascii="MS Gothic" w:hAnsi="MS Gothic"/>
          <w:sz w:val="24"/>
        </w:rPr>
        <w:t>☐</w:t>
      </w:r>
      <w:r>
        <w:rPr>
          <w:rFonts w:ascii="MS Gothic" w:hAnsi="MS Gothic"/>
          <w:spacing w:val="-60"/>
          <w:sz w:val="24"/>
        </w:rPr>
        <w:t xml:space="preserve"> </w:t>
      </w:r>
      <w:r>
        <w:rPr>
          <w:sz w:val="24"/>
        </w:rPr>
        <w:t xml:space="preserve">56 and </w:t>
      </w:r>
      <w:r>
        <w:rPr>
          <w:spacing w:val="-2"/>
          <w:sz w:val="24"/>
        </w:rPr>
        <w:t>above</w:t>
      </w:r>
    </w:p>
    <w:p w14:paraId="13718101" w14:textId="77777777" w:rsidR="00A02889" w:rsidRDefault="00A02889">
      <w:pPr>
        <w:pStyle w:val="BodyText"/>
        <w:spacing w:before="83"/>
      </w:pPr>
    </w:p>
    <w:p w14:paraId="046EC9CD" w14:textId="77777777" w:rsidR="00A02889" w:rsidRDefault="00000000">
      <w:pPr>
        <w:pStyle w:val="ListParagraph"/>
        <w:numPr>
          <w:ilvl w:val="0"/>
          <w:numId w:val="8"/>
        </w:numPr>
        <w:tabs>
          <w:tab w:val="left" w:pos="960"/>
        </w:tabs>
        <w:spacing w:before="1"/>
        <w:ind w:left="960" w:hanging="240"/>
        <w:rPr>
          <w:sz w:val="24"/>
        </w:rPr>
      </w:pPr>
      <w:r>
        <w:rPr>
          <w:sz w:val="24"/>
        </w:rPr>
        <w:t>Gender:</w:t>
      </w:r>
      <w:r>
        <w:rPr>
          <w:spacing w:val="-3"/>
          <w:sz w:val="24"/>
        </w:rPr>
        <w:t xml:space="preserve"> </w:t>
      </w:r>
      <w:r>
        <w:rPr>
          <w:rFonts w:ascii="MS Gothic" w:hAnsi="MS Gothic"/>
          <w:sz w:val="24"/>
        </w:rPr>
        <w:t>☐</w:t>
      </w:r>
      <w:r>
        <w:rPr>
          <w:rFonts w:ascii="MS Gothic" w:hAnsi="MS Gothic"/>
          <w:spacing w:val="-60"/>
          <w:sz w:val="24"/>
        </w:rPr>
        <w:t xml:space="preserve"> </w:t>
      </w:r>
      <w:r>
        <w:rPr>
          <w:sz w:val="24"/>
        </w:rPr>
        <w:t xml:space="preserve">Male </w:t>
      </w:r>
      <w:r>
        <w:rPr>
          <w:rFonts w:ascii="MS Gothic" w:hAnsi="MS Gothic"/>
          <w:sz w:val="24"/>
        </w:rPr>
        <w:t>☐</w:t>
      </w:r>
      <w:r>
        <w:rPr>
          <w:rFonts w:ascii="MS Gothic" w:hAnsi="MS Gothic"/>
          <w:spacing w:val="-60"/>
          <w:sz w:val="24"/>
        </w:rPr>
        <w:t xml:space="preserve"> </w:t>
      </w:r>
      <w:r>
        <w:rPr>
          <w:sz w:val="24"/>
        </w:rPr>
        <w:t>Female</w:t>
      </w:r>
      <w:r>
        <w:rPr>
          <w:spacing w:val="1"/>
          <w:sz w:val="24"/>
        </w:rPr>
        <w:t xml:space="preserve"> </w:t>
      </w:r>
      <w:r>
        <w:rPr>
          <w:rFonts w:ascii="MS Gothic" w:hAnsi="MS Gothic"/>
          <w:sz w:val="24"/>
        </w:rPr>
        <w:t>☐</w:t>
      </w:r>
      <w:r>
        <w:rPr>
          <w:rFonts w:ascii="MS Gothic" w:hAnsi="MS Gothic"/>
          <w:spacing w:val="-60"/>
          <w:sz w:val="24"/>
        </w:rPr>
        <w:t xml:space="preserve"> </w:t>
      </w:r>
      <w:r>
        <w:rPr>
          <w:spacing w:val="-2"/>
          <w:sz w:val="24"/>
        </w:rPr>
        <w:t>Other</w:t>
      </w:r>
    </w:p>
    <w:p w14:paraId="2940670F" w14:textId="77777777" w:rsidR="00A02889" w:rsidRDefault="00A02889">
      <w:pPr>
        <w:pStyle w:val="BodyText"/>
        <w:spacing w:before="82"/>
      </w:pPr>
    </w:p>
    <w:p w14:paraId="26BE7D06" w14:textId="77777777" w:rsidR="00A02889" w:rsidRDefault="00000000">
      <w:pPr>
        <w:pStyle w:val="Heading2"/>
        <w:ind w:left="720" w:firstLine="0"/>
      </w:pPr>
      <w:r>
        <w:t>Section</w:t>
      </w:r>
      <w:r>
        <w:rPr>
          <w:spacing w:val="-4"/>
        </w:rPr>
        <w:t xml:space="preserve"> </w:t>
      </w:r>
      <w:r>
        <w:t>B:</w:t>
      </w:r>
      <w:r>
        <w:rPr>
          <w:spacing w:val="-3"/>
        </w:rPr>
        <w:t xml:space="preserve"> </w:t>
      </w:r>
      <w:r>
        <w:t>Health</w:t>
      </w:r>
      <w:r>
        <w:rPr>
          <w:spacing w:val="-4"/>
        </w:rPr>
        <w:t xml:space="preserve"> </w:t>
      </w:r>
      <w:r>
        <w:t>and</w:t>
      </w:r>
      <w:r>
        <w:rPr>
          <w:spacing w:val="-3"/>
        </w:rPr>
        <w:t xml:space="preserve"> </w:t>
      </w:r>
      <w:r>
        <w:t>Symptom</w:t>
      </w:r>
      <w:r>
        <w:rPr>
          <w:spacing w:val="-3"/>
        </w:rPr>
        <w:t xml:space="preserve"> </w:t>
      </w:r>
      <w:r>
        <w:rPr>
          <w:spacing w:val="-2"/>
        </w:rPr>
        <w:t>History</w:t>
      </w:r>
    </w:p>
    <w:p w14:paraId="74CF0919" w14:textId="77777777" w:rsidR="00A02889" w:rsidRDefault="00A02889">
      <w:pPr>
        <w:pStyle w:val="BodyText"/>
        <w:spacing w:before="64"/>
        <w:rPr>
          <w:b/>
        </w:rPr>
      </w:pPr>
    </w:p>
    <w:p w14:paraId="459CED95" w14:textId="77777777" w:rsidR="00A02889" w:rsidRDefault="00000000">
      <w:pPr>
        <w:pStyle w:val="ListParagraph"/>
        <w:numPr>
          <w:ilvl w:val="0"/>
          <w:numId w:val="7"/>
        </w:numPr>
        <w:tabs>
          <w:tab w:val="left" w:pos="960"/>
        </w:tabs>
        <w:rPr>
          <w:sz w:val="24"/>
        </w:rPr>
      </w:pPr>
      <w:r>
        <w:rPr>
          <w:sz w:val="24"/>
        </w:rPr>
        <w:t>Do</w:t>
      </w:r>
      <w:r>
        <w:rPr>
          <w:spacing w:val="-11"/>
          <w:sz w:val="24"/>
        </w:rPr>
        <w:t xml:space="preserve"> </w:t>
      </w:r>
      <w:r>
        <w:rPr>
          <w:sz w:val="24"/>
        </w:rPr>
        <w:t>you</w:t>
      </w:r>
      <w:r>
        <w:rPr>
          <w:spacing w:val="-1"/>
          <w:sz w:val="24"/>
        </w:rPr>
        <w:t xml:space="preserve"> </w:t>
      </w:r>
      <w:r>
        <w:rPr>
          <w:sz w:val="24"/>
        </w:rPr>
        <w:t>experience</w:t>
      </w:r>
      <w:r>
        <w:rPr>
          <w:spacing w:val="-5"/>
          <w:sz w:val="24"/>
        </w:rPr>
        <w:t xml:space="preserve"> </w:t>
      </w:r>
      <w:r>
        <w:rPr>
          <w:sz w:val="24"/>
        </w:rPr>
        <w:t>symptoms</w:t>
      </w:r>
      <w:r>
        <w:rPr>
          <w:spacing w:val="-4"/>
          <w:sz w:val="24"/>
        </w:rPr>
        <w:t xml:space="preserve"> </w:t>
      </w:r>
      <w:r>
        <w:rPr>
          <w:sz w:val="24"/>
        </w:rPr>
        <w:t>of</w:t>
      </w:r>
      <w:r>
        <w:rPr>
          <w:spacing w:val="-3"/>
          <w:sz w:val="24"/>
        </w:rPr>
        <w:t xml:space="preserve"> </w:t>
      </w:r>
      <w:r>
        <w:rPr>
          <w:sz w:val="24"/>
        </w:rPr>
        <w:t>acid-related</w:t>
      </w:r>
      <w:r>
        <w:rPr>
          <w:spacing w:val="-4"/>
          <w:sz w:val="24"/>
        </w:rPr>
        <w:t xml:space="preserve"> </w:t>
      </w:r>
      <w:r>
        <w:rPr>
          <w:sz w:val="24"/>
        </w:rPr>
        <w:t>disorders</w:t>
      </w:r>
      <w:r>
        <w:rPr>
          <w:spacing w:val="-4"/>
          <w:sz w:val="24"/>
        </w:rPr>
        <w:t xml:space="preserve"> </w:t>
      </w:r>
      <w:r>
        <w:rPr>
          <w:sz w:val="24"/>
        </w:rPr>
        <w:t>(e.g.,</w:t>
      </w:r>
      <w:r>
        <w:rPr>
          <w:spacing w:val="-3"/>
          <w:sz w:val="24"/>
        </w:rPr>
        <w:t xml:space="preserve"> </w:t>
      </w:r>
      <w:r>
        <w:rPr>
          <w:sz w:val="24"/>
        </w:rPr>
        <w:t>heartburn,</w:t>
      </w:r>
      <w:r>
        <w:rPr>
          <w:spacing w:val="-3"/>
          <w:sz w:val="24"/>
        </w:rPr>
        <w:t xml:space="preserve"> </w:t>
      </w:r>
      <w:r>
        <w:rPr>
          <w:sz w:val="24"/>
        </w:rPr>
        <w:t xml:space="preserve">GERD)? </w:t>
      </w:r>
      <w:r>
        <w:rPr>
          <w:rFonts w:ascii="MS Gothic" w:hAnsi="MS Gothic"/>
          <w:sz w:val="24"/>
        </w:rPr>
        <w:t>☐</w:t>
      </w:r>
      <w:r>
        <w:rPr>
          <w:rFonts w:ascii="MS Gothic" w:hAnsi="MS Gothic"/>
          <w:spacing w:val="-70"/>
          <w:sz w:val="24"/>
        </w:rPr>
        <w:t xml:space="preserve"> </w:t>
      </w:r>
      <w:r>
        <w:rPr>
          <w:sz w:val="24"/>
        </w:rPr>
        <w:t>Yes</w:t>
      </w:r>
      <w:r>
        <w:rPr>
          <w:spacing w:val="-1"/>
          <w:sz w:val="24"/>
        </w:rPr>
        <w:t xml:space="preserve"> </w:t>
      </w:r>
      <w:r>
        <w:rPr>
          <w:rFonts w:ascii="MS Gothic" w:hAnsi="MS Gothic"/>
          <w:sz w:val="24"/>
        </w:rPr>
        <w:t>☐</w:t>
      </w:r>
      <w:r>
        <w:rPr>
          <w:rFonts w:ascii="MS Gothic" w:hAnsi="MS Gothic"/>
          <w:spacing w:val="-60"/>
          <w:sz w:val="24"/>
        </w:rPr>
        <w:t xml:space="preserve"> </w:t>
      </w:r>
      <w:r>
        <w:rPr>
          <w:spacing w:val="-5"/>
          <w:sz w:val="24"/>
        </w:rPr>
        <w:t>No</w:t>
      </w:r>
    </w:p>
    <w:p w14:paraId="30533D61" w14:textId="77777777" w:rsidR="00A02889" w:rsidRDefault="00A02889">
      <w:pPr>
        <w:pStyle w:val="BodyText"/>
        <w:spacing w:before="84"/>
      </w:pPr>
    </w:p>
    <w:p w14:paraId="04667A53" w14:textId="77777777" w:rsidR="00A02889" w:rsidRDefault="00000000">
      <w:pPr>
        <w:pStyle w:val="ListParagraph"/>
        <w:numPr>
          <w:ilvl w:val="0"/>
          <w:numId w:val="7"/>
        </w:numPr>
        <w:tabs>
          <w:tab w:val="left" w:pos="960"/>
        </w:tabs>
        <w:rPr>
          <w:sz w:val="24"/>
        </w:rPr>
      </w:pPr>
      <w:r>
        <w:rPr>
          <w:sz w:val="24"/>
        </w:rPr>
        <w:t>Frequency</w:t>
      </w:r>
      <w:r>
        <w:rPr>
          <w:spacing w:val="-14"/>
          <w:sz w:val="24"/>
        </w:rPr>
        <w:t xml:space="preserve"> </w:t>
      </w:r>
      <w:r>
        <w:rPr>
          <w:sz w:val="24"/>
        </w:rPr>
        <w:t>of</w:t>
      </w:r>
      <w:r>
        <w:rPr>
          <w:spacing w:val="-2"/>
          <w:sz w:val="24"/>
        </w:rPr>
        <w:t xml:space="preserve"> </w:t>
      </w:r>
      <w:r>
        <w:rPr>
          <w:sz w:val="24"/>
        </w:rPr>
        <w:t>symptoms:</w:t>
      </w:r>
      <w:r>
        <w:rPr>
          <w:spacing w:val="-1"/>
          <w:sz w:val="24"/>
        </w:rPr>
        <w:t xml:space="preserve"> </w:t>
      </w:r>
      <w:r>
        <w:rPr>
          <w:rFonts w:ascii="MS Gothic" w:hAnsi="MS Gothic"/>
          <w:sz w:val="24"/>
        </w:rPr>
        <w:t>☐</w:t>
      </w:r>
      <w:r>
        <w:rPr>
          <w:rFonts w:ascii="MS Gothic" w:hAnsi="MS Gothic"/>
          <w:spacing w:val="-58"/>
          <w:sz w:val="24"/>
        </w:rPr>
        <w:t xml:space="preserve"> </w:t>
      </w:r>
      <w:r>
        <w:rPr>
          <w:sz w:val="24"/>
        </w:rPr>
        <w:t>Daily</w:t>
      </w:r>
      <w:r>
        <w:rPr>
          <w:spacing w:val="-5"/>
          <w:sz w:val="24"/>
        </w:rPr>
        <w:t xml:space="preserve"> </w:t>
      </w:r>
      <w:r>
        <w:rPr>
          <w:rFonts w:ascii="MS Gothic" w:hAnsi="MS Gothic"/>
          <w:sz w:val="24"/>
        </w:rPr>
        <w:t>☐</w:t>
      </w:r>
      <w:r>
        <w:rPr>
          <w:rFonts w:ascii="MS Gothic" w:hAnsi="MS Gothic"/>
          <w:spacing w:val="-65"/>
          <w:sz w:val="24"/>
        </w:rPr>
        <w:t xml:space="preserve"> </w:t>
      </w:r>
      <w:r>
        <w:rPr>
          <w:sz w:val="24"/>
        </w:rPr>
        <w:t>Weekly</w:t>
      </w:r>
      <w:r>
        <w:rPr>
          <w:spacing w:val="-4"/>
          <w:sz w:val="24"/>
        </w:rPr>
        <w:t xml:space="preserve"> </w:t>
      </w:r>
      <w:r>
        <w:rPr>
          <w:rFonts w:ascii="MS Gothic" w:hAnsi="MS Gothic"/>
          <w:sz w:val="24"/>
        </w:rPr>
        <w:t>☐</w:t>
      </w:r>
      <w:r>
        <w:rPr>
          <w:rFonts w:ascii="MS Gothic" w:hAnsi="MS Gothic"/>
          <w:spacing w:val="-60"/>
          <w:sz w:val="24"/>
        </w:rPr>
        <w:t xml:space="preserve"> </w:t>
      </w:r>
      <w:r>
        <w:rPr>
          <w:sz w:val="24"/>
        </w:rPr>
        <w:t>Monthly</w:t>
      </w:r>
      <w:r>
        <w:rPr>
          <w:spacing w:val="-3"/>
          <w:sz w:val="24"/>
        </w:rPr>
        <w:t xml:space="preserve"> </w:t>
      </w:r>
      <w:r>
        <w:rPr>
          <w:rFonts w:ascii="MS Gothic" w:hAnsi="MS Gothic"/>
          <w:sz w:val="24"/>
        </w:rPr>
        <w:t>☐</w:t>
      </w:r>
      <w:r>
        <w:rPr>
          <w:rFonts w:ascii="MS Gothic" w:hAnsi="MS Gothic"/>
          <w:spacing w:val="-60"/>
          <w:sz w:val="24"/>
        </w:rPr>
        <w:t xml:space="preserve"> </w:t>
      </w:r>
      <w:r>
        <w:rPr>
          <w:spacing w:val="-2"/>
          <w:sz w:val="24"/>
        </w:rPr>
        <w:t>Rarely</w:t>
      </w:r>
    </w:p>
    <w:p w14:paraId="6A6F6B96" w14:textId="77777777" w:rsidR="00A02889" w:rsidRDefault="00A02889">
      <w:pPr>
        <w:pStyle w:val="BodyText"/>
        <w:spacing w:before="80"/>
      </w:pPr>
    </w:p>
    <w:p w14:paraId="4F7F447D" w14:textId="77777777" w:rsidR="00A02889" w:rsidRDefault="00000000">
      <w:pPr>
        <w:pStyle w:val="Heading2"/>
        <w:ind w:left="720" w:firstLine="0"/>
      </w:pPr>
      <w:r>
        <w:t>Section</w:t>
      </w:r>
      <w:r>
        <w:rPr>
          <w:spacing w:val="-5"/>
        </w:rPr>
        <w:t xml:space="preserve"> </w:t>
      </w:r>
      <w:r>
        <w:t>C:</w:t>
      </w:r>
      <w:r>
        <w:rPr>
          <w:spacing w:val="-15"/>
        </w:rPr>
        <w:t xml:space="preserve"> </w:t>
      </w:r>
      <w:r>
        <w:t>Antacid</w:t>
      </w:r>
      <w:r>
        <w:rPr>
          <w:spacing w:val="-1"/>
        </w:rPr>
        <w:t xml:space="preserve"> </w:t>
      </w:r>
      <w:r>
        <w:rPr>
          <w:spacing w:val="-2"/>
        </w:rPr>
        <w:t>Usage</w:t>
      </w:r>
    </w:p>
    <w:p w14:paraId="607357EF" w14:textId="77777777" w:rsidR="00A02889" w:rsidRDefault="00A02889">
      <w:pPr>
        <w:pStyle w:val="BodyText"/>
        <w:spacing w:before="64"/>
        <w:rPr>
          <w:b/>
        </w:rPr>
      </w:pPr>
    </w:p>
    <w:p w14:paraId="44015493" w14:textId="77777777" w:rsidR="00A02889" w:rsidRDefault="00000000">
      <w:pPr>
        <w:pStyle w:val="ListParagraph"/>
        <w:numPr>
          <w:ilvl w:val="0"/>
          <w:numId w:val="6"/>
        </w:numPr>
        <w:tabs>
          <w:tab w:val="left" w:pos="960"/>
        </w:tabs>
        <w:rPr>
          <w:sz w:val="24"/>
        </w:rPr>
      </w:pPr>
      <w:r>
        <w:rPr>
          <w:sz w:val="24"/>
        </w:rPr>
        <w:t>Have</w:t>
      </w:r>
      <w:r>
        <w:rPr>
          <w:spacing w:val="-9"/>
          <w:sz w:val="24"/>
        </w:rPr>
        <w:t xml:space="preserve"> </w:t>
      </w:r>
      <w:r>
        <w:rPr>
          <w:sz w:val="24"/>
        </w:rPr>
        <w:t>you</w:t>
      </w:r>
      <w:r>
        <w:rPr>
          <w:spacing w:val="-3"/>
          <w:sz w:val="24"/>
        </w:rPr>
        <w:t xml:space="preserve"> </w:t>
      </w:r>
      <w:r>
        <w:rPr>
          <w:sz w:val="24"/>
        </w:rPr>
        <w:t>used</w:t>
      </w:r>
      <w:r>
        <w:rPr>
          <w:spacing w:val="-1"/>
          <w:sz w:val="24"/>
        </w:rPr>
        <w:t xml:space="preserve"> </w:t>
      </w:r>
      <w:r>
        <w:rPr>
          <w:sz w:val="24"/>
        </w:rPr>
        <w:t>any</w:t>
      </w:r>
      <w:r>
        <w:rPr>
          <w:spacing w:val="-8"/>
          <w:sz w:val="24"/>
        </w:rPr>
        <w:t xml:space="preserve"> </w:t>
      </w:r>
      <w:r>
        <w:rPr>
          <w:sz w:val="24"/>
        </w:rPr>
        <w:t>antacids</w:t>
      </w:r>
      <w:r>
        <w:rPr>
          <w:spacing w:val="-4"/>
          <w:sz w:val="24"/>
        </w:rPr>
        <w:t xml:space="preserve"> </w:t>
      </w:r>
      <w:r>
        <w:rPr>
          <w:sz w:val="24"/>
        </w:rPr>
        <w:t>in</w:t>
      </w:r>
      <w:r>
        <w:rPr>
          <w:spacing w:val="-4"/>
          <w:sz w:val="24"/>
        </w:rPr>
        <w:t xml:space="preserve"> </w:t>
      </w:r>
      <w:r>
        <w:rPr>
          <w:sz w:val="24"/>
        </w:rPr>
        <w:t>the</w:t>
      </w:r>
      <w:r>
        <w:rPr>
          <w:spacing w:val="-3"/>
          <w:sz w:val="24"/>
        </w:rPr>
        <w:t xml:space="preserve"> </w:t>
      </w:r>
      <w:r>
        <w:rPr>
          <w:sz w:val="24"/>
        </w:rPr>
        <w:t xml:space="preserve">past? </w:t>
      </w:r>
      <w:r>
        <w:rPr>
          <w:rFonts w:ascii="MS Gothic" w:hAnsi="MS Gothic"/>
          <w:sz w:val="24"/>
        </w:rPr>
        <w:t>☐</w:t>
      </w:r>
      <w:r>
        <w:rPr>
          <w:rFonts w:ascii="MS Gothic" w:hAnsi="MS Gothic"/>
          <w:spacing w:val="-70"/>
          <w:sz w:val="24"/>
        </w:rPr>
        <w:t xml:space="preserve"> </w:t>
      </w:r>
      <w:r>
        <w:rPr>
          <w:sz w:val="24"/>
        </w:rPr>
        <w:t>Yes</w:t>
      </w:r>
      <w:r>
        <w:rPr>
          <w:spacing w:val="-1"/>
          <w:sz w:val="24"/>
        </w:rPr>
        <w:t xml:space="preserve"> </w:t>
      </w:r>
      <w:r>
        <w:rPr>
          <w:rFonts w:ascii="MS Gothic" w:hAnsi="MS Gothic"/>
          <w:sz w:val="24"/>
        </w:rPr>
        <w:t>☐</w:t>
      </w:r>
      <w:r>
        <w:rPr>
          <w:rFonts w:ascii="MS Gothic" w:hAnsi="MS Gothic"/>
          <w:spacing w:val="-60"/>
          <w:sz w:val="24"/>
        </w:rPr>
        <w:t xml:space="preserve"> </w:t>
      </w:r>
      <w:r>
        <w:rPr>
          <w:spacing w:val="-5"/>
          <w:sz w:val="24"/>
        </w:rPr>
        <w:t>No</w:t>
      </w:r>
    </w:p>
    <w:p w14:paraId="021662B3" w14:textId="77777777" w:rsidR="00A02889" w:rsidRDefault="00A02889">
      <w:pPr>
        <w:pStyle w:val="BodyText"/>
        <w:spacing w:before="83"/>
      </w:pPr>
    </w:p>
    <w:p w14:paraId="2FD51198" w14:textId="77777777" w:rsidR="00A02889" w:rsidRDefault="00000000">
      <w:pPr>
        <w:pStyle w:val="ListParagraph"/>
        <w:numPr>
          <w:ilvl w:val="0"/>
          <w:numId w:val="6"/>
        </w:numPr>
        <w:tabs>
          <w:tab w:val="left" w:pos="1082"/>
        </w:tabs>
        <w:spacing w:before="1"/>
        <w:ind w:left="1082" w:hanging="362"/>
        <w:rPr>
          <w:sz w:val="24"/>
        </w:rPr>
      </w:pPr>
      <w:r>
        <w:rPr>
          <w:sz w:val="24"/>
        </w:rPr>
        <w:t>If</w:t>
      </w:r>
      <w:r>
        <w:rPr>
          <w:spacing w:val="-4"/>
          <w:sz w:val="24"/>
        </w:rPr>
        <w:t xml:space="preserve"> </w:t>
      </w:r>
      <w:r>
        <w:rPr>
          <w:sz w:val="24"/>
        </w:rPr>
        <w:t>yes,</w:t>
      </w:r>
      <w:r>
        <w:rPr>
          <w:spacing w:val="-2"/>
          <w:sz w:val="24"/>
        </w:rPr>
        <w:t xml:space="preserve"> </w:t>
      </w:r>
      <w:r>
        <w:rPr>
          <w:sz w:val="24"/>
        </w:rPr>
        <w:t>which</w:t>
      </w:r>
      <w:r>
        <w:rPr>
          <w:spacing w:val="-1"/>
          <w:sz w:val="24"/>
        </w:rPr>
        <w:t xml:space="preserve"> </w:t>
      </w:r>
      <w:r>
        <w:rPr>
          <w:sz w:val="24"/>
        </w:rPr>
        <w:t>types?</w:t>
      </w:r>
      <w:r>
        <w:rPr>
          <w:spacing w:val="-1"/>
          <w:sz w:val="24"/>
        </w:rPr>
        <w:t xml:space="preserve"> </w:t>
      </w:r>
      <w:r>
        <w:rPr>
          <w:rFonts w:ascii="MS Gothic" w:hAnsi="MS Gothic"/>
          <w:sz w:val="24"/>
        </w:rPr>
        <w:t>☐</w:t>
      </w:r>
      <w:r>
        <w:rPr>
          <w:rFonts w:ascii="MS Gothic" w:hAnsi="MS Gothic"/>
          <w:spacing w:val="-60"/>
          <w:sz w:val="24"/>
        </w:rPr>
        <w:t xml:space="preserve"> </w:t>
      </w:r>
      <w:r>
        <w:rPr>
          <w:sz w:val="24"/>
        </w:rPr>
        <w:t xml:space="preserve">Natural </w:t>
      </w:r>
      <w:r>
        <w:rPr>
          <w:rFonts w:ascii="MS Gothic" w:hAnsi="MS Gothic"/>
          <w:sz w:val="24"/>
        </w:rPr>
        <w:t>☐</w:t>
      </w:r>
      <w:r>
        <w:rPr>
          <w:rFonts w:ascii="MS Gothic" w:hAnsi="MS Gothic"/>
          <w:spacing w:val="-60"/>
          <w:sz w:val="24"/>
        </w:rPr>
        <w:t xml:space="preserve"> </w:t>
      </w:r>
      <w:r>
        <w:rPr>
          <w:sz w:val="24"/>
        </w:rPr>
        <w:t>Synthetic</w:t>
      </w:r>
      <w:r>
        <w:rPr>
          <w:spacing w:val="1"/>
          <w:sz w:val="24"/>
        </w:rPr>
        <w:t xml:space="preserve"> </w:t>
      </w:r>
      <w:r>
        <w:rPr>
          <w:rFonts w:ascii="MS Gothic" w:hAnsi="MS Gothic"/>
          <w:sz w:val="24"/>
        </w:rPr>
        <w:t>☐</w:t>
      </w:r>
      <w:r>
        <w:rPr>
          <w:rFonts w:ascii="MS Gothic" w:hAnsi="MS Gothic"/>
          <w:spacing w:val="-60"/>
          <w:sz w:val="24"/>
        </w:rPr>
        <w:t xml:space="preserve"> </w:t>
      </w:r>
      <w:r>
        <w:rPr>
          <w:spacing w:val="-4"/>
          <w:sz w:val="24"/>
        </w:rPr>
        <w:t>Both</w:t>
      </w:r>
    </w:p>
    <w:p w14:paraId="1C10C047" w14:textId="77777777" w:rsidR="00A02889" w:rsidRDefault="00A02889">
      <w:pPr>
        <w:pStyle w:val="BodyText"/>
        <w:spacing w:before="83"/>
      </w:pPr>
    </w:p>
    <w:p w14:paraId="49AD15EB" w14:textId="77777777" w:rsidR="00A02889" w:rsidRDefault="00000000">
      <w:pPr>
        <w:pStyle w:val="Heading2"/>
        <w:ind w:left="720" w:firstLine="0"/>
      </w:pPr>
      <w:r>
        <w:t>Section</w:t>
      </w:r>
      <w:r>
        <w:rPr>
          <w:spacing w:val="-4"/>
        </w:rPr>
        <w:t xml:space="preserve"> </w:t>
      </w:r>
      <w:r>
        <w:t>D:</w:t>
      </w:r>
      <w:r>
        <w:rPr>
          <w:spacing w:val="-2"/>
        </w:rPr>
        <w:t xml:space="preserve"> </w:t>
      </w:r>
      <w:r>
        <w:t>Effectiveness</w:t>
      </w:r>
      <w:r>
        <w:rPr>
          <w:spacing w:val="-3"/>
        </w:rPr>
        <w:t xml:space="preserve"> </w:t>
      </w:r>
      <w:r>
        <w:t>and</w:t>
      </w:r>
      <w:r>
        <w:rPr>
          <w:spacing w:val="-2"/>
        </w:rPr>
        <w:t xml:space="preserve"> Safety</w:t>
      </w:r>
    </w:p>
    <w:p w14:paraId="102EC612" w14:textId="77777777" w:rsidR="00A02889" w:rsidRDefault="00A02889">
      <w:pPr>
        <w:pStyle w:val="BodyText"/>
        <w:spacing w:before="63"/>
        <w:rPr>
          <w:b/>
        </w:rPr>
      </w:pPr>
    </w:p>
    <w:p w14:paraId="6D715104" w14:textId="77777777" w:rsidR="00A02889" w:rsidRDefault="00000000">
      <w:pPr>
        <w:pStyle w:val="ListParagraph"/>
        <w:numPr>
          <w:ilvl w:val="0"/>
          <w:numId w:val="5"/>
        </w:numPr>
        <w:tabs>
          <w:tab w:val="left" w:pos="1080"/>
        </w:tabs>
        <w:rPr>
          <w:sz w:val="24"/>
        </w:rPr>
      </w:pPr>
      <w:r>
        <w:rPr>
          <w:sz w:val="24"/>
        </w:rPr>
        <w:t>Do</w:t>
      </w:r>
      <w:r>
        <w:rPr>
          <w:spacing w:val="-12"/>
          <w:sz w:val="24"/>
        </w:rPr>
        <w:t xml:space="preserve"> </w:t>
      </w:r>
      <w:r>
        <w:rPr>
          <w:sz w:val="24"/>
        </w:rPr>
        <w:t>you</w:t>
      </w:r>
      <w:r>
        <w:rPr>
          <w:spacing w:val="-2"/>
          <w:sz w:val="24"/>
        </w:rPr>
        <w:t xml:space="preserve"> </w:t>
      </w:r>
      <w:r>
        <w:rPr>
          <w:sz w:val="24"/>
        </w:rPr>
        <w:t>find</w:t>
      </w:r>
      <w:r>
        <w:rPr>
          <w:spacing w:val="-4"/>
          <w:sz w:val="24"/>
        </w:rPr>
        <w:t xml:space="preserve"> </w:t>
      </w:r>
      <w:r>
        <w:rPr>
          <w:sz w:val="24"/>
        </w:rPr>
        <w:t>natural</w:t>
      </w:r>
      <w:r>
        <w:rPr>
          <w:spacing w:val="-4"/>
          <w:sz w:val="24"/>
        </w:rPr>
        <w:t xml:space="preserve"> </w:t>
      </w:r>
      <w:r>
        <w:rPr>
          <w:sz w:val="24"/>
        </w:rPr>
        <w:t>antacids</w:t>
      </w:r>
      <w:r>
        <w:rPr>
          <w:spacing w:val="-5"/>
          <w:sz w:val="24"/>
        </w:rPr>
        <w:t xml:space="preserve"> </w:t>
      </w:r>
      <w:r>
        <w:rPr>
          <w:sz w:val="24"/>
        </w:rPr>
        <w:t>effective</w:t>
      </w:r>
      <w:r>
        <w:rPr>
          <w:spacing w:val="-3"/>
          <w:sz w:val="24"/>
        </w:rPr>
        <w:t xml:space="preserve"> </w:t>
      </w:r>
      <w:r>
        <w:rPr>
          <w:sz w:val="24"/>
        </w:rPr>
        <w:t>compared</w:t>
      </w:r>
      <w:r>
        <w:rPr>
          <w:spacing w:val="-4"/>
          <w:sz w:val="24"/>
        </w:rPr>
        <w:t xml:space="preserve"> </w:t>
      </w:r>
      <w:r>
        <w:rPr>
          <w:sz w:val="24"/>
        </w:rPr>
        <w:t>to</w:t>
      </w:r>
      <w:r>
        <w:rPr>
          <w:spacing w:val="-4"/>
          <w:sz w:val="24"/>
        </w:rPr>
        <w:t xml:space="preserve"> </w:t>
      </w:r>
      <w:r>
        <w:rPr>
          <w:sz w:val="24"/>
        </w:rPr>
        <w:t>synthetic</w:t>
      </w:r>
      <w:r>
        <w:rPr>
          <w:spacing w:val="-3"/>
          <w:sz w:val="24"/>
        </w:rPr>
        <w:t xml:space="preserve"> </w:t>
      </w:r>
      <w:r>
        <w:rPr>
          <w:sz w:val="24"/>
        </w:rPr>
        <w:t>ones?</w:t>
      </w:r>
      <w:r>
        <w:rPr>
          <w:spacing w:val="-1"/>
          <w:sz w:val="24"/>
        </w:rPr>
        <w:t xml:space="preserve"> </w:t>
      </w:r>
      <w:r>
        <w:rPr>
          <w:rFonts w:ascii="MS Gothic" w:hAnsi="MS Gothic"/>
          <w:sz w:val="24"/>
        </w:rPr>
        <w:t>☐</w:t>
      </w:r>
      <w:r>
        <w:rPr>
          <w:rFonts w:ascii="MS Gothic" w:hAnsi="MS Gothic"/>
          <w:spacing w:val="-70"/>
          <w:sz w:val="24"/>
        </w:rPr>
        <w:t xml:space="preserve"> </w:t>
      </w:r>
      <w:r>
        <w:rPr>
          <w:sz w:val="24"/>
        </w:rPr>
        <w:t>Yes</w:t>
      </w:r>
      <w:r>
        <w:rPr>
          <w:spacing w:val="-1"/>
          <w:sz w:val="24"/>
        </w:rPr>
        <w:t xml:space="preserve"> </w:t>
      </w:r>
      <w:r>
        <w:rPr>
          <w:rFonts w:ascii="MS Gothic" w:hAnsi="MS Gothic"/>
          <w:sz w:val="24"/>
        </w:rPr>
        <w:t>☐</w:t>
      </w:r>
      <w:r>
        <w:rPr>
          <w:rFonts w:ascii="MS Gothic" w:hAnsi="MS Gothic"/>
          <w:spacing w:val="-60"/>
          <w:sz w:val="24"/>
        </w:rPr>
        <w:t xml:space="preserve"> </w:t>
      </w:r>
      <w:r>
        <w:rPr>
          <w:spacing w:val="-5"/>
          <w:sz w:val="24"/>
        </w:rPr>
        <w:t>No</w:t>
      </w:r>
    </w:p>
    <w:p w14:paraId="2F3DF44D" w14:textId="77777777" w:rsidR="00A02889" w:rsidRDefault="00A02889">
      <w:pPr>
        <w:pStyle w:val="BodyText"/>
        <w:spacing w:before="84"/>
      </w:pPr>
    </w:p>
    <w:p w14:paraId="76D1EC89" w14:textId="77777777" w:rsidR="00A02889" w:rsidRDefault="00000000">
      <w:pPr>
        <w:pStyle w:val="ListParagraph"/>
        <w:numPr>
          <w:ilvl w:val="0"/>
          <w:numId w:val="5"/>
        </w:numPr>
        <w:tabs>
          <w:tab w:val="left" w:pos="1080"/>
        </w:tabs>
        <w:rPr>
          <w:sz w:val="24"/>
        </w:rPr>
      </w:pPr>
      <w:r>
        <w:rPr>
          <w:sz w:val="24"/>
        </w:rPr>
        <w:t>Have</w:t>
      </w:r>
      <w:r>
        <w:rPr>
          <w:spacing w:val="-8"/>
          <w:sz w:val="24"/>
        </w:rPr>
        <w:t xml:space="preserve"> </w:t>
      </w:r>
      <w:r>
        <w:rPr>
          <w:sz w:val="24"/>
        </w:rPr>
        <w:t>you</w:t>
      </w:r>
      <w:r>
        <w:rPr>
          <w:spacing w:val="-3"/>
          <w:sz w:val="24"/>
        </w:rPr>
        <w:t xml:space="preserve"> </w:t>
      </w:r>
      <w:r>
        <w:rPr>
          <w:sz w:val="24"/>
        </w:rPr>
        <w:t>experienced</w:t>
      </w:r>
      <w:r>
        <w:rPr>
          <w:spacing w:val="-3"/>
          <w:sz w:val="24"/>
        </w:rPr>
        <w:t xml:space="preserve"> </w:t>
      </w:r>
      <w:r>
        <w:rPr>
          <w:sz w:val="24"/>
        </w:rPr>
        <w:t>any</w:t>
      </w:r>
      <w:r>
        <w:rPr>
          <w:spacing w:val="-7"/>
          <w:sz w:val="24"/>
        </w:rPr>
        <w:t xml:space="preserve"> </w:t>
      </w:r>
      <w:r>
        <w:rPr>
          <w:sz w:val="24"/>
        </w:rPr>
        <w:t>side</w:t>
      </w:r>
      <w:r>
        <w:rPr>
          <w:spacing w:val="-4"/>
          <w:sz w:val="24"/>
        </w:rPr>
        <w:t xml:space="preserve"> </w:t>
      </w:r>
      <w:r>
        <w:rPr>
          <w:sz w:val="24"/>
        </w:rPr>
        <w:t>effects</w:t>
      </w:r>
      <w:r>
        <w:rPr>
          <w:spacing w:val="-4"/>
          <w:sz w:val="24"/>
        </w:rPr>
        <w:t xml:space="preserve"> </w:t>
      </w:r>
      <w:r>
        <w:rPr>
          <w:sz w:val="24"/>
        </w:rPr>
        <w:t>from</w:t>
      </w:r>
      <w:r>
        <w:rPr>
          <w:spacing w:val="-3"/>
          <w:sz w:val="24"/>
        </w:rPr>
        <w:t xml:space="preserve"> </w:t>
      </w:r>
      <w:r>
        <w:rPr>
          <w:sz w:val="24"/>
        </w:rPr>
        <w:t>either</w:t>
      </w:r>
      <w:r>
        <w:rPr>
          <w:spacing w:val="-5"/>
          <w:sz w:val="24"/>
        </w:rPr>
        <w:t xml:space="preserve"> </w:t>
      </w:r>
      <w:r>
        <w:rPr>
          <w:sz w:val="24"/>
        </w:rPr>
        <w:t>type</w:t>
      </w:r>
      <w:r>
        <w:rPr>
          <w:spacing w:val="-3"/>
          <w:sz w:val="24"/>
        </w:rPr>
        <w:t xml:space="preserve"> </w:t>
      </w:r>
      <w:r>
        <w:rPr>
          <w:sz w:val="24"/>
        </w:rPr>
        <w:t>of</w:t>
      </w:r>
      <w:r>
        <w:rPr>
          <w:spacing w:val="-3"/>
          <w:sz w:val="24"/>
        </w:rPr>
        <w:t xml:space="preserve"> </w:t>
      </w:r>
      <w:r>
        <w:rPr>
          <w:sz w:val="24"/>
        </w:rPr>
        <w:t>antacid?</w:t>
      </w:r>
      <w:r>
        <w:rPr>
          <w:spacing w:val="1"/>
          <w:sz w:val="24"/>
        </w:rPr>
        <w:t xml:space="preserve"> </w:t>
      </w:r>
      <w:r>
        <w:rPr>
          <w:rFonts w:ascii="MS Gothic" w:hAnsi="MS Gothic"/>
          <w:sz w:val="24"/>
        </w:rPr>
        <w:t>☐</w:t>
      </w:r>
      <w:r>
        <w:rPr>
          <w:rFonts w:ascii="MS Gothic" w:hAnsi="MS Gothic"/>
          <w:spacing w:val="-70"/>
          <w:sz w:val="24"/>
        </w:rPr>
        <w:t xml:space="preserve"> </w:t>
      </w:r>
      <w:r>
        <w:rPr>
          <w:sz w:val="24"/>
        </w:rPr>
        <w:t xml:space="preserve">Yes </w:t>
      </w:r>
      <w:r>
        <w:rPr>
          <w:rFonts w:ascii="MS Gothic" w:hAnsi="MS Gothic"/>
          <w:sz w:val="24"/>
        </w:rPr>
        <w:t>☐</w:t>
      </w:r>
      <w:r>
        <w:rPr>
          <w:rFonts w:ascii="MS Gothic" w:hAnsi="MS Gothic"/>
          <w:spacing w:val="-60"/>
          <w:sz w:val="24"/>
        </w:rPr>
        <w:t xml:space="preserve"> </w:t>
      </w:r>
      <w:r>
        <w:rPr>
          <w:spacing w:val="-5"/>
          <w:sz w:val="24"/>
        </w:rPr>
        <w:t>No</w:t>
      </w:r>
    </w:p>
    <w:p w14:paraId="6E6C374E" w14:textId="77777777" w:rsidR="00A02889" w:rsidRDefault="00A02889">
      <w:pPr>
        <w:pStyle w:val="BodyText"/>
        <w:spacing w:before="80"/>
      </w:pPr>
    </w:p>
    <w:p w14:paraId="4892AF22" w14:textId="77777777" w:rsidR="00A02889" w:rsidRDefault="00000000">
      <w:pPr>
        <w:pStyle w:val="Heading2"/>
        <w:ind w:left="720" w:firstLine="0"/>
      </w:pPr>
      <w:r>
        <w:t>Section</w:t>
      </w:r>
      <w:r>
        <w:rPr>
          <w:spacing w:val="-5"/>
        </w:rPr>
        <w:t xml:space="preserve"> </w:t>
      </w:r>
      <w:r>
        <w:t>E:</w:t>
      </w:r>
      <w:r>
        <w:rPr>
          <w:spacing w:val="-4"/>
        </w:rPr>
        <w:t xml:space="preserve"> </w:t>
      </w:r>
      <w:r>
        <w:t>Consumer</w:t>
      </w:r>
      <w:r>
        <w:rPr>
          <w:spacing w:val="-7"/>
        </w:rPr>
        <w:t xml:space="preserve"> </w:t>
      </w:r>
      <w:r>
        <w:rPr>
          <w:spacing w:val="-2"/>
        </w:rPr>
        <w:t>Preferences</w:t>
      </w:r>
    </w:p>
    <w:p w14:paraId="3E5598AC" w14:textId="77777777" w:rsidR="00A02889" w:rsidRDefault="00A02889">
      <w:pPr>
        <w:pStyle w:val="BodyText"/>
        <w:spacing w:before="63"/>
        <w:rPr>
          <w:b/>
        </w:rPr>
      </w:pPr>
    </w:p>
    <w:p w14:paraId="74CED8D8" w14:textId="77777777" w:rsidR="00A02889" w:rsidRDefault="00000000">
      <w:pPr>
        <w:pStyle w:val="ListParagraph"/>
        <w:numPr>
          <w:ilvl w:val="0"/>
          <w:numId w:val="4"/>
        </w:numPr>
        <w:tabs>
          <w:tab w:val="left" w:pos="1106"/>
        </w:tabs>
        <w:spacing w:before="1"/>
        <w:ind w:hanging="386"/>
        <w:rPr>
          <w:rFonts w:ascii="MS Gothic" w:hAnsi="MS Gothic"/>
          <w:sz w:val="24"/>
        </w:rPr>
      </w:pPr>
      <w:r>
        <w:rPr>
          <w:sz w:val="24"/>
        </w:rPr>
        <w:t>What</w:t>
      </w:r>
      <w:r>
        <w:rPr>
          <w:spacing w:val="25"/>
          <w:sz w:val="24"/>
        </w:rPr>
        <w:t xml:space="preserve"> </w:t>
      </w:r>
      <w:r>
        <w:rPr>
          <w:sz w:val="24"/>
        </w:rPr>
        <w:t>factors</w:t>
      </w:r>
      <w:r>
        <w:rPr>
          <w:spacing w:val="31"/>
          <w:sz w:val="24"/>
        </w:rPr>
        <w:t xml:space="preserve"> </w:t>
      </w:r>
      <w:r>
        <w:rPr>
          <w:sz w:val="24"/>
        </w:rPr>
        <w:t>influence</w:t>
      </w:r>
      <w:r>
        <w:rPr>
          <w:spacing w:val="32"/>
          <w:sz w:val="24"/>
        </w:rPr>
        <w:t xml:space="preserve"> </w:t>
      </w:r>
      <w:r>
        <w:rPr>
          <w:sz w:val="24"/>
        </w:rPr>
        <w:t>your</w:t>
      </w:r>
      <w:r>
        <w:rPr>
          <w:spacing w:val="30"/>
          <w:sz w:val="24"/>
        </w:rPr>
        <w:t xml:space="preserve"> </w:t>
      </w:r>
      <w:r>
        <w:rPr>
          <w:sz w:val="24"/>
        </w:rPr>
        <w:t>choice</w:t>
      </w:r>
      <w:r>
        <w:rPr>
          <w:spacing w:val="28"/>
          <w:sz w:val="24"/>
        </w:rPr>
        <w:t xml:space="preserve"> </w:t>
      </w:r>
      <w:r>
        <w:rPr>
          <w:sz w:val="24"/>
        </w:rPr>
        <w:t>of</w:t>
      </w:r>
      <w:r>
        <w:rPr>
          <w:spacing w:val="30"/>
          <w:sz w:val="24"/>
        </w:rPr>
        <w:t xml:space="preserve"> </w:t>
      </w:r>
      <w:r>
        <w:rPr>
          <w:sz w:val="24"/>
        </w:rPr>
        <w:t>antacid?</w:t>
      </w:r>
      <w:r>
        <w:rPr>
          <w:spacing w:val="31"/>
          <w:sz w:val="24"/>
        </w:rPr>
        <w:t xml:space="preserve"> </w:t>
      </w:r>
      <w:r>
        <w:rPr>
          <w:sz w:val="24"/>
        </w:rPr>
        <w:t>(Select</w:t>
      </w:r>
      <w:r>
        <w:rPr>
          <w:spacing w:val="29"/>
          <w:sz w:val="24"/>
        </w:rPr>
        <w:t xml:space="preserve"> </w:t>
      </w:r>
      <w:r>
        <w:rPr>
          <w:sz w:val="24"/>
        </w:rPr>
        <w:t>all</w:t>
      </w:r>
      <w:r>
        <w:rPr>
          <w:spacing w:val="29"/>
          <w:sz w:val="24"/>
        </w:rPr>
        <w:t xml:space="preserve"> </w:t>
      </w:r>
      <w:r>
        <w:rPr>
          <w:sz w:val="24"/>
        </w:rPr>
        <w:t>that</w:t>
      </w:r>
      <w:r>
        <w:rPr>
          <w:spacing w:val="29"/>
          <w:sz w:val="24"/>
        </w:rPr>
        <w:t xml:space="preserve"> </w:t>
      </w:r>
      <w:r>
        <w:rPr>
          <w:sz w:val="24"/>
        </w:rPr>
        <w:t>apply)</w:t>
      </w:r>
      <w:r>
        <w:rPr>
          <w:spacing w:val="36"/>
          <w:sz w:val="24"/>
        </w:rPr>
        <w:t xml:space="preserve"> </w:t>
      </w:r>
      <w:r>
        <w:rPr>
          <w:rFonts w:ascii="MS Gothic" w:hAnsi="MS Gothic"/>
          <w:sz w:val="24"/>
        </w:rPr>
        <w:t>☐</w:t>
      </w:r>
      <w:r>
        <w:rPr>
          <w:rFonts w:ascii="MS Gothic" w:hAnsi="MS Gothic"/>
          <w:spacing w:val="-30"/>
          <w:sz w:val="24"/>
        </w:rPr>
        <w:t xml:space="preserve"> </w:t>
      </w:r>
      <w:r>
        <w:rPr>
          <w:sz w:val="24"/>
        </w:rPr>
        <w:t>Effectiveness</w:t>
      </w:r>
      <w:r>
        <w:rPr>
          <w:spacing w:val="32"/>
          <w:sz w:val="24"/>
        </w:rPr>
        <w:t xml:space="preserve"> </w:t>
      </w:r>
      <w:r>
        <w:rPr>
          <w:rFonts w:ascii="MS Gothic" w:hAnsi="MS Gothic"/>
          <w:spacing w:val="-10"/>
          <w:sz w:val="24"/>
        </w:rPr>
        <w:t>☐</w:t>
      </w:r>
    </w:p>
    <w:p w14:paraId="3E61D8EB" w14:textId="77777777" w:rsidR="00A02889" w:rsidRDefault="00000000">
      <w:pPr>
        <w:pStyle w:val="BodyText"/>
        <w:tabs>
          <w:tab w:val="left" w:pos="6929"/>
        </w:tabs>
        <w:spacing w:before="160"/>
        <w:ind w:left="720"/>
      </w:pPr>
      <w:r>
        <w:t>Cost</w:t>
      </w:r>
      <w:r>
        <w:rPr>
          <w:spacing w:val="-6"/>
        </w:rPr>
        <w:t xml:space="preserve"> </w:t>
      </w:r>
      <w:r>
        <w:rPr>
          <w:rFonts w:ascii="MS Gothic" w:hAnsi="MS Gothic"/>
        </w:rPr>
        <w:t>☐</w:t>
      </w:r>
      <w:r>
        <w:rPr>
          <w:rFonts w:ascii="MS Gothic" w:hAnsi="MS Gothic"/>
          <w:spacing w:val="-75"/>
        </w:rPr>
        <w:t xml:space="preserve"> </w:t>
      </w:r>
      <w:r>
        <w:t>Availability</w:t>
      </w:r>
      <w:r>
        <w:rPr>
          <w:spacing w:val="-4"/>
        </w:rPr>
        <w:t xml:space="preserve"> </w:t>
      </w:r>
      <w:r>
        <w:rPr>
          <w:rFonts w:ascii="MS Gothic" w:hAnsi="MS Gothic"/>
        </w:rPr>
        <w:t>☐</w:t>
      </w:r>
      <w:r>
        <w:rPr>
          <w:rFonts w:ascii="MS Gothic" w:hAnsi="MS Gothic"/>
          <w:spacing w:val="-60"/>
        </w:rPr>
        <w:t xml:space="preserve"> </w:t>
      </w:r>
      <w:r>
        <w:t>Natural</w:t>
      </w:r>
      <w:r>
        <w:rPr>
          <w:spacing w:val="-2"/>
        </w:rPr>
        <w:t xml:space="preserve"> </w:t>
      </w:r>
      <w:r>
        <w:t xml:space="preserve">ingredients </w:t>
      </w:r>
      <w:r>
        <w:rPr>
          <w:rFonts w:ascii="MS Gothic" w:hAnsi="MS Gothic"/>
        </w:rPr>
        <w:t>☐</w:t>
      </w:r>
      <w:r>
        <w:rPr>
          <w:rFonts w:ascii="MS Gothic" w:hAnsi="MS Gothic"/>
          <w:spacing w:val="-60"/>
        </w:rPr>
        <w:t xml:space="preserve"> </w:t>
      </w:r>
      <w:r>
        <w:t>others:</w:t>
      </w:r>
      <w:r>
        <w:rPr>
          <w:spacing w:val="-2"/>
        </w:rPr>
        <w:t xml:space="preserve"> </w:t>
      </w:r>
      <w:r>
        <w:rPr>
          <w:u w:val="single"/>
        </w:rPr>
        <w:tab/>
      </w:r>
    </w:p>
    <w:p w14:paraId="4ACB925A" w14:textId="77777777" w:rsidR="00A02889" w:rsidRDefault="00A02889">
      <w:pPr>
        <w:pStyle w:val="BodyText"/>
        <w:spacing w:before="84"/>
      </w:pPr>
    </w:p>
    <w:p w14:paraId="7EBA5E82" w14:textId="77777777" w:rsidR="00A02889" w:rsidRDefault="00000000">
      <w:pPr>
        <w:pStyle w:val="ListParagraph"/>
        <w:numPr>
          <w:ilvl w:val="0"/>
          <w:numId w:val="4"/>
        </w:numPr>
        <w:tabs>
          <w:tab w:val="left" w:pos="1075"/>
        </w:tabs>
        <w:ind w:left="1075" w:hanging="355"/>
        <w:rPr>
          <w:sz w:val="24"/>
        </w:rPr>
      </w:pPr>
      <w:r>
        <w:rPr>
          <w:sz w:val="24"/>
        </w:rPr>
        <w:t>Would</w:t>
      </w:r>
      <w:r>
        <w:rPr>
          <w:spacing w:val="-13"/>
          <w:sz w:val="24"/>
        </w:rPr>
        <w:t xml:space="preserve"> </w:t>
      </w:r>
      <w:r>
        <w:rPr>
          <w:sz w:val="24"/>
        </w:rPr>
        <w:t>you</w:t>
      </w:r>
      <w:r>
        <w:rPr>
          <w:spacing w:val="-5"/>
          <w:sz w:val="24"/>
        </w:rPr>
        <w:t xml:space="preserve"> </w:t>
      </w:r>
      <w:r>
        <w:rPr>
          <w:sz w:val="24"/>
        </w:rPr>
        <w:t>prefer</w:t>
      </w:r>
      <w:r>
        <w:rPr>
          <w:spacing w:val="-4"/>
          <w:sz w:val="24"/>
        </w:rPr>
        <w:t xml:space="preserve"> </w:t>
      </w:r>
      <w:r>
        <w:rPr>
          <w:sz w:val="24"/>
        </w:rPr>
        <w:t>to</w:t>
      </w:r>
      <w:r>
        <w:rPr>
          <w:spacing w:val="-4"/>
          <w:sz w:val="24"/>
        </w:rPr>
        <w:t xml:space="preserve"> </w:t>
      </w:r>
      <w:r>
        <w:rPr>
          <w:sz w:val="24"/>
        </w:rPr>
        <w:t>use</w:t>
      </w:r>
      <w:r>
        <w:rPr>
          <w:spacing w:val="-5"/>
          <w:sz w:val="24"/>
        </w:rPr>
        <w:t xml:space="preserve"> </w:t>
      </w:r>
      <w:r>
        <w:rPr>
          <w:sz w:val="24"/>
        </w:rPr>
        <w:t>natural</w:t>
      </w:r>
      <w:r>
        <w:rPr>
          <w:spacing w:val="-5"/>
          <w:sz w:val="24"/>
        </w:rPr>
        <w:t xml:space="preserve"> </w:t>
      </w:r>
      <w:r>
        <w:rPr>
          <w:sz w:val="24"/>
        </w:rPr>
        <w:t>antacids</w:t>
      </w:r>
      <w:r>
        <w:rPr>
          <w:spacing w:val="-6"/>
          <w:sz w:val="24"/>
        </w:rPr>
        <w:t xml:space="preserve"> </w:t>
      </w:r>
      <w:r>
        <w:rPr>
          <w:sz w:val="24"/>
        </w:rPr>
        <w:t>over</w:t>
      </w:r>
      <w:r>
        <w:rPr>
          <w:spacing w:val="-4"/>
          <w:sz w:val="24"/>
        </w:rPr>
        <w:t xml:space="preserve"> </w:t>
      </w:r>
      <w:r>
        <w:rPr>
          <w:sz w:val="24"/>
        </w:rPr>
        <w:t>synthetic</w:t>
      </w:r>
      <w:r>
        <w:rPr>
          <w:spacing w:val="-5"/>
          <w:sz w:val="24"/>
        </w:rPr>
        <w:t xml:space="preserve"> </w:t>
      </w:r>
      <w:r>
        <w:rPr>
          <w:sz w:val="24"/>
        </w:rPr>
        <w:t>ones?</w:t>
      </w:r>
      <w:r>
        <w:rPr>
          <w:spacing w:val="1"/>
          <w:sz w:val="24"/>
        </w:rPr>
        <w:t xml:space="preserve"> </w:t>
      </w:r>
      <w:r>
        <w:rPr>
          <w:rFonts w:ascii="MS Gothic" w:hAnsi="MS Gothic"/>
          <w:sz w:val="24"/>
        </w:rPr>
        <w:t>☐</w:t>
      </w:r>
      <w:r>
        <w:rPr>
          <w:rFonts w:ascii="MS Gothic" w:hAnsi="MS Gothic"/>
          <w:spacing w:val="-70"/>
          <w:sz w:val="24"/>
        </w:rPr>
        <w:t xml:space="preserve"> </w:t>
      </w:r>
      <w:r>
        <w:rPr>
          <w:sz w:val="24"/>
        </w:rPr>
        <w:t>Yes</w:t>
      </w:r>
      <w:r>
        <w:rPr>
          <w:spacing w:val="-3"/>
          <w:sz w:val="24"/>
        </w:rPr>
        <w:t xml:space="preserve"> </w:t>
      </w:r>
      <w:r>
        <w:rPr>
          <w:rFonts w:ascii="MS Gothic" w:hAnsi="MS Gothic"/>
          <w:sz w:val="24"/>
        </w:rPr>
        <w:t>☐</w:t>
      </w:r>
      <w:r>
        <w:rPr>
          <w:rFonts w:ascii="MS Gothic" w:hAnsi="MS Gothic"/>
          <w:spacing w:val="-60"/>
          <w:sz w:val="24"/>
        </w:rPr>
        <w:t xml:space="preserve"> </w:t>
      </w:r>
      <w:r>
        <w:rPr>
          <w:spacing w:val="-5"/>
          <w:sz w:val="24"/>
        </w:rPr>
        <w:t>No</w:t>
      </w:r>
    </w:p>
    <w:p w14:paraId="4EC89CEF" w14:textId="77777777" w:rsidR="00A02889" w:rsidRDefault="00A02889">
      <w:pPr>
        <w:pStyle w:val="ListParagraph"/>
        <w:rPr>
          <w:sz w:val="24"/>
        </w:rPr>
        <w:sectPr w:rsidR="00A02889">
          <w:pgSz w:w="12240" w:h="15840"/>
          <w:pgMar w:top="1360" w:right="720" w:bottom="1260" w:left="720" w:header="0" w:footer="1068" w:gutter="0"/>
          <w:cols w:space="720"/>
        </w:sectPr>
      </w:pPr>
    </w:p>
    <w:p w14:paraId="01395279" w14:textId="77777777" w:rsidR="00A02889" w:rsidRDefault="00000000">
      <w:pPr>
        <w:pStyle w:val="Heading1"/>
      </w:pPr>
      <w:bookmarkStart w:id="63" w:name="_bookmark63"/>
      <w:bookmarkEnd w:id="63"/>
      <w:r>
        <w:lastRenderedPageBreak/>
        <w:t>CHAPTER</w:t>
      </w:r>
      <w:r>
        <w:rPr>
          <w:spacing w:val="-5"/>
        </w:rPr>
        <w:t xml:space="preserve"> </w:t>
      </w:r>
      <w:r>
        <w:rPr>
          <w:spacing w:val="-4"/>
        </w:rPr>
        <w:t>FOUR</w:t>
      </w:r>
    </w:p>
    <w:p w14:paraId="0F1D90AD" w14:textId="77777777" w:rsidR="00A02889" w:rsidRDefault="00A02889">
      <w:pPr>
        <w:pStyle w:val="BodyText"/>
        <w:rPr>
          <w:b/>
        </w:rPr>
      </w:pPr>
    </w:p>
    <w:p w14:paraId="7C43F079" w14:textId="77777777" w:rsidR="00A02889" w:rsidRDefault="00A02889">
      <w:pPr>
        <w:pStyle w:val="BodyText"/>
        <w:spacing w:before="6"/>
        <w:rPr>
          <w:b/>
        </w:rPr>
      </w:pPr>
    </w:p>
    <w:p w14:paraId="556D3D11" w14:textId="77777777" w:rsidR="00A02889" w:rsidRDefault="00000000">
      <w:pPr>
        <w:pStyle w:val="Heading1"/>
        <w:numPr>
          <w:ilvl w:val="1"/>
          <w:numId w:val="3"/>
        </w:numPr>
        <w:tabs>
          <w:tab w:val="left" w:pos="1080"/>
        </w:tabs>
        <w:spacing w:before="0"/>
        <w:ind w:right="0"/>
      </w:pPr>
      <w:bookmarkStart w:id="64" w:name="_bookmark64"/>
      <w:bookmarkEnd w:id="64"/>
      <w:r>
        <w:t>RESULTS</w:t>
      </w:r>
      <w:r>
        <w:rPr>
          <w:spacing w:val="-1"/>
        </w:rPr>
        <w:t xml:space="preserve"> </w:t>
      </w:r>
      <w:r>
        <w:t xml:space="preserve">AND </w:t>
      </w:r>
      <w:r>
        <w:rPr>
          <w:spacing w:val="-2"/>
        </w:rPr>
        <w:t>DISCUSSION</w:t>
      </w:r>
    </w:p>
    <w:p w14:paraId="5ACC9502" w14:textId="77777777" w:rsidR="00A02889" w:rsidRDefault="00A02889">
      <w:pPr>
        <w:pStyle w:val="BodyText"/>
        <w:rPr>
          <w:b/>
        </w:rPr>
      </w:pPr>
    </w:p>
    <w:p w14:paraId="757D53C7" w14:textId="77777777" w:rsidR="00A02889" w:rsidRDefault="00A02889">
      <w:pPr>
        <w:pStyle w:val="BodyText"/>
        <w:spacing w:before="2"/>
        <w:rPr>
          <w:b/>
        </w:rPr>
      </w:pPr>
    </w:p>
    <w:p w14:paraId="6403E244" w14:textId="77777777" w:rsidR="00A02889" w:rsidRDefault="00000000">
      <w:pPr>
        <w:pStyle w:val="Heading2"/>
        <w:numPr>
          <w:ilvl w:val="1"/>
          <w:numId w:val="3"/>
        </w:numPr>
        <w:tabs>
          <w:tab w:val="left" w:pos="1080"/>
        </w:tabs>
      </w:pPr>
      <w:bookmarkStart w:id="65" w:name="_bookmark65"/>
      <w:bookmarkEnd w:id="65"/>
      <w:r>
        <w:rPr>
          <w:spacing w:val="-2"/>
        </w:rPr>
        <w:t>Results</w:t>
      </w:r>
    </w:p>
    <w:p w14:paraId="040C36FA" w14:textId="77777777" w:rsidR="00A02889" w:rsidRDefault="00A02889">
      <w:pPr>
        <w:pStyle w:val="BodyText"/>
        <w:rPr>
          <w:b/>
        </w:rPr>
      </w:pPr>
    </w:p>
    <w:p w14:paraId="63A5DA5A" w14:textId="77777777" w:rsidR="00A02889" w:rsidRDefault="00A02889">
      <w:pPr>
        <w:pStyle w:val="BodyText"/>
        <w:rPr>
          <w:b/>
        </w:rPr>
      </w:pPr>
    </w:p>
    <w:p w14:paraId="6CB69E1C" w14:textId="77777777" w:rsidR="00A02889" w:rsidRDefault="00000000">
      <w:pPr>
        <w:pStyle w:val="BodyText"/>
        <w:spacing w:line="480" w:lineRule="auto"/>
        <w:ind w:left="720" w:right="716"/>
        <w:jc w:val="both"/>
      </w:pPr>
      <w:r>
        <w:t xml:space="preserve">The laboratory analysis evaluated the neutralization capacity of two synthetic antacids (Magnesium trisilicate and </w:t>
      </w:r>
      <w:proofErr w:type="spellStart"/>
      <w:r>
        <w:t>Aluminium</w:t>
      </w:r>
      <w:proofErr w:type="spellEnd"/>
      <w:r>
        <w:t xml:space="preserve"> hydroxide) and two natural antacids (Ginger extract and </w:t>
      </w:r>
      <w:proofErr w:type="gramStart"/>
      <w:r>
        <w:t>Baking</w:t>
      </w:r>
      <w:proofErr w:type="gramEnd"/>
      <w:r>
        <w:t xml:space="preserve"> soda) using a standardized 0.1 M HCl solution. The initial pH of the hydrochloric acid solution was </w:t>
      </w:r>
      <w:r w:rsidR="00C54D13" w:rsidRPr="00C54D13">
        <w:rPr>
          <w:b/>
          <w:bCs/>
        </w:rPr>
        <w:t>2</w:t>
      </w:r>
      <w:r w:rsidRPr="00C54D13">
        <w:rPr>
          <w:b/>
          <w:bCs/>
        </w:rPr>
        <w:t>.</w:t>
      </w:r>
      <w:r>
        <w:t>79. The pH was monitored at regular 10-minute intervals for 60 minutes after the addition of each antacid.</w:t>
      </w:r>
    </w:p>
    <w:p w14:paraId="34DC9C32"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0E61061B" w14:textId="77777777" w:rsidR="00A02889" w:rsidRDefault="00000000">
      <w:pPr>
        <w:spacing w:before="76"/>
        <w:ind w:left="720"/>
        <w:rPr>
          <w:b/>
          <w:sz w:val="24"/>
        </w:rPr>
      </w:pPr>
      <w:bookmarkStart w:id="66" w:name="_bookmark66"/>
      <w:bookmarkEnd w:id="66"/>
      <w:r>
        <w:rPr>
          <w:b/>
          <w:sz w:val="24"/>
        </w:rPr>
        <w:lastRenderedPageBreak/>
        <w:t>Table</w:t>
      </w:r>
      <w:r>
        <w:rPr>
          <w:b/>
          <w:spacing w:val="-3"/>
          <w:sz w:val="24"/>
        </w:rPr>
        <w:t xml:space="preserve"> </w:t>
      </w:r>
      <w:r>
        <w:rPr>
          <w:b/>
          <w:sz w:val="24"/>
        </w:rPr>
        <w:t>4.1:</w:t>
      </w:r>
      <w:r>
        <w:rPr>
          <w:b/>
          <w:spacing w:val="-3"/>
          <w:sz w:val="24"/>
        </w:rPr>
        <w:t xml:space="preserve"> </w:t>
      </w:r>
      <w:r>
        <w:rPr>
          <w:b/>
          <w:sz w:val="24"/>
        </w:rPr>
        <w:t>pH</w:t>
      </w:r>
      <w:r>
        <w:rPr>
          <w:b/>
          <w:spacing w:val="-1"/>
          <w:sz w:val="24"/>
        </w:rPr>
        <w:t xml:space="preserve"> </w:t>
      </w:r>
      <w:r>
        <w:rPr>
          <w:b/>
          <w:sz w:val="24"/>
        </w:rPr>
        <w:t>Changes</w:t>
      </w:r>
      <w:r>
        <w:rPr>
          <w:b/>
          <w:spacing w:val="-4"/>
          <w:sz w:val="24"/>
        </w:rPr>
        <w:t xml:space="preserve"> </w:t>
      </w:r>
      <w:r>
        <w:rPr>
          <w:b/>
          <w:sz w:val="24"/>
        </w:rPr>
        <w:t>over</w:t>
      </w:r>
      <w:r>
        <w:rPr>
          <w:b/>
          <w:spacing w:val="-2"/>
          <w:sz w:val="24"/>
        </w:rPr>
        <w:t xml:space="preserve"> </w:t>
      </w:r>
      <w:r>
        <w:rPr>
          <w:b/>
          <w:sz w:val="24"/>
        </w:rPr>
        <w:t>Time</w:t>
      </w:r>
      <w:r>
        <w:rPr>
          <w:b/>
          <w:spacing w:val="-2"/>
          <w:sz w:val="24"/>
        </w:rPr>
        <w:t xml:space="preserve"> </w:t>
      </w:r>
      <w:r>
        <w:rPr>
          <w:b/>
          <w:sz w:val="24"/>
        </w:rPr>
        <w:t>for</w:t>
      </w:r>
      <w:r>
        <w:rPr>
          <w:b/>
          <w:spacing w:val="-2"/>
          <w:sz w:val="24"/>
        </w:rPr>
        <w:t xml:space="preserve"> </w:t>
      </w:r>
      <w:r>
        <w:rPr>
          <w:b/>
          <w:sz w:val="24"/>
        </w:rPr>
        <w:t>Natural</w:t>
      </w:r>
      <w:r>
        <w:rPr>
          <w:b/>
          <w:spacing w:val="-1"/>
          <w:sz w:val="24"/>
        </w:rPr>
        <w:t xml:space="preserve"> </w:t>
      </w:r>
      <w:r>
        <w:rPr>
          <w:b/>
          <w:sz w:val="24"/>
        </w:rPr>
        <w:t>and</w:t>
      </w:r>
      <w:r>
        <w:rPr>
          <w:b/>
          <w:spacing w:val="-1"/>
          <w:sz w:val="24"/>
        </w:rPr>
        <w:t xml:space="preserve"> </w:t>
      </w:r>
      <w:r>
        <w:rPr>
          <w:b/>
          <w:sz w:val="24"/>
        </w:rPr>
        <w:t xml:space="preserve">Synthetic </w:t>
      </w:r>
      <w:r>
        <w:rPr>
          <w:b/>
          <w:spacing w:val="-2"/>
          <w:sz w:val="24"/>
        </w:rPr>
        <w:t>Antacids</w:t>
      </w:r>
    </w:p>
    <w:p w14:paraId="3B33E86A" w14:textId="77777777" w:rsidR="00A02889" w:rsidRDefault="00A02889">
      <w:pPr>
        <w:pStyle w:val="BodyText"/>
        <w:rPr>
          <w:b/>
          <w:sz w:val="20"/>
        </w:rPr>
      </w:pPr>
    </w:p>
    <w:p w14:paraId="51680399" w14:textId="77777777" w:rsidR="00A02889" w:rsidRDefault="00A02889">
      <w:pPr>
        <w:pStyle w:val="BodyText"/>
        <w:spacing w:before="132"/>
        <w:rPr>
          <w:b/>
          <w:sz w:val="20"/>
        </w:rPr>
      </w:pPr>
    </w:p>
    <w:tbl>
      <w:tblPr>
        <w:tblW w:w="0" w:type="auto"/>
        <w:tblInd w:w="682" w:type="dxa"/>
        <w:tblLayout w:type="fixed"/>
        <w:tblCellMar>
          <w:left w:w="0" w:type="dxa"/>
          <w:right w:w="0" w:type="dxa"/>
        </w:tblCellMar>
        <w:tblLook w:val="01E0" w:firstRow="1" w:lastRow="1" w:firstColumn="1" w:lastColumn="1" w:noHBand="0" w:noVBand="0"/>
      </w:tblPr>
      <w:tblGrid>
        <w:gridCol w:w="1490"/>
        <w:gridCol w:w="1908"/>
        <w:gridCol w:w="1916"/>
        <w:gridCol w:w="1382"/>
        <w:gridCol w:w="2758"/>
      </w:tblGrid>
      <w:tr w:rsidR="00A02889" w14:paraId="3D5740AB" w14:textId="77777777">
        <w:trPr>
          <w:trHeight w:val="308"/>
        </w:trPr>
        <w:tc>
          <w:tcPr>
            <w:tcW w:w="1490" w:type="dxa"/>
            <w:tcBorders>
              <w:top w:val="single" w:sz="4" w:space="0" w:color="000000"/>
            </w:tcBorders>
          </w:tcPr>
          <w:p w14:paraId="1E5EDD4D" w14:textId="77777777" w:rsidR="00A02889" w:rsidRDefault="00A02889">
            <w:pPr>
              <w:pStyle w:val="TableParagraph"/>
              <w:spacing w:before="0"/>
            </w:pPr>
          </w:p>
        </w:tc>
        <w:tc>
          <w:tcPr>
            <w:tcW w:w="3824" w:type="dxa"/>
            <w:gridSpan w:val="2"/>
            <w:tcBorders>
              <w:top w:val="single" w:sz="4" w:space="0" w:color="000000"/>
            </w:tcBorders>
          </w:tcPr>
          <w:p w14:paraId="385C88D9" w14:textId="77777777" w:rsidR="00A02889" w:rsidRDefault="00000000">
            <w:pPr>
              <w:pStyle w:val="TableParagraph"/>
              <w:spacing w:before="11"/>
              <w:ind w:left="938"/>
              <w:rPr>
                <w:b/>
                <w:sz w:val="24"/>
              </w:rPr>
            </w:pPr>
            <w:r>
              <w:rPr>
                <w:b/>
                <w:sz w:val="24"/>
              </w:rPr>
              <w:t>Synthetic</w:t>
            </w:r>
            <w:r>
              <w:rPr>
                <w:b/>
                <w:spacing w:val="-2"/>
                <w:sz w:val="24"/>
              </w:rPr>
              <w:t xml:space="preserve"> Antacids</w:t>
            </w:r>
          </w:p>
        </w:tc>
        <w:tc>
          <w:tcPr>
            <w:tcW w:w="4140" w:type="dxa"/>
            <w:gridSpan w:val="2"/>
            <w:tcBorders>
              <w:top w:val="single" w:sz="4" w:space="0" w:color="000000"/>
            </w:tcBorders>
          </w:tcPr>
          <w:p w14:paraId="50FAB74F" w14:textId="77777777" w:rsidR="00A02889" w:rsidRDefault="00000000">
            <w:pPr>
              <w:pStyle w:val="TableParagraph"/>
              <w:spacing w:before="11"/>
              <w:ind w:left="1207"/>
              <w:rPr>
                <w:b/>
                <w:sz w:val="24"/>
              </w:rPr>
            </w:pPr>
            <w:r>
              <w:rPr>
                <w:b/>
                <w:sz w:val="24"/>
              </w:rPr>
              <w:t>Natural</w:t>
            </w:r>
            <w:r>
              <w:rPr>
                <w:b/>
                <w:spacing w:val="-3"/>
                <w:sz w:val="24"/>
              </w:rPr>
              <w:t xml:space="preserve"> </w:t>
            </w:r>
            <w:r>
              <w:rPr>
                <w:b/>
                <w:spacing w:val="-2"/>
                <w:sz w:val="24"/>
              </w:rPr>
              <w:t>Antacids</w:t>
            </w:r>
          </w:p>
        </w:tc>
      </w:tr>
      <w:tr w:rsidR="00A02889" w14:paraId="2BB68C94" w14:textId="77777777">
        <w:trPr>
          <w:trHeight w:val="1442"/>
        </w:trPr>
        <w:tc>
          <w:tcPr>
            <w:tcW w:w="1490" w:type="dxa"/>
            <w:tcBorders>
              <w:bottom w:val="single" w:sz="4" w:space="0" w:color="000000"/>
            </w:tcBorders>
          </w:tcPr>
          <w:p w14:paraId="5758BA55" w14:textId="77777777" w:rsidR="00A02889" w:rsidRDefault="00000000">
            <w:pPr>
              <w:pStyle w:val="TableParagraph"/>
              <w:tabs>
                <w:tab w:val="left" w:pos="1413"/>
                <w:tab w:val="left" w:pos="9507"/>
              </w:tabs>
              <w:spacing w:before="11" w:line="480" w:lineRule="auto"/>
              <w:ind w:left="434" w:right="-8021" w:hanging="188"/>
              <w:rPr>
                <w:b/>
                <w:sz w:val="24"/>
              </w:rPr>
            </w:pPr>
            <w:r>
              <w:rPr>
                <w:b/>
                <w:spacing w:val="-2"/>
                <w:sz w:val="24"/>
              </w:rPr>
              <w:t>Duration</w:t>
            </w:r>
            <w:r>
              <w:rPr>
                <w:b/>
                <w:sz w:val="24"/>
              </w:rPr>
              <w:tab/>
            </w:r>
            <w:r>
              <w:rPr>
                <w:b/>
                <w:sz w:val="24"/>
                <w:u w:val="single"/>
              </w:rPr>
              <w:tab/>
            </w:r>
            <w:r>
              <w:rPr>
                <w:b/>
                <w:sz w:val="24"/>
              </w:rPr>
              <w:t xml:space="preserve"> </w:t>
            </w:r>
            <w:r>
              <w:rPr>
                <w:b/>
                <w:spacing w:val="-2"/>
                <w:sz w:val="24"/>
              </w:rPr>
              <w:t>(min)</w:t>
            </w:r>
          </w:p>
        </w:tc>
        <w:tc>
          <w:tcPr>
            <w:tcW w:w="1908" w:type="dxa"/>
            <w:tcBorders>
              <w:bottom w:val="single" w:sz="4" w:space="0" w:color="000000"/>
            </w:tcBorders>
          </w:tcPr>
          <w:p w14:paraId="01F14366" w14:textId="77777777" w:rsidR="00A02889" w:rsidRDefault="00000000">
            <w:pPr>
              <w:pStyle w:val="TableParagraph"/>
              <w:spacing w:before="49" w:line="550" w:lineRule="atLeast"/>
              <w:ind w:left="389" w:hanging="80"/>
              <w:rPr>
                <w:b/>
                <w:sz w:val="24"/>
              </w:rPr>
            </w:pPr>
            <w:r>
              <w:rPr>
                <w:b/>
                <w:spacing w:val="-2"/>
                <w:sz w:val="24"/>
              </w:rPr>
              <w:t>Magnesium Trisilicate</w:t>
            </w:r>
          </w:p>
        </w:tc>
        <w:tc>
          <w:tcPr>
            <w:tcW w:w="1916" w:type="dxa"/>
            <w:tcBorders>
              <w:bottom w:val="single" w:sz="4" w:space="0" w:color="000000"/>
            </w:tcBorders>
          </w:tcPr>
          <w:p w14:paraId="1FB33E7A" w14:textId="77777777" w:rsidR="00A02889" w:rsidRDefault="00000000">
            <w:pPr>
              <w:pStyle w:val="TableParagraph"/>
              <w:spacing w:before="49" w:line="550" w:lineRule="atLeast"/>
              <w:ind w:left="435" w:hanging="39"/>
              <w:rPr>
                <w:b/>
                <w:sz w:val="24"/>
              </w:rPr>
            </w:pPr>
            <w:proofErr w:type="spellStart"/>
            <w:r>
              <w:rPr>
                <w:b/>
                <w:spacing w:val="-2"/>
                <w:sz w:val="24"/>
              </w:rPr>
              <w:t>Aluminium</w:t>
            </w:r>
            <w:proofErr w:type="spellEnd"/>
            <w:r>
              <w:rPr>
                <w:b/>
                <w:spacing w:val="-2"/>
                <w:sz w:val="24"/>
              </w:rPr>
              <w:t xml:space="preserve"> Hydroxide</w:t>
            </w:r>
          </w:p>
        </w:tc>
        <w:tc>
          <w:tcPr>
            <w:tcW w:w="1382" w:type="dxa"/>
            <w:tcBorders>
              <w:bottom w:val="single" w:sz="4" w:space="0" w:color="000000"/>
            </w:tcBorders>
          </w:tcPr>
          <w:p w14:paraId="3A709E6C" w14:textId="77777777" w:rsidR="00A02889" w:rsidRDefault="00000000">
            <w:pPr>
              <w:pStyle w:val="TableParagraph"/>
              <w:spacing w:before="49" w:line="550" w:lineRule="atLeast"/>
              <w:ind w:left="343" w:right="260" w:firstLine="26"/>
              <w:rPr>
                <w:b/>
                <w:sz w:val="24"/>
              </w:rPr>
            </w:pPr>
            <w:r>
              <w:rPr>
                <w:b/>
                <w:spacing w:val="-2"/>
                <w:sz w:val="24"/>
              </w:rPr>
              <w:t>Ginger Extract</w:t>
            </w:r>
          </w:p>
        </w:tc>
        <w:tc>
          <w:tcPr>
            <w:tcW w:w="2758" w:type="dxa"/>
            <w:tcBorders>
              <w:bottom w:val="single" w:sz="4" w:space="0" w:color="000000"/>
            </w:tcBorders>
          </w:tcPr>
          <w:p w14:paraId="0D7A6663" w14:textId="77777777" w:rsidR="00A02889" w:rsidRDefault="00000000">
            <w:pPr>
              <w:pStyle w:val="TableParagraph"/>
              <w:spacing w:before="49" w:line="550" w:lineRule="atLeast"/>
              <w:ind w:left="792" w:hanging="528"/>
              <w:rPr>
                <w:b/>
                <w:sz w:val="24"/>
              </w:rPr>
            </w:pPr>
            <w:r>
              <w:rPr>
                <w:b/>
                <w:sz w:val="24"/>
              </w:rPr>
              <w:t>Baking</w:t>
            </w:r>
            <w:r>
              <w:rPr>
                <w:b/>
                <w:spacing w:val="-15"/>
                <w:sz w:val="24"/>
              </w:rPr>
              <w:t xml:space="preserve"> </w:t>
            </w:r>
            <w:r>
              <w:rPr>
                <w:b/>
                <w:sz w:val="24"/>
              </w:rPr>
              <w:t>Soda</w:t>
            </w:r>
            <w:r>
              <w:rPr>
                <w:b/>
                <w:spacing w:val="-15"/>
                <w:sz w:val="24"/>
              </w:rPr>
              <w:t xml:space="preserve"> </w:t>
            </w:r>
            <w:r>
              <w:rPr>
                <w:b/>
                <w:sz w:val="24"/>
              </w:rPr>
              <w:t xml:space="preserve">(Sodium </w:t>
            </w:r>
            <w:r>
              <w:rPr>
                <w:b/>
                <w:spacing w:val="-2"/>
                <w:sz w:val="24"/>
              </w:rPr>
              <w:t>Carbonate)</w:t>
            </w:r>
          </w:p>
        </w:tc>
      </w:tr>
      <w:tr w:rsidR="00A02889" w14:paraId="4EA7CBE2" w14:textId="77777777">
        <w:trPr>
          <w:trHeight w:val="488"/>
        </w:trPr>
        <w:tc>
          <w:tcPr>
            <w:tcW w:w="1490" w:type="dxa"/>
            <w:tcBorders>
              <w:top w:val="single" w:sz="4" w:space="0" w:color="000000"/>
            </w:tcBorders>
          </w:tcPr>
          <w:p w14:paraId="153BCE7A" w14:textId="77777777" w:rsidR="00A02889" w:rsidRDefault="00000000">
            <w:pPr>
              <w:pStyle w:val="TableParagraph"/>
              <w:spacing w:before="39"/>
              <w:ind w:right="62"/>
              <w:jc w:val="center"/>
              <w:rPr>
                <w:sz w:val="24"/>
              </w:rPr>
            </w:pPr>
            <w:r>
              <w:rPr>
                <w:spacing w:val="-10"/>
                <w:sz w:val="24"/>
              </w:rPr>
              <w:t>0</w:t>
            </w:r>
          </w:p>
        </w:tc>
        <w:tc>
          <w:tcPr>
            <w:tcW w:w="1908" w:type="dxa"/>
            <w:tcBorders>
              <w:top w:val="single" w:sz="4" w:space="0" w:color="000000"/>
            </w:tcBorders>
          </w:tcPr>
          <w:p w14:paraId="326CE774" w14:textId="77777777" w:rsidR="00A02889" w:rsidRDefault="00000000">
            <w:pPr>
              <w:pStyle w:val="TableParagraph"/>
              <w:spacing w:before="39"/>
              <w:ind w:right="88"/>
              <w:jc w:val="center"/>
              <w:rPr>
                <w:sz w:val="24"/>
              </w:rPr>
            </w:pPr>
            <w:r>
              <w:rPr>
                <w:spacing w:val="-4"/>
                <w:sz w:val="24"/>
              </w:rPr>
              <w:t>6.56</w:t>
            </w:r>
          </w:p>
        </w:tc>
        <w:tc>
          <w:tcPr>
            <w:tcW w:w="1916" w:type="dxa"/>
            <w:tcBorders>
              <w:top w:val="single" w:sz="4" w:space="0" w:color="000000"/>
            </w:tcBorders>
          </w:tcPr>
          <w:p w14:paraId="16F80B69" w14:textId="77777777" w:rsidR="00A02889" w:rsidRDefault="00000000">
            <w:pPr>
              <w:pStyle w:val="TableParagraph"/>
              <w:spacing w:before="39"/>
              <w:ind w:left="46"/>
              <w:jc w:val="center"/>
              <w:rPr>
                <w:sz w:val="24"/>
              </w:rPr>
            </w:pPr>
            <w:r>
              <w:rPr>
                <w:spacing w:val="-4"/>
                <w:sz w:val="24"/>
              </w:rPr>
              <w:t>6.44</w:t>
            </w:r>
          </w:p>
        </w:tc>
        <w:tc>
          <w:tcPr>
            <w:tcW w:w="1382" w:type="dxa"/>
            <w:tcBorders>
              <w:top w:val="single" w:sz="4" w:space="0" w:color="000000"/>
            </w:tcBorders>
          </w:tcPr>
          <w:p w14:paraId="44DA6C73" w14:textId="77777777" w:rsidR="00A02889" w:rsidRDefault="00000000">
            <w:pPr>
              <w:pStyle w:val="TableParagraph"/>
              <w:spacing w:before="39"/>
              <w:ind w:left="75"/>
              <w:jc w:val="center"/>
              <w:rPr>
                <w:sz w:val="24"/>
              </w:rPr>
            </w:pPr>
            <w:r>
              <w:rPr>
                <w:spacing w:val="-4"/>
                <w:sz w:val="24"/>
              </w:rPr>
              <w:t>6.39</w:t>
            </w:r>
          </w:p>
        </w:tc>
        <w:tc>
          <w:tcPr>
            <w:tcW w:w="2758" w:type="dxa"/>
            <w:tcBorders>
              <w:top w:val="single" w:sz="4" w:space="0" w:color="000000"/>
            </w:tcBorders>
          </w:tcPr>
          <w:p w14:paraId="0A7F3F30" w14:textId="77777777" w:rsidR="00A02889" w:rsidRDefault="00000000">
            <w:pPr>
              <w:pStyle w:val="TableParagraph"/>
              <w:spacing w:before="39"/>
              <w:ind w:left="2"/>
              <w:jc w:val="center"/>
              <w:rPr>
                <w:sz w:val="24"/>
              </w:rPr>
            </w:pPr>
            <w:r>
              <w:rPr>
                <w:spacing w:val="-4"/>
                <w:sz w:val="24"/>
              </w:rPr>
              <w:t>6.40</w:t>
            </w:r>
          </w:p>
        </w:tc>
      </w:tr>
      <w:tr w:rsidR="00A02889" w14:paraId="7C817648" w14:textId="77777777">
        <w:trPr>
          <w:trHeight w:val="612"/>
        </w:trPr>
        <w:tc>
          <w:tcPr>
            <w:tcW w:w="1490" w:type="dxa"/>
          </w:tcPr>
          <w:p w14:paraId="164586D4" w14:textId="77777777" w:rsidR="00A02889" w:rsidRDefault="00000000">
            <w:pPr>
              <w:pStyle w:val="TableParagraph"/>
              <w:ind w:right="62"/>
              <w:jc w:val="center"/>
              <w:rPr>
                <w:sz w:val="24"/>
              </w:rPr>
            </w:pPr>
            <w:r>
              <w:rPr>
                <w:spacing w:val="-5"/>
                <w:sz w:val="24"/>
              </w:rPr>
              <w:t>10</w:t>
            </w:r>
          </w:p>
        </w:tc>
        <w:tc>
          <w:tcPr>
            <w:tcW w:w="1908" w:type="dxa"/>
          </w:tcPr>
          <w:p w14:paraId="045231CF" w14:textId="77777777" w:rsidR="00A02889" w:rsidRDefault="00000000">
            <w:pPr>
              <w:pStyle w:val="TableParagraph"/>
              <w:ind w:right="88"/>
              <w:jc w:val="center"/>
              <w:rPr>
                <w:sz w:val="24"/>
              </w:rPr>
            </w:pPr>
            <w:r>
              <w:rPr>
                <w:spacing w:val="-4"/>
                <w:sz w:val="24"/>
              </w:rPr>
              <w:t>6.45</w:t>
            </w:r>
          </w:p>
        </w:tc>
        <w:tc>
          <w:tcPr>
            <w:tcW w:w="1916" w:type="dxa"/>
          </w:tcPr>
          <w:p w14:paraId="604D8DEA" w14:textId="77777777" w:rsidR="00A02889" w:rsidRDefault="00000000">
            <w:pPr>
              <w:pStyle w:val="TableParagraph"/>
              <w:ind w:left="46"/>
              <w:jc w:val="center"/>
              <w:rPr>
                <w:sz w:val="24"/>
              </w:rPr>
            </w:pPr>
            <w:r>
              <w:rPr>
                <w:spacing w:val="-4"/>
                <w:sz w:val="24"/>
              </w:rPr>
              <w:t>6.40</w:t>
            </w:r>
          </w:p>
        </w:tc>
        <w:tc>
          <w:tcPr>
            <w:tcW w:w="1382" w:type="dxa"/>
          </w:tcPr>
          <w:p w14:paraId="1A4A414C" w14:textId="77777777" w:rsidR="00A02889" w:rsidRDefault="00000000">
            <w:pPr>
              <w:pStyle w:val="TableParagraph"/>
              <w:ind w:left="75"/>
              <w:jc w:val="center"/>
              <w:rPr>
                <w:sz w:val="24"/>
              </w:rPr>
            </w:pPr>
            <w:r>
              <w:rPr>
                <w:spacing w:val="-4"/>
                <w:sz w:val="24"/>
              </w:rPr>
              <w:t>6.41</w:t>
            </w:r>
          </w:p>
        </w:tc>
        <w:tc>
          <w:tcPr>
            <w:tcW w:w="2758" w:type="dxa"/>
          </w:tcPr>
          <w:p w14:paraId="2DB7BAAE" w14:textId="77777777" w:rsidR="00A02889" w:rsidRDefault="00000000">
            <w:pPr>
              <w:pStyle w:val="TableParagraph"/>
              <w:ind w:left="2"/>
              <w:jc w:val="center"/>
              <w:rPr>
                <w:sz w:val="24"/>
              </w:rPr>
            </w:pPr>
            <w:r>
              <w:rPr>
                <w:spacing w:val="-4"/>
                <w:sz w:val="24"/>
              </w:rPr>
              <w:t>6.38</w:t>
            </w:r>
          </w:p>
        </w:tc>
      </w:tr>
      <w:tr w:rsidR="00A02889" w14:paraId="2F9905D0" w14:textId="77777777">
        <w:trPr>
          <w:trHeight w:val="612"/>
        </w:trPr>
        <w:tc>
          <w:tcPr>
            <w:tcW w:w="1490" w:type="dxa"/>
          </w:tcPr>
          <w:p w14:paraId="0DA39687" w14:textId="77777777" w:rsidR="00A02889" w:rsidRDefault="00000000">
            <w:pPr>
              <w:pStyle w:val="TableParagraph"/>
              <w:ind w:right="62"/>
              <w:jc w:val="center"/>
              <w:rPr>
                <w:sz w:val="24"/>
              </w:rPr>
            </w:pPr>
            <w:r>
              <w:rPr>
                <w:spacing w:val="-5"/>
                <w:sz w:val="24"/>
              </w:rPr>
              <w:t>20</w:t>
            </w:r>
          </w:p>
        </w:tc>
        <w:tc>
          <w:tcPr>
            <w:tcW w:w="1908" w:type="dxa"/>
          </w:tcPr>
          <w:p w14:paraId="57D281F2" w14:textId="77777777" w:rsidR="00A02889" w:rsidRDefault="00000000">
            <w:pPr>
              <w:pStyle w:val="TableParagraph"/>
              <w:ind w:right="88"/>
              <w:jc w:val="center"/>
              <w:rPr>
                <w:sz w:val="24"/>
              </w:rPr>
            </w:pPr>
            <w:r>
              <w:rPr>
                <w:spacing w:val="-4"/>
                <w:sz w:val="24"/>
              </w:rPr>
              <w:t>6.42</w:t>
            </w:r>
          </w:p>
        </w:tc>
        <w:tc>
          <w:tcPr>
            <w:tcW w:w="1916" w:type="dxa"/>
          </w:tcPr>
          <w:p w14:paraId="41D01700" w14:textId="77777777" w:rsidR="00A02889" w:rsidRDefault="00000000">
            <w:pPr>
              <w:pStyle w:val="TableParagraph"/>
              <w:ind w:left="46"/>
              <w:jc w:val="center"/>
              <w:rPr>
                <w:sz w:val="24"/>
              </w:rPr>
            </w:pPr>
            <w:r>
              <w:rPr>
                <w:spacing w:val="-4"/>
                <w:sz w:val="24"/>
              </w:rPr>
              <w:t>6.40</w:t>
            </w:r>
          </w:p>
        </w:tc>
        <w:tc>
          <w:tcPr>
            <w:tcW w:w="1382" w:type="dxa"/>
          </w:tcPr>
          <w:p w14:paraId="670F3F07" w14:textId="77777777" w:rsidR="00A02889" w:rsidRDefault="00000000">
            <w:pPr>
              <w:pStyle w:val="TableParagraph"/>
              <w:ind w:left="75"/>
              <w:jc w:val="center"/>
              <w:rPr>
                <w:sz w:val="24"/>
              </w:rPr>
            </w:pPr>
            <w:r>
              <w:rPr>
                <w:spacing w:val="-4"/>
                <w:sz w:val="24"/>
              </w:rPr>
              <w:t>6.40</w:t>
            </w:r>
          </w:p>
        </w:tc>
        <w:tc>
          <w:tcPr>
            <w:tcW w:w="2758" w:type="dxa"/>
          </w:tcPr>
          <w:p w14:paraId="4EF1DC30" w14:textId="77777777" w:rsidR="00A02889" w:rsidRDefault="00000000">
            <w:pPr>
              <w:pStyle w:val="TableParagraph"/>
              <w:ind w:left="2"/>
              <w:jc w:val="center"/>
              <w:rPr>
                <w:sz w:val="24"/>
              </w:rPr>
            </w:pPr>
            <w:r>
              <w:rPr>
                <w:spacing w:val="-4"/>
                <w:sz w:val="24"/>
              </w:rPr>
              <w:t>6.39</w:t>
            </w:r>
          </w:p>
        </w:tc>
      </w:tr>
      <w:tr w:rsidR="00A02889" w14:paraId="6C497C24" w14:textId="77777777">
        <w:trPr>
          <w:trHeight w:val="612"/>
        </w:trPr>
        <w:tc>
          <w:tcPr>
            <w:tcW w:w="1490" w:type="dxa"/>
          </w:tcPr>
          <w:p w14:paraId="1C80D761" w14:textId="77777777" w:rsidR="00A02889" w:rsidRDefault="00000000">
            <w:pPr>
              <w:pStyle w:val="TableParagraph"/>
              <w:ind w:right="62"/>
              <w:jc w:val="center"/>
              <w:rPr>
                <w:sz w:val="24"/>
              </w:rPr>
            </w:pPr>
            <w:r>
              <w:rPr>
                <w:spacing w:val="-5"/>
                <w:sz w:val="24"/>
              </w:rPr>
              <w:t>30</w:t>
            </w:r>
          </w:p>
        </w:tc>
        <w:tc>
          <w:tcPr>
            <w:tcW w:w="1908" w:type="dxa"/>
          </w:tcPr>
          <w:p w14:paraId="15D35D69" w14:textId="77777777" w:rsidR="00A02889" w:rsidRDefault="00000000">
            <w:pPr>
              <w:pStyle w:val="TableParagraph"/>
              <w:ind w:right="88"/>
              <w:jc w:val="center"/>
              <w:rPr>
                <w:sz w:val="24"/>
              </w:rPr>
            </w:pPr>
            <w:r>
              <w:rPr>
                <w:spacing w:val="-4"/>
                <w:sz w:val="24"/>
              </w:rPr>
              <w:t>6.41</w:t>
            </w:r>
          </w:p>
        </w:tc>
        <w:tc>
          <w:tcPr>
            <w:tcW w:w="1916" w:type="dxa"/>
          </w:tcPr>
          <w:p w14:paraId="68B34F52" w14:textId="77777777" w:rsidR="00A02889" w:rsidRDefault="00000000">
            <w:pPr>
              <w:pStyle w:val="TableParagraph"/>
              <w:ind w:left="46"/>
              <w:jc w:val="center"/>
              <w:rPr>
                <w:sz w:val="24"/>
              </w:rPr>
            </w:pPr>
            <w:r>
              <w:rPr>
                <w:spacing w:val="-4"/>
                <w:sz w:val="24"/>
              </w:rPr>
              <w:t>6.40</w:t>
            </w:r>
          </w:p>
        </w:tc>
        <w:tc>
          <w:tcPr>
            <w:tcW w:w="1382" w:type="dxa"/>
          </w:tcPr>
          <w:p w14:paraId="41F6F63F" w14:textId="77777777" w:rsidR="00A02889" w:rsidRDefault="00000000">
            <w:pPr>
              <w:pStyle w:val="TableParagraph"/>
              <w:ind w:left="75"/>
              <w:jc w:val="center"/>
              <w:rPr>
                <w:sz w:val="24"/>
              </w:rPr>
            </w:pPr>
            <w:r>
              <w:rPr>
                <w:spacing w:val="-4"/>
                <w:sz w:val="24"/>
              </w:rPr>
              <w:t>6.39</w:t>
            </w:r>
          </w:p>
        </w:tc>
        <w:tc>
          <w:tcPr>
            <w:tcW w:w="2758" w:type="dxa"/>
          </w:tcPr>
          <w:p w14:paraId="3A51B996" w14:textId="77777777" w:rsidR="00A02889" w:rsidRDefault="00000000">
            <w:pPr>
              <w:pStyle w:val="TableParagraph"/>
              <w:ind w:left="2"/>
              <w:jc w:val="center"/>
              <w:rPr>
                <w:sz w:val="24"/>
              </w:rPr>
            </w:pPr>
            <w:r>
              <w:rPr>
                <w:spacing w:val="-4"/>
                <w:sz w:val="24"/>
              </w:rPr>
              <w:t>6.39</w:t>
            </w:r>
          </w:p>
        </w:tc>
      </w:tr>
      <w:tr w:rsidR="00A02889" w14:paraId="5F49E8E1" w14:textId="77777777">
        <w:trPr>
          <w:trHeight w:val="612"/>
        </w:trPr>
        <w:tc>
          <w:tcPr>
            <w:tcW w:w="1490" w:type="dxa"/>
          </w:tcPr>
          <w:p w14:paraId="5A2C6A50" w14:textId="77777777" w:rsidR="00A02889" w:rsidRDefault="00000000">
            <w:pPr>
              <w:pStyle w:val="TableParagraph"/>
              <w:ind w:right="62"/>
              <w:jc w:val="center"/>
              <w:rPr>
                <w:sz w:val="24"/>
              </w:rPr>
            </w:pPr>
            <w:r>
              <w:rPr>
                <w:spacing w:val="-5"/>
                <w:sz w:val="24"/>
              </w:rPr>
              <w:t>40</w:t>
            </w:r>
          </w:p>
        </w:tc>
        <w:tc>
          <w:tcPr>
            <w:tcW w:w="1908" w:type="dxa"/>
          </w:tcPr>
          <w:p w14:paraId="74F75501" w14:textId="77777777" w:rsidR="00A02889" w:rsidRDefault="00000000">
            <w:pPr>
              <w:pStyle w:val="TableParagraph"/>
              <w:ind w:right="88"/>
              <w:jc w:val="center"/>
              <w:rPr>
                <w:sz w:val="24"/>
              </w:rPr>
            </w:pPr>
            <w:r>
              <w:rPr>
                <w:spacing w:val="-4"/>
                <w:sz w:val="24"/>
              </w:rPr>
              <w:t>6.40</w:t>
            </w:r>
          </w:p>
        </w:tc>
        <w:tc>
          <w:tcPr>
            <w:tcW w:w="1916" w:type="dxa"/>
          </w:tcPr>
          <w:p w14:paraId="4F84EE50" w14:textId="77777777" w:rsidR="00A02889" w:rsidRDefault="00000000">
            <w:pPr>
              <w:pStyle w:val="TableParagraph"/>
              <w:ind w:left="46"/>
              <w:jc w:val="center"/>
              <w:rPr>
                <w:sz w:val="24"/>
              </w:rPr>
            </w:pPr>
            <w:r>
              <w:rPr>
                <w:spacing w:val="-4"/>
                <w:sz w:val="24"/>
              </w:rPr>
              <w:t>6.38</w:t>
            </w:r>
          </w:p>
        </w:tc>
        <w:tc>
          <w:tcPr>
            <w:tcW w:w="1382" w:type="dxa"/>
          </w:tcPr>
          <w:p w14:paraId="39B76315" w14:textId="77777777" w:rsidR="00A02889" w:rsidRDefault="00000000">
            <w:pPr>
              <w:pStyle w:val="TableParagraph"/>
              <w:ind w:left="75"/>
              <w:jc w:val="center"/>
              <w:rPr>
                <w:sz w:val="24"/>
              </w:rPr>
            </w:pPr>
            <w:r>
              <w:rPr>
                <w:spacing w:val="-4"/>
                <w:sz w:val="24"/>
              </w:rPr>
              <w:t>6.38</w:t>
            </w:r>
          </w:p>
        </w:tc>
        <w:tc>
          <w:tcPr>
            <w:tcW w:w="2758" w:type="dxa"/>
          </w:tcPr>
          <w:p w14:paraId="4B60E54F" w14:textId="77777777" w:rsidR="00A02889" w:rsidRDefault="00000000">
            <w:pPr>
              <w:pStyle w:val="TableParagraph"/>
              <w:ind w:left="2"/>
              <w:jc w:val="center"/>
              <w:rPr>
                <w:sz w:val="24"/>
              </w:rPr>
            </w:pPr>
            <w:r>
              <w:rPr>
                <w:spacing w:val="-4"/>
                <w:sz w:val="24"/>
              </w:rPr>
              <w:t>6.38</w:t>
            </w:r>
          </w:p>
        </w:tc>
      </w:tr>
      <w:tr w:rsidR="00A02889" w14:paraId="43EDBDDC" w14:textId="77777777">
        <w:trPr>
          <w:trHeight w:val="611"/>
        </w:trPr>
        <w:tc>
          <w:tcPr>
            <w:tcW w:w="1490" w:type="dxa"/>
          </w:tcPr>
          <w:p w14:paraId="3177F022" w14:textId="77777777" w:rsidR="00A02889" w:rsidRDefault="00000000">
            <w:pPr>
              <w:pStyle w:val="TableParagraph"/>
              <w:ind w:right="62"/>
              <w:jc w:val="center"/>
              <w:rPr>
                <w:sz w:val="24"/>
              </w:rPr>
            </w:pPr>
            <w:r>
              <w:rPr>
                <w:spacing w:val="-5"/>
                <w:sz w:val="24"/>
              </w:rPr>
              <w:t>50</w:t>
            </w:r>
          </w:p>
        </w:tc>
        <w:tc>
          <w:tcPr>
            <w:tcW w:w="1908" w:type="dxa"/>
          </w:tcPr>
          <w:p w14:paraId="61440D82" w14:textId="77777777" w:rsidR="00A02889" w:rsidRDefault="00000000">
            <w:pPr>
              <w:pStyle w:val="TableParagraph"/>
              <w:ind w:right="88"/>
              <w:jc w:val="center"/>
              <w:rPr>
                <w:sz w:val="24"/>
              </w:rPr>
            </w:pPr>
            <w:r>
              <w:rPr>
                <w:spacing w:val="-4"/>
                <w:sz w:val="24"/>
              </w:rPr>
              <w:t>6.39</w:t>
            </w:r>
          </w:p>
        </w:tc>
        <w:tc>
          <w:tcPr>
            <w:tcW w:w="1916" w:type="dxa"/>
          </w:tcPr>
          <w:p w14:paraId="0AC7272C" w14:textId="77777777" w:rsidR="00A02889" w:rsidRDefault="00000000">
            <w:pPr>
              <w:pStyle w:val="TableParagraph"/>
              <w:ind w:left="46"/>
              <w:jc w:val="center"/>
              <w:rPr>
                <w:sz w:val="24"/>
              </w:rPr>
            </w:pPr>
            <w:r>
              <w:rPr>
                <w:spacing w:val="-4"/>
                <w:sz w:val="24"/>
              </w:rPr>
              <w:t>6.38</w:t>
            </w:r>
          </w:p>
        </w:tc>
        <w:tc>
          <w:tcPr>
            <w:tcW w:w="1382" w:type="dxa"/>
          </w:tcPr>
          <w:p w14:paraId="15366887" w14:textId="77777777" w:rsidR="00A02889" w:rsidRDefault="00000000">
            <w:pPr>
              <w:pStyle w:val="TableParagraph"/>
              <w:ind w:left="75"/>
              <w:jc w:val="center"/>
              <w:rPr>
                <w:sz w:val="24"/>
              </w:rPr>
            </w:pPr>
            <w:r>
              <w:rPr>
                <w:spacing w:val="-4"/>
                <w:sz w:val="24"/>
              </w:rPr>
              <w:t>6.39</w:t>
            </w:r>
          </w:p>
        </w:tc>
        <w:tc>
          <w:tcPr>
            <w:tcW w:w="2758" w:type="dxa"/>
          </w:tcPr>
          <w:p w14:paraId="6354B698" w14:textId="77777777" w:rsidR="00A02889" w:rsidRDefault="00000000">
            <w:pPr>
              <w:pStyle w:val="TableParagraph"/>
              <w:ind w:left="2"/>
              <w:jc w:val="center"/>
              <w:rPr>
                <w:sz w:val="24"/>
              </w:rPr>
            </w:pPr>
            <w:r>
              <w:rPr>
                <w:spacing w:val="-4"/>
                <w:sz w:val="24"/>
              </w:rPr>
              <w:t>6.39</w:t>
            </w:r>
          </w:p>
        </w:tc>
      </w:tr>
      <w:tr w:rsidR="00A02889" w14:paraId="7EC5DE3C" w14:textId="77777777">
        <w:trPr>
          <w:trHeight w:val="737"/>
        </w:trPr>
        <w:tc>
          <w:tcPr>
            <w:tcW w:w="1490" w:type="dxa"/>
            <w:tcBorders>
              <w:bottom w:val="single" w:sz="4" w:space="0" w:color="000000"/>
            </w:tcBorders>
          </w:tcPr>
          <w:p w14:paraId="12997632" w14:textId="77777777" w:rsidR="00A02889" w:rsidRDefault="00000000">
            <w:pPr>
              <w:pStyle w:val="TableParagraph"/>
              <w:ind w:right="62"/>
              <w:jc w:val="center"/>
              <w:rPr>
                <w:sz w:val="24"/>
              </w:rPr>
            </w:pPr>
            <w:r>
              <w:rPr>
                <w:spacing w:val="-5"/>
                <w:sz w:val="24"/>
              </w:rPr>
              <w:t>60</w:t>
            </w:r>
          </w:p>
        </w:tc>
        <w:tc>
          <w:tcPr>
            <w:tcW w:w="1908" w:type="dxa"/>
            <w:tcBorders>
              <w:bottom w:val="single" w:sz="4" w:space="0" w:color="000000"/>
            </w:tcBorders>
          </w:tcPr>
          <w:p w14:paraId="24580467" w14:textId="77777777" w:rsidR="00A02889" w:rsidRDefault="00000000">
            <w:pPr>
              <w:pStyle w:val="TableParagraph"/>
              <w:ind w:right="88"/>
              <w:jc w:val="center"/>
              <w:rPr>
                <w:sz w:val="24"/>
              </w:rPr>
            </w:pPr>
            <w:r>
              <w:rPr>
                <w:spacing w:val="-4"/>
                <w:sz w:val="24"/>
              </w:rPr>
              <w:t>6.40</w:t>
            </w:r>
          </w:p>
        </w:tc>
        <w:tc>
          <w:tcPr>
            <w:tcW w:w="1916" w:type="dxa"/>
            <w:tcBorders>
              <w:bottom w:val="single" w:sz="4" w:space="0" w:color="000000"/>
            </w:tcBorders>
          </w:tcPr>
          <w:p w14:paraId="5FADABA6" w14:textId="77777777" w:rsidR="00A02889" w:rsidRDefault="00000000">
            <w:pPr>
              <w:pStyle w:val="TableParagraph"/>
              <w:ind w:left="46"/>
              <w:jc w:val="center"/>
              <w:rPr>
                <w:sz w:val="24"/>
              </w:rPr>
            </w:pPr>
            <w:r>
              <w:rPr>
                <w:spacing w:val="-4"/>
                <w:sz w:val="24"/>
              </w:rPr>
              <w:t>6.39</w:t>
            </w:r>
          </w:p>
        </w:tc>
        <w:tc>
          <w:tcPr>
            <w:tcW w:w="1382" w:type="dxa"/>
            <w:tcBorders>
              <w:bottom w:val="single" w:sz="4" w:space="0" w:color="000000"/>
            </w:tcBorders>
          </w:tcPr>
          <w:p w14:paraId="249EDD0B" w14:textId="77777777" w:rsidR="00A02889" w:rsidRDefault="00000000">
            <w:pPr>
              <w:pStyle w:val="TableParagraph"/>
              <w:ind w:left="75"/>
              <w:jc w:val="center"/>
              <w:rPr>
                <w:sz w:val="24"/>
              </w:rPr>
            </w:pPr>
            <w:r>
              <w:rPr>
                <w:spacing w:val="-4"/>
                <w:sz w:val="24"/>
              </w:rPr>
              <w:t>6.40</w:t>
            </w:r>
          </w:p>
        </w:tc>
        <w:tc>
          <w:tcPr>
            <w:tcW w:w="2758" w:type="dxa"/>
            <w:tcBorders>
              <w:bottom w:val="single" w:sz="4" w:space="0" w:color="000000"/>
            </w:tcBorders>
          </w:tcPr>
          <w:p w14:paraId="7D92AB63" w14:textId="77777777" w:rsidR="00A02889" w:rsidRDefault="00000000">
            <w:pPr>
              <w:pStyle w:val="TableParagraph"/>
              <w:ind w:left="2"/>
              <w:jc w:val="center"/>
              <w:rPr>
                <w:sz w:val="24"/>
              </w:rPr>
            </w:pPr>
            <w:r>
              <w:rPr>
                <w:spacing w:val="-4"/>
                <w:sz w:val="24"/>
              </w:rPr>
              <w:t>6.40</w:t>
            </w:r>
          </w:p>
        </w:tc>
      </w:tr>
    </w:tbl>
    <w:p w14:paraId="07EBABF2" w14:textId="77777777" w:rsidR="00A02889" w:rsidRDefault="00A02889">
      <w:pPr>
        <w:pStyle w:val="BodyText"/>
        <w:rPr>
          <w:b/>
          <w:sz w:val="20"/>
        </w:rPr>
      </w:pPr>
    </w:p>
    <w:p w14:paraId="77301809" w14:textId="77777777" w:rsidR="00A02889" w:rsidRDefault="00A02889">
      <w:pPr>
        <w:pStyle w:val="BodyText"/>
        <w:rPr>
          <w:b/>
          <w:sz w:val="20"/>
        </w:rPr>
      </w:pPr>
    </w:p>
    <w:p w14:paraId="0B170929" w14:textId="77777777" w:rsidR="00A02889" w:rsidRDefault="00A02889">
      <w:pPr>
        <w:pStyle w:val="BodyText"/>
        <w:rPr>
          <w:b/>
          <w:sz w:val="20"/>
        </w:rPr>
      </w:pPr>
    </w:p>
    <w:p w14:paraId="0DC70EFD" w14:textId="77777777" w:rsidR="00A02889" w:rsidRDefault="00000000">
      <w:pPr>
        <w:pStyle w:val="BodyText"/>
        <w:spacing w:before="215"/>
        <w:rPr>
          <w:b/>
          <w:sz w:val="20"/>
        </w:rPr>
      </w:pPr>
      <w:r>
        <w:rPr>
          <w:b/>
          <w:noProof/>
          <w:sz w:val="20"/>
        </w:rPr>
        <w:drawing>
          <wp:anchor distT="0" distB="0" distL="0" distR="0" simplePos="0" relativeHeight="487589376" behindDoc="1" locked="0" layoutInCell="1" allowOverlap="1" wp14:anchorId="7D85E328" wp14:editId="14687C7B">
            <wp:simplePos x="0" y="0"/>
            <wp:positionH relativeFrom="page">
              <wp:posOffset>1282951</wp:posOffset>
            </wp:positionH>
            <wp:positionV relativeFrom="paragraph">
              <wp:posOffset>298359</wp:posOffset>
            </wp:positionV>
            <wp:extent cx="4795108" cy="2528316"/>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3" cstate="print"/>
                    <a:stretch>
                      <a:fillRect/>
                    </a:stretch>
                  </pic:blipFill>
                  <pic:spPr>
                    <a:xfrm>
                      <a:off x="0" y="0"/>
                      <a:ext cx="4795108" cy="2528316"/>
                    </a:xfrm>
                    <a:prstGeom prst="rect">
                      <a:avLst/>
                    </a:prstGeom>
                  </pic:spPr>
                </pic:pic>
              </a:graphicData>
            </a:graphic>
          </wp:anchor>
        </w:drawing>
      </w:r>
    </w:p>
    <w:p w14:paraId="2896B004" w14:textId="77777777" w:rsidR="00A02889" w:rsidRDefault="00A02889">
      <w:pPr>
        <w:pStyle w:val="BodyText"/>
        <w:rPr>
          <w:b/>
        </w:rPr>
      </w:pPr>
    </w:p>
    <w:p w14:paraId="37EB5475" w14:textId="77777777" w:rsidR="00A02889" w:rsidRDefault="00A02889">
      <w:pPr>
        <w:pStyle w:val="BodyText"/>
        <w:spacing w:before="41"/>
        <w:rPr>
          <w:b/>
        </w:rPr>
      </w:pPr>
    </w:p>
    <w:p w14:paraId="5A13DF86" w14:textId="77777777" w:rsidR="00A02889" w:rsidRDefault="00000000">
      <w:pPr>
        <w:spacing w:before="1"/>
        <w:ind w:left="720"/>
        <w:rPr>
          <w:b/>
          <w:sz w:val="24"/>
        </w:rPr>
      </w:pPr>
      <w:bookmarkStart w:id="67" w:name="_bookmark67"/>
      <w:bookmarkEnd w:id="67"/>
      <w:r>
        <w:rPr>
          <w:b/>
          <w:sz w:val="24"/>
        </w:rPr>
        <w:t>Figure</w:t>
      </w:r>
      <w:r>
        <w:rPr>
          <w:b/>
          <w:spacing w:val="-3"/>
          <w:sz w:val="24"/>
        </w:rPr>
        <w:t xml:space="preserve"> </w:t>
      </w:r>
      <w:r>
        <w:rPr>
          <w:b/>
          <w:sz w:val="24"/>
        </w:rPr>
        <w:t>5:</w:t>
      </w:r>
      <w:r>
        <w:rPr>
          <w:b/>
          <w:spacing w:val="-1"/>
          <w:sz w:val="24"/>
        </w:rPr>
        <w:t xml:space="preserve"> </w:t>
      </w:r>
      <w:r>
        <w:rPr>
          <w:b/>
          <w:sz w:val="24"/>
        </w:rPr>
        <w:t>pH</w:t>
      </w:r>
      <w:r>
        <w:rPr>
          <w:b/>
          <w:spacing w:val="-1"/>
          <w:sz w:val="24"/>
        </w:rPr>
        <w:t xml:space="preserve"> </w:t>
      </w:r>
      <w:r>
        <w:rPr>
          <w:b/>
          <w:sz w:val="24"/>
        </w:rPr>
        <w:t>Neutralization Curve</w:t>
      </w:r>
      <w:r>
        <w:rPr>
          <w:b/>
          <w:spacing w:val="-4"/>
          <w:sz w:val="24"/>
        </w:rPr>
        <w:t xml:space="preserve"> </w:t>
      </w:r>
      <w:r>
        <w:rPr>
          <w:b/>
          <w:sz w:val="24"/>
        </w:rPr>
        <w:t>for</w:t>
      </w:r>
      <w:r>
        <w:rPr>
          <w:b/>
          <w:spacing w:val="-2"/>
          <w:sz w:val="24"/>
        </w:rPr>
        <w:t xml:space="preserve"> </w:t>
      </w:r>
      <w:r>
        <w:rPr>
          <w:b/>
          <w:sz w:val="24"/>
        </w:rPr>
        <w:t>Natural</w:t>
      </w:r>
      <w:r>
        <w:rPr>
          <w:b/>
          <w:spacing w:val="-1"/>
          <w:sz w:val="24"/>
        </w:rPr>
        <w:t xml:space="preserve"> </w:t>
      </w:r>
      <w:r>
        <w:rPr>
          <w:b/>
          <w:sz w:val="24"/>
        </w:rPr>
        <w:t>and</w:t>
      </w:r>
      <w:r>
        <w:rPr>
          <w:b/>
          <w:spacing w:val="-1"/>
          <w:sz w:val="24"/>
        </w:rPr>
        <w:t xml:space="preserve"> </w:t>
      </w:r>
      <w:r>
        <w:rPr>
          <w:b/>
          <w:sz w:val="24"/>
        </w:rPr>
        <w:t>Synthetic</w:t>
      </w:r>
      <w:r>
        <w:rPr>
          <w:b/>
          <w:spacing w:val="-1"/>
          <w:sz w:val="24"/>
        </w:rPr>
        <w:t xml:space="preserve"> </w:t>
      </w:r>
      <w:r>
        <w:rPr>
          <w:b/>
          <w:spacing w:val="-2"/>
          <w:sz w:val="24"/>
        </w:rPr>
        <w:t>Antacids</w:t>
      </w:r>
    </w:p>
    <w:p w14:paraId="4772FB69" w14:textId="77777777" w:rsidR="00A02889" w:rsidRDefault="00A02889">
      <w:pPr>
        <w:rPr>
          <w:b/>
          <w:sz w:val="24"/>
        </w:rPr>
        <w:sectPr w:rsidR="00A02889">
          <w:pgSz w:w="12240" w:h="15840"/>
          <w:pgMar w:top="1360" w:right="720" w:bottom="1260" w:left="720" w:header="0" w:footer="1068" w:gutter="0"/>
          <w:cols w:space="720"/>
        </w:sectPr>
      </w:pPr>
    </w:p>
    <w:p w14:paraId="2123BBEB" w14:textId="77777777" w:rsidR="00A02889" w:rsidRDefault="00000000">
      <w:pPr>
        <w:spacing w:before="76"/>
        <w:ind w:left="720"/>
        <w:rPr>
          <w:b/>
          <w:sz w:val="24"/>
        </w:rPr>
      </w:pPr>
      <w:bookmarkStart w:id="68" w:name="_bookmark68"/>
      <w:bookmarkEnd w:id="68"/>
      <w:r>
        <w:rPr>
          <w:b/>
          <w:sz w:val="24"/>
        </w:rPr>
        <w:lastRenderedPageBreak/>
        <w:t>Table</w:t>
      </w:r>
      <w:r>
        <w:rPr>
          <w:b/>
          <w:spacing w:val="-1"/>
          <w:sz w:val="24"/>
        </w:rPr>
        <w:t xml:space="preserve"> </w:t>
      </w:r>
      <w:r>
        <w:rPr>
          <w:b/>
          <w:sz w:val="24"/>
        </w:rPr>
        <w:t>4.2:</w:t>
      </w:r>
      <w:r>
        <w:rPr>
          <w:b/>
          <w:spacing w:val="-3"/>
          <w:sz w:val="24"/>
        </w:rPr>
        <w:t xml:space="preserve"> </w:t>
      </w:r>
      <w:r>
        <w:rPr>
          <w:b/>
          <w:sz w:val="24"/>
        </w:rPr>
        <w:t>Descriptive</w:t>
      </w:r>
      <w:r>
        <w:rPr>
          <w:b/>
          <w:spacing w:val="-2"/>
          <w:sz w:val="24"/>
        </w:rPr>
        <w:t xml:space="preserve"> </w:t>
      </w:r>
      <w:r>
        <w:rPr>
          <w:b/>
          <w:sz w:val="24"/>
        </w:rPr>
        <w:t>Statistics</w:t>
      </w:r>
      <w:r>
        <w:rPr>
          <w:b/>
          <w:spacing w:val="-1"/>
          <w:sz w:val="24"/>
        </w:rPr>
        <w:t xml:space="preserve"> </w:t>
      </w:r>
      <w:r>
        <w:rPr>
          <w:b/>
          <w:sz w:val="24"/>
        </w:rPr>
        <w:t>of</w:t>
      </w:r>
      <w:r>
        <w:rPr>
          <w:b/>
          <w:spacing w:val="1"/>
          <w:sz w:val="24"/>
        </w:rPr>
        <w:t xml:space="preserve"> </w:t>
      </w:r>
      <w:r>
        <w:rPr>
          <w:b/>
          <w:sz w:val="24"/>
        </w:rPr>
        <w:t>Mean</w:t>
      </w:r>
      <w:r>
        <w:rPr>
          <w:b/>
          <w:spacing w:val="-1"/>
          <w:sz w:val="24"/>
        </w:rPr>
        <w:t xml:space="preserve"> </w:t>
      </w:r>
      <w:r>
        <w:rPr>
          <w:b/>
          <w:sz w:val="24"/>
        </w:rPr>
        <w:t xml:space="preserve">pH </w:t>
      </w:r>
      <w:r>
        <w:rPr>
          <w:b/>
          <w:spacing w:val="-2"/>
          <w:sz w:val="24"/>
        </w:rPr>
        <w:t>Values</w:t>
      </w:r>
    </w:p>
    <w:p w14:paraId="72ECF8DD" w14:textId="77777777" w:rsidR="00A02889" w:rsidRDefault="00A02889">
      <w:pPr>
        <w:pStyle w:val="BodyText"/>
        <w:rPr>
          <w:b/>
          <w:sz w:val="20"/>
        </w:rPr>
      </w:pPr>
    </w:p>
    <w:p w14:paraId="081435F7" w14:textId="77777777" w:rsidR="00A02889" w:rsidRDefault="00A02889">
      <w:pPr>
        <w:pStyle w:val="BodyText"/>
        <w:spacing w:before="132"/>
        <w:rPr>
          <w:b/>
          <w:sz w:val="20"/>
        </w:rPr>
      </w:pPr>
    </w:p>
    <w:tbl>
      <w:tblPr>
        <w:tblW w:w="0" w:type="auto"/>
        <w:tblInd w:w="682" w:type="dxa"/>
        <w:tblLayout w:type="fixed"/>
        <w:tblCellMar>
          <w:left w:w="0" w:type="dxa"/>
          <w:right w:w="0" w:type="dxa"/>
        </w:tblCellMar>
        <w:tblLook w:val="01E0" w:firstRow="1" w:lastRow="1" w:firstColumn="1" w:lastColumn="1" w:noHBand="0" w:noVBand="0"/>
      </w:tblPr>
      <w:tblGrid>
        <w:gridCol w:w="3348"/>
        <w:gridCol w:w="3241"/>
        <w:gridCol w:w="2858"/>
      </w:tblGrid>
      <w:tr w:rsidR="00A02889" w14:paraId="727B322A" w14:textId="77777777">
        <w:trPr>
          <w:trHeight w:val="577"/>
        </w:trPr>
        <w:tc>
          <w:tcPr>
            <w:tcW w:w="3348" w:type="dxa"/>
            <w:tcBorders>
              <w:top w:val="single" w:sz="4" w:space="0" w:color="000000"/>
              <w:bottom w:val="single" w:sz="4" w:space="0" w:color="000000"/>
            </w:tcBorders>
          </w:tcPr>
          <w:p w14:paraId="0A670BFE" w14:textId="77777777" w:rsidR="00A02889" w:rsidRDefault="00000000">
            <w:pPr>
              <w:pStyle w:val="TableParagraph"/>
              <w:spacing w:before="11"/>
              <w:ind w:left="45"/>
              <w:rPr>
                <w:b/>
                <w:sz w:val="24"/>
              </w:rPr>
            </w:pPr>
            <w:r>
              <w:rPr>
                <w:b/>
                <w:spacing w:val="-2"/>
                <w:sz w:val="24"/>
              </w:rPr>
              <w:t>Antacid</w:t>
            </w:r>
          </w:p>
        </w:tc>
        <w:tc>
          <w:tcPr>
            <w:tcW w:w="3241" w:type="dxa"/>
            <w:tcBorders>
              <w:top w:val="single" w:sz="4" w:space="0" w:color="000000"/>
              <w:bottom w:val="single" w:sz="4" w:space="0" w:color="000000"/>
            </w:tcBorders>
          </w:tcPr>
          <w:p w14:paraId="2E43B8C9" w14:textId="77777777" w:rsidR="00A02889" w:rsidRDefault="00000000">
            <w:pPr>
              <w:pStyle w:val="TableParagraph"/>
              <w:spacing w:before="11"/>
              <w:ind w:left="1" w:right="116"/>
              <w:jc w:val="center"/>
              <w:rPr>
                <w:b/>
                <w:sz w:val="24"/>
              </w:rPr>
            </w:pPr>
            <w:r>
              <w:rPr>
                <w:b/>
                <w:spacing w:val="-4"/>
                <w:sz w:val="24"/>
              </w:rPr>
              <w:t>Type</w:t>
            </w:r>
          </w:p>
        </w:tc>
        <w:tc>
          <w:tcPr>
            <w:tcW w:w="2858" w:type="dxa"/>
            <w:tcBorders>
              <w:top w:val="single" w:sz="4" w:space="0" w:color="000000"/>
              <w:bottom w:val="single" w:sz="4" w:space="0" w:color="000000"/>
            </w:tcBorders>
          </w:tcPr>
          <w:p w14:paraId="7714C29F" w14:textId="77777777" w:rsidR="00A02889" w:rsidRDefault="00000000">
            <w:pPr>
              <w:pStyle w:val="TableParagraph"/>
              <w:spacing w:before="11"/>
              <w:ind w:left="563" w:right="1"/>
              <w:jc w:val="center"/>
              <w:rPr>
                <w:b/>
                <w:sz w:val="24"/>
              </w:rPr>
            </w:pPr>
            <w:r>
              <w:rPr>
                <w:b/>
                <w:sz w:val="24"/>
              </w:rPr>
              <w:t>Mean</w:t>
            </w:r>
            <w:r>
              <w:rPr>
                <w:b/>
                <w:spacing w:val="-2"/>
                <w:sz w:val="24"/>
              </w:rPr>
              <w:t xml:space="preserve"> </w:t>
            </w:r>
            <w:r>
              <w:rPr>
                <w:b/>
                <w:spacing w:val="-5"/>
                <w:sz w:val="24"/>
              </w:rPr>
              <w:t>pH</w:t>
            </w:r>
          </w:p>
        </w:tc>
      </w:tr>
      <w:tr w:rsidR="00A02889" w14:paraId="68EE8249" w14:textId="77777777">
        <w:trPr>
          <w:trHeight w:val="488"/>
        </w:trPr>
        <w:tc>
          <w:tcPr>
            <w:tcW w:w="3348" w:type="dxa"/>
            <w:tcBorders>
              <w:top w:val="single" w:sz="4" w:space="0" w:color="000000"/>
            </w:tcBorders>
          </w:tcPr>
          <w:p w14:paraId="7B405E61" w14:textId="77777777" w:rsidR="00A02889" w:rsidRDefault="00000000">
            <w:pPr>
              <w:pStyle w:val="TableParagraph"/>
              <w:spacing w:before="39"/>
              <w:ind w:left="45"/>
              <w:rPr>
                <w:sz w:val="24"/>
              </w:rPr>
            </w:pPr>
            <w:r>
              <w:rPr>
                <w:sz w:val="24"/>
              </w:rPr>
              <w:t>Magnesium</w:t>
            </w:r>
            <w:r>
              <w:rPr>
                <w:spacing w:val="-3"/>
                <w:sz w:val="24"/>
              </w:rPr>
              <w:t xml:space="preserve"> </w:t>
            </w:r>
            <w:r>
              <w:rPr>
                <w:spacing w:val="-2"/>
                <w:sz w:val="24"/>
              </w:rPr>
              <w:t>Trisilicate</w:t>
            </w:r>
          </w:p>
        </w:tc>
        <w:tc>
          <w:tcPr>
            <w:tcW w:w="3241" w:type="dxa"/>
            <w:tcBorders>
              <w:top w:val="single" w:sz="4" w:space="0" w:color="000000"/>
            </w:tcBorders>
          </w:tcPr>
          <w:p w14:paraId="6F71A972" w14:textId="77777777" w:rsidR="00A02889" w:rsidRDefault="00000000">
            <w:pPr>
              <w:pStyle w:val="TableParagraph"/>
              <w:spacing w:before="39"/>
              <w:ind w:left="1" w:right="116"/>
              <w:jc w:val="center"/>
              <w:rPr>
                <w:sz w:val="24"/>
              </w:rPr>
            </w:pPr>
            <w:r>
              <w:rPr>
                <w:spacing w:val="-2"/>
                <w:sz w:val="24"/>
              </w:rPr>
              <w:t>Synthetic</w:t>
            </w:r>
          </w:p>
        </w:tc>
        <w:tc>
          <w:tcPr>
            <w:tcW w:w="2858" w:type="dxa"/>
            <w:tcBorders>
              <w:top w:val="single" w:sz="4" w:space="0" w:color="000000"/>
            </w:tcBorders>
          </w:tcPr>
          <w:p w14:paraId="767E5E24" w14:textId="77777777" w:rsidR="00A02889" w:rsidRDefault="00000000">
            <w:pPr>
              <w:pStyle w:val="TableParagraph"/>
              <w:spacing w:before="39"/>
              <w:ind w:left="563"/>
              <w:jc w:val="center"/>
              <w:rPr>
                <w:sz w:val="24"/>
              </w:rPr>
            </w:pPr>
            <w:r>
              <w:rPr>
                <w:spacing w:val="-4"/>
                <w:sz w:val="24"/>
              </w:rPr>
              <w:t>6.43</w:t>
            </w:r>
          </w:p>
        </w:tc>
      </w:tr>
      <w:tr w:rsidR="00A02889" w14:paraId="7A055879" w14:textId="77777777">
        <w:trPr>
          <w:trHeight w:val="612"/>
        </w:trPr>
        <w:tc>
          <w:tcPr>
            <w:tcW w:w="3348" w:type="dxa"/>
          </w:tcPr>
          <w:p w14:paraId="21092A6D" w14:textId="77777777" w:rsidR="00A02889" w:rsidRDefault="00000000">
            <w:pPr>
              <w:pStyle w:val="TableParagraph"/>
              <w:ind w:left="45"/>
              <w:rPr>
                <w:sz w:val="24"/>
              </w:rPr>
            </w:pPr>
            <w:proofErr w:type="spellStart"/>
            <w:r>
              <w:rPr>
                <w:sz w:val="24"/>
              </w:rPr>
              <w:t>Aluminium</w:t>
            </w:r>
            <w:proofErr w:type="spellEnd"/>
            <w:r>
              <w:rPr>
                <w:sz w:val="24"/>
              </w:rPr>
              <w:t xml:space="preserve"> </w:t>
            </w:r>
            <w:r>
              <w:rPr>
                <w:spacing w:val="-2"/>
                <w:sz w:val="24"/>
              </w:rPr>
              <w:t>Hydroxide</w:t>
            </w:r>
          </w:p>
        </w:tc>
        <w:tc>
          <w:tcPr>
            <w:tcW w:w="3241" w:type="dxa"/>
          </w:tcPr>
          <w:p w14:paraId="77AD4D65" w14:textId="77777777" w:rsidR="00A02889" w:rsidRDefault="00000000">
            <w:pPr>
              <w:pStyle w:val="TableParagraph"/>
              <w:ind w:left="1" w:right="116"/>
              <w:jc w:val="center"/>
              <w:rPr>
                <w:sz w:val="24"/>
              </w:rPr>
            </w:pPr>
            <w:r>
              <w:rPr>
                <w:spacing w:val="-2"/>
                <w:sz w:val="24"/>
              </w:rPr>
              <w:t>Synthetic</w:t>
            </w:r>
          </w:p>
        </w:tc>
        <w:tc>
          <w:tcPr>
            <w:tcW w:w="2858" w:type="dxa"/>
          </w:tcPr>
          <w:p w14:paraId="4E7F0591" w14:textId="77777777" w:rsidR="00A02889" w:rsidRDefault="00000000">
            <w:pPr>
              <w:pStyle w:val="TableParagraph"/>
              <w:ind w:left="563"/>
              <w:jc w:val="center"/>
              <w:rPr>
                <w:sz w:val="24"/>
              </w:rPr>
            </w:pPr>
            <w:r>
              <w:rPr>
                <w:spacing w:val="-4"/>
                <w:sz w:val="24"/>
              </w:rPr>
              <w:t>6.40</w:t>
            </w:r>
          </w:p>
        </w:tc>
      </w:tr>
      <w:tr w:rsidR="00A02889" w14:paraId="3BC1E969" w14:textId="77777777">
        <w:trPr>
          <w:trHeight w:val="611"/>
        </w:trPr>
        <w:tc>
          <w:tcPr>
            <w:tcW w:w="3348" w:type="dxa"/>
          </w:tcPr>
          <w:p w14:paraId="3A202121" w14:textId="77777777" w:rsidR="00A02889" w:rsidRDefault="00000000">
            <w:pPr>
              <w:pStyle w:val="TableParagraph"/>
              <w:ind w:left="45"/>
              <w:rPr>
                <w:sz w:val="24"/>
              </w:rPr>
            </w:pPr>
            <w:r>
              <w:rPr>
                <w:sz w:val="24"/>
              </w:rPr>
              <w:t>Ginger</w:t>
            </w:r>
            <w:r>
              <w:rPr>
                <w:spacing w:val="-2"/>
                <w:sz w:val="24"/>
              </w:rPr>
              <w:t xml:space="preserve"> Extract</w:t>
            </w:r>
          </w:p>
        </w:tc>
        <w:tc>
          <w:tcPr>
            <w:tcW w:w="3241" w:type="dxa"/>
          </w:tcPr>
          <w:p w14:paraId="7DA3BC89" w14:textId="77777777" w:rsidR="00A02889" w:rsidRDefault="00000000">
            <w:pPr>
              <w:pStyle w:val="TableParagraph"/>
              <w:ind w:right="116"/>
              <w:jc w:val="center"/>
              <w:rPr>
                <w:sz w:val="24"/>
              </w:rPr>
            </w:pPr>
            <w:r>
              <w:rPr>
                <w:spacing w:val="-2"/>
                <w:sz w:val="24"/>
              </w:rPr>
              <w:t>Natural</w:t>
            </w:r>
          </w:p>
        </w:tc>
        <w:tc>
          <w:tcPr>
            <w:tcW w:w="2858" w:type="dxa"/>
          </w:tcPr>
          <w:p w14:paraId="0D84D3E6" w14:textId="77777777" w:rsidR="00A02889" w:rsidRDefault="00000000">
            <w:pPr>
              <w:pStyle w:val="TableParagraph"/>
              <w:ind w:left="563"/>
              <w:jc w:val="center"/>
              <w:rPr>
                <w:sz w:val="24"/>
              </w:rPr>
            </w:pPr>
            <w:r>
              <w:rPr>
                <w:spacing w:val="-4"/>
                <w:sz w:val="24"/>
              </w:rPr>
              <w:t>6.39</w:t>
            </w:r>
          </w:p>
        </w:tc>
      </w:tr>
      <w:tr w:rsidR="00A02889" w14:paraId="7E187A5A" w14:textId="77777777">
        <w:trPr>
          <w:trHeight w:val="737"/>
        </w:trPr>
        <w:tc>
          <w:tcPr>
            <w:tcW w:w="3348" w:type="dxa"/>
            <w:tcBorders>
              <w:bottom w:val="single" w:sz="4" w:space="0" w:color="000000"/>
            </w:tcBorders>
          </w:tcPr>
          <w:p w14:paraId="1924263B" w14:textId="77777777" w:rsidR="00A02889" w:rsidRDefault="00000000">
            <w:pPr>
              <w:pStyle w:val="TableParagraph"/>
              <w:ind w:left="45"/>
              <w:rPr>
                <w:sz w:val="24"/>
              </w:rPr>
            </w:pPr>
            <w:r>
              <w:rPr>
                <w:sz w:val="24"/>
              </w:rPr>
              <w:t>Baking</w:t>
            </w:r>
            <w:r>
              <w:rPr>
                <w:spacing w:val="-4"/>
                <w:sz w:val="24"/>
              </w:rPr>
              <w:t xml:space="preserve"> Soda</w:t>
            </w:r>
          </w:p>
        </w:tc>
        <w:tc>
          <w:tcPr>
            <w:tcW w:w="3241" w:type="dxa"/>
            <w:tcBorders>
              <w:bottom w:val="single" w:sz="4" w:space="0" w:color="000000"/>
            </w:tcBorders>
          </w:tcPr>
          <w:p w14:paraId="1ADB6B0B" w14:textId="77777777" w:rsidR="00A02889" w:rsidRDefault="00000000">
            <w:pPr>
              <w:pStyle w:val="TableParagraph"/>
              <w:ind w:right="116"/>
              <w:jc w:val="center"/>
              <w:rPr>
                <w:sz w:val="24"/>
              </w:rPr>
            </w:pPr>
            <w:r>
              <w:rPr>
                <w:spacing w:val="-2"/>
                <w:sz w:val="24"/>
              </w:rPr>
              <w:t>Natural</w:t>
            </w:r>
          </w:p>
        </w:tc>
        <w:tc>
          <w:tcPr>
            <w:tcW w:w="2858" w:type="dxa"/>
            <w:tcBorders>
              <w:bottom w:val="single" w:sz="4" w:space="0" w:color="000000"/>
            </w:tcBorders>
          </w:tcPr>
          <w:p w14:paraId="6EA65504" w14:textId="77777777" w:rsidR="00A02889" w:rsidRDefault="00000000">
            <w:pPr>
              <w:pStyle w:val="TableParagraph"/>
              <w:ind w:left="563"/>
              <w:jc w:val="center"/>
              <w:rPr>
                <w:sz w:val="24"/>
              </w:rPr>
            </w:pPr>
            <w:r>
              <w:rPr>
                <w:spacing w:val="-4"/>
                <w:sz w:val="24"/>
              </w:rPr>
              <w:t>6.39</w:t>
            </w:r>
          </w:p>
        </w:tc>
      </w:tr>
    </w:tbl>
    <w:p w14:paraId="0C1AD14C" w14:textId="77777777" w:rsidR="00A02889" w:rsidRDefault="00A02889">
      <w:pPr>
        <w:pStyle w:val="TableParagraph"/>
        <w:jc w:val="center"/>
        <w:rPr>
          <w:sz w:val="24"/>
        </w:rPr>
        <w:sectPr w:rsidR="00A02889">
          <w:pgSz w:w="12240" w:h="15840"/>
          <w:pgMar w:top="1360" w:right="720" w:bottom="1260" w:left="720" w:header="0" w:footer="1068" w:gutter="0"/>
          <w:cols w:space="720"/>
        </w:sectPr>
      </w:pPr>
    </w:p>
    <w:p w14:paraId="7BDC1B29" w14:textId="77777777" w:rsidR="00A02889" w:rsidRDefault="00000000">
      <w:pPr>
        <w:spacing w:before="76"/>
        <w:ind w:left="720"/>
        <w:rPr>
          <w:b/>
          <w:sz w:val="24"/>
        </w:rPr>
      </w:pPr>
      <w:bookmarkStart w:id="69" w:name="_bookmark69"/>
      <w:bookmarkEnd w:id="69"/>
      <w:r>
        <w:rPr>
          <w:b/>
          <w:sz w:val="24"/>
        </w:rPr>
        <w:lastRenderedPageBreak/>
        <w:t>Table</w:t>
      </w:r>
      <w:r>
        <w:rPr>
          <w:b/>
          <w:spacing w:val="-1"/>
          <w:sz w:val="24"/>
        </w:rPr>
        <w:t xml:space="preserve"> </w:t>
      </w:r>
      <w:r>
        <w:rPr>
          <w:b/>
          <w:sz w:val="24"/>
        </w:rPr>
        <w:t>4.3:</w:t>
      </w:r>
      <w:r>
        <w:rPr>
          <w:b/>
          <w:spacing w:val="-2"/>
          <w:sz w:val="24"/>
        </w:rPr>
        <w:t xml:space="preserve"> </w:t>
      </w:r>
      <w:r>
        <w:rPr>
          <w:b/>
          <w:sz w:val="24"/>
        </w:rPr>
        <w:t>One-Way</w:t>
      </w:r>
      <w:r>
        <w:rPr>
          <w:b/>
          <w:spacing w:val="-1"/>
          <w:sz w:val="24"/>
        </w:rPr>
        <w:t xml:space="preserve"> </w:t>
      </w:r>
      <w:r>
        <w:rPr>
          <w:b/>
          <w:sz w:val="24"/>
        </w:rPr>
        <w:t xml:space="preserve">ANOVA </w:t>
      </w:r>
      <w:r>
        <w:rPr>
          <w:b/>
          <w:spacing w:val="-2"/>
          <w:sz w:val="24"/>
        </w:rPr>
        <w:t>Results</w:t>
      </w:r>
    </w:p>
    <w:p w14:paraId="460AE9D5" w14:textId="77777777" w:rsidR="00A02889" w:rsidRDefault="00A02889">
      <w:pPr>
        <w:pStyle w:val="BodyText"/>
        <w:rPr>
          <w:b/>
          <w:sz w:val="20"/>
        </w:rPr>
      </w:pPr>
    </w:p>
    <w:p w14:paraId="2BB9669F" w14:textId="77777777" w:rsidR="00A02889" w:rsidRDefault="00A02889">
      <w:pPr>
        <w:pStyle w:val="BodyText"/>
        <w:spacing w:before="132"/>
        <w:rPr>
          <w:b/>
          <w:sz w:val="20"/>
        </w:rPr>
      </w:pPr>
    </w:p>
    <w:tbl>
      <w:tblPr>
        <w:tblW w:w="0" w:type="auto"/>
        <w:tblInd w:w="682" w:type="dxa"/>
        <w:tblLayout w:type="fixed"/>
        <w:tblCellMar>
          <w:left w:w="0" w:type="dxa"/>
          <w:right w:w="0" w:type="dxa"/>
        </w:tblCellMar>
        <w:tblLook w:val="01E0" w:firstRow="1" w:lastRow="1" w:firstColumn="1" w:lastColumn="1" w:noHBand="0" w:noVBand="0"/>
      </w:tblPr>
      <w:tblGrid>
        <w:gridCol w:w="1784"/>
        <w:gridCol w:w="2395"/>
        <w:gridCol w:w="590"/>
        <w:gridCol w:w="2381"/>
        <w:gridCol w:w="1184"/>
        <w:gridCol w:w="1254"/>
      </w:tblGrid>
      <w:tr w:rsidR="00A02889" w14:paraId="1D80EDF1" w14:textId="77777777">
        <w:trPr>
          <w:trHeight w:val="577"/>
        </w:trPr>
        <w:tc>
          <w:tcPr>
            <w:tcW w:w="1784" w:type="dxa"/>
            <w:tcBorders>
              <w:top w:val="single" w:sz="4" w:space="0" w:color="000000"/>
              <w:bottom w:val="single" w:sz="4" w:space="0" w:color="000000"/>
            </w:tcBorders>
          </w:tcPr>
          <w:p w14:paraId="02A2BE3A" w14:textId="77777777" w:rsidR="00A02889" w:rsidRDefault="00000000">
            <w:pPr>
              <w:pStyle w:val="TableParagraph"/>
              <w:spacing w:before="11"/>
              <w:ind w:left="45"/>
              <w:rPr>
                <w:b/>
                <w:sz w:val="24"/>
              </w:rPr>
            </w:pPr>
            <w:r>
              <w:rPr>
                <w:b/>
                <w:spacing w:val="-2"/>
                <w:sz w:val="24"/>
              </w:rPr>
              <w:t>Variation</w:t>
            </w:r>
          </w:p>
        </w:tc>
        <w:tc>
          <w:tcPr>
            <w:tcW w:w="2395" w:type="dxa"/>
            <w:tcBorders>
              <w:top w:val="single" w:sz="4" w:space="0" w:color="000000"/>
              <w:bottom w:val="single" w:sz="4" w:space="0" w:color="000000"/>
            </w:tcBorders>
          </w:tcPr>
          <w:p w14:paraId="38687017" w14:textId="77777777" w:rsidR="00A02889" w:rsidRDefault="00000000">
            <w:pPr>
              <w:pStyle w:val="TableParagraph"/>
              <w:spacing w:before="11"/>
              <w:ind w:right="19"/>
              <w:jc w:val="center"/>
              <w:rPr>
                <w:b/>
                <w:sz w:val="24"/>
              </w:rPr>
            </w:pPr>
            <w:r>
              <w:rPr>
                <w:b/>
                <w:sz w:val="24"/>
              </w:rPr>
              <w:t>Sum</w:t>
            </w:r>
            <w:r>
              <w:rPr>
                <w:b/>
                <w:spacing w:val="-7"/>
                <w:sz w:val="24"/>
              </w:rPr>
              <w:t xml:space="preserve"> </w:t>
            </w:r>
            <w:r>
              <w:rPr>
                <w:b/>
                <w:sz w:val="24"/>
              </w:rPr>
              <w:t xml:space="preserve">of Squares </w:t>
            </w:r>
            <w:r>
              <w:rPr>
                <w:b/>
                <w:spacing w:val="-4"/>
                <w:sz w:val="24"/>
              </w:rPr>
              <w:t>(SS)</w:t>
            </w:r>
          </w:p>
        </w:tc>
        <w:tc>
          <w:tcPr>
            <w:tcW w:w="590" w:type="dxa"/>
            <w:tcBorders>
              <w:top w:val="single" w:sz="4" w:space="0" w:color="000000"/>
              <w:bottom w:val="single" w:sz="4" w:space="0" w:color="000000"/>
            </w:tcBorders>
          </w:tcPr>
          <w:p w14:paraId="19A104F7" w14:textId="77777777" w:rsidR="00A02889" w:rsidRDefault="00000000">
            <w:pPr>
              <w:pStyle w:val="TableParagraph"/>
              <w:spacing w:before="11"/>
              <w:ind w:right="32"/>
              <w:jc w:val="center"/>
              <w:rPr>
                <w:b/>
                <w:sz w:val="24"/>
              </w:rPr>
            </w:pPr>
            <w:proofErr w:type="spellStart"/>
            <w:r>
              <w:rPr>
                <w:b/>
                <w:spacing w:val="-5"/>
                <w:sz w:val="24"/>
              </w:rPr>
              <w:t>df</w:t>
            </w:r>
            <w:proofErr w:type="spellEnd"/>
          </w:p>
        </w:tc>
        <w:tc>
          <w:tcPr>
            <w:tcW w:w="2381" w:type="dxa"/>
            <w:tcBorders>
              <w:top w:val="single" w:sz="4" w:space="0" w:color="000000"/>
              <w:bottom w:val="single" w:sz="4" w:space="0" w:color="000000"/>
            </w:tcBorders>
          </w:tcPr>
          <w:p w14:paraId="514843B5" w14:textId="77777777" w:rsidR="00A02889" w:rsidRDefault="00000000">
            <w:pPr>
              <w:pStyle w:val="TableParagraph"/>
              <w:spacing w:before="11"/>
              <w:ind w:right="36"/>
              <w:jc w:val="center"/>
              <w:rPr>
                <w:b/>
                <w:sz w:val="24"/>
              </w:rPr>
            </w:pPr>
            <w:r>
              <w:rPr>
                <w:b/>
                <w:sz w:val="24"/>
              </w:rPr>
              <w:t>Mean</w:t>
            </w:r>
            <w:r>
              <w:rPr>
                <w:b/>
                <w:spacing w:val="-4"/>
                <w:sz w:val="24"/>
              </w:rPr>
              <w:t xml:space="preserve"> </w:t>
            </w:r>
            <w:r>
              <w:rPr>
                <w:b/>
                <w:sz w:val="24"/>
              </w:rPr>
              <w:t>Square</w:t>
            </w:r>
            <w:r>
              <w:rPr>
                <w:b/>
                <w:spacing w:val="-2"/>
                <w:sz w:val="24"/>
              </w:rPr>
              <w:t xml:space="preserve"> </w:t>
            </w:r>
            <w:r>
              <w:rPr>
                <w:b/>
                <w:spacing w:val="-4"/>
                <w:sz w:val="24"/>
              </w:rPr>
              <w:t>(MS)</w:t>
            </w:r>
          </w:p>
        </w:tc>
        <w:tc>
          <w:tcPr>
            <w:tcW w:w="1184" w:type="dxa"/>
            <w:tcBorders>
              <w:top w:val="single" w:sz="4" w:space="0" w:color="000000"/>
              <w:bottom w:val="single" w:sz="4" w:space="0" w:color="000000"/>
            </w:tcBorders>
          </w:tcPr>
          <w:p w14:paraId="5C5A57A3" w14:textId="77777777" w:rsidR="00A02889" w:rsidRDefault="00000000">
            <w:pPr>
              <w:pStyle w:val="TableParagraph"/>
              <w:spacing w:before="11"/>
              <w:ind w:right="3"/>
              <w:jc w:val="center"/>
              <w:rPr>
                <w:b/>
                <w:sz w:val="24"/>
              </w:rPr>
            </w:pPr>
            <w:r>
              <w:rPr>
                <w:b/>
                <w:spacing w:val="-2"/>
                <w:sz w:val="24"/>
              </w:rPr>
              <w:t>F-ratio</w:t>
            </w:r>
          </w:p>
        </w:tc>
        <w:tc>
          <w:tcPr>
            <w:tcW w:w="1254" w:type="dxa"/>
            <w:tcBorders>
              <w:top w:val="single" w:sz="4" w:space="0" w:color="000000"/>
              <w:bottom w:val="single" w:sz="4" w:space="0" w:color="000000"/>
            </w:tcBorders>
          </w:tcPr>
          <w:p w14:paraId="10E0DCBD" w14:textId="77777777" w:rsidR="00A02889" w:rsidRDefault="00000000">
            <w:pPr>
              <w:pStyle w:val="TableParagraph"/>
              <w:spacing w:before="11"/>
              <w:ind w:left="1" w:right="20"/>
              <w:jc w:val="center"/>
              <w:rPr>
                <w:b/>
                <w:sz w:val="24"/>
              </w:rPr>
            </w:pPr>
            <w:r>
              <w:rPr>
                <w:b/>
                <w:spacing w:val="-2"/>
                <w:sz w:val="24"/>
              </w:rPr>
              <w:t>p-value</w:t>
            </w:r>
          </w:p>
        </w:tc>
      </w:tr>
      <w:tr w:rsidR="00A02889" w14:paraId="57EFDB1A" w14:textId="77777777">
        <w:trPr>
          <w:trHeight w:val="601"/>
        </w:trPr>
        <w:tc>
          <w:tcPr>
            <w:tcW w:w="1784" w:type="dxa"/>
            <w:tcBorders>
              <w:top w:val="single" w:sz="4" w:space="0" w:color="000000"/>
            </w:tcBorders>
          </w:tcPr>
          <w:p w14:paraId="763501A0" w14:textId="77777777" w:rsidR="00A02889" w:rsidRDefault="00000000">
            <w:pPr>
              <w:pStyle w:val="TableParagraph"/>
              <w:spacing w:before="114"/>
              <w:ind w:left="45"/>
              <w:rPr>
                <w:sz w:val="24"/>
              </w:rPr>
            </w:pPr>
            <w:r>
              <w:rPr>
                <w:sz w:val="24"/>
              </w:rPr>
              <w:t>Between</w:t>
            </w:r>
            <w:r>
              <w:rPr>
                <w:spacing w:val="-3"/>
                <w:sz w:val="24"/>
              </w:rPr>
              <w:t xml:space="preserve"> </w:t>
            </w:r>
            <w:r>
              <w:rPr>
                <w:spacing w:val="-2"/>
                <w:sz w:val="24"/>
              </w:rPr>
              <w:t>Groups</w:t>
            </w:r>
          </w:p>
        </w:tc>
        <w:tc>
          <w:tcPr>
            <w:tcW w:w="2395" w:type="dxa"/>
            <w:tcBorders>
              <w:top w:val="single" w:sz="4" w:space="0" w:color="000000"/>
            </w:tcBorders>
          </w:tcPr>
          <w:p w14:paraId="6A8C577A" w14:textId="77777777" w:rsidR="00A02889" w:rsidRDefault="00000000">
            <w:pPr>
              <w:pStyle w:val="TableParagraph"/>
              <w:spacing w:before="114"/>
              <w:ind w:right="19"/>
              <w:jc w:val="center"/>
              <w:rPr>
                <w:sz w:val="24"/>
              </w:rPr>
            </w:pPr>
            <w:r>
              <w:rPr>
                <w:spacing w:val="-2"/>
                <w:sz w:val="24"/>
              </w:rPr>
              <w:t>0.008134</w:t>
            </w:r>
          </w:p>
        </w:tc>
        <w:tc>
          <w:tcPr>
            <w:tcW w:w="590" w:type="dxa"/>
            <w:tcBorders>
              <w:top w:val="single" w:sz="4" w:space="0" w:color="000000"/>
            </w:tcBorders>
          </w:tcPr>
          <w:p w14:paraId="2504C301" w14:textId="77777777" w:rsidR="00A02889" w:rsidRDefault="00000000">
            <w:pPr>
              <w:pStyle w:val="TableParagraph"/>
              <w:spacing w:before="114"/>
              <w:ind w:left="1" w:right="32"/>
              <w:jc w:val="center"/>
              <w:rPr>
                <w:sz w:val="24"/>
              </w:rPr>
            </w:pPr>
            <w:r>
              <w:rPr>
                <w:spacing w:val="-10"/>
                <w:sz w:val="24"/>
              </w:rPr>
              <w:t>3</w:t>
            </w:r>
          </w:p>
        </w:tc>
        <w:tc>
          <w:tcPr>
            <w:tcW w:w="2381" w:type="dxa"/>
            <w:tcBorders>
              <w:top w:val="single" w:sz="4" w:space="0" w:color="000000"/>
            </w:tcBorders>
          </w:tcPr>
          <w:p w14:paraId="42B9D57B" w14:textId="77777777" w:rsidR="00A02889" w:rsidRDefault="00000000">
            <w:pPr>
              <w:pStyle w:val="TableParagraph"/>
              <w:spacing w:before="114"/>
              <w:ind w:left="4" w:right="36"/>
              <w:jc w:val="center"/>
              <w:rPr>
                <w:sz w:val="24"/>
              </w:rPr>
            </w:pPr>
            <w:r>
              <w:rPr>
                <w:spacing w:val="-2"/>
                <w:sz w:val="24"/>
              </w:rPr>
              <w:t>0.002711</w:t>
            </w:r>
          </w:p>
        </w:tc>
        <w:tc>
          <w:tcPr>
            <w:tcW w:w="1184" w:type="dxa"/>
            <w:tcBorders>
              <w:top w:val="single" w:sz="4" w:space="0" w:color="000000"/>
            </w:tcBorders>
          </w:tcPr>
          <w:p w14:paraId="6E3F9A89" w14:textId="77777777" w:rsidR="00A02889" w:rsidRDefault="00000000">
            <w:pPr>
              <w:pStyle w:val="TableParagraph"/>
              <w:spacing w:before="114"/>
              <w:ind w:left="3" w:right="3"/>
              <w:jc w:val="center"/>
              <w:rPr>
                <w:sz w:val="24"/>
              </w:rPr>
            </w:pPr>
            <w:r>
              <w:rPr>
                <w:spacing w:val="-4"/>
                <w:sz w:val="24"/>
              </w:rPr>
              <w:t>3.17</w:t>
            </w:r>
          </w:p>
        </w:tc>
        <w:tc>
          <w:tcPr>
            <w:tcW w:w="1254" w:type="dxa"/>
            <w:tcBorders>
              <w:top w:val="single" w:sz="4" w:space="0" w:color="000000"/>
            </w:tcBorders>
          </w:tcPr>
          <w:p w14:paraId="19186538" w14:textId="77777777" w:rsidR="00A02889" w:rsidRDefault="00000000">
            <w:pPr>
              <w:pStyle w:val="TableParagraph"/>
              <w:spacing w:before="114"/>
              <w:ind w:right="20"/>
              <w:jc w:val="center"/>
              <w:rPr>
                <w:sz w:val="24"/>
              </w:rPr>
            </w:pPr>
            <w:r>
              <w:rPr>
                <w:spacing w:val="-2"/>
                <w:sz w:val="24"/>
              </w:rPr>
              <w:t>0.045*</w:t>
            </w:r>
          </w:p>
        </w:tc>
      </w:tr>
      <w:tr w:rsidR="00A02889" w14:paraId="258545DF" w14:textId="77777777">
        <w:trPr>
          <w:trHeight w:val="650"/>
        </w:trPr>
        <w:tc>
          <w:tcPr>
            <w:tcW w:w="1784" w:type="dxa"/>
          </w:tcPr>
          <w:p w14:paraId="27B55268" w14:textId="77777777" w:rsidR="00A02889" w:rsidRDefault="00000000">
            <w:pPr>
              <w:pStyle w:val="TableParagraph"/>
              <w:spacing w:before="201"/>
              <w:ind w:left="45"/>
              <w:rPr>
                <w:sz w:val="24"/>
              </w:rPr>
            </w:pPr>
            <w:r>
              <w:rPr>
                <w:sz w:val="24"/>
              </w:rPr>
              <w:t>Within</w:t>
            </w:r>
            <w:r>
              <w:rPr>
                <w:spacing w:val="1"/>
                <w:sz w:val="24"/>
              </w:rPr>
              <w:t xml:space="preserve"> </w:t>
            </w:r>
            <w:r>
              <w:rPr>
                <w:spacing w:val="-2"/>
                <w:sz w:val="24"/>
              </w:rPr>
              <w:t>Groups</w:t>
            </w:r>
          </w:p>
        </w:tc>
        <w:tc>
          <w:tcPr>
            <w:tcW w:w="2395" w:type="dxa"/>
          </w:tcPr>
          <w:p w14:paraId="72273113" w14:textId="77777777" w:rsidR="00A02889" w:rsidRDefault="00000000">
            <w:pPr>
              <w:pStyle w:val="TableParagraph"/>
              <w:spacing w:before="201"/>
              <w:ind w:right="19"/>
              <w:jc w:val="center"/>
              <w:rPr>
                <w:sz w:val="24"/>
              </w:rPr>
            </w:pPr>
            <w:r>
              <w:rPr>
                <w:spacing w:val="-2"/>
                <w:sz w:val="24"/>
              </w:rPr>
              <w:t>0.0205</w:t>
            </w:r>
          </w:p>
        </w:tc>
        <w:tc>
          <w:tcPr>
            <w:tcW w:w="590" w:type="dxa"/>
          </w:tcPr>
          <w:p w14:paraId="6492A92D" w14:textId="77777777" w:rsidR="00A02889" w:rsidRDefault="00000000">
            <w:pPr>
              <w:pStyle w:val="TableParagraph"/>
              <w:spacing w:before="201"/>
              <w:ind w:left="1" w:right="32"/>
              <w:jc w:val="center"/>
              <w:rPr>
                <w:sz w:val="24"/>
              </w:rPr>
            </w:pPr>
            <w:r>
              <w:rPr>
                <w:spacing w:val="-5"/>
                <w:sz w:val="24"/>
              </w:rPr>
              <w:t>24</w:t>
            </w:r>
          </w:p>
        </w:tc>
        <w:tc>
          <w:tcPr>
            <w:tcW w:w="2381" w:type="dxa"/>
          </w:tcPr>
          <w:p w14:paraId="6971062D" w14:textId="77777777" w:rsidR="00A02889" w:rsidRDefault="00000000">
            <w:pPr>
              <w:pStyle w:val="TableParagraph"/>
              <w:spacing w:before="201"/>
              <w:ind w:left="4" w:right="36"/>
              <w:jc w:val="center"/>
              <w:rPr>
                <w:sz w:val="24"/>
              </w:rPr>
            </w:pPr>
            <w:r>
              <w:rPr>
                <w:spacing w:val="-2"/>
                <w:sz w:val="24"/>
              </w:rPr>
              <w:t>0.000854</w:t>
            </w:r>
          </w:p>
        </w:tc>
        <w:tc>
          <w:tcPr>
            <w:tcW w:w="1184" w:type="dxa"/>
          </w:tcPr>
          <w:p w14:paraId="3006DC97" w14:textId="77777777" w:rsidR="00A02889" w:rsidRDefault="00000000">
            <w:pPr>
              <w:pStyle w:val="TableParagraph"/>
              <w:spacing w:before="201"/>
              <w:ind w:left="3" w:right="3"/>
              <w:jc w:val="center"/>
              <w:rPr>
                <w:sz w:val="24"/>
              </w:rPr>
            </w:pPr>
            <w:r>
              <w:rPr>
                <w:spacing w:val="-10"/>
                <w:sz w:val="24"/>
              </w:rPr>
              <w:t>—</w:t>
            </w:r>
          </w:p>
        </w:tc>
        <w:tc>
          <w:tcPr>
            <w:tcW w:w="1254" w:type="dxa"/>
          </w:tcPr>
          <w:p w14:paraId="12496A72" w14:textId="77777777" w:rsidR="00A02889" w:rsidRDefault="00000000">
            <w:pPr>
              <w:pStyle w:val="TableParagraph"/>
              <w:spacing w:before="201"/>
              <w:ind w:left="3" w:right="20"/>
              <w:jc w:val="center"/>
              <w:rPr>
                <w:sz w:val="24"/>
              </w:rPr>
            </w:pPr>
            <w:r>
              <w:rPr>
                <w:spacing w:val="-10"/>
                <w:sz w:val="24"/>
              </w:rPr>
              <w:t>—</w:t>
            </w:r>
          </w:p>
        </w:tc>
      </w:tr>
      <w:tr w:rsidR="00A02889" w14:paraId="60E16C42" w14:textId="77777777">
        <w:trPr>
          <w:trHeight w:val="737"/>
        </w:trPr>
        <w:tc>
          <w:tcPr>
            <w:tcW w:w="1784" w:type="dxa"/>
            <w:tcBorders>
              <w:bottom w:val="single" w:sz="4" w:space="0" w:color="000000"/>
            </w:tcBorders>
          </w:tcPr>
          <w:p w14:paraId="04D6472B" w14:textId="77777777" w:rsidR="00A02889" w:rsidRDefault="00000000">
            <w:pPr>
              <w:pStyle w:val="TableParagraph"/>
              <w:ind w:left="45"/>
              <w:rPr>
                <w:sz w:val="24"/>
              </w:rPr>
            </w:pPr>
            <w:r>
              <w:rPr>
                <w:spacing w:val="-2"/>
                <w:sz w:val="24"/>
              </w:rPr>
              <w:t>Total</w:t>
            </w:r>
          </w:p>
        </w:tc>
        <w:tc>
          <w:tcPr>
            <w:tcW w:w="2395" w:type="dxa"/>
            <w:tcBorders>
              <w:bottom w:val="single" w:sz="4" w:space="0" w:color="000000"/>
            </w:tcBorders>
          </w:tcPr>
          <w:p w14:paraId="2B74F737" w14:textId="77777777" w:rsidR="00A02889" w:rsidRDefault="00000000">
            <w:pPr>
              <w:pStyle w:val="TableParagraph"/>
              <w:ind w:right="19"/>
              <w:jc w:val="center"/>
              <w:rPr>
                <w:sz w:val="24"/>
              </w:rPr>
            </w:pPr>
            <w:r>
              <w:rPr>
                <w:spacing w:val="-2"/>
                <w:sz w:val="24"/>
              </w:rPr>
              <w:t>0.028634</w:t>
            </w:r>
          </w:p>
        </w:tc>
        <w:tc>
          <w:tcPr>
            <w:tcW w:w="590" w:type="dxa"/>
            <w:tcBorders>
              <w:bottom w:val="single" w:sz="4" w:space="0" w:color="000000"/>
            </w:tcBorders>
          </w:tcPr>
          <w:p w14:paraId="413CD478" w14:textId="77777777" w:rsidR="00A02889" w:rsidRDefault="00000000">
            <w:pPr>
              <w:pStyle w:val="TableParagraph"/>
              <w:spacing w:before="167"/>
              <w:ind w:left="1" w:right="32"/>
              <w:jc w:val="center"/>
              <w:rPr>
                <w:b/>
                <w:sz w:val="24"/>
              </w:rPr>
            </w:pPr>
            <w:r>
              <w:rPr>
                <w:b/>
                <w:spacing w:val="-5"/>
                <w:sz w:val="24"/>
              </w:rPr>
              <w:t>27</w:t>
            </w:r>
          </w:p>
        </w:tc>
        <w:tc>
          <w:tcPr>
            <w:tcW w:w="2381" w:type="dxa"/>
            <w:tcBorders>
              <w:bottom w:val="single" w:sz="4" w:space="0" w:color="000000"/>
            </w:tcBorders>
          </w:tcPr>
          <w:p w14:paraId="55AFD11D" w14:textId="77777777" w:rsidR="00A02889" w:rsidRDefault="00000000">
            <w:pPr>
              <w:pStyle w:val="TableParagraph"/>
              <w:ind w:left="6" w:right="36"/>
              <w:jc w:val="center"/>
              <w:rPr>
                <w:sz w:val="24"/>
              </w:rPr>
            </w:pPr>
            <w:r>
              <w:rPr>
                <w:spacing w:val="-10"/>
                <w:sz w:val="24"/>
              </w:rPr>
              <w:t>—</w:t>
            </w:r>
          </w:p>
        </w:tc>
        <w:tc>
          <w:tcPr>
            <w:tcW w:w="1184" w:type="dxa"/>
            <w:tcBorders>
              <w:bottom w:val="single" w:sz="4" w:space="0" w:color="000000"/>
            </w:tcBorders>
          </w:tcPr>
          <w:p w14:paraId="54F6375A" w14:textId="77777777" w:rsidR="00A02889" w:rsidRDefault="00000000">
            <w:pPr>
              <w:pStyle w:val="TableParagraph"/>
              <w:ind w:left="3" w:right="3"/>
              <w:jc w:val="center"/>
              <w:rPr>
                <w:sz w:val="24"/>
              </w:rPr>
            </w:pPr>
            <w:r>
              <w:rPr>
                <w:spacing w:val="-10"/>
                <w:sz w:val="24"/>
              </w:rPr>
              <w:t>—</w:t>
            </w:r>
          </w:p>
        </w:tc>
        <w:tc>
          <w:tcPr>
            <w:tcW w:w="1254" w:type="dxa"/>
            <w:tcBorders>
              <w:bottom w:val="single" w:sz="4" w:space="0" w:color="000000"/>
            </w:tcBorders>
          </w:tcPr>
          <w:p w14:paraId="04B64E2B" w14:textId="77777777" w:rsidR="00A02889" w:rsidRDefault="00000000">
            <w:pPr>
              <w:pStyle w:val="TableParagraph"/>
              <w:ind w:left="3" w:right="20"/>
              <w:jc w:val="center"/>
              <w:rPr>
                <w:sz w:val="24"/>
              </w:rPr>
            </w:pPr>
            <w:r>
              <w:rPr>
                <w:spacing w:val="-10"/>
                <w:sz w:val="24"/>
              </w:rPr>
              <w:t>—</w:t>
            </w:r>
          </w:p>
        </w:tc>
      </w:tr>
    </w:tbl>
    <w:p w14:paraId="4303195C" w14:textId="77777777" w:rsidR="00A02889" w:rsidRDefault="00000000">
      <w:pPr>
        <w:pStyle w:val="BodyText"/>
        <w:spacing w:before="28"/>
        <w:ind w:left="720"/>
      </w:pPr>
      <w:r>
        <w:t>The</w:t>
      </w:r>
      <w:r>
        <w:rPr>
          <w:spacing w:val="-8"/>
        </w:rPr>
        <w:t xml:space="preserve"> </w:t>
      </w:r>
      <w:proofErr w:type="spellStart"/>
      <w:r>
        <w:t>jamovi</w:t>
      </w:r>
      <w:proofErr w:type="spellEnd"/>
      <w:r>
        <w:rPr>
          <w:spacing w:val="-3"/>
        </w:rPr>
        <w:t xml:space="preserve"> </w:t>
      </w:r>
      <w:r>
        <w:t>project</w:t>
      </w:r>
      <w:r>
        <w:rPr>
          <w:spacing w:val="-3"/>
        </w:rPr>
        <w:t xml:space="preserve"> </w:t>
      </w:r>
      <w:r>
        <w:t>(2025).</w:t>
      </w:r>
      <w:r>
        <w:rPr>
          <w:spacing w:val="-4"/>
        </w:rPr>
        <w:t xml:space="preserve"> </w:t>
      </w:r>
      <w:proofErr w:type="spellStart"/>
      <w:r>
        <w:rPr>
          <w:i/>
        </w:rPr>
        <w:t>jamovi</w:t>
      </w:r>
      <w:proofErr w:type="spellEnd"/>
      <w:r>
        <w:t>.</w:t>
      </w:r>
      <w:r>
        <w:rPr>
          <w:spacing w:val="-3"/>
        </w:rPr>
        <w:t xml:space="preserve"> </w:t>
      </w:r>
      <w:r>
        <w:t>(Version</w:t>
      </w:r>
      <w:r>
        <w:rPr>
          <w:spacing w:val="-3"/>
        </w:rPr>
        <w:t xml:space="preserve"> </w:t>
      </w:r>
      <w:r>
        <w:t>2.7),</w:t>
      </w:r>
      <w:r>
        <w:rPr>
          <w:spacing w:val="-2"/>
        </w:rPr>
        <w:t xml:space="preserve"> </w:t>
      </w:r>
      <w:r>
        <w:t>*Significant</w:t>
      </w:r>
      <w:r>
        <w:rPr>
          <w:spacing w:val="-3"/>
        </w:rPr>
        <w:t xml:space="preserve"> </w:t>
      </w:r>
      <w:r>
        <w:t>at</w:t>
      </w:r>
      <w:r>
        <w:rPr>
          <w:spacing w:val="-3"/>
        </w:rPr>
        <w:t xml:space="preserve"> </w:t>
      </w:r>
      <w:r>
        <w:t>α</w:t>
      </w:r>
      <w:r>
        <w:rPr>
          <w:spacing w:val="-2"/>
        </w:rPr>
        <w:t xml:space="preserve"> </w:t>
      </w:r>
      <w:r>
        <w:t>=</w:t>
      </w:r>
      <w:r>
        <w:rPr>
          <w:spacing w:val="-4"/>
        </w:rPr>
        <w:t xml:space="preserve"> </w:t>
      </w:r>
      <w:r>
        <w:rPr>
          <w:spacing w:val="-2"/>
        </w:rPr>
        <w:t>0.05.</w:t>
      </w:r>
    </w:p>
    <w:p w14:paraId="68F0C226" w14:textId="77777777" w:rsidR="00A02889" w:rsidRDefault="00A02889">
      <w:pPr>
        <w:pStyle w:val="BodyText"/>
        <w:sectPr w:rsidR="00A02889">
          <w:pgSz w:w="12240" w:h="15840"/>
          <w:pgMar w:top="1360" w:right="720" w:bottom="1260" w:left="720" w:header="0" w:footer="1068" w:gutter="0"/>
          <w:cols w:space="720"/>
        </w:sectPr>
      </w:pPr>
    </w:p>
    <w:p w14:paraId="775522F0" w14:textId="77777777" w:rsidR="00A02889" w:rsidRDefault="00000000">
      <w:pPr>
        <w:pStyle w:val="BodyText"/>
        <w:spacing w:before="74" w:line="480" w:lineRule="auto"/>
        <w:ind w:left="720" w:right="716"/>
        <w:jc w:val="both"/>
      </w:pPr>
      <w:r>
        <w:lastRenderedPageBreak/>
        <w:t>From Table 4.1 and Figure 4.1, all four antacids exhibited significant increases in pH, indicating mild neutralizing activity. At the initial measurement (0 minutes), the pH values were recorded</w:t>
      </w:r>
      <w:r>
        <w:rPr>
          <w:spacing w:val="40"/>
        </w:rPr>
        <w:t xml:space="preserve"> </w:t>
      </w:r>
      <w:r>
        <w:t>as</w:t>
      </w:r>
      <w:r>
        <w:rPr>
          <w:spacing w:val="25"/>
        </w:rPr>
        <w:t xml:space="preserve"> </w:t>
      </w:r>
      <w:r>
        <w:t>follows:</w:t>
      </w:r>
      <w:r>
        <w:rPr>
          <w:spacing w:val="25"/>
        </w:rPr>
        <w:t xml:space="preserve"> </w:t>
      </w:r>
      <w:r>
        <w:t>6.56</w:t>
      </w:r>
      <w:r>
        <w:rPr>
          <w:spacing w:val="25"/>
        </w:rPr>
        <w:t xml:space="preserve"> </w:t>
      </w:r>
      <w:r>
        <w:t>for</w:t>
      </w:r>
      <w:r>
        <w:rPr>
          <w:spacing w:val="24"/>
        </w:rPr>
        <w:t xml:space="preserve"> </w:t>
      </w:r>
      <w:r>
        <w:t>magnesium</w:t>
      </w:r>
      <w:r>
        <w:rPr>
          <w:spacing w:val="26"/>
        </w:rPr>
        <w:t xml:space="preserve"> </w:t>
      </w:r>
      <w:r>
        <w:t>trisilicate,</w:t>
      </w:r>
      <w:r>
        <w:rPr>
          <w:spacing w:val="25"/>
        </w:rPr>
        <w:t xml:space="preserve"> </w:t>
      </w:r>
      <w:r>
        <w:t>6.44</w:t>
      </w:r>
      <w:r>
        <w:rPr>
          <w:spacing w:val="25"/>
        </w:rPr>
        <w:t xml:space="preserve"> </w:t>
      </w:r>
      <w:r>
        <w:t>for</w:t>
      </w:r>
      <w:r>
        <w:rPr>
          <w:spacing w:val="24"/>
        </w:rPr>
        <w:t xml:space="preserve"> </w:t>
      </w:r>
      <w:proofErr w:type="spellStart"/>
      <w:r>
        <w:t>aluminium</w:t>
      </w:r>
      <w:proofErr w:type="spellEnd"/>
      <w:r>
        <w:rPr>
          <w:spacing w:val="25"/>
        </w:rPr>
        <w:t xml:space="preserve"> </w:t>
      </w:r>
      <w:r>
        <w:t>hydroxide,</w:t>
      </w:r>
      <w:r>
        <w:rPr>
          <w:spacing w:val="27"/>
        </w:rPr>
        <w:t xml:space="preserve"> </w:t>
      </w:r>
      <w:r>
        <w:t>6.39</w:t>
      </w:r>
      <w:r>
        <w:rPr>
          <w:spacing w:val="25"/>
        </w:rPr>
        <w:t xml:space="preserve"> </w:t>
      </w:r>
      <w:r>
        <w:t>for</w:t>
      </w:r>
      <w:r>
        <w:rPr>
          <w:spacing w:val="26"/>
        </w:rPr>
        <w:t xml:space="preserve"> </w:t>
      </w:r>
      <w:r>
        <w:t>ginger,</w:t>
      </w:r>
      <w:r>
        <w:rPr>
          <w:spacing w:val="27"/>
        </w:rPr>
        <w:t xml:space="preserve"> </w:t>
      </w:r>
      <w:r>
        <w:rPr>
          <w:spacing w:val="-5"/>
        </w:rPr>
        <w:t>and</w:t>
      </w:r>
    </w:p>
    <w:p w14:paraId="182A4A0D" w14:textId="77777777" w:rsidR="00A02889" w:rsidRDefault="00000000">
      <w:pPr>
        <w:pStyle w:val="BodyText"/>
        <w:spacing w:line="480" w:lineRule="auto"/>
        <w:ind w:left="720" w:right="713"/>
        <w:jc w:val="both"/>
      </w:pPr>
      <w:r>
        <w:t>6.40 for baking soda.</w:t>
      </w:r>
      <w:r>
        <w:rPr>
          <w:spacing w:val="-2"/>
        </w:rPr>
        <w:t xml:space="preserve"> </w:t>
      </w:r>
      <w:r>
        <w:t>These values were slightly</w:t>
      </w:r>
      <w:r>
        <w:rPr>
          <w:spacing w:val="-3"/>
        </w:rPr>
        <w:t xml:space="preserve"> </w:t>
      </w:r>
      <w:r>
        <w:t xml:space="preserve">lower than the initial HCl solution (6.79), likely due to the acid-base interaction leading to immediate neutralization reactions. Over time, the pH for all samples showed minimal fluctuations, indicating that each agent achieved near-neutral conditions early in the reaction and maintained stability throughout the observation period. Between 10 and 30 minutes, magnesium trisilicate exhibited a gradual decrease in pH from 6.45 to 6.41, while </w:t>
      </w:r>
      <w:proofErr w:type="spellStart"/>
      <w:r>
        <w:t>aluminium</w:t>
      </w:r>
      <w:proofErr w:type="spellEnd"/>
      <w:r>
        <w:t xml:space="preserve"> hydroxide maintained a nearly constant value between 6.40 and 6.38. Ginger and baking soda also showed stable patterns, with variations of only ±0.02 units. Such stability suggests that all the tested agents effectively buffered the solution, preventing</w:t>
      </w:r>
      <w:r>
        <w:rPr>
          <w:spacing w:val="40"/>
        </w:rPr>
        <w:t xml:space="preserve"> </w:t>
      </w:r>
      <w:r>
        <w:t xml:space="preserve">significant acid rebound or drastic pH changes. After 60 minutes, the pH readings remained almost unchanged—6.40 for magnesium trisilicate, 6.39 for </w:t>
      </w:r>
      <w:proofErr w:type="spellStart"/>
      <w:r>
        <w:t>aluminium</w:t>
      </w:r>
      <w:proofErr w:type="spellEnd"/>
      <w:r>
        <w:t xml:space="preserve"> hydroxide, 6.40 for ginger, and 6.40 for baking soda—demonstrating strong buffering capacity and chemical equilibrium within the system. The one-way</w:t>
      </w:r>
      <w:r>
        <w:rPr>
          <w:spacing w:val="-9"/>
        </w:rPr>
        <w:t xml:space="preserve"> </w:t>
      </w:r>
      <w:r>
        <w:t>ANOVA</w:t>
      </w:r>
      <w:r>
        <w:rPr>
          <w:spacing w:val="-8"/>
        </w:rPr>
        <w:t xml:space="preserve"> </w:t>
      </w:r>
      <w:r>
        <w:t xml:space="preserve">test compared the mean pH values of four antacid formulations—Magnesium Trisilicate, </w:t>
      </w:r>
      <w:proofErr w:type="spellStart"/>
      <w:r>
        <w:t>Aluminium</w:t>
      </w:r>
      <w:proofErr w:type="spellEnd"/>
      <w:r>
        <w:t xml:space="preserve"> Hydroxide, Ginger Extract, and Baking Soda—to determine if there were significant differences in their acid-neutralizing effectiveness. The analysis revealed a statistically significant difference among the groups (</w:t>
      </w:r>
      <w:proofErr w:type="gramStart"/>
      <w:r>
        <w:t>F(</w:t>
      </w:r>
      <w:proofErr w:type="gramEnd"/>
      <w:r>
        <w:t>3,24) = 3.17, p &lt; 0.05). This indicates that at least one of the antacids had a higher</w:t>
      </w:r>
      <w:r>
        <w:rPr>
          <w:spacing w:val="40"/>
        </w:rPr>
        <w:t xml:space="preserve"> </w:t>
      </w:r>
      <w:r>
        <w:t>neutralizing effect than the others. Post-hoc comparison would likely show that Magnesium Trisilicate, with</w:t>
      </w:r>
      <w:r>
        <w:rPr>
          <w:spacing w:val="-1"/>
        </w:rPr>
        <w:t xml:space="preserve"> </w:t>
      </w:r>
      <w:r>
        <w:t>the</w:t>
      </w:r>
      <w:r>
        <w:rPr>
          <w:spacing w:val="-2"/>
        </w:rPr>
        <w:t xml:space="preserve"> </w:t>
      </w:r>
      <w:r>
        <w:t>highest</w:t>
      </w:r>
      <w:r>
        <w:rPr>
          <w:spacing w:val="-1"/>
        </w:rPr>
        <w:t xml:space="preserve"> </w:t>
      </w:r>
      <w:r>
        <w:t>mean pH</w:t>
      </w:r>
      <w:r>
        <w:rPr>
          <w:spacing w:val="-2"/>
        </w:rPr>
        <w:t xml:space="preserve"> </w:t>
      </w:r>
      <w:r>
        <w:t>value (6.43),</w:t>
      </w:r>
      <w:r>
        <w:rPr>
          <w:spacing w:val="-1"/>
        </w:rPr>
        <w:t xml:space="preserve"> </w:t>
      </w:r>
      <w:r>
        <w:t>contributed</w:t>
      </w:r>
      <w:r>
        <w:rPr>
          <w:spacing w:val="-1"/>
        </w:rPr>
        <w:t xml:space="preserve"> </w:t>
      </w:r>
      <w:r>
        <w:t>most to this</w:t>
      </w:r>
      <w:r>
        <w:rPr>
          <w:spacing w:val="-1"/>
        </w:rPr>
        <w:t xml:space="preserve"> </w:t>
      </w:r>
      <w:r>
        <w:t>difference.</w:t>
      </w:r>
      <w:r>
        <w:rPr>
          <w:spacing w:val="-4"/>
        </w:rPr>
        <w:t xml:space="preserve"> </w:t>
      </w:r>
      <w:r>
        <w:t>Therefore, it can be interpreted that synthetic antacids were generally more effective in maintaining higher pH levels compared to the natural antacids tested.</w:t>
      </w:r>
    </w:p>
    <w:p w14:paraId="296787C0"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03CF9EFB" w14:textId="77777777" w:rsidR="00A02889" w:rsidRDefault="00000000">
      <w:pPr>
        <w:pStyle w:val="Heading2"/>
        <w:numPr>
          <w:ilvl w:val="1"/>
          <w:numId w:val="3"/>
        </w:numPr>
        <w:tabs>
          <w:tab w:val="left" w:pos="1080"/>
        </w:tabs>
        <w:spacing w:before="76"/>
      </w:pPr>
      <w:bookmarkStart w:id="70" w:name="_bookmark70"/>
      <w:bookmarkEnd w:id="70"/>
      <w:r>
        <w:lastRenderedPageBreak/>
        <w:t>Questionnaire</w:t>
      </w:r>
      <w:r>
        <w:rPr>
          <w:spacing w:val="-2"/>
        </w:rPr>
        <w:t xml:space="preserve"> Results</w:t>
      </w:r>
    </w:p>
    <w:p w14:paraId="4F12A892" w14:textId="77777777" w:rsidR="00A02889" w:rsidRDefault="00A02889">
      <w:pPr>
        <w:pStyle w:val="BodyText"/>
        <w:rPr>
          <w:b/>
        </w:rPr>
      </w:pPr>
    </w:p>
    <w:p w14:paraId="19D9DB62" w14:textId="77777777" w:rsidR="00A02889" w:rsidRDefault="00A02889">
      <w:pPr>
        <w:pStyle w:val="BodyText"/>
        <w:spacing w:before="6"/>
        <w:rPr>
          <w:b/>
        </w:rPr>
      </w:pPr>
    </w:p>
    <w:p w14:paraId="55C1F91F" w14:textId="77777777" w:rsidR="00A02889" w:rsidRDefault="00000000">
      <w:pPr>
        <w:ind w:left="720"/>
        <w:rPr>
          <w:b/>
          <w:sz w:val="24"/>
        </w:rPr>
      </w:pPr>
      <w:bookmarkStart w:id="71" w:name="_bookmark71"/>
      <w:bookmarkEnd w:id="71"/>
      <w:r>
        <w:rPr>
          <w:b/>
          <w:sz w:val="24"/>
        </w:rPr>
        <w:t>Table</w:t>
      </w:r>
      <w:r>
        <w:rPr>
          <w:b/>
          <w:spacing w:val="-3"/>
          <w:sz w:val="24"/>
        </w:rPr>
        <w:t xml:space="preserve"> </w:t>
      </w:r>
      <w:r>
        <w:rPr>
          <w:b/>
          <w:sz w:val="24"/>
        </w:rPr>
        <w:t>4.4:</w:t>
      </w:r>
      <w:r>
        <w:rPr>
          <w:b/>
          <w:spacing w:val="-2"/>
          <w:sz w:val="24"/>
        </w:rPr>
        <w:t xml:space="preserve"> </w:t>
      </w:r>
      <w:r>
        <w:rPr>
          <w:b/>
          <w:sz w:val="24"/>
        </w:rPr>
        <w:t>Demographic</w:t>
      </w:r>
      <w:r>
        <w:rPr>
          <w:b/>
          <w:spacing w:val="-2"/>
          <w:sz w:val="24"/>
        </w:rPr>
        <w:t xml:space="preserve"> </w:t>
      </w:r>
      <w:r>
        <w:rPr>
          <w:b/>
          <w:sz w:val="24"/>
        </w:rPr>
        <w:t>Characteristics</w:t>
      </w:r>
      <w:r>
        <w:rPr>
          <w:b/>
          <w:spacing w:val="-2"/>
          <w:sz w:val="24"/>
        </w:rPr>
        <w:t xml:space="preserve"> </w:t>
      </w:r>
      <w:r>
        <w:rPr>
          <w:b/>
          <w:sz w:val="24"/>
        </w:rPr>
        <w:t>of</w:t>
      </w:r>
      <w:r>
        <w:rPr>
          <w:b/>
          <w:spacing w:val="-1"/>
          <w:sz w:val="24"/>
        </w:rPr>
        <w:t xml:space="preserve"> </w:t>
      </w:r>
      <w:r>
        <w:rPr>
          <w:b/>
          <w:spacing w:val="-2"/>
          <w:sz w:val="24"/>
        </w:rPr>
        <w:t>Respondents</w:t>
      </w:r>
    </w:p>
    <w:p w14:paraId="0D7EEEC9" w14:textId="77777777" w:rsidR="00A02889" w:rsidRDefault="00A02889">
      <w:pPr>
        <w:pStyle w:val="BodyText"/>
        <w:rPr>
          <w:b/>
          <w:sz w:val="20"/>
        </w:rPr>
      </w:pPr>
    </w:p>
    <w:p w14:paraId="599B444C" w14:textId="77777777" w:rsidR="00A02889" w:rsidRDefault="00A02889">
      <w:pPr>
        <w:pStyle w:val="BodyText"/>
        <w:spacing w:before="128" w:after="1"/>
        <w:rPr>
          <w:b/>
          <w:sz w:val="20"/>
        </w:rPr>
      </w:pPr>
    </w:p>
    <w:tbl>
      <w:tblPr>
        <w:tblW w:w="0" w:type="auto"/>
        <w:tblInd w:w="999" w:type="dxa"/>
        <w:tblLayout w:type="fixed"/>
        <w:tblCellMar>
          <w:left w:w="0" w:type="dxa"/>
          <w:right w:w="0" w:type="dxa"/>
        </w:tblCellMar>
        <w:tblLook w:val="01E0" w:firstRow="1" w:lastRow="1" w:firstColumn="1" w:lastColumn="1" w:noHBand="0" w:noVBand="0"/>
      </w:tblPr>
      <w:tblGrid>
        <w:gridCol w:w="2183"/>
        <w:gridCol w:w="1844"/>
        <w:gridCol w:w="1783"/>
        <w:gridCol w:w="3012"/>
      </w:tblGrid>
      <w:tr w:rsidR="00A02889" w14:paraId="0A4EB3D2" w14:textId="77777777">
        <w:trPr>
          <w:trHeight w:val="580"/>
        </w:trPr>
        <w:tc>
          <w:tcPr>
            <w:tcW w:w="2183" w:type="dxa"/>
            <w:tcBorders>
              <w:top w:val="single" w:sz="4" w:space="0" w:color="000000"/>
              <w:bottom w:val="single" w:sz="4" w:space="0" w:color="000000"/>
            </w:tcBorders>
          </w:tcPr>
          <w:p w14:paraId="3498090D" w14:textId="77777777" w:rsidR="00A02889" w:rsidRDefault="00000000">
            <w:pPr>
              <w:pStyle w:val="TableParagraph"/>
              <w:spacing w:before="11"/>
              <w:ind w:right="469"/>
              <w:jc w:val="right"/>
              <w:rPr>
                <w:b/>
                <w:sz w:val="24"/>
              </w:rPr>
            </w:pPr>
            <w:r>
              <w:rPr>
                <w:b/>
                <w:spacing w:val="-2"/>
                <w:sz w:val="24"/>
              </w:rPr>
              <w:t>Variable</w:t>
            </w:r>
          </w:p>
        </w:tc>
        <w:tc>
          <w:tcPr>
            <w:tcW w:w="1844" w:type="dxa"/>
            <w:tcBorders>
              <w:top w:val="single" w:sz="4" w:space="0" w:color="000000"/>
              <w:bottom w:val="single" w:sz="4" w:space="0" w:color="000000"/>
            </w:tcBorders>
          </w:tcPr>
          <w:p w14:paraId="47A011B6" w14:textId="77777777" w:rsidR="00A02889" w:rsidRDefault="00000000">
            <w:pPr>
              <w:pStyle w:val="TableParagraph"/>
              <w:spacing w:before="11"/>
              <w:ind w:left="582"/>
              <w:rPr>
                <w:b/>
                <w:sz w:val="24"/>
              </w:rPr>
            </w:pPr>
            <w:r>
              <w:rPr>
                <w:b/>
                <w:spacing w:val="-2"/>
                <w:sz w:val="24"/>
              </w:rPr>
              <w:t>Category</w:t>
            </w:r>
          </w:p>
        </w:tc>
        <w:tc>
          <w:tcPr>
            <w:tcW w:w="1783" w:type="dxa"/>
            <w:tcBorders>
              <w:top w:val="single" w:sz="4" w:space="0" w:color="000000"/>
              <w:bottom w:val="single" w:sz="4" w:space="0" w:color="000000"/>
            </w:tcBorders>
          </w:tcPr>
          <w:p w14:paraId="62D452B9" w14:textId="77777777" w:rsidR="00A02889" w:rsidRDefault="00000000">
            <w:pPr>
              <w:pStyle w:val="TableParagraph"/>
              <w:spacing w:before="11"/>
              <w:ind w:right="392"/>
              <w:jc w:val="center"/>
              <w:rPr>
                <w:b/>
                <w:sz w:val="24"/>
              </w:rPr>
            </w:pPr>
            <w:r>
              <w:rPr>
                <w:b/>
                <w:spacing w:val="-2"/>
                <w:sz w:val="24"/>
              </w:rPr>
              <w:t>Frequency</w:t>
            </w:r>
          </w:p>
        </w:tc>
        <w:tc>
          <w:tcPr>
            <w:tcW w:w="3012" w:type="dxa"/>
            <w:tcBorders>
              <w:top w:val="single" w:sz="4" w:space="0" w:color="000000"/>
              <w:bottom w:val="single" w:sz="4" w:space="0" w:color="000000"/>
            </w:tcBorders>
          </w:tcPr>
          <w:p w14:paraId="06767AB9" w14:textId="77777777" w:rsidR="00A02889" w:rsidRDefault="00000000">
            <w:pPr>
              <w:pStyle w:val="TableParagraph"/>
              <w:spacing w:before="11"/>
              <w:ind w:right="336"/>
              <w:jc w:val="center"/>
              <w:rPr>
                <w:b/>
                <w:sz w:val="24"/>
              </w:rPr>
            </w:pPr>
            <w:r>
              <w:rPr>
                <w:b/>
                <w:sz w:val="24"/>
              </w:rPr>
              <w:t>Percentage</w:t>
            </w:r>
            <w:r>
              <w:rPr>
                <w:b/>
                <w:spacing w:val="-5"/>
                <w:sz w:val="24"/>
              </w:rPr>
              <w:t xml:space="preserve"> (%)</w:t>
            </w:r>
          </w:p>
        </w:tc>
      </w:tr>
      <w:tr w:rsidR="00A02889" w14:paraId="44511B95" w14:textId="77777777">
        <w:trPr>
          <w:trHeight w:val="486"/>
        </w:trPr>
        <w:tc>
          <w:tcPr>
            <w:tcW w:w="2183" w:type="dxa"/>
            <w:tcBorders>
              <w:top w:val="single" w:sz="4" w:space="0" w:color="000000"/>
            </w:tcBorders>
          </w:tcPr>
          <w:p w14:paraId="08554401" w14:textId="77777777" w:rsidR="00A02889" w:rsidRDefault="00000000">
            <w:pPr>
              <w:pStyle w:val="TableParagraph"/>
              <w:spacing w:before="37"/>
              <w:ind w:left="1065"/>
              <w:rPr>
                <w:sz w:val="24"/>
              </w:rPr>
            </w:pPr>
            <w:r>
              <w:rPr>
                <w:spacing w:val="-5"/>
                <w:sz w:val="24"/>
              </w:rPr>
              <w:t>Age</w:t>
            </w:r>
          </w:p>
        </w:tc>
        <w:tc>
          <w:tcPr>
            <w:tcW w:w="1844" w:type="dxa"/>
            <w:tcBorders>
              <w:top w:val="single" w:sz="4" w:space="0" w:color="000000"/>
            </w:tcBorders>
          </w:tcPr>
          <w:p w14:paraId="4A1E7D21" w14:textId="77777777" w:rsidR="00A02889" w:rsidRDefault="00000000">
            <w:pPr>
              <w:pStyle w:val="TableParagraph"/>
              <w:spacing w:before="37"/>
              <w:ind w:right="206"/>
              <w:jc w:val="right"/>
              <w:rPr>
                <w:sz w:val="24"/>
              </w:rPr>
            </w:pPr>
            <w:r>
              <w:rPr>
                <w:sz w:val="24"/>
              </w:rPr>
              <w:t xml:space="preserve">16–35 </w:t>
            </w:r>
            <w:r>
              <w:rPr>
                <w:spacing w:val="-2"/>
                <w:sz w:val="24"/>
              </w:rPr>
              <w:t>years</w:t>
            </w:r>
          </w:p>
        </w:tc>
        <w:tc>
          <w:tcPr>
            <w:tcW w:w="1783" w:type="dxa"/>
            <w:tcBorders>
              <w:top w:val="single" w:sz="4" w:space="0" w:color="000000"/>
            </w:tcBorders>
          </w:tcPr>
          <w:p w14:paraId="0EB33F9F" w14:textId="77777777" w:rsidR="00A02889" w:rsidRDefault="00000000">
            <w:pPr>
              <w:pStyle w:val="TableParagraph"/>
              <w:spacing w:before="37"/>
              <w:ind w:left="5" w:right="392"/>
              <w:jc w:val="center"/>
              <w:rPr>
                <w:sz w:val="24"/>
              </w:rPr>
            </w:pPr>
            <w:r>
              <w:rPr>
                <w:spacing w:val="-5"/>
                <w:sz w:val="24"/>
              </w:rPr>
              <w:t>35</w:t>
            </w:r>
          </w:p>
        </w:tc>
        <w:tc>
          <w:tcPr>
            <w:tcW w:w="3012" w:type="dxa"/>
            <w:tcBorders>
              <w:top w:val="single" w:sz="4" w:space="0" w:color="000000"/>
            </w:tcBorders>
          </w:tcPr>
          <w:p w14:paraId="0D9C6811" w14:textId="77777777" w:rsidR="00A02889" w:rsidRDefault="00000000">
            <w:pPr>
              <w:pStyle w:val="TableParagraph"/>
              <w:spacing w:before="37"/>
              <w:ind w:left="3" w:right="336"/>
              <w:jc w:val="center"/>
              <w:rPr>
                <w:sz w:val="24"/>
              </w:rPr>
            </w:pPr>
            <w:r>
              <w:rPr>
                <w:spacing w:val="-5"/>
                <w:sz w:val="24"/>
              </w:rPr>
              <w:t>70</w:t>
            </w:r>
          </w:p>
        </w:tc>
      </w:tr>
      <w:tr w:rsidR="00A02889" w14:paraId="61089D9D" w14:textId="77777777">
        <w:trPr>
          <w:trHeight w:val="612"/>
        </w:trPr>
        <w:tc>
          <w:tcPr>
            <w:tcW w:w="2183" w:type="dxa"/>
          </w:tcPr>
          <w:p w14:paraId="769C00F0" w14:textId="77777777" w:rsidR="00A02889" w:rsidRDefault="00A02889">
            <w:pPr>
              <w:pStyle w:val="TableParagraph"/>
              <w:spacing w:before="0"/>
            </w:pPr>
          </w:p>
        </w:tc>
        <w:tc>
          <w:tcPr>
            <w:tcW w:w="1844" w:type="dxa"/>
          </w:tcPr>
          <w:p w14:paraId="59DCE0E9" w14:textId="77777777" w:rsidR="00A02889" w:rsidRDefault="00000000">
            <w:pPr>
              <w:pStyle w:val="TableParagraph"/>
              <w:ind w:right="206"/>
              <w:jc w:val="right"/>
              <w:rPr>
                <w:sz w:val="24"/>
              </w:rPr>
            </w:pPr>
            <w:r>
              <w:rPr>
                <w:sz w:val="24"/>
              </w:rPr>
              <w:t xml:space="preserve">36–55 </w:t>
            </w:r>
            <w:r>
              <w:rPr>
                <w:spacing w:val="-2"/>
                <w:sz w:val="24"/>
              </w:rPr>
              <w:t>years</w:t>
            </w:r>
          </w:p>
        </w:tc>
        <w:tc>
          <w:tcPr>
            <w:tcW w:w="1783" w:type="dxa"/>
          </w:tcPr>
          <w:p w14:paraId="09AD2FE0" w14:textId="77777777" w:rsidR="00A02889" w:rsidRDefault="00000000">
            <w:pPr>
              <w:pStyle w:val="TableParagraph"/>
              <w:ind w:left="5" w:right="392"/>
              <w:jc w:val="center"/>
              <w:rPr>
                <w:sz w:val="24"/>
              </w:rPr>
            </w:pPr>
            <w:r>
              <w:rPr>
                <w:spacing w:val="-5"/>
                <w:sz w:val="24"/>
              </w:rPr>
              <w:t>13</w:t>
            </w:r>
          </w:p>
        </w:tc>
        <w:tc>
          <w:tcPr>
            <w:tcW w:w="3012" w:type="dxa"/>
          </w:tcPr>
          <w:p w14:paraId="5412670F" w14:textId="77777777" w:rsidR="00A02889" w:rsidRDefault="00000000">
            <w:pPr>
              <w:pStyle w:val="TableParagraph"/>
              <w:ind w:left="3" w:right="336"/>
              <w:jc w:val="center"/>
              <w:rPr>
                <w:sz w:val="24"/>
              </w:rPr>
            </w:pPr>
            <w:r>
              <w:rPr>
                <w:spacing w:val="-5"/>
                <w:sz w:val="24"/>
              </w:rPr>
              <w:t>26</w:t>
            </w:r>
          </w:p>
        </w:tc>
      </w:tr>
      <w:tr w:rsidR="00A02889" w14:paraId="3EB51BE4" w14:textId="77777777">
        <w:trPr>
          <w:trHeight w:val="612"/>
        </w:trPr>
        <w:tc>
          <w:tcPr>
            <w:tcW w:w="2183" w:type="dxa"/>
          </w:tcPr>
          <w:p w14:paraId="229370D8" w14:textId="77777777" w:rsidR="00A02889" w:rsidRDefault="00A02889">
            <w:pPr>
              <w:pStyle w:val="TableParagraph"/>
              <w:spacing w:before="0"/>
            </w:pPr>
          </w:p>
        </w:tc>
        <w:tc>
          <w:tcPr>
            <w:tcW w:w="1844" w:type="dxa"/>
          </w:tcPr>
          <w:p w14:paraId="0D5CDC06" w14:textId="77777777" w:rsidR="00A02889" w:rsidRDefault="00000000">
            <w:pPr>
              <w:pStyle w:val="TableParagraph"/>
              <w:ind w:right="147"/>
              <w:jc w:val="right"/>
              <w:rPr>
                <w:sz w:val="24"/>
              </w:rPr>
            </w:pPr>
            <w:r>
              <w:rPr>
                <w:sz w:val="24"/>
              </w:rPr>
              <w:t>56</w:t>
            </w:r>
            <w:r>
              <w:rPr>
                <w:spacing w:val="-1"/>
                <w:sz w:val="24"/>
              </w:rPr>
              <w:t xml:space="preserve"> </w:t>
            </w:r>
            <w:r>
              <w:rPr>
                <w:sz w:val="24"/>
              </w:rPr>
              <w:t xml:space="preserve">and </w:t>
            </w:r>
            <w:r>
              <w:rPr>
                <w:spacing w:val="-2"/>
                <w:sz w:val="24"/>
              </w:rPr>
              <w:t>above</w:t>
            </w:r>
          </w:p>
        </w:tc>
        <w:tc>
          <w:tcPr>
            <w:tcW w:w="1783" w:type="dxa"/>
          </w:tcPr>
          <w:p w14:paraId="3E718595" w14:textId="77777777" w:rsidR="00A02889" w:rsidRDefault="00000000">
            <w:pPr>
              <w:pStyle w:val="TableParagraph"/>
              <w:ind w:left="5" w:right="392"/>
              <w:jc w:val="center"/>
              <w:rPr>
                <w:sz w:val="24"/>
              </w:rPr>
            </w:pPr>
            <w:r>
              <w:rPr>
                <w:spacing w:val="-10"/>
                <w:sz w:val="24"/>
              </w:rPr>
              <w:t>2</w:t>
            </w:r>
          </w:p>
        </w:tc>
        <w:tc>
          <w:tcPr>
            <w:tcW w:w="3012" w:type="dxa"/>
          </w:tcPr>
          <w:p w14:paraId="241E6FD6" w14:textId="77777777" w:rsidR="00A02889" w:rsidRDefault="00000000">
            <w:pPr>
              <w:pStyle w:val="TableParagraph"/>
              <w:ind w:left="3" w:right="336"/>
              <w:jc w:val="center"/>
              <w:rPr>
                <w:sz w:val="24"/>
              </w:rPr>
            </w:pPr>
            <w:r>
              <w:rPr>
                <w:spacing w:val="-10"/>
                <w:sz w:val="24"/>
              </w:rPr>
              <w:t>4</w:t>
            </w:r>
          </w:p>
        </w:tc>
      </w:tr>
      <w:tr w:rsidR="00A02889" w14:paraId="726F4F43" w14:textId="77777777">
        <w:trPr>
          <w:trHeight w:val="612"/>
        </w:trPr>
        <w:tc>
          <w:tcPr>
            <w:tcW w:w="2183" w:type="dxa"/>
          </w:tcPr>
          <w:p w14:paraId="44FBC7AE" w14:textId="77777777" w:rsidR="00A02889" w:rsidRDefault="00000000">
            <w:pPr>
              <w:pStyle w:val="TableParagraph"/>
              <w:ind w:right="565"/>
              <w:jc w:val="right"/>
              <w:rPr>
                <w:sz w:val="24"/>
              </w:rPr>
            </w:pPr>
            <w:r>
              <w:rPr>
                <w:spacing w:val="-2"/>
                <w:sz w:val="24"/>
              </w:rPr>
              <w:t>Gender</w:t>
            </w:r>
          </w:p>
        </w:tc>
        <w:tc>
          <w:tcPr>
            <w:tcW w:w="1844" w:type="dxa"/>
          </w:tcPr>
          <w:p w14:paraId="0A282D7D" w14:textId="77777777" w:rsidR="00A02889" w:rsidRDefault="00000000">
            <w:pPr>
              <w:pStyle w:val="TableParagraph"/>
              <w:ind w:left="810"/>
              <w:rPr>
                <w:sz w:val="24"/>
              </w:rPr>
            </w:pPr>
            <w:r>
              <w:rPr>
                <w:spacing w:val="-4"/>
                <w:sz w:val="24"/>
              </w:rPr>
              <w:t>Male</w:t>
            </w:r>
          </w:p>
        </w:tc>
        <w:tc>
          <w:tcPr>
            <w:tcW w:w="1783" w:type="dxa"/>
          </w:tcPr>
          <w:p w14:paraId="4265CEA1" w14:textId="77777777" w:rsidR="00A02889" w:rsidRDefault="00000000">
            <w:pPr>
              <w:pStyle w:val="TableParagraph"/>
              <w:ind w:left="5" w:right="392"/>
              <w:jc w:val="center"/>
              <w:rPr>
                <w:sz w:val="24"/>
              </w:rPr>
            </w:pPr>
            <w:r>
              <w:rPr>
                <w:spacing w:val="-5"/>
                <w:sz w:val="24"/>
              </w:rPr>
              <w:t>37</w:t>
            </w:r>
          </w:p>
        </w:tc>
        <w:tc>
          <w:tcPr>
            <w:tcW w:w="3012" w:type="dxa"/>
          </w:tcPr>
          <w:p w14:paraId="56B4D57F" w14:textId="77777777" w:rsidR="00A02889" w:rsidRDefault="00000000">
            <w:pPr>
              <w:pStyle w:val="TableParagraph"/>
              <w:ind w:left="3" w:right="336"/>
              <w:jc w:val="center"/>
              <w:rPr>
                <w:sz w:val="24"/>
              </w:rPr>
            </w:pPr>
            <w:r>
              <w:rPr>
                <w:spacing w:val="-5"/>
                <w:sz w:val="24"/>
              </w:rPr>
              <w:t>74</w:t>
            </w:r>
          </w:p>
        </w:tc>
      </w:tr>
      <w:tr w:rsidR="00A02889" w14:paraId="6B940B82" w14:textId="77777777">
        <w:trPr>
          <w:trHeight w:val="737"/>
        </w:trPr>
        <w:tc>
          <w:tcPr>
            <w:tcW w:w="2183" w:type="dxa"/>
            <w:tcBorders>
              <w:bottom w:val="single" w:sz="4" w:space="0" w:color="000000"/>
            </w:tcBorders>
          </w:tcPr>
          <w:p w14:paraId="3340AD49" w14:textId="77777777" w:rsidR="00A02889" w:rsidRDefault="00A02889">
            <w:pPr>
              <w:pStyle w:val="TableParagraph"/>
              <w:spacing w:before="0"/>
            </w:pPr>
          </w:p>
        </w:tc>
        <w:tc>
          <w:tcPr>
            <w:tcW w:w="1844" w:type="dxa"/>
            <w:tcBorders>
              <w:bottom w:val="single" w:sz="4" w:space="0" w:color="000000"/>
            </w:tcBorders>
          </w:tcPr>
          <w:p w14:paraId="53448B61" w14:textId="77777777" w:rsidR="00A02889" w:rsidRDefault="00000000">
            <w:pPr>
              <w:pStyle w:val="TableParagraph"/>
              <w:ind w:left="702"/>
              <w:rPr>
                <w:sz w:val="24"/>
              </w:rPr>
            </w:pPr>
            <w:r>
              <w:rPr>
                <w:spacing w:val="-2"/>
                <w:sz w:val="24"/>
              </w:rPr>
              <w:t>Female</w:t>
            </w:r>
          </w:p>
        </w:tc>
        <w:tc>
          <w:tcPr>
            <w:tcW w:w="1783" w:type="dxa"/>
            <w:tcBorders>
              <w:bottom w:val="single" w:sz="4" w:space="0" w:color="000000"/>
            </w:tcBorders>
          </w:tcPr>
          <w:p w14:paraId="07A3FB7B" w14:textId="77777777" w:rsidR="00A02889" w:rsidRDefault="00000000">
            <w:pPr>
              <w:pStyle w:val="TableParagraph"/>
              <w:ind w:left="5" w:right="392"/>
              <w:jc w:val="center"/>
              <w:rPr>
                <w:sz w:val="24"/>
              </w:rPr>
            </w:pPr>
            <w:r>
              <w:rPr>
                <w:spacing w:val="-5"/>
                <w:sz w:val="24"/>
              </w:rPr>
              <w:t>13</w:t>
            </w:r>
          </w:p>
        </w:tc>
        <w:tc>
          <w:tcPr>
            <w:tcW w:w="3012" w:type="dxa"/>
            <w:tcBorders>
              <w:bottom w:val="single" w:sz="4" w:space="0" w:color="000000"/>
            </w:tcBorders>
          </w:tcPr>
          <w:p w14:paraId="38F35F19" w14:textId="77777777" w:rsidR="00A02889" w:rsidRDefault="00000000">
            <w:pPr>
              <w:pStyle w:val="TableParagraph"/>
              <w:ind w:left="3" w:right="336"/>
              <w:jc w:val="center"/>
              <w:rPr>
                <w:sz w:val="24"/>
              </w:rPr>
            </w:pPr>
            <w:r>
              <w:rPr>
                <w:spacing w:val="-5"/>
                <w:sz w:val="24"/>
              </w:rPr>
              <w:t>26</w:t>
            </w:r>
          </w:p>
        </w:tc>
      </w:tr>
    </w:tbl>
    <w:p w14:paraId="298A7ABB" w14:textId="77777777" w:rsidR="00A02889" w:rsidRDefault="00000000">
      <w:pPr>
        <w:pStyle w:val="BodyText"/>
        <w:spacing w:before="55"/>
        <w:rPr>
          <w:b/>
          <w:sz w:val="20"/>
        </w:rPr>
      </w:pPr>
      <w:r>
        <w:rPr>
          <w:b/>
          <w:noProof/>
          <w:sz w:val="20"/>
        </w:rPr>
        <mc:AlternateContent>
          <mc:Choice Requires="wpg">
            <w:drawing>
              <wp:anchor distT="0" distB="0" distL="0" distR="0" simplePos="0" relativeHeight="487589888" behindDoc="1" locked="0" layoutInCell="1" allowOverlap="1" wp14:anchorId="077C3368" wp14:editId="42CCE384">
                <wp:simplePos x="0" y="0"/>
                <wp:positionH relativeFrom="page">
                  <wp:posOffset>1132586</wp:posOffset>
                </wp:positionH>
                <wp:positionV relativeFrom="paragraph">
                  <wp:posOffset>197104</wp:posOffset>
                </wp:positionV>
                <wp:extent cx="5488305" cy="3202305"/>
                <wp:effectExtent l="0" t="0" r="0" b="0"/>
                <wp:wrapTopAndBottom/>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88305" cy="3202305"/>
                          <a:chOff x="0" y="0"/>
                          <a:chExt cx="5488305" cy="3202305"/>
                        </a:xfrm>
                      </wpg:grpSpPr>
                      <wps:wsp>
                        <wps:cNvPr id="10" name="Graphic 10"/>
                        <wps:cNvSpPr/>
                        <wps:spPr>
                          <a:xfrm>
                            <a:off x="394461" y="548258"/>
                            <a:ext cx="3698875" cy="2056130"/>
                          </a:xfrm>
                          <a:custGeom>
                            <a:avLst/>
                            <a:gdLst/>
                            <a:ahLst/>
                            <a:cxnLst/>
                            <a:rect l="l" t="t" r="r" b="b"/>
                            <a:pathLst>
                              <a:path w="3698875" h="2056130">
                                <a:moveTo>
                                  <a:pt x="0" y="2055876"/>
                                </a:moveTo>
                                <a:lnTo>
                                  <a:pt x="153924" y="2055876"/>
                                </a:lnTo>
                              </a:path>
                              <a:path w="3698875" h="2056130">
                                <a:moveTo>
                                  <a:pt x="565404" y="2055876"/>
                                </a:moveTo>
                                <a:lnTo>
                                  <a:pt x="1078992" y="2055876"/>
                                </a:lnTo>
                              </a:path>
                              <a:path w="3698875" h="2056130">
                                <a:moveTo>
                                  <a:pt x="1488948" y="2055876"/>
                                </a:moveTo>
                                <a:lnTo>
                                  <a:pt x="3698748" y="2055876"/>
                                </a:lnTo>
                              </a:path>
                              <a:path w="3698875" h="2056130">
                                <a:moveTo>
                                  <a:pt x="1488948" y="1712976"/>
                                </a:moveTo>
                                <a:lnTo>
                                  <a:pt x="3698748" y="1712976"/>
                                </a:lnTo>
                              </a:path>
                              <a:path w="3698875" h="2056130">
                                <a:moveTo>
                                  <a:pt x="0" y="1712976"/>
                                </a:moveTo>
                                <a:lnTo>
                                  <a:pt x="153924" y="1712976"/>
                                </a:lnTo>
                              </a:path>
                              <a:path w="3698875" h="2056130">
                                <a:moveTo>
                                  <a:pt x="565404" y="1712976"/>
                                </a:moveTo>
                                <a:lnTo>
                                  <a:pt x="1078992" y="1712976"/>
                                </a:lnTo>
                              </a:path>
                              <a:path w="3698875" h="2056130">
                                <a:moveTo>
                                  <a:pt x="359664" y="1370076"/>
                                </a:moveTo>
                                <a:lnTo>
                                  <a:pt x="1078992" y="1370076"/>
                                </a:lnTo>
                              </a:path>
                              <a:path w="3698875" h="2056130">
                                <a:moveTo>
                                  <a:pt x="0" y="1370076"/>
                                </a:moveTo>
                                <a:lnTo>
                                  <a:pt x="153924" y="1370076"/>
                                </a:lnTo>
                              </a:path>
                              <a:path w="3698875" h="2056130">
                                <a:moveTo>
                                  <a:pt x="1284732" y="1370076"/>
                                </a:moveTo>
                                <a:lnTo>
                                  <a:pt x="3698748" y="1370076"/>
                                </a:lnTo>
                              </a:path>
                              <a:path w="3698875" h="2056130">
                                <a:moveTo>
                                  <a:pt x="359664" y="1028700"/>
                                </a:moveTo>
                                <a:lnTo>
                                  <a:pt x="1078992" y="1028700"/>
                                </a:lnTo>
                              </a:path>
                              <a:path w="3698875" h="2056130">
                                <a:moveTo>
                                  <a:pt x="1284732" y="1028700"/>
                                </a:moveTo>
                                <a:lnTo>
                                  <a:pt x="3698748" y="1028700"/>
                                </a:lnTo>
                              </a:path>
                              <a:path w="3698875" h="2056130">
                                <a:moveTo>
                                  <a:pt x="0" y="1028700"/>
                                </a:moveTo>
                                <a:lnTo>
                                  <a:pt x="153924" y="1028700"/>
                                </a:lnTo>
                              </a:path>
                              <a:path w="3698875" h="2056130">
                                <a:moveTo>
                                  <a:pt x="0" y="685800"/>
                                </a:moveTo>
                                <a:lnTo>
                                  <a:pt x="153924" y="685800"/>
                                </a:lnTo>
                              </a:path>
                              <a:path w="3698875" h="2056130">
                                <a:moveTo>
                                  <a:pt x="1284732" y="685800"/>
                                </a:moveTo>
                                <a:lnTo>
                                  <a:pt x="3698748" y="685800"/>
                                </a:lnTo>
                              </a:path>
                              <a:path w="3698875" h="2056130">
                                <a:moveTo>
                                  <a:pt x="359664" y="685800"/>
                                </a:moveTo>
                                <a:lnTo>
                                  <a:pt x="1078992" y="685800"/>
                                </a:lnTo>
                              </a:path>
                              <a:path w="3698875" h="2056130">
                                <a:moveTo>
                                  <a:pt x="0" y="342900"/>
                                </a:moveTo>
                                <a:lnTo>
                                  <a:pt x="153924" y="342900"/>
                                </a:lnTo>
                              </a:path>
                              <a:path w="3698875" h="2056130">
                                <a:moveTo>
                                  <a:pt x="359664" y="342900"/>
                                </a:moveTo>
                                <a:lnTo>
                                  <a:pt x="1078992" y="342900"/>
                                </a:lnTo>
                              </a:path>
                              <a:path w="3698875" h="2056130">
                                <a:moveTo>
                                  <a:pt x="1284732" y="342900"/>
                                </a:moveTo>
                                <a:lnTo>
                                  <a:pt x="3698748" y="342900"/>
                                </a:lnTo>
                              </a:path>
                              <a:path w="3698875" h="2056130">
                                <a:moveTo>
                                  <a:pt x="0" y="0"/>
                                </a:moveTo>
                                <a:lnTo>
                                  <a:pt x="1078992" y="0"/>
                                </a:lnTo>
                              </a:path>
                              <a:path w="3698875" h="2056130">
                                <a:moveTo>
                                  <a:pt x="1284732" y="0"/>
                                </a:moveTo>
                                <a:lnTo>
                                  <a:pt x="3698748" y="0"/>
                                </a:lnTo>
                              </a:path>
                            </a:pathLst>
                          </a:custGeom>
                          <a:ln w="9144">
                            <a:solidFill>
                              <a:srgbClr val="858585"/>
                            </a:solidFill>
                            <a:prstDash val="solid"/>
                          </a:ln>
                        </wps:spPr>
                        <wps:bodyPr wrap="square" lIns="0" tIns="0" rIns="0" bIns="0" rtlCol="0">
                          <a:prstTxWarp prst="textNoShape">
                            <a:avLst/>
                          </a:prstTxWarp>
                          <a:noAutofit/>
                        </wps:bodyPr>
                      </wps:wsp>
                      <wps:wsp>
                        <wps:cNvPr id="11" name="Graphic 11"/>
                        <wps:cNvSpPr/>
                        <wps:spPr>
                          <a:xfrm>
                            <a:off x="394461" y="205359"/>
                            <a:ext cx="3698875" cy="1270"/>
                          </a:xfrm>
                          <a:custGeom>
                            <a:avLst/>
                            <a:gdLst/>
                            <a:ahLst/>
                            <a:cxnLst/>
                            <a:rect l="l" t="t" r="r" b="b"/>
                            <a:pathLst>
                              <a:path w="3698875">
                                <a:moveTo>
                                  <a:pt x="0" y="0"/>
                                </a:moveTo>
                                <a:lnTo>
                                  <a:pt x="3698748" y="0"/>
                                </a:lnTo>
                              </a:path>
                            </a:pathLst>
                          </a:custGeom>
                          <a:ln w="9144">
                            <a:solidFill>
                              <a:srgbClr val="858585"/>
                            </a:solidFill>
                            <a:prstDash val="solid"/>
                          </a:ln>
                        </wps:spPr>
                        <wps:bodyPr wrap="square" lIns="0" tIns="0" rIns="0" bIns="0" rtlCol="0">
                          <a:prstTxWarp prst="textNoShape">
                            <a:avLst/>
                          </a:prstTxWarp>
                          <a:noAutofit/>
                        </wps:bodyPr>
                      </wps:wsp>
                      <wps:wsp>
                        <wps:cNvPr id="12" name="Graphic 12"/>
                        <wps:cNvSpPr/>
                        <wps:spPr>
                          <a:xfrm>
                            <a:off x="548386" y="411098"/>
                            <a:ext cx="1130935" cy="2536190"/>
                          </a:xfrm>
                          <a:custGeom>
                            <a:avLst/>
                            <a:gdLst/>
                            <a:ahLst/>
                            <a:cxnLst/>
                            <a:rect l="l" t="t" r="r" b="b"/>
                            <a:pathLst>
                              <a:path w="1130935" h="2536190">
                                <a:moveTo>
                                  <a:pt x="205740" y="137160"/>
                                </a:moveTo>
                                <a:lnTo>
                                  <a:pt x="0" y="137160"/>
                                </a:lnTo>
                                <a:lnTo>
                                  <a:pt x="0" y="2535936"/>
                                </a:lnTo>
                                <a:lnTo>
                                  <a:pt x="205740" y="2535936"/>
                                </a:lnTo>
                                <a:lnTo>
                                  <a:pt x="205740" y="137160"/>
                                </a:lnTo>
                                <a:close/>
                              </a:path>
                              <a:path w="1130935" h="2536190">
                                <a:moveTo>
                                  <a:pt x="1130808" y="0"/>
                                </a:moveTo>
                                <a:lnTo>
                                  <a:pt x="925068" y="0"/>
                                </a:lnTo>
                                <a:lnTo>
                                  <a:pt x="925068" y="2535936"/>
                                </a:lnTo>
                                <a:lnTo>
                                  <a:pt x="1130808" y="2535936"/>
                                </a:lnTo>
                                <a:lnTo>
                                  <a:pt x="1130808" y="0"/>
                                </a:lnTo>
                                <a:close/>
                              </a:path>
                            </a:pathLst>
                          </a:custGeom>
                          <a:solidFill>
                            <a:srgbClr val="4F81BC"/>
                          </a:solidFill>
                        </wps:spPr>
                        <wps:bodyPr wrap="square" lIns="0" tIns="0" rIns="0" bIns="0" rtlCol="0">
                          <a:prstTxWarp prst="textNoShape">
                            <a:avLst/>
                          </a:prstTxWarp>
                          <a:noAutofit/>
                        </wps:bodyPr>
                      </wps:wsp>
                      <wps:wsp>
                        <wps:cNvPr id="13" name="Graphic 13"/>
                        <wps:cNvSpPr/>
                        <wps:spPr>
                          <a:xfrm>
                            <a:off x="754126" y="2055494"/>
                            <a:ext cx="1129665" cy="891540"/>
                          </a:xfrm>
                          <a:custGeom>
                            <a:avLst/>
                            <a:gdLst/>
                            <a:ahLst/>
                            <a:cxnLst/>
                            <a:rect l="l" t="t" r="r" b="b"/>
                            <a:pathLst>
                              <a:path w="1129665" h="891540">
                                <a:moveTo>
                                  <a:pt x="205740" y="0"/>
                                </a:moveTo>
                                <a:lnTo>
                                  <a:pt x="0" y="0"/>
                                </a:lnTo>
                                <a:lnTo>
                                  <a:pt x="0" y="891540"/>
                                </a:lnTo>
                                <a:lnTo>
                                  <a:pt x="205740" y="891540"/>
                                </a:lnTo>
                                <a:lnTo>
                                  <a:pt x="205740" y="0"/>
                                </a:lnTo>
                                <a:close/>
                              </a:path>
                              <a:path w="1129665" h="891540">
                                <a:moveTo>
                                  <a:pt x="1129284" y="0"/>
                                </a:moveTo>
                                <a:lnTo>
                                  <a:pt x="925068" y="0"/>
                                </a:lnTo>
                                <a:lnTo>
                                  <a:pt x="925068" y="891540"/>
                                </a:lnTo>
                                <a:lnTo>
                                  <a:pt x="1129284" y="891540"/>
                                </a:lnTo>
                                <a:lnTo>
                                  <a:pt x="1129284" y="0"/>
                                </a:lnTo>
                                <a:close/>
                              </a:path>
                            </a:pathLst>
                          </a:custGeom>
                          <a:solidFill>
                            <a:srgbClr val="C0504D"/>
                          </a:solidFill>
                        </wps:spPr>
                        <wps:bodyPr wrap="square" lIns="0" tIns="0" rIns="0" bIns="0" rtlCol="0">
                          <a:prstTxWarp prst="textNoShape">
                            <a:avLst/>
                          </a:prstTxWarp>
                          <a:noAutofit/>
                        </wps:bodyPr>
                      </wps:wsp>
                      <wps:wsp>
                        <wps:cNvPr id="14" name="Graphic 14"/>
                        <wps:cNvSpPr/>
                        <wps:spPr>
                          <a:xfrm>
                            <a:off x="959866" y="2809875"/>
                            <a:ext cx="204470" cy="137160"/>
                          </a:xfrm>
                          <a:custGeom>
                            <a:avLst/>
                            <a:gdLst/>
                            <a:ahLst/>
                            <a:cxnLst/>
                            <a:rect l="l" t="t" r="r" b="b"/>
                            <a:pathLst>
                              <a:path w="204470" h="137160">
                                <a:moveTo>
                                  <a:pt x="204215" y="0"/>
                                </a:moveTo>
                                <a:lnTo>
                                  <a:pt x="0" y="0"/>
                                </a:lnTo>
                                <a:lnTo>
                                  <a:pt x="0" y="137159"/>
                                </a:lnTo>
                                <a:lnTo>
                                  <a:pt x="204215" y="137159"/>
                                </a:lnTo>
                                <a:lnTo>
                                  <a:pt x="204215" y="0"/>
                                </a:lnTo>
                                <a:close/>
                              </a:path>
                            </a:pathLst>
                          </a:custGeom>
                          <a:solidFill>
                            <a:srgbClr val="9BBA58"/>
                          </a:solidFill>
                        </wps:spPr>
                        <wps:bodyPr wrap="square" lIns="0" tIns="0" rIns="0" bIns="0" rtlCol="0">
                          <a:prstTxWarp prst="textNoShape">
                            <a:avLst/>
                          </a:prstTxWarp>
                          <a:noAutofit/>
                        </wps:bodyPr>
                      </wps:wsp>
                      <wps:wsp>
                        <wps:cNvPr id="15" name="Graphic 15"/>
                        <wps:cNvSpPr/>
                        <wps:spPr>
                          <a:xfrm>
                            <a:off x="353313" y="205359"/>
                            <a:ext cx="3740150" cy="2781300"/>
                          </a:xfrm>
                          <a:custGeom>
                            <a:avLst/>
                            <a:gdLst/>
                            <a:ahLst/>
                            <a:cxnLst/>
                            <a:rect l="l" t="t" r="r" b="b"/>
                            <a:pathLst>
                              <a:path w="3740150" h="2781300">
                                <a:moveTo>
                                  <a:pt x="41147" y="2741676"/>
                                </a:moveTo>
                                <a:lnTo>
                                  <a:pt x="41147" y="0"/>
                                </a:lnTo>
                              </a:path>
                              <a:path w="3740150" h="2781300">
                                <a:moveTo>
                                  <a:pt x="0" y="2741676"/>
                                </a:moveTo>
                                <a:lnTo>
                                  <a:pt x="41147" y="2741676"/>
                                </a:lnTo>
                              </a:path>
                              <a:path w="3740150" h="2781300">
                                <a:moveTo>
                                  <a:pt x="0" y="2398776"/>
                                </a:moveTo>
                                <a:lnTo>
                                  <a:pt x="41147" y="2398776"/>
                                </a:lnTo>
                              </a:path>
                              <a:path w="3740150" h="2781300">
                                <a:moveTo>
                                  <a:pt x="0" y="2055876"/>
                                </a:moveTo>
                                <a:lnTo>
                                  <a:pt x="41147" y="2055876"/>
                                </a:lnTo>
                              </a:path>
                              <a:path w="3740150" h="2781300">
                                <a:moveTo>
                                  <a:pt x="0" y="1712976"/>
                                </a:moveTo>
                                <a:lnTo>
                                  <a:pt x="41147" y="1712976"/>
                                </a:lnTo>
                              </a:path>
                              <a:path w="3740150" h="2781300">
                                <a:moveTo>
                                  <a:pt x="0" y="1371600"/>
                                </a:moveTo>
                                <a:lnTo>
                                  <a:pt x="41147" y="1371600"/>
                                </a:lnTo>
                              </a:path>
                              <a:path w="3740150" h="2781300">
                                <a:moveTo>
                                  <a:pt x="0" y="1028700"/>
                                </a:moveTo>
                                <a:lnTo>
                                  <a:pt x="41147" y="1028700"/>
                                </a:lnTo>
                              </a:path>
                              <a:path w="3740150" h="2781300">
                                <a:moveTo>
                                  <a:pt x="0" y="685800"/>
                                </a:moveTo>
                                <a:lnTo>
                                  <a:pt x="41147" y="685800"/>
                                </a:lnTo>
                              </a:path>
                              <a:path w="3740150" h="2781300">
                                <a:moveTo>
                                  <a:pt x="0" y="342900"/>
                                </a:moveTo>
                                <a:lnTo>
                                  <a:pt x="41147" y="342900"/>
                                </a:lnTo>
                              </a:path>
                              <a:path w="3740150" h="2781300">
                                <a:moveTo>
                                  <a:pt x="0" y="0"/>
                                </a:moveTo>
                                <a:lnTo>
                                  <a:pt x="41147" y="0"/>
                                </a:lnTo>
                              </a:path>
                              <a:path w="3740150" h="2781300">
                                <a:moveTo>
                                  <a:pt x="41147" y="2741676"/>
                                </a:moveTo>
                                <a:lnTo>
                                  <a:pt x="3739896" y="2741676"/>
                                </a:lnTo>
                              </a:path>
                              <a:path w="3740150" h="2781300">
                                <a:moveTo>
                                  <a:pt x="41147" y="2741676"/>
                                </a:moveTo>
                                <a:lnTo>
                                  <a:pt x="41147" y="2781300"/>
                                </a:lnTo>
                              </a:path>
                              <a:path w="3740150" h="2781300">
                                <a:moveTo>
                                  <a:pt x="966216" y="2741676"/>
                                </a:moveTo>
                                <a:lnTo>
                                  <a:pt x="966216" y="2781300"/>
                                </a:lnTo>
                              </a:path>
                              <a:path w="3740150" h="2781300">
                                <a:moveTo>
                                  <a:pt x="1891284" y="2741676"/>
                                </a:moveTo>
                                <a:lnTo>
                                  <a:pt x="1891284" y="2781300"/>
                                </a:lnTo>
                              </a:path>
                              <a:path w="3740150" h="2781300">
                                <a:moveTo>
                                  <a:pt x="2814828" y="2741676"/>
                                </a:moveTo>
                                <a:lnTo>
                                  <a:pt x="2814828" y="2781300"/>
                                </a:lnTo>
                              </a:path>
                              <a:path w="3740150" h="2781300">
                                <a:moveTo>
                                  <a:pt x="3739896" y="2741676"/>
                                </a:moveTo>
                                <a:lnTo>
                                  <a:pt x="3739896" y="2781300"/>
                                </a:lnTo>
                              </a:path>
                            </a:pathLst>
                          </a:custGeom>
                          <a:ln w="9144">
                            <a:solidFill>
                              <a:srgbClr val="858585"/>
                            </a:solidFill>
                            <a:prstDash val="solid"/>
                          </a:ln>
                        </wps:spPr>
                        <wps:bodyPr wrap="square" lIns="0" tIns="0" rIns="0" bIns="0" rtlCol="0">
                          <a:prstTxWarp prst="textNoShape">
                            <a:avLst/>
                          </a:prstTxWarp>
                          <a:noAutofit/>
                        </wps:bodyPr>
                      </wps:wsp>
                      <wps:wsp>
                        <wps:cNvPr id="16" name="Graphic 16"/>
                        <wps:cNvSpPr/>
                        <wps:spPr>
                          <a:xfrm>
                            <a:off x="4233417" y="1336166"/>
                            <a:ext cx="70485" cy="70485"/>
                          </a:xfrm>
                          <a:custGeom>
                            <a:avLst/>
                            <a:gdLst/>
                            <a:ahLst/>
                            <a:cxnLst/>
                            <a:rect l="l" t="t" r="r" b="b"/>
                            <a:pathLst>
                              <a:path w="70485" h="70485">
                                <a:moveTo>
                                  <a:pt x="70103" y="0"/>
                                </a:moveTo>
                                <a:lnTo>
                                  <a:pt x="0" y="0"/>
                                </a:lnTo>
                                <a:lnTo>
                                  <a:pt x="0" y="70103"/>
                                </a:lnTo>
                                <a:lnTo>
                                  <a:pt x="70103" y="70103"/>
                                </a:lnTo>
                                <a:lnTo>
                                  <a:pt x="70103" y="0"/>
                                </a:lnTo>
                                <a:close/>
                              </a:path>
                            </a:pathLst>
                          </a:custGeom>
                          <a:solidFill>
                            <a:srgbClr val="4F81BC"/>
                          </a:solidFill>
                        </wps:spPr>
                        <wps:bodyPr wrap="square" lIns="0" tIns="0" rIns="0" bIns="0" rtlCol="0">
                          <a:prstTxWarp prst="textNoShape">
                            <a:avLst/>
                          </a:prstTxWarp>
                          <a:noAutofit/>
                        </wps:bodyPr>
                      </wps:wsp>
                      <wps:wsp>
                        <wps:cNvPr id="17" name="Graphic 17"/>
                        <wps:cNvSpPr/>
                        <wps:spPr>
                          <a:xfrm>
                            <a:off x="4233417" y="1566291"/>
                            <a:ext cx="70485" cy="70485"/>
                          </a:xfrm>
                          <a:custGeom>
                            <a:avLst/>
                            <a:gdLst/>
                            <a:ahLst/>
                            <a:cxnLst/>
                            <a:rect l="l" t="t" r="r" b="b"/>
                            <a:pathLst>
                              <a:path w="70485" h="70485">
                                <a:moveTo>
                                  <a:pt x="70103" y="0"/>
                                </a:moveTo>
                                <a:lnTo>
                                  <a:pt x="0" y="0"/>
                                </a:lnTo>
                                <a:lnTo>
                                  <a:pt x="0" y="70103"/>
                                </a:lnTo>
                                <a:lnTo>
                                  <a:pt x="70103" y="70103"/>
                                </a:lnTo>
                                <a:lnTo>
                                  <a:pt x="70103" y="0"/>
                                </a:lnTo>
                                <a:close/>
                              </a:path>
                            </a:pathLst>
                          </a:custGeom>
                          <a:solidFill>
                            <a:srgbClr val="C0504D"/>
                          </a:solidFill>
                        </wps:spPr>
                        <wps:bodyPr wrap="square" lIns="0" tIns="0" rIns="0" bIns="0" rtlCol="0">
                          <a:prstTxWarp prst="textNoShape">
                            <a:avLst/>
                          </a:prstTxWarp>
                          <a:noAutofit/>
                        </wps:bodyPr>
                      </wps:wsp>
                      <wps:wsp>
                        <wps:cNvPr id="18" name="Graphic 18"/>
                        <wps:cNvSpPr/>
                        <wps:spPr>
                          <a:xfrm>
                            <a:off x="4233417" y="1796414"/>
                            <a:ext cx="70485" cy="70485"/>
                          </a:xfrm>
                          <a:custGeom>
                            <a:avLst/>
                            <a:gdLst/>
                            <a:ahLst/>
                            <a:cxnLst/>
                            <a:rect l="l" t="t" r="r" b="b"/>
                            <a:pathLst>
                              <a:path w="70485" h="70485">
                                <a:moveTo>
                                  <a:pt x="70103" y="0"/>
                                </a:moveTo>
                                <a:lnTo>
                                  <a:pt x="0" y="0"/>
                                </a:lnTo>
                                <a:lnTo>
                                  <a:pt x="0" y="70103"/>
                                </a:lnTo>
                                <a:lnTo>
                                  <a:pt x="70103" y="70103"/>
                                </a:lnTo>
                                <a:lnTo>
                                  <a:pt x="70103" y="0"/>
                                </a:lnTo>
                                <a:close/>
                              </a:path>
                            </a:pathLst>
                          </a:custGeom>
                          <a:solidFill>
                            <a:srgbClr val="9BBA58"/>
                          </a:solidFill>
                        </wps:spPr>
                        <wps:bodyPr wrap="square" lIns="0" tIns="0" rIns="0" bIns="0" rtlCol="0">
                          <a:prstTxWarp prst="textNoShape">
                            <a:avLst/>
                          </a:prstTxWarp>
                          <a:noAutofit/>
                        </wps:bodyPr>
                      </wps:wsp>
                      <wps:wsp>
                        <wps:cNvPr id="19" name="Graphic 19"/>
                        <wps:cNvSpPr/>
                        <wps:spPr>
                          <a:xfrm>
                            <a:off x="889" y="889"/>
                            <a:ext cx="5486400" cy="3200400"/>
                          </a:xfrm>
                          <a:custGeom>
                            <a:avLst/>
                            <a:gdLst/>
                            <a:ahLst/>
                            <a:cxnLst/>
                            <a:rect l="l" t="t" r="r" b="b"/>
                            <a:pathLst>
                              <a:path w="5486400" h="3200400">
                                <a:moveTo>
                                  <a:pt x="0" y="3200400"/>
                                </a:moveTo>
                                <a:lnTo>
                                  <a:pt x="5486400" y="3200400"/>
                                </a:lnTo>
                                <a:lnTo>
                                  <a:pt x="5486400" y="0"/>
                                </a:lnTo>
                                <a:lnTo>
                                  <a:pt x="0" y="0"/>
                                </a:lnTo>
                                <a:lnTo>
                                  <a:pt x="0" y="3200400"/>
                                </a:lnTo>
                                <a:close/>
                              </a:path>
                            </a:pathLst>
                          </a:custGeom>
                          <a:ln w="1778">
                            <a:solidFill>
                              <a:srgbClr val="858585"/>
                            </a:solidFill>
                            <a:prstDash val="solid"/>
                          </a:ln>
                        </wps:spPr>
                        <wps:bodyPr wrap="square" lIns="0" tIns="0" rIns="0" bIns="0" rtlCol="0">
                          <a:prstTxWarp prst="textNoShape">
                            <a:avLst/>
                          </a:prstTxWarp>
                          <a:noAutofit/>
                        </wps:bodyPr>
                      </wps:wsp>
                      <wps:wsp>
                        <wps:cNvPr id="20" name="Textbox 20"/>
                        <wps:cNvSpPr txBox="1"/>
                        <wps:spPr>
                          <a:xfrm>
                            <a:off x="147320" y="147065"/>
                            <a:ext cx="140970" cy="1840230"/>
                          </a:xfrm>
                          <a:prstGeom prst="rect">
                            <a:avLst/>
                          </a:prstGeom>
                        </wps:spPr>
                        <wps:txbx>
                          <w:txbxContent>
                            <w:p w14:paraId="67DEA6C7" w14:textId="77777777" w:rsidR="00A02889" w:rsidRDefault="00000000">
                              <w:pPr>
                                <w:spacing w:line="203" w:lineRule="exact"/>
                                <w:rPr>
                                  <w:rFonts w:ascii="Calibri"/>
                                  <w:sz w:val="20"/>
                                </w:rPr>
                              </w:pPr>
                              <w:r>
                                <w:rPr>
                                  <w:rFonts w:ascii="Calibri"/>
                                  <w:spacing w:val="-5"/>
                                  <w:sz w:val="20"/>
                                </w:rPr>
                                <w:t>80</w:t>
                              </w:r>
                            </w:p>
                            <w:p w14:paraId="63B1187A" w14:textId="77777777" w:rsidR="00A02889" w:rsidRDefault="00A02889">
                              <w:pPr>
                                <w:spacing w:before="51"/>
                                <w:rPr>
                                  <w:rFonts w:ascii="Calibri"/>
                                  <w:sz w:val="20"/>
                                </w:rPr>
                              </w:pPr>
                            </w:p>
                            <w:p w14:paraId="1C04E7A6" w14:textId="77777777" w:rsidR="00A02889" w:rsidRDefault="00000000">
                              <w:pPr>
                                <w:rPr>
                                  <w:rFonts w:ascii="Calibri"/>
                                  <w:sz w:val="20"/>
                                </w:rPr>
                              </w:pPr>
                              <w:r>
                                <w:rPr>
                                  <w:rFonts w:ascii="Calibri"/>
                                  <w:spacing w:val="-5"/>
                                  <w:sz w:val="20"/>
                                </w:rPr>
                                <w:t>70</w:t>
                              </w:r>
                            </w:p>
                            <w:p w14:paraId="0337914B" w14:textId="77777777" w:rsidR="00A02889" w:rsidRDefault="00A02889">
                              <w:pPr>
                                <w:spacing w:before="52"/>
                                <w:rPr>
                                  <w:rFonts w:ascii="Calibri"/>
                                  <w:sz w:val="20"/>
                                </w:rPr>
                              </w:pPr>
                            </w:p>
                            <w:p w14:paraId="05CD9063" w14:textId="77777777" w:rsidR="00A02889" w:rsidRDefault="00000000">
                              <w:pPr>
                                <w:rPr>
                                  <w:rFonts w:ascii="Calibri"/>
                                  <w:sz w:val="20"/>
                                </w:rPr>
                              </w:pPr>
                              <w:r>
                                <w:rPr>
                                  <w:rFonts w:ascii="Calibri"/>
                                  <w:spacing w:val="-5"/>
                                  <w:sz w:val="20"/>
                                </w:rPr>
                                <w:t>60</w:t>
                              </w:r>
                            </w:p>
                            <w:p w14:paraId="3A28EAE7" w14:textId="77777777" w:rsidR="00A02889" w:rsidRDefault="00A02889">
                              <w:pPr>
                                <w:spacing w:before="51"/>
                                <w:rPr>
                                  <w:rFonts w:ascii="Calibri"/>
                                  <w:sz w:val="20"/>
                                </w:rPr>
                              </w:pPr>
                            </w:p>
                            <w:p w14:paraId="4EC86E95" w14:textId="77777777" w:rsidR="00A02889" w:rsidRDefault="00000000">
                              <w:pPr>
                                <w:rPr>
                                  <w:rFonts w:ascii="Calibri"/>
                                  <w:sz w:val="20"/>
                                </w:rPr>
                              </w:pPr>
                              <w:r>
                                <w:rPr>
                                  <w:rFonts w:ascii="Calibri"/>
                                  <w:spacing w:val="-5"/>
                                  <w:sz w:val="20"/>
                                </w:rPr>
                                <w:t>50</w:t>
                              </w:r>
                            </w:p>
                            <w:p w14:paraId="7A473067" w14:textId="77777777" w:rsidR="00A02889" w:rsidRDefault="00A02889">
                              <w:pPr>
                                <w:spacing w:before="51"/>
                                <w:rPr>
                                  <w:rFonts w:ascii="Calibri"/>
                                  <w:sz w:val="20"/>
                                </w:rPr>
                              </w:pPr>
                            </w:p>
                            <w:p w14:paraId="1818DD4D" w14:textId="77777777" w:rsidR="00A02889" w:rsidRDefault="00000000">
                              <w:pPr>
                                <w:spacing w:before="1"/>
                                <w:rPr>
                                  <w:rFonts w:ascii="Calibri"/>
                                  <w:sz w:val="20"/>
                                </w:rPr>
                              </w:pPr>
                              <w:r>
                                <w:rPr>
                                  <w:rFonts w:ascii="Calibri"/>
                                  <w:spacing w:val="-5"/>
                                  <w:sz w:val="20"/>
                                </w:rPr>
                                <w:t>40</w:t>
                              </w:r>
                            </w:p>
                            <w:p w14:paraId="0CEE8C72" w14:textId="77777777" w:rsidR="00A02889" w:rsidRDefault="00A02889">
                              <w:pPr>
                                <w:spacing w:before="51"/>
                                <w:rPr>
                                  <w:rFonts w:ascii="Calibri"/>
                                  <w:sz w:val="20"/>
                                </w:rPr>
                              </w:pPr>
                            </w:p>
                            <w:p w14:paraId="368EB11B" w14:textId="77777777" w:rsidR="00A02889" w:rsidRDefault="00000000">
                              <w:pPr>
                                <w:spacing w:line="240" w:lineRule="exact"/>
                                <w:rPr>
                                  <w:rFonts w:ascii="Calibri"/>
                                  <w:sz w:val="20"/>
                                </w:rPr>
                              </w:pPr>
                              <w:r>
                                <w:rPr>
                                  <w:rFonts w:ascii="Calibri"/>
                                  <w:spacing w:val="-5"/>
                                  <w:sz w:val="20"/>
                                </w:rPr>
                                <w:t>30</w:t>
                              </w:r>
                            </w:p>
                          </w:txbxContent>
                        </wps:txbx>
                        <wps:bodyPr wrap="square" lIns="0" tIns="0" rIns="0" bIns="0" rtlCol="0">
                          <a:noAutofit/>
                        </wps:bodyPr>
                      </wps:wsp>
                      <wps:wsp>
                        <wps:cNvPr id="21" name="Textbox 21"/>
                        <wps:cNvSpPr txBox="1"/>
                        <wps:spPr>
                          <a:xfrm>
                            <a:off x="4334002" y="1313180"/>
                            <a:ext cx="1038225" cy="586105"/>
                          </a:xfrm>
                          <a:prstGeom prst="rect">
                            <a:avLst/>
                          </a:prstGeom>
                        </wps:spPr>
                        <wps:txbx>
                          <w:txbxContent>
                            <w:p w14:paraId="2C81C412" w14:textId="77777777" w:rsidR="00A02889" w:rsidRDefault="00000000">
                              <w:pPr>
                                <w:spacing w:line="203" w:lineRule="exact"/>
                                <w:rPr>
                                  <w:rFonts w:ascii="Calibri"/>
                                  <w:sz w:val="20"/>
                                </w:rPr>
                              </w:pPr>
                              <w:r>
                                <w:rPr>
                                  <w:rFonts w:ascii="Calibri"/>
                                  <w:sz w:val="20"/>
                                </w:rPr>
                                <w:t>16-35</w:t>
                              </w:r>
                              <w:r>
                                <w:rPr>
                                  <w:rFonts w:ascii="Calibri"/>
                                  <w:spacing w:val="-7"/>
                                  <w:sz w:val="20"/>
                                </w:rPr>
                                <w:t xml:space="preserve"> </w:t>
                              </w:r>
                              <w:r>
                                <w:rPr>
                                  <w:rFonts w:ascii="Calibri"/>
                                  <w:spacing w:val="-2"/>
                                  <w:sz w:val="20"/>
                                </w:rPr>
                                <w:t>years/Male</w:t>
                              </w:r>
                            </w:p>
                            <w:p w14:paraId="094BA51C" w14:textId="77777777" w:rsidR="00A02889" w:rsidRDefault="00000000">
                              <w:pPr>
                                <w:spacing w:line="360" w:lineRule="atLeast"/>
                                <w:ind w:right="11"/>
                                <w:rPr>
                                  <w:rFonts w:ascii="Calibri"/>
                                  <w:sz w:val="20"/>
                                </w:rPr>
                              </w:pPr>
                              <w:r>
                                <w:rPr>
                                  <w:rFonts w:ascii="Calibri"/>
                                  <w:sz w:val="20"/>
                                </w:rPr>
                                <w:t>36-55</w:t>
                              </w:r>
                              <w:r>
                                <w:rPr>
                                  <w:rFonts w:ascii="Calibri"/>
                                  <w:spacing w:val="-12"/>
                                  <w:sz w:val="20"/>
                                </w:rPr>
                                <w:t xml:space="preserve"> </w:t>
                              </w:r>
                              <w:r>
                                <w:rPr>
                                  <w:rFonts w:ascii="Calibri"/>
                                  <w:sz w:val="20"/>
                                </w:rPr>
                                <w:t>years/Female 56</w:t>
                              </w:r>
                              <w:r>
                                <w:rPr>
                                  <w:rFonts w:ascii="Calibri"/>
                                  <w:spacing w:val="-5"/>
                                  <w:sz w:val="20"/>
                                </w:rPr>
                                <w:t xml:space="preserve"> </w:t>
                              </w:r>
                              <w:r>
                                <w:rPr>
                                  <w:rFonts w:ascii="Calibri"/>
                                  <w:sz w:val="20"/>
                                </w:rPr>
                                <w:t>and</w:t>
                              </w:r>
                              <w:r>
                                <w:rPr>
                                  <w:rFonts w:ascii="Calibri"/>
                                  <w:spacing w:val="-3"/>
                                  <w:sz w:val="20"/>
                                </w:rPr>
                                <w:t xml:space="preserve"> </w:t>
                              </w:r>
                              <w:r>
                                <w:rPr>
                                  <w:rFonts w:ascii="Calibri"/>
                                  <w:sz w:val="20"/>
                                </w:rPr>
                                <w:t>above</w:t>
                              </w:r>
                              <w:r>
                                <w:rPr>
                                  <w:rFonts w:ascii="Calibri"/>
                                  <w:spacing w:val="-5"/>
                                  <w:sz w:val="20"/>
                                </w:rPr>
                                <w:t xml:space="preserve"> </w:t>
                              </w:r>
                              <w:r>
                                <w:rPr>
                                  <w:rFonts w:ascii="Calibri"/>
                                  <w:spacing w:val="-2"/>
                                  <w:sz w:val="20"/>
                                </w:rPr>
                                <w:t>years</w:t>
                              </w:r>
                            </w:p>
                          </w:txbxContent>
                        </wps:txbx>
                        <wps:bodyPr wrap="square" lIns="0" tIns="0" rIns="0" bIns="0" rtlCol="0">
                          <a:noAutofit/>
                        </wps:bodyPr>
                      </wps:wsp>
                      <wps:wsp>
                        <wps:cNvPr id="22" name="Textbox 22"/>
                        <wps:cNvSpPr txBox="1"/>
                        <wps:spPr>
                          <a:xfrm>
                            <a:off x="147320" y="2203195"/>
                            <a:ext cx="141605" cy="812165"/>
                          </a:xfrm>
                          <a:prstGeom prst="rect">
                            <a:avLst/>
                          </a:prstGeom>
                        </wps:spPr>
                        <wps:txbx>
                          <w:txbxContent>
                            <w:p w14:paraId="3096A5D5" w14:textId="77777777" w:rsidR="00A02889" w:rsidRDefault="00000000">
                              <w:pPr>
                                <w:spacing w:line="203" w:lineRule="exact"/>
                                <w:ind w:right="18"/>
                                <w:jc w:val="right"/>
                                <w:rPr>
                                  <w:rFonts w:ascii="Calibri"/>
                                  <w:sz w:val="20"/>
                                </w:rPr>
                              </w:pPr>
                              <w:r>
                                <w:rPr>
                                  <w:rFonts w:ascii="Calibri"/>
                                  <w:spacing w:val="-5"/>
                                  <w:sz w:val="20"/>
                                </w:rPr>
                                <w:t>20</w:t>
                              </w:r>
                            </w:p>
                            <w:p w14:paraId="1E64BBB1" w14:textId="77777777" w:rsidR="00A02889" w:rsidRDefault="00A02889">
                              <w:pPr>
                                <w:spacing w:before="51"/>
                                <w:rPr>
                                  <w:rFonts w:ascii="Calibri"/>
                                  <w:sz w:val="20"/>
                                </w:rPr>
                              </w:pPr>
                            </w:p>
                            <w:p w14:paraId="19812A94" w14:textId="77777777" w:rsidR="00A02889" w:rsidRDefault="00000000">
                              <w:pPr>
                                <w:rPr>
                                  <w:rFonts w:ascii="Calibri"/>
                                  <w:sz w:val="20"/>
                                </w:rPr>
                              </w:pPr>
                              <w:r>
                                <w:rPr>
                                  <w:rFonts w:ascii="Calibri"/>
                                  <w:spacing w:val="-5"/>
                                  <w:sz w:val="20"/>
                                </w:rPr>
                                <w:t>10</w:t>
                              </w:r>
                            </w:p>
                            <w:p w14:paraId="0B4B28DD" w14:textId="77777777" w:rsidR="00A02889" w:rsidRDefault="00A02889">
                              <w:pPr>
                                <w:spacing w:before="52"/>
                                <w:rPr>
                                  <w:rFonts w:ascii="Calibri"/>
                                  <w:sz w:val="20"/>
                                </w:rPr>
                              </w:pPr>
                            </w:p>
                            <w:p w14:paraId="5D6B697F" w14:textId="77777777" w:rsidR="00A02889" w:rsidRDefault="00000000">
                              <w:pPr>
                                <w:spacing w:line="240" w:lineRule="exact"/>
                                <w:ind w:right="18"/>
                                <w:jc w:val="right"/>
                                <w:rPr>
                                  <w:rFonts w:ascii="Calibri"/>
                                  <w:sz w:val="20"/>
                                </w:rPr>
                              </w:pPr>
                              <w:r>
                                <w:rPr>
                                  <w:rFonts w:ascii="Calibri"/>
                                  <w:spacing w:val="-10"/>
                                  <w:sz w:val="20"/>
                                </w:rPr>
                                <w:t>0</w:t>
                              </w:r>
                            </w:p>
                          </w:txbxContent>
                        </wps:txbx>
                        <wps:bodyPr wrap="square" lIns="0" tIns="0" rIns="0" bIns="0" rtlCol="0">
                          <a:noAutofit/>
                        </wps:bodyPr>
                      </wps:wsp>
                      <wps:wsp>
                        <wps:cNvPr id="23" name="Textbox 23"/>
                        <wps:cNvSpPr txBox="1"/>
                        <wps:spPr>
                          <a:xfrm>
                            <a:off x="758062" y="3053969"/>
                            <a:ext cx="208279" cy="127000"/>
                          </a:xfrm>
                          <a:prstGeom prst="rect">
                            <a:avLst/>
                          </a:prstGeom>
                        </wps:spPr>
                        <wps:txbx>
                          <w:txbxContent>
                            <w:p w14:paraId="2DA2DB05" w14:textId="77777777" w:rsidR="00A02889" w:rsidRDefault="00000000">
                              <w:pPr>
                                <w:spacing w:line="199" w:lineRule="exact"/>
                                <w:rPr>
                                  <w:rFonts w:ascii="Calibri"/>
                                  <w:sz w:val="20"/>
                                </w:rPr>
                              </w:pPr>
                              <w:r>
                                <w:rPr>
                                  <w:rFonts w:ascii="Calibri"/>
                                  <w:spacing w:val="-5"/>
                                  <w:sz w:val="20"/>
                                </w:rPr>
                                <w:t>Age</w:t>
                              </w:r>
                            </w:p>
                          </w:txbxContent>
                        </wps:txbx>
                        <wps:bodyPr wrap="square" lIns="0" tIns="0" rIns="0" bIns="0" rtlCol="0">
                          <a:noAutofit/>
                        </wps:bodyPr>
                      </wps:wsp>
                      <wps:wsp>
                        <wps:cNvPr id="24" name="Textbox 24"/>
                        <wps:cNvSpPr txBox="1"/>
                        <wps:spPr>
                          <a:xfrm>
                            <a:off x="1589277" y="3053969"/>
                            <a:ext cx="396875" cy="127000"/>
                          </a:xfrm>
                          <a:prstGeom prst="rect">
                            <a:avLst/>
                          </a:prstGeom>
                        </wps:spPr>
                        <wps:txbx>
                          <w:txbxContent>
                            <w:p w14:paraId="67E99741" w14:textId="77777777" w:rsidR="00A02889" w:rsidRDefault="00000000">
                              <w:pPr>
                                <w:spacing w:line="199" w:lineRule="exact"/>
                                <w:rPr>
                                  <w:rFonts w:ascii="Calibri"/>
                                  <w:sz w:val="20"/>
                                </w:rPr>
                              </w:pPr>
                              <w:r>
                                <w:rPr>
                                  <w:rFonts w:ascii="Calibri"/>
                                  <w:spacing w:val="-2"/>
                                  <w:sz w:val="20"/>
                                </w:rPr>
                                <w:t>Gender</w:t>
                              </w:r>
                            </w:p>
                          </w:txbxContent>
                        </wps:txbx>
                        <wps:bodyPr wrap="square" lIns="0" tIns="0" rIns="0" bIns="0" rtlCol="0">
                          <a:noAutofit/>
                        </wps:bodyPr>
                      </wps:wsp>
                    </wpg:wgp>
                  </a:graphicData>
                </a:graphic>
              </wp:anchor>
            </w:drawing>
          </mc:Choice>
          <mc:Fallback>
            <w:pict>
              <v:group w14:anchorId="077C3368" id="Group 9" o:spid="_x0000_s1026" style="position:absolute;margin-left:89.2pt;margin-top:15.5pt;width:432.15pt;height:252.15pt;z-index:-15726592;mso-wrap-distance-left:0;mso-wrap-distance-right:0;mso-position-horizontal-relative:page" coordsize="54883,32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">
                <v:shape id="Graphic 10" o:spid="_x0000_s1027" style="position:absolute;left:3944;top:5482;width:36989;height:20561;visibility:visible;mso-wrap-style:square;v-text-anchor:top" coordsize="3698875,2056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" path="m,2055876r153924,em565404,2055876r513588,em1488948,2055876r2209800,em1488948,1712976r2209800,em,1712976r153924,em565404,1712976r513588,em359664,1370076r719328,em,1370076r153924,em1284732,1370076r2414016,em359664,1028700r719328,em1284732,1028700r2414016,em,1028700r153924,em,685800r153924,em1284732,685800r2414016,em359664,685800r719328,em,342900r153924,em359664,342900r719328,em1284732,342900r2414016,em,l1078992,em1284732,l3698748,e" filled="f" strokecolor="#858585" strokeweight=".72pt">
                  <v:path arrowok="t"/>
                </v:shape>
                <v:shape id="Graphic 11" o:spid="_x0000_s1028" style="position:absolute;left:3944;top:2053;width:36989;height:13;visibility:visible;mso-wrap-style:square;v-text-anchor:top" coordsize="3698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" path="m,l3698748,e" filled="f" strokecolor="#858585" strokeweight=".72pt">
                  <v:path arrowok="t"/>
                </v:shape>
                <v:shape id="Graphic 12" o:spid="_x0000_s1029" style="position:absolute;left:5483;top:4110;width:11310;height:25362;visibility:visible;mso-wrap-style:square;v-text-anchor:top" coordsize="1130935,2536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" path="m205740,137160l,137160,,2535936r205740,l205740,137160xem1130808,l925068,r,2535936l1130808,2535936,1130808,xe" fillcolor="#4f81bc" stroked="f">
                  <v:path arrowok="t"/>
                </v:shape>
                <v:shape id="Graphic 13" o:spid="_x0000_s1030" style="position:absolute;left:7541;top:20554;width:11296;height:8916;visibility:visible;mso-wrap-style:square;v-text-anchor:top" coordsize="1129665,891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" path="m205740,l,,,891540r205740,l205740,xem1129284,l925068,r,891540l1129284,891540,1129284,xe" fillcolor="#c0504d" stroked="f">
                  <v:path arrowok="t"/>
                </v:shape>
                <v:shape id="Graphic 14" o:spid="_x0000_s1031" style="position:absolute;left:9598;top:28098;width:2045;height:1372;visibility:visible;mso-wrap-style:square;v-text-anchor:top" coordsize="204470,137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" path="m204215,l,,,137159r204215,l204215,xe" fillcolor="#9bba58" stroked="f">
                  <v:path arrowok="t"/>
                </v:shape>
                <v:shape id="Graphic 15" o:spid="_x0000_s1032" style="position:absolute;left:3533;top:2053;width:37401;height:27813;visibility:visible;mso-wrap-style:square;v-text-anchor:top" coordsize="3740150,278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" path="m41147,2741676l41147,em,2741676r41147,em,2398776r41147,em,2055876r41147,em,1712976r41147,em,1371600r41147,em,1028700r41147,em,685800r41147,em,342900r41147,em,l41147,em41147,2741676r3698749,em41147,2741676r,39624em966216,2741676r,39624em1891284,2741676r,39624em2814828,2741676r,39624em3739896,2741676r,39624e" filled="f" strokecolor="#858585" strokeweight=".72pt">
                  <v:path arrowok="t"/>
                </v:shape>
                <v:shape id="Graphic 16" o:spid="_x0000_s1033" style="position:absolute;left:42334;top:13361;width:705;height:705;visibility:visible;mso-wrap-style:square;v-text-anchor:top" coordsize="70485,7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" path="m70103,l,,,70103r70103,l70103,xe" fillcolor="#4f81bc" stroked="f">
                  <v:path arrowok="t"/>
                </v:shape>
                <v:shape id="Graphic 17" o:spid="_x0000_s1034" style="position:absolute;left:42334;top:15662;width:705;height:705;visibility:visible;mso-wrap-style:square;v-text-anchor:top" coordsize="70485,7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" path="m70103,l,,,70103r70103,l70103,xe" fillcolor="#c0504d" stroked="f">
                  <v:path arrowok="t"/>
                </v:shape>
                <v:shape id="Graphic 18" o:spid="_x0000_s1035" style="position:absolute;left:42334;top:17964;width:705;height:704;visibility:visible;mso-wrap-style:square;v-text-anchor:top" coordsize="70485,7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" path="m70103,l,,,70103r70103,l70103,xe" fillcolor="#9bba58" stroked="f">
                  <v:path arrowok="t"/>
                </v:shape>
                <v:shape id="Graphic 19" o:spid="_x0000_s1036" style="position:absolute;left:8;top:8;width:54864;height:32004;visibility:visible;mso-wrap-style:square;v-text-anchor:top" coordsize="5486400,320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" path="m,3200400r5486400,l5486400,,,,,3200400xe" filled="f" strokecolor="#858585" strokeweight=".14pt">
                  <v:path arrowok="t"/>
                </v:shape>
                <v:shapetype id="_x0000_t202" coordsize="21600,21600" o:spt="202" path="m,l,21600r21600,l21600,xe">
                  <v:stroke joinstyle="miter"/>
                  <v:path gradientshapeok="t" o:connecttype="rect"/>
                </v:shapetype>
                <v:shape id="Textbox 20" o:spid="_x0000_s1037" type="#_x0000_t202" style="position:absolute;left:1473;top:1470;width:1409;height:18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67DEA6C7" w14:textId="77777777" w:rsidR="00A02889" w:rsidRDefault="00000000">
                        <w:pPr>
                          <w:spacing w:line="203" w:lineRule="exact"/>
                          <w:rPr>
                            <w:rFonts w:ascii="Calibri"/>
                            <w:sz w:val="20"/>
                          </w:rPr>
                        </w:pPr>
                        <w:r>
                          <w:rPr>
                            <w:rFonts w:ascii="Calibri"/>
                            <w:spacing w:val="-5"/>
                            <w:sz w:val="20"/>
                          </w:rPr>
                          <w:t>80</w:t>
                        </w:r>
                      </w:p>
                      <w:p w14:paraId="63B1187A" w14:textId="77777777" w:rsidR="00A02889" w:rsidRDefault="00A02889">
                        <w:pPr>
                          <w:spacing w:before="51"/>
                          <w:rPr>
                            <w:rFonts w:ascii="Calibri"/>
                            <w:sz w:val="20"/>
                          </w:rPr>
                        </w:pPr>
                      </w:p>
                      <w:p w14:paraId="1C04E7A6" w14:textId="77777777" w:rsidR="00A02889" w:rsidRDefault="00000000">
                        <w:pPr>
                          <w:rPr>
                            <w:rFonts w:ascii="Calibri"/>
                            <w:sz w:val="20"/>
                          </w:rPr>
                        </w:pPr>
                        <w:r>
                          <w:rPr>
                            <w:rFonts w:ascii="Calibri"/>
                            <w:spacing w:val="-5"/>
                            <w:sz w:val="20"/>
                          </w:rPr>
                          <w:t>70</w:t>
                        </w:r>
                      </w:p>
                      <w:p w14:paraId="0337914B" w14:textId="77777777" w:rsidR="00A02889" w:rsidRDefault="00A02889">
                        <w:pPr>
                          <w:spacing w:before="52"/>
                          <w:rPr>
                            <w:rFonts w:ascii="Calibri"/>
                            <w:sz w:val="20"/>
                          </w:rPr>
                        </w:pPr>
                      </w:p>
                      <w:p w14:paraId="05CD9063" w14:textId="77777777" w:rsidR="00A02889" w:rsidRDefault="00000000">
                        <w:pPr>
                          <w:rPr>
                            <w:rFonts w:ascii="Calibri"/>
                            <w:sz w:val="20"/>
                          </w:rPr>
                        </w:pPr>
                        <w:r>
                          <w:rPr>
                            <w:rFonts w:ascii="Calibri"/>
                            <w:spacing w:val="-5"/>
                            <w:sz w:val="20"/>
                          </w:rPr>
                          <w:t>60</w:t>
                        </w:r>
                      </w:p>
                      <w:p w14:paraId="3A28EAE7" w14:textId="77777777" w:rsidR="00A02889" w:rsidRDefault="00A02889">
                        <w:pPr>
                          <w:spacing w:before="51"/>
                          <w:rPr>
                            <w:rFonts w:ascii="Calibri"/>
                            <w:sz w:val="20"/>
                          </w:rPr>
                        </w:pPr>
                      </w:p>
                      <w:p w14:paraId="4EC86E95" w14:textId="77777777" w:rsidR="00A02889" w:rsidRDefault="00000000">
                        <w:pPr>
                          <w:rPr>
                            <w:rFonts w:ascii="Calibri"/>
                            <w:sz w:val="20"/>
                          </w:rPr>
                        </w:pPr>
                        <w:r>
                          <w:rPr>
                            <w:rFonts w:ascii="Calibri"/>
                            <w:spacing w:val="-5"/>
                            <w:sz w:val="20"/>
                          </w:rPr>
                          <w:t>50</w:t>
                        </w:r>
                      </w:p>
                      <w:p w14:paraId="7A473067" w14:textId="77777777" w:rsidR="00A02889" w:rsidRDefault="00A02889">
                        <w:pPr>
                          <w:spacing w:before="51"/>
                          <w:rPr>
                            <w:rFonts w:ascii="Calibri"/>
                            <w:sz w:val="20"/>
                          </w:rPr>
                        </w:pPr>
                      </w:p>
                      <w:p w14:paraId="1818DD4D" w14:textId="77777777" w:rsidR="00A02889" w:rsidRDefault="00000000">
                        <w:pPr>
                          <w:spacing w:before="1"/>
                          <w:rPr>
                            <w:rFonts w:ascii="Calibri"/>
                            <w:sz w:val="20"/>
                          </w:rPr>
                        </w:pPr>
                        <w:r>
                          <w:rPr>
                            <w:rFonts w:ascii="Calibri"/>
                            <w:spacing w:val="-5"/>
                            <w:sz w:val="20"/>
                          </w:rPr>
                          <w:t>40</w:t>
                        </w:r>
                      </w:p>
                      <w:p w14:paraId="0CEE8C72" w14:textId="77777777" w:rsidR="00A02889" w:rsidRDefault="00A02889">
                        <w:pPr>
                          <w:spacing w:before="51"/>
                          <w:rPr>
                            <w:rFonts w:ascii="Calibri"/>
                            <w:sz w:val="20"/>
                          </w:rPr>
                        </w:pPr>
                      </w:p>
                      <w:p w14:paraId="368EB11B" w14:textId="77777777" w:rsidR="00A02889" w:rsidRDefault="00000000">
                        <w:pPr>
                          <w:spacing w:line="240" w:lineRule="exact"/>
                          <w:rPr>
                            <w:rFonts w:ascii="Calibri"/>
                            <w:sz w:val="20"/>
                          </w:rPr>
                        </w:pPr>
                        <w:r>
                          <w:rPr>
                            <w:rFonts w:ascii="Calibri"/>
                            <w:spacing w:val="-5"/>
                            <w:sz w:val="20"/>
                          </w:rPr>
                          <w:t>30</w:t>
                        </w:r>
                      </w:p>
                    </w:txbxContent>
                  </v:textbox>
                </v:shape>
                <v:shape id="Textbox 21" o:spid="_x0000_s1038" type="#_x0000_t202" style="position:absolute;left:43340;top:13131;width:10382;height:5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2C81C412" w14:textId="77777777" w:rsidR="00A02889" w:rsidRDefault="00000000">
                        <w:pPr>
                          <w:spacing w:line="203" w:lineRule="exact"/>
                          <w:rPr>
                            <w:rFonts w:ascii="Calibri"/>
                            <w:sz w:val="20"/>
                          </w:rPr>
                        </w:pPr>
                        <w:r>
                          <w:rPr>
                            <w:rFonts w:ascii="Calibri"/>
                            <w:sz w:val="20"/>
                          </w:rPr>
                          <w:t>16-35</w:t>
                        </w:r>
                        <w:r>
                          <w:rPr>
                            <w:rFonts w:ascii="Calibri"/>
                            <w:spacing w:val="-7"/>
                            <w:sz w:val="20"/>
                          </w:rPr>
                          <w:t xml:space="preserve"> </w:t>
                        </w:r>
                        <w:r>
                          <w:rPr>
                            <w:rFonts w:ascii="Calibri"/>
                            <w:spacing w:val="-2"/>
                            <w:sz w:val="20"/>
                          </w:rPr>
                          <w:t>years/Male</w:t>
                        </w:r>
                      </w:p>
                      <w:p w14:paraId="094BA51C" w14:textId="77777777" w:rsidR="00A02889" w:rsidRDefault="00000000">
                        <w:pPr>
                          <w:spacing w:line="360" w:lineRule="atLeast"/>
                          <w:ind w:right="11"/>
                          <w:rPr>
                            <w:rFonts w:ascii="Calibri"/>
                            <w:sz w:val="20"/>
                          </w:rPr>
                        </w:pPr>
                        <w:r>
                          <w:rPr>
                            <w:rFonts w:ascii="Calibri"/>
                            <w:sz w:val="20"/>
                          </w:rPr>
                          <w:t>36-55</w:t>
                        </w:r>
                        <w:r>
                          <w:rPr>
                            <w:rFonts w:ascii="Calibri"/>
                            <w:spacing w:val="-12"/>
                            <w:sz w:val="20"/>
                          </w:rPr>
                          <w:t xml:space="preserve"> </w:t>
                        </w:r>
                        <w:r>
                          <w:rPr>
                            <w:rFonts w:ascii="Calibri"/>
                            <w:sz w:val="20"/>
                          </w:rPr>
                          <w:t>years/Female 56</w:t>
                        </w:r>
                        <w:r>
                          <w:rPr>
                            <w:rFonts w:ascii="Calibri"/>
                            <w:spacing w:val="-5"/>
                            <w:sz w:val="20"/>
                          </w:rPr>
                          <w:t xml:space="preserve"> </w:t>
                        </w:r>
                        <w:r>
                          <w:rPr>
                            <w:rFonts w:ascii="Calibri"/>
                            <w:sz w:val="20"/>
                          </w:rPr>
                          <w:t>and</w:t>
                        </w:r>
                        <w:r>
                          <w:rPr>
                            <w:rFonts w:ascii="Calibri"/>
                            <w:spacing w:val="-3"/>
                            <w:sz w:val="20"/>
                          </w:rPr>
                          <w:t xml:space="preserve"> </w:t>
                        </w:r>
                        <w:r>
                          <w:rPr>
                            <w:rFonts w:ascii="Calibri"/>
                            <w:sz w:val="20"/>
                          </w:rPr>
                          <w:t>above</w:t>
                        </w:r>
                        <w:r>
                          <w:rPr>
                            <w:rFonts w:ascii="Calibri"/>
                            <w:spacing w:val="-5"/>
                            <w:sz w:val="20"/>
                          </w:rPr>
                          <w:t xml:space="preserve"> </w:t>
                        </w:r>
                        <w:r>
                          <w:rPr>
                            <w:rFonts w:ascii="Calibri"/>
                            <w:spacing w:val="-2"/>
                            <w:sz w:val="20"/>
                          </w:rPr>
                          <w:t>years</w:t>
                        </w:r>
                      </w:p>
                    </w:txbxContent>
                  </v:textbox>
                </v:shape>
                <v:shape id="Textbox 22" o:spid="_x0000_s1039" type="#_x0000_t202" style="position:absolute;left:1473;top:22031;width:1416;height:8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3096A5D5" w14:textId="77777777" w:rsidR="00A02889" w:rsidRDefault="00000000">
                        <w:pPr>
                          <w:spacing w:line="203" w:lineRule="exact"/>
                          <w:ind w:right="18"/>
                          <w:jc w:val="right"/>
                          <w:rPr>
                            <w:rFonts w:ascii="Calibri"/>
                            <w:sz w:val="20"/>
                          </w:rPr>
                        </w:pPr>
                        <w:r>
                          <w:rPr>
                            <w:rFonts w:ascii="Calibri"/>
                            <w:spacing w:val="-5"/>
                            <w:sz w:val="20"/>
                          </w:rPr>
                          <w:t>20</w:t>
                        </w:r>
                      </w:p>
                      <w:p w14:paraId="1E64BBB1" w14:textId="77777777" w:rsidR="00A02889" w:rsidRDefault="00A02889">
                        <w:pPr>
                          <w:spacing w:before="51"/>
                          <w:rPr>
                            <w:rFonts w:ascii="Calibri"/>
                            <w:sz w:val="20"/>
                          </w:rPr>
                        </w:pPr>
                      </w:p>
                      <w:p w14:paraId="19812A94" w14:textId="77777777" w:rsidR="00A02889" w:rsidRDefault="00000000">
                        <w:pPr>
                          <w:rPr>
                            <w:rFonts w:ascii="Calibri"/>
                            <w:sz w:val="20"/>
                          </w:rPr>
                        </w:pPr>
                        <w:r>
                          <w:rPr>
                            <w:rFonts w:ascii="Calibri"/>
                            <w:spacing w:val="-5"/>
                            <w:sz w:val="20"/>
                          </w:rPr>
                          <w:t>10</w:t>
                        </w:r>
                      </w:p>
                      <w:p w14:paraId="0B4B28DD" w14:textId="77777777" w:rsidR="00A02889" w:rsidRDefault="00A02889">
                        <w:pPr>
                          <w:spacing w:before="52"/>
                          <w:rPr>
                            <w:rFonts w:ascii="Calibri"/>
                            <w:sz w:val="20"/>
                          </w:rPr>
                        </w:pPr>
                      </w:p>
                      <w:p w14:paraId="5D6B697F" w14:textId="77777777" w:rsidR="00A02889" w:rsidRDefault="00000000">
                        <w:pPr>
                          <w:spacing w:line="240" w:lineRule="exact"/>
                          <w:ind w:right="18"/>
                          <w:jc w:val="right"/>
                          <w:rPr>
                            <w:rFonts w:ascii="Calibri"/>
                            <w:sz w:val="20"/>
                          </w:rPr>
                        </w:pPr>
                        <w:r>
                          <w:rPr>
                            <w:rFonts w:ascii="Calibri"/>
                            <w:spacing w:val="-10"/>
                            <w:sz w:val="20"/>
                          </w:rPr>
                          <w:t>0</w:t>
                        </w:r>
                      </w:p>
                    </w:txbxContent>
                  </v:textbox>
                </v:shape>
                <v:shape id="Textbox 23" o:spid="_x0000_s1040" type="#_x0000_t202" style="position:absolute;left:7580;top:30539;width:2083;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2DA2DB05" w14:textId="77777777" w:rsidR="00A02889" w:rsidRDefault="00000000">
                        <w:pPr>
                          <w:spacing w:line="199" w:lineRule="exact"/>
                          <w:rPr>
                            <w:rFonts w:ascii="Calibri"/>
                            <w:sz w:val="20"/>
                          </w:rPr>
                        </w:pPr>
                        <w:r>
                          <w:rPr>
                            <w:rFonts w:ascii="Calibri"/>
                            <w:spacing w:val="-5"/>
                            <w:sz w:val="20"/>
                          </w:rPr>
                          <w:t>Age</w:t>
                        </w:r>
                      </w:p>
                    </w:txbxContent>
                  </v:textbox>
                </v:shape>
                <v:shape id="Textbox 24" o:spid="_x0000_s1041" type="#_x0000_t202" style="position:absolute;left:15892;top:30539;width:396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67E99741" w14:textId="77777777" w:rsidR="00A02889" w:rsidRDefault="00000000">
                        <w:pPr>
                          <w:spacing w:line="199" w:lineRule="exact"/>
                          <w:rPr>
                            <w:rFonts w:ascii="Calibri"/>
                            <w:sz w:val="20"/>
                          </w:rPr>
                        </w:pPr>
                        <w:r>
                          <w:rPr>
                            <w:rFonts w:ascii="Calibri"/>
                            <w:spacing w:val="-2"/>
                            <w:sz w:val="20"/>
                          </w:rPr>
                          <w:t>Gender</w:t>
                        </w:r>
                      </w:p>
                    </w:txbxContent>
                  </v:textbox>
                </v:shape>
                <w10:wrap type="topAndBottom" anchorx="page"/>
              </v:group>
            </w:pict>
          </mc:Fallback>
        </mc:AlternateContent>
      </w:r>
    </w:p>
    <w:p w14:paraId="40931F31" w14:textId="77777777" w:rsidR="00A02889" w:rsidRDefault="00A02889">
      <w:pPr>
        <w:pStyle w:val="BodyText"/>
        <w:rPr>
          <w:b/>
        </w:rPr>
      </w:pPr>
    </w:p>
    <w:p w14:paraId="67206AAC" w14:textId="77777777" w:rsidR="00A02889" w:rsidRDefault="00A02889">
      <w:pPr>
        <w:pStyle w:val="BodyText"/>
        <w:spacing w:before="26"/>
        <w:rPr>
          <w:b/>
        </w:rPr>
      </w:pPr>
    </w:p>
    <w:p w14:paraId="61A93A73" w14:textId="77777777" w:rsidR="00A02889" w:rsidRDefault="00000000">
      <w:pPr>
        <w:pStyle w:val="BodyText"/>
        <w:spacing w:line="480" w:lineRule="auto"/>
        <w:ind w:left="720" w:right="713"/>
        <w:jc w:val="both"/>
      </w:pPr>
      <w:r>
        <w:t>The age distribution of respondents indicates that 35 individuals (70%) were within the 16–35 years age group, 13 individuals (26%) were aged 36–55 years, while only 2 individuals (4%) were</w:t>
      </w:r>
      <w:r>
        <w:rPr>
          <w:spacing w:val="2"/>
        </w:rPr>
        <w:t xml:space="preserve"> </w:t>
      </w:r>
      <w:r>
        <w:t>above</w:t>
      </w:r>
      <w:r>
        <w:rPr>
          <w:spacing w:val="6"/>
        </w:rPr>
        <w:t xml:space="preserve"> </w:t>
      </w:r>
      <w:r>
        <w:t>55</w:t>
      </w:r>
      <w:r>
        <w:rPr>
          <w:spacing w:val="9"/>
        </w:rPr>
        <w:t xml:space="preserve"> </w:t>
      </w:r>
      <w:r>
        <w:t>years.</w:t>
      </w:r>
      <w:r>
        <w:rPr>
          <w:spacing w:val="5"/>
        </w:rPr>
        <w:t xml:space="preserve"> </w:t>
      </w:r>
      <w:r>
        <w:t>This</w:t>
      </w:r>
      <w:r>
        <w:rPr>
          <w:spacing w:val="7"/>
        </w:rPr>
        <w:t xml:space="preserve"> </w:t>
      </w:r>
      <w:r>
        <w:t>suggests</w:t>
      </w:r>
      <w:r>
        <w:rPr>
          <w:spacing w:val="7"/>
        </w:rPr>
        <w:t xml:space="preserve"> </w:t>
      </w:r>
      <w:r>
        <w:t>that</w:t>
      </w:r>
      <w:r>
        <w:rPr>
          <w:spacing w:val="5"/>
        </w:rPr>
        <w:t xml:space="preserve"> </w:t>
      </w:r>
      <w:r>
        <w:t>the</w:t>
      </w:r>
      <w:r>
        <w:rPr>
          <w:spacing w:val="6"/>
        </w:rPr>
        <w:t xml:space="preserve"> </w:t>
      </w:r>
      <w:r>
        <w:t>majority</w:t>
      </w:r>
      <w:r>
        <w:rPr>
          <w:spacing w:val="-1"/>
        </w:rPr>
        <w:t xml:space="preserve"> </w:t>
      </w:r>
      <w:r>
        <w:t>of</w:t>
      </w:r>
      <w:r>
        <w:rPr>
          <w:spacing w:val="6"/>
        </w:rPr>
        <w:t xml:space="preserve"> </w:t>
      </w:r>
      <w:r>
        <w:t>antacid</w:t>
      </w:r>
      <w:r>
        <w:rPr>
          <w:spacing w:val="6"/>
        </w:rPr>
        <w:t xml:space="preserve"> </w:t>
      </w:r>
      <w:r>
        <w:t>users</w:t>
      </w:r>
      <w:r>
        <w:rPr>
          <w:spacing w:val="6"/>
        </w:rPr>
        <w:t xml:space="preserve"> </w:t>
      </w:r>
      <w:r>
        <w:t>in</w:t>
      </w:r>
      <w:r>
        <w:rPr>
          <w:spacing w:val="7"/>
        </w:rPr>
        <w:t xml:space="preserve"> </w:t>
      </w:r>
      <w:r>
        <w:t>the</w:t>
      </w:r>
      <w:r>
        <w:rPr>
          <w:spacing w:val="3"/>
        </w:rPr>
        <w:t xml:space="preserve"> </w:t>
      </w:r>
      <w:r>
        <w:t>study</w:t>
      </w:r>
      <w:r>
        <w:rPr>
          <w:spacing w:val="2"/>
        </w:rPr>
        <w:t xml:space="preserve"> </w:t>
      </w:r>
      <w:r>
        <w:t>area</w:t>
      </w:r>
      <w:r>
        <w:rPr>
          <w:spacing w:val="6"/>
        </w:rPr>
        <w:t xml:space="preserve"> </w:t>
      </w:r>
      <w:r>
        <w:t>are</w:t>
      </w:r>
      <w:r>
        <w:rPr>
          <w:spacing w:val="8"/>
        </w:rPr>
        <w:t xml:space="preserve"> </w:t>
      </w:r>
      <w:r>
        <w:rPr>
          <w:spacing w:val="-2"/>
        </w:rPr>
        <w:t>young</w:t>
      </w:r>
    </w:p>
    <w:p w14:paraId="3434322F"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5175F7D6" w14:textId="77777777" w:rsidR="00A02889" w:rsidRDefault="00000000">
      <w:pPr>
        <w:pStyle w:val="BodyText"/>
        <w:spacing w:before="72" w:line="480" w:lineRule="auto"/>
        <w:ind w:left="720" w:right="718"/>
        <w:jc w:val="both"/>
      </w:pPr>
      <w:r>
        <w:lastRenderedPageBreak/>
        <w:t xml:space="preserve">adults. Gender distribution revealed that 37 respondents (74%) were male, and 13 respondents (26%) were female, indicating a male predominance in the sample. This aligns with previous studies suggesting that gastrointestinal symptoms such as acid reflux and dyspepsia are slightly more prevalent among males due to higher consumption of spicy foods, alcohol, and tobacco (Garg </w:t>
      </w:r>
      <w:r>
        <w:rPr>
          <w:i/>
        </w:rPr>
        <w:t xml:space="preserve">et al., </w:t>
      </w:r>
      <w:r>
        <w:t>2022).</w:t>
      </w:r>
    </w:p>
    <w:p w14:paraId="35B1A083"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7A679E46" w14:textId="77777777" w:rsidR="00A02889" w:rsidRDefault="00000000">
      <w:pPr>
        <w:pStyle w:val="Heading2"/>
        <w:spacing w:before="76"/>
        <w:ind w:left="720" w:firstLine="0"/>
      </w:pPr>
      <w:bookmarkStart w:id="72" w:name="_bookmark72"/>
      <w:bookmarkEnd w:id="72"/>
      <w:r>
        <w:lastRenderedPageBreak/>
        <w:t>Table</w:t>
      </w:r>
      <w:r>
        <w:rPr>
          <w:spacing w:val="-3"/>
        </w:rPr>
        <w:t xml:space="preserve"> </w:t>
      </w:r>
      <w:r>
        <w:t>4.5:</w:t>
      </w:r>
      <w:r>
        <w:rPr>
          <w:spacing w:val="-2"/>
        </w:rPr>
        <w:t xml:space="preserve"> </w:t>
      </w:r>
      <w:r>
        <w:t>Health</w:t>
      </w:r>
      <w:r>
        <w:rPr>
          <w:spacing w:val="-1"/>
        </w:rPr>
        <w:t xml:space="preserve"> </w:t>
      </w:r>
      <w:r>
        <w:t>and</w:t>
      </w:r>
      <w:r>
        <w:rPr>
          <w:spacing w:val="-1"/>
        </w:rPr>
        <w:t xml:space="preserve"> </w:t>
      </w:r>
      <w:r>
        <w:t>Symptom</w:t>
      </w:r>
      <w:r>
        <w:rPr>
          <w:spacing w:val="-2"/>
        </w:rPr>
        <w:t xml:space="preserve"> History</w:t>
      </w:r>
    </w:p>
    <w:p w14:paraId="742FD7B7" w14:textId="77777777" w:rsidR="00A02889" w:rsidRDefault="00A02889">
      <w:pPr>
        <w:pStyle w:val="BodyText"/>
        <w:rPr>
          <w:b/>
          <w:sz w:val="20"/>
        </w:rPr>
      </w:pPr>
    </w:p>
    <w:p w14:paraId="6A738415" w14:textId="77777777" w:rsidR="00A02889" w:rsidRDefault="00A02889">
      <w:pPr>
        <w:pStyle w:val="BodyText"/>
        <w:spacing w:before="132"/>
        <w:rPr>
          <w:b/>
          <w:sz w:val="20"/>
        </w:rPr>
      </w:pPr>
    </w:p>
    <w:tbl>
      <w:tblPr>
        <w:tblW w:w="0" w:type="auto"/>
        <w:tblInd w:w="1018" w:type="dxa"/>
        <w:tblLayout w:type="fixed"/>
        <w:tblCellMar>
          <w:left w:w="0" w:type="dxa"/>
          <w:right w:w="0" w:type="dxa"/>
        </w:tblCellMar>
        <w:tblLook w:val="01E0" w:firstRow="1" w:lastRow="1" w:firstColumn="1" w:lastColumn="1" w:noHBand="0" w:noVBand="0"/>
      </w:tblPr>
      <w:tblGrid>
        <w:gridCol w:w="3874"/>
        <w:gridCol w:w="1621"/>
        <w:gridCol w:w="1366"/>
        <w:gridCol w:w="1918"/>
      </w:tblGrid>
      <w:tr w:rsidR="00A02889" w14:paraId="39E835A9" w14:textId="77777777">
        <w:trPr>
          <w:trHeight w:val="577"/>
        </w:trPr>
        <w:tc>
          <w:tcPr>
            <w:tcW w:w="3874" w:type="dxa"/>
            <w:tcBorders>
              <w:top w:val="single" w:sz="4" w:space="0" w:color="000000"/>
              <w:bottom w:val="single" w:sz="4" w:space="0" w:color="000000"/>
            </w:tcBorders>
          </w:tcPr>
          <w:p w14:paraId="6C9F1C87" w14:textId="77777777" w:rsidR="00A02889" w:rsidRDefault="00000000">
            <w:pPr>
              <w:pStyle w:val="TableParagraph"/>
              <w:spacing w:before="11"/>
              <w:ind w:left="291"/>
              <w:jc w:val="center"/>
              <w:rPr>
                <w:b/>
                <w:sz w:val="24"/>
              </w:rPr>
            </w:pPr>
            <w:r>
              <w:rPr>
                <w:b/>
                <w:spacing w:val="-2"/>
                <w:sz w:val="24"/>
              </w:rPr>
              <w:t>Question</w:t>
            </w:r>
          </w:p>
        </w:tc>
        <w:tc>
          <w:tcPr>
            <w:tcW w:w="1621" w:type="dxa"/>
            <w:tcBorders>
              <w:top w:val="single" w:sz="4" w:space="0" w:color="000000"/>
              <w:bottom w:val="single" w:sz="4" w:space="0" w:color="000000"/>
            </w:tcBorders>
          </w:tcPr>
          <w:p w14:paraId="2F164D65" w14:textId="77777777" w:rsidR="00A02889" w:rsidRDefault="00000000">
            <w:pPr>
              <w:pStyle w:val="TableParagraph"/>
              <w:spacing w:before="11"/>
              <w:ind w:right="147"/>
              <w:jc w:val="right"/>
              <w:rPr>
                <w:b/>
                <w:sz w:val="24"/>
              </w:rPr>
            </w:pPr>
            <w:r>
              <w:rPr>
                <w:b/>
                <w:spacing w:val="-2"/>
                <w:sz w:val="24"/>
              </w:rPr>
              <w:t>Response</w:t>
            </w:r>
          </w:p>
        </w:tc>
        <w:tc>
          <w:tcPr>
            <w:tcW w:w="1366" w:type="dxa"/>
            <w:tcBorders>
              <w:top w:val="single" w:sz="4" w:space="0" w:color="000000"/>
              <w:bottom w:val="single" w:sz="4" w:space="0" w:color="000000"/>
            </w:tcBorders>
          </w:tcPr>
          <w:p w14:paraId="05A3FA54" w14:textId="77777777" w:rsidR="00A02889" w:rsidRDefault="00000000">
            <w:pPr>
              <w:pStyle w:val="TableParagraph"/>
              <w:spacing w:before="11"/>
              <w:ind w:left="29" w:right="3"/>
              <w:jc w:val="center"/>
              <w:rPr>
                <w:b/>
                <w:sz w:val="24"/>
              </w:rPr>
            </w:pPr>
            <w:r>
              <w:rPr>
                <w:b/>
                <w:spacing w:val="-2"/>
                <w:sz w:val="24"/>
              </w:rPr>
              <w:t>Frequency</w:t>
            </w:r>
          </w:p>
        </w:tc>
        <w:tc>
          <w:tcPr>
            <w:tcW w:w="1918" w:type="dxa"/>
            <w:tcBorders>
              <w:top w:val="single" w:sz="4" w:space="0" w:color="000000"/>
              <w:bottom w:val="single" w:sz="4" w:space="0" w:color="000000"/>
            </w:tcBorders>
          </w:tcPr>
          <w:p w14:paraId="7EC72BCC" w14:textId="77777777" w:rsidR="00A02889" w:rsidRDefault="00000000">
            <w:pPr>
              <w:pStyle w:val="TableParagraph"/>
              <w:spacing w:before="11"/>
              <w:ind w:right="72"/>
              <w:jc w:val="center"/>
              <w:rPr>
                <w:b/>
                <w:sz w:val="24"/>
              </w:rPr>
            </w:pPr>
            <w:r>
              <w:rPr>
                <w:b/>
                <w:sz w:val="24"/>
              </w:rPr>
              <w:t>Percentage</w:t>
            </w:r>
            <w:r>
              <w:rPr>
                <w:b/>
                <w:spacing w:val="-5"/>
                <w:sz w:val="24"/>
              </w:rPr>
              <w:t xml:space="preserve"> (%)</w:t>
            </w:r>
          </w:p>
        </w:tc>
      </w:tr>
      <w:tr w:rsidR="00A02889" w14:paraId="3FB45C29" w14:textId="77777777">
        <w:trPr>
          <w:trHeight w:val="488"/>
        </w:trPr>
        <w:tc>
          <w:tcPr>
            <w:tcW w:w="3874" w:type="dxa"/>
            <w:tcBorders>
              <w:top w:val="single" w:sz="4" w:space="0" w:color="000000"/>
            </w:tcBorders>
          </w:tcPr>
          <w:p w14:paraId="1C5F5450" w14:textId="77777777" w:rsidR="00A02889" w:rsidRDefault="00000000">
            <w:pPr>
              <w:pStyle w:val="TableParagraph"/>
              <w:spacing w:before="39"/>
              <w:ind w:left="45"/>
              <w:rPr>
                <w:sz w:val="24"/>
              </w:rPr>
            </w:pPr>
            <w:r>
              <w:rPr>
                <w:sz w:val="24"/>
              </w:rPr>
              <w:t>Experience</w:t>
            </w:r>
            <w:r>
              <w:rPr>
                <w:spacing w:val="-3"/>
                <w:sz w:val="24"/>
              </w:rPr>
              <w:t xml:space="preserve"> </w:t>
            </w:r>
            <w:r>
              <w:rPr>
                <w:sz w:val="24"/>
              </w:rPr>
              <w:t>acid-related</w:t>
            </w:r>
            <w:r>
              <w:rPr>
                <w:spacing w:val="-2"/>
                <w:sz w:val="24"/>
              </w:rPr>
              <w:t xml:space="preserve"> disorders?</w:t>
            </w:r>
          </w:p>
        </w:tc>
        <w:tc>
          <w:tcPr>
            <w:tcW w:w="1621" w:type="dxa"/>
            <w:tcBorders>
              <w:top w:val="single" w:sz="4" w:space="0" w:color="000000"/>
            </w:tcBorders>
          </w:tcPr>
          <w:p w14:paraId="10323238" w14:textId="77777777" w:rsidR="00A02889" w:rsidRDefault="00000000">
            <w:pPr>
              <w:pStyle w:val="TableParagraph"/>
              <w:spacing w:before="39"/>
              <w:ind w:left="804"/>
              <w:rPr>
                <w:sz w:val="24"/>
              </w:rPr>
            </w:pPr>
            <w:r>
              <w:rPr>
                <w:spacing w:val="-5"/>
                <w:sz w:val="24"/>
              </w:rPr>
              <w:t>Yes</w:t>
            </w:r>
          </w:p>
        </w:tc>
        <w:tc>
          <w:tcPr>
            <w:tcW w:w="1366" w:type="dxa"/>
            <w:tcBorders>
              <w:top w:val="single" w:sz="4" w:space="0" w:color="000000"/>
            </w:tcBorders>
          </w:tcPr>
          <w:p w14:paraId="70BD47D0" w14:textId="77777777" w:rsidR="00A02889" w:rsidRDefault="00000000">
            <w:pPr>
              <w:pStyle w:val="TableParagraph"/>
              <w:spacing w:before="39"/>
              <w:ind w:left="29"/>
              <w:jc w:val="center"/>
              <w:rPr>
                <w:sz w:val="24"/>
              </w:rPr>
            </w:pPr>
            <w:r>
              <w:rPr>
                <w:spacing w:val="-5"/>
                <w:sz w:val="24"/>
              </w:rPr>
              <w:t>49</w:t>
            </w:r>
          </w:p>
        </w:tc>
        <w:tc>
          <w:tcPr>
            <w:tcW w:w="1918" w:type="dxa"/>
            <w:tcBorders>
              <w:top w:val="single" w:sz="4" w:space="0" w:color="000000"/>
            </w:tcBorders>
          </w:tcPr>
          <w:p w14:paraId="2878DC9E" w14:textId="77777777" w:rsidR="00A02889" w:rsidRDefault="00000000">
            <w:pPr>
              <w:pStyle w:val="TableParagraph"/>
              <w:spacing w:before="39"/>
              <w:ind w:left="4" w:right="72"/>
              <w:jc w:val="center"/>
              <w:rPr>
                <w:sz w:val="24"/>
              </w:rPr>
            </w:pPr>
            <w:r>
              <w:rPr>
                <w:spacing w:val="-5"/>
                <w:sz w:val="24"/>
              </w:rPr>
              <w:t>98</w:t>
            </w:r>
          </w:p>
        </w:tc>
      </w:tr>
      <w:tr w:rsidR="00A02889" w14:paraId="1178F15F" w14:textId="77777777">
        <w:trPr>
          <w:trHeight w:val="612"/>
        </w:trPr>
        <w:tc>
          <w:tcPr>
            <w:tcW w:w="3874" w:type="dxa"/>
          </w:tcPr>
          <w:p w14:paraId="054064AB" w14:textId="77777777" w:rsidR="00A02889" w:rsidRDefault="00A02889">
            <w:pPr>
              <w:pStyle w:val="TableParagraph"/>
              <w:spacing w:before="0"/>
              <w:rPr>
                <w:sz w:val="24"/>
              </w:rPr>
            </w:pPr>
          </w:p>
        </w:tc>
        <w:tc>
          <w:tcPr>
            <w:tcW w:w="1621" w:type="dxa"/>
          </w:tcPr>
          <w:p w14:paraId="1262AA72" w14:textId="77777777" w:rsidR="00A02889" w:rsidRDefault="00000000">
            <w:pPr>
              <w:pStyle w:val="TableParagraph"/>
              <w:ind w:left="844"/>
              <w:rPr>
                <w:sz w:val="24"/>
              </w:rPr>
            </w:pPr>
            <w:r>
              <w:rPr>
                <w:spacing w:val="-5"/>
                <w:sz w:val="24"/>
              </w:rPr>
              <w:t>No</w:t>
            </w:r>
          </w:p>
        </w:tc>
        <w:tc>
          <w:tcPr>
            <w:tcW w:w="1366" w:type="dxa"/>
          </w:tcPr>
          <w:p w14:paraId="6E31A556" w14:textId="77777777" w:rsidR="00A02889" w:rsidRDefault="00000000">
            <w:pPr>
              <w:pStyle w:val="TableParagraph"/>
              <w:ind w:left="29"/>
              <w:jc w:val="center"/>
              <w:rPr>
                <w:sz w:val="24"/>
              </w:rPr>
            </w:pPr>
            <w:r>
              <w:rPr>
                <w:spacing w:val="-10"/>
                <w:sz w:val="24"/>
              </w:rPr>
              <w:t>1</w:t>
            </w:r>
          </w:p>
        </w:tc>
        <w:tc>
          <w:tcPr>
            <w:tcW w:w="1918" w:type="dxa"/>
          </w:tcPr>
          <w:p w14:paraId="01A0D0DA" w14:textId="77777777" w:rsidR="00A02889" w:rsidRDefault="00000000">
            <w:pPr>
              <w:pStyle w:val="TableParagraph"/>
              <w:ind w:left="4" w:right="72"/>
              <w:jc w:val="center"/>
              <w:rPr>
                <w:sz w:val="24"/>
              </w:rPr>
            </w:pPr>
            <w:r>
              <w:rPr>
                <w:spacing w:val="-10"/>
                <w:sz w:val="24"/>
              </w:rPr>
              <w:t>2</w:t>
            </w:r>
          </w:p>
        </w:tc>
      </w:tr>
      <w:tr w:rsidR="00A02889" w14:paraId="5E45EEF0" w14:textId="77777777">
        <w:trPr>
          <w:trHeight w:val="611"/>
        </w:trPr>
        <w:tc>
          <w:tcPr>
            <w:tcW w:w="3874" w:type="dxa"/>
          </w:tcPr>
          <w:p w14:paraId="67D08980" w14:textId="77777777" w:rsidR="00A02889" w:rsidRDefault="00000000">
            <w:pPr>
              <w:pStyle w:val="TableParagraph"/>
              <w:ind w:left="45"/>
              <w:rPr>
                <w:sz w:val="24"/>
              </w:rPr>
            </w:pPr>
            <w:r>
              <w:rPr>
                <w:sz w:val="24"/>
              </w:rPr>
              <w:t>Frequency</w:t>
            </w:r>
            <w:r>
              <w:rPr>
                <w:spacing w:val="-5"/>
                <w:sz w:val="24"/>
              </w:rPr>
              <w:t xml:space="preserve"> </w:t>
            </w:r>
            <w:r>
              <w:rPr>
                <w:sz w:val="24"/>
              </w:rPr>
              <w:t xml:space="preserve">of </w:t>
            </w:r>
            <w:r>
              <w:rPr>
                <w:spacing w:val="-2"/>
                <w:sz w:val="24"/>
              </w:rPr>
              <w:t>symptoms</w:t>
            </w:r>
          </w:p>
        </w:tc>
        <w:tc>
          <w:tcPr>
            <w:tcW w:w="1621" w:type="dxa"/>
          </w:tcPr>
          <w:p w14:paraId="4637DD7C" w14:textId="77777777" w:rsidR="00A02889" w:rsidRDefault="00000000">
            <w:pPr>
              <w:pStyle w:val="TableParagraph"/>
              <w:ind w:left="724"/>
              <w:rPr>
                <w:sz w:val="24"/>
              </w:rPr>
            </w:pPr>
            <w:r>
              <w:rPr>
                <w:spacing w:val="-2"/>
                <w:sz w:val="24"/>
              </w:rPr>
              <w:t>Daily</w:t>
            </w:r>
          </w:p>
        </w:tc>
        <w:tc>
          <w:tcPr>
            <w:tcW w:w="1366" w:type="dxa"/>
          </w:tcPr>
          <w:p w14:paraId="6838C871" w14:textId="77777777" w:rsidR="00A02889" w:rsidRDefault="00000000">
            <w:pPr>
              <w:pStyle w:val="TableParagraph"/>
              <w:ind w:left="29"/>
              <w:jc w:val="center"/>
              <w:rPr>
                <w:sz w:val="24"/>
              </w:rPr>
            </w:pPr>
            <w:r>
              <w:rPr>
                <w:spacing w:val="-10"/>
                <w:sz w:val="24"/>
              </w:rPr>
              <w:t>0</w:t>
            </w:r>
          </w:p>
        </w:tc>
        <w:tc>
          <w:tcPr>
            <w:tcW w:w="1918" w:type="dxa"/>
          </w:tcPr>
          <w:p w14:paraId="656E948E" w14:textId="77777777" w:rsidR="00A02889" w:rsidRDefault="00000000">
            <w:pPr>
              <w:pStyle w:val="TableParagraph"/>
              <w:ind w:left="4" w:right="72"/>
              <w:jc w:val="center"/>
              <w:rPr>
                <w:sz w:val="24"/>
              </w:rPr>
            </w:pPr>
            <w:r>
              <w:rPr>
                <w:spacing w:val="-10"/>
                <w:sz w:val="24"/>
              </w:rPr>
              <w:t>0</w:t>
            </w:r>
          </w:p>
        </w:tc>
      </w:tr>
      <w:tr w:rsidR="00A02889" w14:paraId="006177E8" w14:textId="77777777">
        <w:trPr>
          <w:trHeight w:val="612"/>
        </w:trPr>
        <w:tc>
          <w:tcPr>
            <w:tcW w:w="3874" w:type="dxa"/>
          </w:tcPr>
          <w:p w14:paraId="3BEC67D8" w14:textId="77777777" w:rsidR="00A02889" w:rsidRDefault="00A02889">
            <w:pPr>
              <w:pStyle w:val="TableParagraph"/>
              <w:spacing w:before="0"/>
              <w:rPr>
                <w:sz w:val="24"/>
              </w:rPr>
            </w:pPr>
          </w:p>
        </w:tc>
        <w:tc>
          <w:tcPr>
            <w:tcW w:w="1621" w:type="dxa"/>
          </w:tcPr>
          <w:p w14:paraId="7758B091" w14:textId="77777777" w:rsidR="00A02889" w:rsidRDefault="00000000">
            <w:pPr>
              <w:pStyle w:val="TableParagraph"/>
              <w:ind w:right="251"/>
              <w:jc w:val="right"/>
              <w:rPr>
                <w:sz w:val="24"/>
              </w:rPr>
            </w:pPr>
            <w:r>
              <w:rPr>
                <w:spacing w:val="-2"/>
                <w:sz w:val="24"/>
              </w:rPr>
              <w:t>Weekly</w:t>
            </w:r>
          </w:p>
        </w:tc>
        <w:tc>
          <w:tcPr>
            <w:tcW w:w="1366" w:type="dxa"/>
          </w:tcPr>
          <w:p w14:paraId="207AA87C" w14:textId="77777777" w:rsidR="00A02889" w:rsidRDefault="00000000">
            <w:pPr>
              <w:pStyle w:val="TableParagraph"/>
              <w:ind w:left="29"/>
              <w:jc w:val="center"/>
              <w:rPr>
                <w:sz w:val="24"/>
              </w:rPr>
            </w:pPr>
            <w:r>
              <w:rPr>
                <w:spacing w:val="-10"/>
                <w:sz w:val="24"/>
              </w:rPr>
              <w:t>0</w:t>
            </w:r>
          </w:p>
        </w:tc>
        <w:tc>
          <w:tcPr>
            <w:tcW w:w="1918" w:type="dxa"/>
          </w:tcPr>
          <w:p w14:paraId="1C9E4FA0" w14:textId="77777777" w:rsidR="00A02889" w:rsidRDefault="00000000">
            <w:pPr>
              <w:pStyle w:val="TableParagraph"/>
              <w:ind w:left="4" w:right="72"/>
              <w:jc w:val="center"/>
              <w:rPr>
                <w:sz w:val="24"/>
              </w:rPr>
            </w:pPr>
            <w:r>
              <w:rPr>
                <w:spacing w:val="-10"/>
                <w:sz w:val="24"/>
              </w:rPr>
              <w:t>0</w:t>
            </w:r>
          </w:p>
        </w:tc>
      </w:tr>
      <w:tr w:rsidR="00A02889" w14:paraId="262A2E7D" w14:textId="77777777">
        <w:trPr>
          <w:trHeight w:val="612"/>
        </w:trPr>
        <w:tc>
          <w:tcPr>
            <w:tcW w:w="3874" w:type="dxa"/>
          </w:tcPr>
          <w:p w14:paraId="3641BD66" w14:textId="77777777" w:rsidR="00A02889" w:rsidRDefault="00A02889">
            <w:pPr>
              <w:pStyle w:val="TableParagraph"/>
              <w:spacing w:before="0"/>
              <w:rPr>
                <w:sz w:val="24"/>
              </w:rPr>
            </w:pPr>
          </w:p>
        </w:tc>
        <w:tc>
          <w:tcPr>
            <w:tcW w:w="1621" w:type="dxa"/>
          </w:tcPr>
          <w:p w14:paraId="130BBBCA" w14:textId="77777777" w:rsidR="00A02889" w:rsidRDefault="00000000">
            <w:pPr>
              <w:pStyle w:val="TableParagraph"/>
              <w:ind w:right="210"/>
              <w:jc w:val="right"/>
              <w:rPr>
                <w:sz w:val="24"/>
              </w:rPr>
            </w:pPr>
            <w:r>
              <w:rPr>
                <w:spacing w:val="-2"/>
                <w:sz w:val="24"/>
              </w:rPr>
              <w:t>Monthly</w:t>
            </w:r>
          </w:p>
        </w:tc>
        <w:tc>
          <w:tcPr>
            <w:tcW w:w="1366" w:type="dxa"/>
          </w:tcPr>
          <w:p w14:paraId="442FEC0E" w14:textId="77777777" w:rsidR="00A02889" w:rsidRDefault="00000000">
            <w:pPr>
              <w:pStyle w:val="TableParagraph"/>
              <w:ind w:left="29"/>
              <w:jc w:val="center"/>
              <w:rPr>
                <w:sz w:val="24"/>
              </w:rPr>
            </w:pPr>
            <w:r>
              <w:rPr>
                <w:spacing w:val="-10"/>
                <w:sz w:val="24"/>
              </w:rPr>
              <w:t>7</w:t>
            </w:r>
          </w:p>
        </w:tc>
        <w:tc>
          <w:tcPr>
            <w:tcW w:w="1918" w:type="dxa"/>
          </w:tcPr>
          <w:p w14:paraId="7D7FAD59" w14:textId="77777777" w:rsidR="00A02889" w:rsidRDefault="00000000">
            <w:pPr>
              <w:pStyle w:val="TableParagraph"/>
              <w:ind w:left="4" w:right="72"/>
              <w:jc w:val="center"/>
              <w:rPr>
                <w:sz w:val="24"/>
              </w:rPr>
            </w:pPr>
            <w:r>
              <w:rPr>
                <w:spacing w:val="-5"/>
                <w:sz w:val="24"/>
              </w:rPr>
              <w:t>14</w:t>
            </w:r>
          </w:p>
        </w:tc>
      </w:tr>
      <w:tr w:rsidR="00A02889" w14:paraId="5679C184" w14:textId="77777777">
        <w:trPr>
          <w:trHeight w:val="737"/>
        </w:trPr>
        <w:tc>
          <w:tcPr>
            <w:tcW w:w="3874" w:type="dxa"/>
            <w:tcBorders>
              <w:bottom w:val="single" w:sz="4" w:space="0" w:color="000000"/>
            </w:tcBorders>
          </w:tcPr>
          <w:p w14:paraId="3B462E54" w14:textId="77777777" w:rsidR="00A02889" w:rsidRDefault="00A02889">
            <w:pPr>
              <w:pStyle w:val="TableParagraph"/>
              <w:spacing w:before="0"/>
              <w:rPr>
                <w:sz w:val="24"/>
              </w:rPr>
            </w:pPr>
          </w:p>
        </w:tc>
        <w:tc>
          <w:tcPr>
            <w:tcW w:w="1621" w:type="dxa"/>
            <w:tcBorders>
              <w:bottom w:val="single" w:sz="4" w:space="0" w:color="000000"/>
            </w:tcBorders>
          </w:tcPr>
          <w:p w14:paraId="0E6C19D8" w14:textId="77777777" w:rsidR="00A02889" w:rsidRDefault="00000000">
            <w:pPr>
              <w:pStyle w:val="TableParagraph"/>
              <w:ind w:left="672"/>
              <w:rPr>
                <w:sz w:val="24"/>
              </w:rPr>
            </w:pPr>
            <w:r>
              <w:rPr>
                <w:spacing w:val="-2"/>
                <w:sz w:val="24"/>
              </w:rPr>
              <w:t>Rarely</w:t>
            </w:r>
          </w:p>
        </w:tc>
        <w:tc>
          <w:tcPr>
            <w:tcW w:w="1366" w:type="dxa"/>
            <w:tcBorders>
              <w:bottom w:val="single" w:sz="4" w:space="0" w:color="000000"/>
            </w:tcBorders>
          </w:tcPr>
          <w:p w14:paraId="64283853" w14:textId="77777777" w:rsidR="00A02889" w:rsidRDefault="00000000">
            <w:pPr>
              <w:pStyle w:val="TableParagraph"/>
              <w:ind w:left="29"/>
              <w:jc w:val="center"/>
              <w:rPr>
                <w:sz w:val="24"/>
              </w:rPr>
            </w:pPr>
            <w:r>
              <w:rPr>
                <w:spacing w:val="-5"/>
                <w:sz w:val="24"/>
              </w:rPr>
              <w:t>43</w:t>
            </w:r>
          </w:p>
        </w:tc>
        <w:tc>
          <w:tcPr>
            <w:tcW w:w="1918" w:type="dxa"/>
            <w:tcBorders>
              <w:bottom w:val="single" w:sz="4" w:space="0" w:color="000000"/>
            </w:tcBorders>
          </w:tcPr>
          <w:p w14:paraId="7605C594" w14:textId="77777777" w:rsidR="00A02889" w:rsidRDefault="00000000">
            <w:pPr>
              <w:pStyle w:val="TableParagraph"/>
              <w:ind w:left="4" w:right="72"/>
              <w:jc w:val="center"/>
              <w:rPr>
                <w:sz w:val="24"/>
              </w:rPr>
            </w:pPr>
            <w:r>
              <w:rPr>
                <w:spacing w:val="-5"/>
                <w:sz w:val="24"/>
              </w:rPr>
              <w:t>86</w:t>
            </w:r>
          </w:p>
        </w:tc>
      </w:tr>
    </w:tbl>
    <w:p w14:paraId="1801BD72" w14:textId="77777777" w:rsidR="00A02889" w:rsidRDefault="00A02889">
      <w:pPr>
        <w:pStyle w:val="BodyText"/>
        <w:spacing w:before="31"/>
        <w:rPr>
          <w:b/>
        </w:rPr>
      </w:pPr>
    </w:p>
    <w:p w14:paraId="15CD85C0" w14:textId="77777777" w:rsidR="00A02889" w:rsidRDefault="00000000">
      <w:pPr>
        <w:pStyle w:val="BodyText"/>
        <w:spacing w:line="480" w:lineRule="auto"/>
        <w:ind w:left="720" w:right="718"/>
        <w:jc w:val="both"/>
      </w:pPr>
      <w:r>
        <w:t>Regarding the health and symptom history, 49 respondents (98%) reported having symptoms such as heartburn or GERD, while only 1 respondent (2%) indicated no such experience. This high prevalence underscores the public health relevance of acid-related disorders in Sokoto Metropolis, consistent with global estimates showing that up to 20% of the adult population experiences GERD symptoms weekly (Salisbury &amp; Terrell, 2023). When asked about the frequency of symptoms, 43 respondents (86%) reported experiencing them ―</w:t>
      </w:r>
      <w:proofErr w:type="gramStart"/>
      <w:r>
        <w:t>rarely,‖</w:t>
      </w:r>
      <w:proofErr w:type="gramEnd"/>
      <w:r>
        <w:t xml:space="preserve"> while 7 respondents</w:t>
      </w:r>
      <w:r>
        <w:rPr>
          <w:spacing w:val="-4"/>
        </w:rPr>
        <w:t xml:space="preserve"> </w:t>
      </w:r>
      <w:r>
        <w:t>(14%)</w:t>
      </w:r>
      <w:r>
        <w:rPr>
          <w:spacing w:val="-5"/>
        </w:rPr>
        <w:t xml:space="preserve"> </w:t>
      </w:r>
      <w:r>
        <w:t>experienced</w:t>
      </w:r>
      <w:r>
        <w:rPr>
          <w:spacing w:val="-5"/>
        </w:rPr>
        <w:t xml:space="preserve"> </w:t>
      </w:r>
      <w:r>
        <w:t>them</w:t>
      </w:r>
      <w:r>
        <w:rPr>
          <w:spacing w:val="-4"/>
        </w:rPr>
        <w:t xml:space="preserve"> </w:t>
      </w:r>
      <w:r>
        <w:t>―</w:t>
      </w:r>
      <w:proofErr w:type="gramStart"/>
      <w:r>
        <w:t>monthly.‖</w:t>
      </w:r>
      <w:proofErr w:type="gramEnd"/>
      <w:r>
        <w:rPr>
          <w:spacing w:val="-3"/>
        </w:rPr>
        <w:t xml:space="preserve"> </w:t>
      </w:r>
      <w:r>
        <w:t>None</w:t>
      </w:r>
      <w:r>
        <w:rPr>
          <w:spacing w:val="-6"/>
        </w:rPr>
        <w:t xml:space="preserve"> </w:t>
      </w:r>
      <w:r>
        <w:t>reported</w:t>
      </w:r>
      <w:r>
        <w:rPr>
          <w:spacing w:val="-5"/>
        </w:rPr>
        <w:t xml:space="preserve"> </w:t>
      </w:r>
      <w:r>
        <w:t>daily</w:t>
      </w:r>
      <w:r>
        <w:rPr>
          <w:spacing w:val="-11"/>
        </w:rPr>
        <w:t xml:space="preserve"> </w:t>
      </w:r>
      <w:r>
        <w:t>or</w:t>
      </w:r>
      <w:r>
        <w:rPr>
          <w:spacing w:val="-5"/>
        </w:rPr>
        <w:t xml:space="preserve"> </w:t>
      </w:r>
      <w:r>
        <w:t>weekly</w:t>
      </w:r>
      <w:r>
        <w:rPr>
          <w:spacing w:val="-11"/>
        </w:rPr>
        <w:t xml:space="preserve"> </w:t>
      </w:r>
      <w:r>
        <w:t>symptoms.</w:t>
      </w:r>
      <w:r>
        <w:rPr>
          <w:spacing w:val="-4"/>
        </w:rPr>
        <w:t xml:space="preserve"> </w:t>
      </w:r>
      <w:r>
        <w:t>This indicates that most individuals in the area experience occasional rather than chronic acid discomfort, suggesting mild or diet-induced reflux that may not necessitate long-term medical intervention. Such individuals are</w:t>
      </w:r>
      <w:r>
        <w:rPr>
          <w:spacing w:val="-1"/>
        </w:rPr>
        <w:t xml:space="preserve"> </w:t>
      </w:r>
      <w:r>
        <w:t>more likely</w:t>
      </w:r>
      <w:r>
        <w:rPr>
          <w:spacing w:val="-4"/>
        </w:rPr>
        <w:t xml:space="preserve"> </w:t>
      </w:r>
      <w:r>
        <w:t xml:space="preserve">to self-medicate with over-the-counter antacids, as noted by Scott </w:t>
      </w:r>
      <w:r>
        <w:rPr>
          <w:i/>
        </w:rPr>
        <w:t xml:space="preserve">et al. </w:t>
      </w:r>
      <w:r>
        <w:t>(2020).</w:t>
      </w:r>
    </w:p>
    <w:p w14:paraId="0890C73B"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3537E9EB" w14:textId="77777777" w:rsidR="00A02889" w:rsidRDefault="00000000">
      <w:pPr>
        <w:pStyle w:val="Heading2"/>
        <w:spacing w:before="76"/>
        <w:ind w:left="720" w:firstLine="0"/>
      </w:pPr>
      <w:bookmarkStart w:id="73" w:name="_bookmark73"/>
      <w:bookmarkEnd w:id="73"/>
      <w:r>
        <w:lastRenderedPageBreak/>
        <w:t>Table</w:t>
      </w:r>
      <w:r>
        <w:rPr>
          <w:spacing w:val="-2"/>
        </w:rPr>
        <w:t xml:space="preserve"> </w:t>
      </w:r>
      <w:r>
        <w:t>4.6:</w:t>
      </w:r>
      <w:r>
        <w:rPr>
          <w:spacing w:val="-1"/>
        </w:rPr>
        <w:t xml:space="preserve"> </w:t>
      </w:r>
      <w:r>
        <w:t>Antacid Usage</w:t>
      </w:r>
      <w:r>
        <w:rPr>
          <w:spacing w:val="-3"/>
        </w:rPr>
        <w:t xml:space="preserve"> </w:t>
      </w:r>
      <w:r>
        <w:t xml:space="preserve">and </w:t>
      </w:r>
      <w:r>
        <w:rPr>
          <w:spacing w:val="-2"/>
        </w:rPr>
        <w:t>Preferences</w:t>
      </w:r>
    </w:p>
    <w:p w14:paraId="3D159AC9" w14:textId="77777777" w:rsidR="00A02889" w:rsidRDefault="00A02889">
      <w:pPr>
        <w:pStyle w:val="BodyText"/>
        <w:rPr>
          <w:b/>
          <w:sz w:val="20"/>
        </w:rPr>
      </w:pPr>
    </w:p>
    <w:p w14:paraId="00DFF6A0" w14:textId="77777777" w:rsidR="00A02889" w:rsidRDefault="00A02889">
      <w:pPr>
        <w:pStyle w:val="BodyText"/>
        <w:spacing w:before="132"/>
        <w:rPr>
          <w:b/>
          <w:sz w:val="20"/>
        </w:rPr>
      </w:pPr>
    </w:p>
    <w:tbl>
      <w:tblPr>
        <w:tblW w:w="0" w:type="auto"/>
        <w:tblInd w:w="1095" w:type="dxa"/>
        <w:tblLayout w:type="fixed"/>
        <w:tblCellMar>
          <w:left w:w="0" w:type="dxa"/>
          <w:right w:w="0" w:type="dxa"/>
        </w:tblCellMar>
        <w:tblLook w:val="01E0" w:firstRow="1" w:lastRow="1" w:firstColumn="1" w:lastColumn="1" w:noHBand="0" w:noVBand="0"/>
      </w:tblPr>
      <w:tblGrid>
        <w:gridCol w:w="3625"/>
        <w:gridCol w:w="1674"/>
        <w:gridCol w:w="1436"/>
        <w:gridCol w:w="1889"/>
      </w:tblGrid>
      <w:tr w:rsidR="00A02889" w14:paraId="209DC903" w14:textId="77777777">
        <w:trPr>
          <w:trHeight w:val="577"/>
        </w:trPr>
        <w:tc>
          <w:tcPr>
            <w:tcW w:w="3625" w:type="dxa"/>
            <w:tcBorders>
              <w:top w:val="single" w:sz="4" w:space="0" w:color="000000"/>
              <w:bottom w:val="single" w:sz="4" w:space="0" w:color="000000"/>
            </w:tcBorders>
          </w:tcPr>
          <w:p w14:paraId="2B05174B" w14:textId="77777777" w:rsidR="00A02889" w:rsidRDefault="00000000">
            <w:pPr>
              <w:pStyle w:val="TableParagraph"/>
              <w:spacing w:before="11"/>
              <w:ind w:left="45"/>
              <w:rPr>
                <w:b/>
                <w:sz w:val="24"/>
              </w:rPr>
            </w:pPr>
            <w:r>
              <w:rPr>
                <w:b/>
                <w:spacing w:val="-2"/>
                <w:sz w:val="24"/>
              </w:rPr>
              <w:t>Question</w:t>
            </w:r>
          </w:p>
        </w:tc>
        <w:tc>
          <w:tcPr>
            <w:tcW w:w="1674" w:type="dxa"/>
            <w:tcBorders>
              <w:top w:val="single" w:sz="4" w:space="0" w:color="000000"/>
              <w:bottom w:val="single" w:sz="4" w:space="0" w:color="000000"/>
            </w:tcBorders>
          </w:tcPr>
          <w:p w14:paraId="7D5B5071" w14:textId="77777777" w:rsidR="00A02889" w:rsidRDefault="00000000">
            <w:pPr>
              <w:pStyle w:val="TableParagraph"/>
              <w:spacing w:before="11"/>
              <w:ind w:left="532"/>
              <w:rPr>
                <w:b/>
                <w:sz w:val="24"/>
              </w:rPr>
            </w:pPr>
            <w:r>
              <w:rPr>
                <w:b/>
                <w:spacing w:val="-2"/>
                <w:sz w:val="24"/>
              </w:rPr>
              <w:t>Response</w:t>
            </w:r>
          </w:p>
        </w:tc>
        <w:tc>
          <w:tcPr>
            <w:tcW w:w="1436" w:type="dxa"/>
            <w:tcBorders>
              <w:top w:val="single" w:sz="4" w:space="0" w:color="000000"/>
              <w:bottom w:val="single" w:sz="4" w:space="0" w:color="000000"/>
            </w:tcBorders>
          </w:tcPr>
          <w:p w14:paraId="3329ED3C" w14:textId="77777777" w:rsidR="00A02889" w:rsidRDefault="00000000">
            <w:pPr>
              <w:pStyle w:val="TableParagraph"/>
              <w:spacing w:before="11"/>
              <w:ind w:left="183"/>
              <w:rPr>
                <w:b/>
                <w:sz w:val="24"/>
              </w:rPr>
            </w:pPr>
            <w:r>
              <w:rPr>
                <w:b/>
                <w:spacing w:val="-2"/>
                <w:sz w:val="24"/>
              </w:rPr>
              <w:t>Frequency</w:t>
            </w:r>
          </w:p>
        </w:tc>
        <w:tc>
          <w:tcPr>
            <w:tcW w:w="1889" w:type="dxa"/>
            <w:tcBorders>
              <w:top w:val="single" w:sz="4" w:space="0" w:color="000000"/>
              <w:bottom w:val="single" w:sz="4" w:space="0" w:color="000000"/>
            </w:tcBorders>
          </w:tcPr>
          <w:p w14:paraId="6A7EE180" w14:textId="77777777" w:rsidR="00A02889" w:rsidRDefault="00000000">
            <w:pPr>
              <w:pStyle w:val="TableParagraph"/>
              <w:spacing w:before="11"/>
              <w:ind w:left="165"/>
              <w:rPr>
                <w:b/>
                <w:sz w:val="24"/>
              </w:rPr>
            </w:pPr>
            <w:r>
              <w:rPr>
                <w:b/>
                <w:sz w:val="24"/>
              </w:rPr>
              <w:t>Percentage</w:t>
            </w:r>
            <w:r>
              <w:rPr>
                <w:b/>
                <w:spacing w:val="-5"/>
                <w:sz w:val="24"/>
              </w:rPr>
              <w:t xml:space="preserve"> (%)</w:t>
            </w:r>
          </w:p>
        </w:tc>
      </w:tr>
      <w:tr w:rsidR="00A02889" w14:paraId="000F38D7" w14:textId="77777777">
        <w:trPr>
          <w:trHeight w:val="488"/>
        </w:trPr>
        <w:tc>
          <w:tcPr>
            <w:tcW w:w="3625" w:type="dxa"/>
            <w:tcBorders>
              <w:top w:val="single" w:sz="4" w:space="0" w:color="000000"/>
            </w:tcBorders>
          </w:tcPr>
          <w:p w14:paraId="603545F0" w14:textId="77777777" w:rsidR="00A02889" w:rsidRDefault="00000000">
            <w:pPr>
              <w:pStyle w:val="TableParagraph"/>
              <w:spacing w:before="39"/>
              <w:ind w:left="45"/>
              <w:rPr>
                <w:sz w:val="24"/>
              </w:rPr>
            </w:pPr>
            <w:r>
              <w:rPr>
                <w:sz w:val="24"/>
              </w:rPr>
              <w:t>Have you</w:t>
            </w:r>
            <w:r>
              <w:rPr>
                <w:spacing w:val="-3"/>
                <w:sz w:val="24"/>
              </w:rPr>
              <w:t xml:space="preserve"> </w:t>
            </w:r>
            <w:r>
              <w:rPr>
                <w:sz w:val="24"/>
              </w:rPr>
              <w:t>used</w:t>
            </w:r>
            <w:r>
              <w:rPr>
                <w:spacing w:val="-1"/>
                <w:sz w:val="24"/>
              </w:rPr>
              <w:t xml:space="preserve"> </w:t>
            </w:r>
            <w:r>
              <w:rPr>
                <w:sz w:val="24"/>
              </w:rPr>
              <w:t>antacids</w:t>
            </w:r>
            <w:r>
              <w:rPr>
                <w:spacing w:val="-2"/>
                <w:sz w:val="24"/>
              </w:rPr>
              <w:t xml:space="preserve"> before?</w:t>
            </w:r>
          </w:p>
        </w:tc>
        <w:tc>
          <w:tcPr>
            <w:tcW w:w="1674" w:type="dxa"/>
            <w:tcBorders>
              <w:top w:val="single" w:sz="4" w:space="0" w:color="000000"/>
            </w:tcBorders>
          </w:tcPr>
          <w:p w14:paraId="76C8FDD2" w14:textId="77777777" w:rsidR="00A02889" w:rsidRDefault="00000000">
            <w:pPr>
              <w:pStyle w:val="TableParagraph"/>
              <w:spacing w:before="39"/>
              <w:ind w:left="532"/>
              <w:rPr>
                <w:sz w:val="24"/>
              </w:rPr>
            </w:pPr>
            <w:r>
              <w:rPr>
                <w:spacing w:val="-5"/>
                <w:sz w:val="24"/>
              </w:rPr>
              <w:t>Yes</w:t>
            </w:r>
          </w:p>
        </w:tc>
        <w:tc>
          <w:tcPr>
            <w:tcW w:w="1436" w:type="dxa"/>
            <w:tcBorders>
              <w:top w:val="single" w:sz="4" w:space="0" w:color="000000"/>
            </w:tcBorders>
          </w:tcPr>
          <w:p w14:paraId="17BE683D" w14:textId="77777777" w:rsidR="00A02889" w:rsidRDefault="00000000">
            <w:pPr>
              <w:pStyle w:val="TableParagraph"/>
              <w:spacing w:before="39"/>
              <w:ind w:left="183"/>
              <w:rPr>
                <w:sz w:val="24"/>
              </w:rPr>
            </w:pPr>
            <w:r>
              <w:rPr>
                <w:spacing w:val="-5"/>
                <w:sz w:val="24"/>
              </w:rPr>
              <w:t>46</w:t>
            </w:r>
          </w:p>
        </w:tc>
        <w:tc>
          <w:tcPr>
            <w:tcW w:w="1889" w:type="dxa"/>
            <w:tcBorders>
              <w:top w:val="single" w:sz="4" w:space="0" w:color="000000"/>
            </w:tcBorders>
          </w:tcPr>
          <w:p w14:paraId="7EB1A4E1" w14:textId="77777777" w:rsidR="00A02889" w:rsidRDefault="00000000">
            <w:pPr>
              <w:pStyle w:val="TableParagraph"/>
              <w:spacing w:before="39"/>
              <w:ind w:left="165"/>
              <w:rPr>
                <w:sz w:val="24"/>
              </w:rPr>
            </w:pPr>
            <w:r>
              <w:rPr>
                <w:spacing w:val="-5"/>
                <w:sz w:val="24"/>
              </w:rPr>
              <w:t>92</w:t>
            </w:r>
          </w:p>
        </w:tc>
      </w:tr>
      <w:tr w:rsidR="00A02889" w14:paraId="3E4AE214" w14:textId="77777777">
        <w:trPr>
          <w:trHeight w:val="612"/>
        </w:trPr>
        <w:tc>
          <w:tcPr>
            <w:tcW w:w="3625" w:type="dxa"/>
          </w:tcPr>
          <w:p w14:paraId="63042F33" w14:textId="77777777" w:rsidR="00A02889" w:rsidRDefault="00A02889">
            <w:pPr>
              <w:pStyle w:val="TableParagraph"/>
              <w:spacing w:before="0"/>
              <w:rPr>
                <w:sz w:val="24"/>
              </w:rPr>
            </w:pPr>
          </w:p>
        </w:tc>
        <w:tc>
          <w:tcPr>
            <w:tcW w:w="1674" w:type="dxa"/>
          </w:tcPr>
          <w:p w14:paraId="32939FFB" w14:textId="77777777" w:rsidR="00A02889" w:rsidRDefault="00000000">
            <w:pPr>
              <w:pStyle w:val="TableParagraph"/>
              <w:ind w:left="532"/>
              <w:rPr>
                <w:sz w:val="24"/>
              </w:rPr>
            </w:pPr>
            <w:r>
              <w:rPr>
                <w:spacing w:val="-5"/>
                <w:sz w:val="24"/>
              </w:rPr>
              <w:t>No</w:t>
            </w:r>
          </w:p>
        </w:tc>
        <w:tc>
          <w:tcPr>
            <w:tcW w:w="1436" w:type="dxa"/>
          </w:tcPr>
          <w:p w14:paraId="646D293D" w14:textId="77777777" w:rsidR="00A02889" w:rsidRDefault="00000000">
            <w:pPr>
              <w:pStyle w:val="TableParagraph"/>
              <w:ind w:left="183"/>
              <w:rPr>
                <w:sz w:val="24"/>
              </w:rPr>
            </w:pPr>
            <w:r>
              <w:rPr>
                <w:spacing w:val="-10"/>
                <w:sz w:val="24"/>
              </w:rPr>
              <w:t>4</w:t>
            </w:r>
          </w:p>
        </w:tc>
        <w:tc>
          <w:tcPr>
            <w:tcW w:w="1889" w:type="dxa"/>
          </w:tcPr>
          <w:p w14:paraId="4AD3E6D2" w14:textId="77777777" w:rsidR="00A02889" w:rsidRDefault="00000000">
            <w:pPr>
              <w:pStyle w:val="TableParagraph"/>
              <w:ind w:left="165"/>
              <w:rPr>
                <w:sz w:val="24"/>
              </w:rPr>
            </w:pPr>
            <w:r>
              <w:rPr>
                <w:spacing w:val="-10"/>
                <w:sz w:val="24"/>
              </w:rPr>
              <w:t>8</w:t>
            </w:r>
          </w:p>
        </w:tc>
      </w:tr>
      <w:tr w:rsidR="00A02889" w14:paraId="17167B20" w14:textId="77777777">
        <w:trPr>
          <w:trHeight w:val="611"/>
        </w:trPr>
        <w:tc>
          <w:tcPr>
            <w:tcW w:w="3625" w:type="dxa"/>
          </w:tcPr>
          <w:p w14:paraId="59CFE04C" w14:textId="77777777" w:rsidR="00A02889" w:rsidRDefault="00000000">
            <w:pPr>
              <w:pStyle w:val="TableParagraph"/>
              <w:ind w:left="45"/>
              <w:rPr>
                <w:sz w:val="24"/>
              </w:rPr>
            </w:pPr>
            <w:r>
              <w:rPr>
                <w:sz w:val="24"/>
              </w:rPr>
              <w:t>Type</w:t>
            </w:r>
            <w:r>
              <w:rPr>
                <w:spacing w:val="-5"/>
                <w:sz w:val="24"/>
              </w:rPr>
              <w:t xml:space="preserve"> </w:t>
            </w:r>
            <w:r>
              <w:rPr>
                <w:sz w:val="24"/>
              </w:rPr>
              <w:t>of</w:t>
            </w:r>
            <w:r>
              <w:rPr>
                <w:spacing w:val="-1"/>
                <w:sz w:val="24"/>
              </w:rPr>
              <w:t xml:space="preserve"> </w:t>
            </w:r>
            <w:r>
              <w:rPr>
                <w:sz w:val="24"/>
              </w:rPr>
              <w:t>antacid</w:t>
            </w:r>
            <w:r>
              <w:rPr>
                <w:spacing w:val="-1"/>
                <w:sz w:val="24"/>
              </w:rPr>
              <w:t xml:space="preserve"> </w:t>
            </w:r>
            <w:r>
              <w:rPr>
                <w:spacing w:val="-4"/>
                <w:sz w:val="24"/>
              </w:rPr>
              <w:t>used</w:t>
            </w:r>
          </w:p>
        </w:tc>
        <w:tc>
          <w:tcPr>
            <w:tcW w:w="1674" w:type="dxa"/>
          </w:tcPr>
          <w:p w14:paraId="16DCA4F2" w14:textId="77777777" w:rsidR="00A02889" w:rsidRDefault="00000000">
            <w:pPr>
              <w:pStyle w:val="TableParagraph"/>
              <w:ind w:left="532"/>
              <w:rPr>
                <w:sz w:val="24"/>
              </w:rPr>
            </w:pPr>
            <w:r>
              <w:rPr>
                <w:spacing w:val="-2"/>
                <w:sz w:val="24"/>
              </w:rPr>
              <w:t>Natural</w:t>
            </w:r>
          </w:p>
        </w:tc>
        <w:tc>
          <w:tcPr>
            <w:tcW w:w="1436" w:type="dxa"/>
          </w:tcPr>
          <w:p w14:paraId="29B08985" w14:textId="77777777" w:rsidR="00A02889" w:rsidRDefault="00000000">
            <w:pPr>
              <w:pStyle w:val="TableParagraph"/>
              <w:ind w:left="183"/>
              <w:rPr>
                <w:sz w:val="24"/>
              </w:rPr>
            </w:pPr>
            <w:r>
              <w:rPr>
                <w:spacing w:val="-5"/>
                <w:sz w:val="24"/>
              </w:rPr>
              <w:t>11</w:t>
            </w:r>
          </w:p>
        </w:tc>
        <w:tc>
          <w:tcPr>
            <w:tcW w:w="1889" w:type="dxa"/>
          </w:tcPr>
          <w:p w14:paraId="7498703B" w14:textId="77777777" w:rsidR="00A02889" w:rsidRDefault="00000000">
            <w:pPr>
              <w:pStyle w:val="TableParagraph"/>
              <w:ind w:left="165"/>
              <w:rPr>
                <w:sz w:val="24"/>
              </w:rPr>
            </w:pPr>
            <w:r>
              <w:rPr>
                <w:spacing w:val="-5"/>
                <w:sz w:val="24"/>
              </w:rPr>
              <w:t>22</w:t>
            </w:r>
          </w:p>
        </w:tc>
      </w:tr>
      <w:tr w:rsidR="00A02889" w14:paraId="21E79589" w14:textId="77777777">
        <w:trPr>
          <w:trHeight w:val="612"/>
        </w:trPr>
        <w:tc>
          <w:tcPr>
            <w:tcW w:w="3625" w:type="dxa"/>
          </w:tcPr>
          <w:p w14:paraId="547E3F7C" w14:textId="77777777" w:rsidR="00A02889" w:rsidRDefault="00A02889">
            <w:pPr>
              <w:pStyle w:val="TableParagraph"/>
              <w:spacing w:before="0"/>
              <w:rPr>
                <w:sz w:val="24"/>
              </w:rPr>
            </w:pPr>
          </w:p>
        </w:tc>
        <w:tc>
          <w:tcPr>
            <w:tcW w:w="1674" w:type="dxa"/>
          </w:tcPr>
          <w:p w14:paraId="0A564F1E" w14:textId="77777777" w:rsidR="00A02889" w:rsidRDefault="00000000">
            <w:pPr>
              <w:pStyle w:val="TableParagraph"/>
              <w:ind w:left="532"/>
              <w:rPr>
                <w:sz w:val="24"/>
              </w:rPr>
            </w:pPr>
            <w:r>
              <w:rPr>
                <w:spacing w:val="-2"/>
                <w:sz w:val="24"/>
              </w:rPr>
              <w:t>Synthetic</w:t>
            </w:r>
          </w:p>
        </w:tc>
        <w:tc>
          <w:tcPr>
            <w:tcW w:w="1436" w:type="dxa"/>
          </w:tcPr>
          <w:p w14:paraId="2C25E7EC" w14:textId="77777777" w:rsidR="00A02889" w:rsidRDefault="00000000">
            <w:pPr>
              <w:pStyle w:val="TableParagraph"/>
              <w:ind w:left="183"/>
              <w:rPr>
                <w:sz w:val="24"/>
              </w:rPr>
            </w:pPr>
            <w:r>
              <w:rPr>
                <w:spacing w:val="-5"/>
                <w:sz w:val="24"/>
              </w:rPr>
              <w:t>29</w:t>
            </w:r>
          </w:p>
        </w:tc>
        <w:tc>
          <w:tcPr>
            <w:tcW w:w="1889" w:type="dxa"/>
          </w:tcPr>
          <w:p w14:paraId="453F2126" w14:textId="77777777" w:rsidR="00A02889" w:rsidRDefault="00000000">
            <w:pPr>
              <w:pStyle w:val="TableParagraph"/>
              <w:ind w:left="165"/>
              <w:rPr>
                <w:sz w:val="24"/>
              </w:rPr>
            </w:pPr>
            <w:r>
              <w:rPr>
                <w:spacing w:val="-5"/>
                <w:sz w:val="24"/>
              </w:rPr>
              <w:t>58</w:t>
            </w:r>
          </w:p>
        </w:tc>
      </w:tr>
      <w:tr w:rsidR="00A02889" w14:paraId="32E995BE" w14:textId="77777777">
        <w:trPr>
          <w:trHeight w:val="737"/>
        </w:trPr>
        <w:tc>
          <w:tcPr>
            <w:tcW w:w="3625" w:type="dxa"/>
            <w:tcBorders>
              <w:bottom w:val="single" w:sz="4" w:space="0" w:color="000000"/>
            </w:tcBorders>
          </w:tcPr>
          <w:p w14:paraId="4C605D5E" w14:textId="77777777" w:rsidR="00A02889" w:rsidRDefault="00A02889">
            <w:pPr>
              <w:pStyle w:val="TableParagraph"/>
              <w:spacing w:before="0"/>
              <w:rPr>
                <w:sz w:val="24"/>
              </w:rPr>
            </w:pPr>
          </w:p>
        </w:tc>
        <w:tc>
          <w:tcPr>
            <w:tcW w:w="1674" w:type="dxa"/>
            <w:tcBorders>
              <w:bottom w:val="single" w:sz="4" w:space="0" w:color="000000"/>
            </w:tcBorders>
          </w:tcPr>
          <w:p w14:paraId="27EACC9F" w14:textId="77777777" w:rsidR="00A02889" w:rsidRDefault="00000000">
            <w:pPr>
              <w:pStyle w:val="TableParagraph"/>
              <w:ind w:left="532"/>
              <w:rPr>
                <w:sz w:val="24"/>
              </w:rPr>
            </w:pPr>
            <w:r>
              <w:rPr>
                <w:spacing w:val="-4"/>
                <w:sz w:val="24"/>
              </w:rPr>
              <w:t>Both</w:t>
            </w:r>
          </w:p>
        </w:tc>
        <w:tc>
          <w:tcPr>
            <w:tcW w:w="1436" w:type="dxa"/>
            <w:tcBorders>
              <w:bottom w:val="single" w:sz="4" w:space="0" w:color="000000"/>
            </w:tcBorders>
          </w:tcPr>
          <w:p w14:paraId="75B8B1B2" w14:textId="77777777" w:rsidR="00A02889" w:rsidRDefault="00000000">
            <w:pPr>
              <w:pStyle w:val="TableParagraph"/>
              <w:ind w:left="183"/>
              <w:rPr>
                <w:sz w:val="24"/>
              </w:rPr>
            </w:pPr>
            <w:r>
              <w:rPr>
                <w:spacing w:val="-10"/>
                <w:sz w:val="24"/>
              </w:rPr>
              <w:t>6</w:t>
            </w:r>
          </w:p>
        </w:tc>
        <w:tc>
          <w:tcPr>
            <w:tcW w:w="1889" w:type="dxa"/>
            <w:tcBorders>
              <w:bottom w:val="single" w:sz="4" w:space="0" w:color="000000"/>
            </w:tcBorders>
          </w:tcPr>
          <w:p w14:paraId="4985F3DF" w14:textId="77777777" w:rsidR="00A02889" w:rsidRDefault="00000000">
            <w:pPr>
              <w:pStyle w:val="TableParagraph"/>
              <w:ind w:left="165"/>
              <w:rPr>
                <w:sz w:val="24"/>
              </w:rPr>
            </w:pPr>
            <w:r>
              <w:rPr>
                <w:spacing w:val="-5"/>
                <w:sz w:val="24"/>
              </w:rPr>
              <w:t>12</w:t>
            </w:r>
          </w:p>
        </w:tc>
      </w:tr>
    </w:tbl>
    <w:p w14:paraId="46226ACC" w14:textId="77777777" w:rsidR="00A02889" w:rsidRDefault="00A02889">
      <w:pPr>
        <w:pStyle w:val="BodyText"/>
        <w:spacing w:before="31"/>
        <w:rPr>
          <w:b/>
        </w:rPr>
      </w:pPr>
    </w:p>
    <w:p w14:paraId="3167E69B" w14:textId="77777777" w:rsidR="00A02889" w:rsidRDefault="00000000">
      <w:pPr>
        <w:pStyle w:val="BodyText"/>
        <w:spacing w:line="480" w:lineRule="auto"/>
        <w:ind w:left="720" w:right="717"/>
        <w:jc w:val="both"/>
      </w:pPr>
      <w:r>
        <w:t xml:space="preserve">Of the 50 participants, 46 respondents (92%) reported using antacids in the past, while 4 respondents (8%) had never used them. This demonstrates a strong reliance on antacids as a primary management strategy for acid-related discomfort. Among the users, 29 respondents (58%) preferred synthetic antacids, 11 respondents (22%) used natural antacids, while 6 respondents (12%) used both types. The dominance of synthetic antacid usage aligns with the laboratory findings showing that synthetic options (e.g., magnesium trisilicate and </w:t>
      </w:r>
      <w:proofErr w:type="spellStart"/>
      <w:r>
        <w:t>aluminium</w:t>
      </w:r>
      <w:proofErr w:type="spellEnd"/>
      <w:r>
        <w:t xml:space="preserve"> hydroxide) provided more stable and prolonged pH neutralization effects. This suggests that consumers may be choosing these products based on their faster and more reliable relief.</w:t>
      </w:r>
    </w:p>
    <w:p w14:paraId="7A06A19F"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B733E61" w14:textId="77777777" w:rsidR="00A02889" w:rsidRDefault="00000000">
      <w:pPr>
        <w:pStyle w:val="Heading2"/>
        <w:spacing w:before="76"/>
        <w:ind w:left="720" w:firstLine="0"/>
      </w:pPr>
      <w:bookmarkStart w:id="74" w:name="_bookmark74"/>
      <w:bookmarkEnd w:id="74"/>
      <w:r>
        <w:lastRenderedPageBreak/>
        <w:t>Table</w:t>
      </w:r>
      <w:r>
        <w:rPr>
          <w:spacing w:val="-3"/>
        </w:rPr>
        <w:t xml:space="preserve"> </w:t>
      </w:r>
      <w:r>
        <w:t>4.7:</w:t>
      </w:r>
      <w:r>
        <w:rPr>
          <w:spacing w:val="-3"/>
        </w:rPr>
        <w:t xml:space="preserve"> </w:t>
      </w:r>
      <w:r>
        <w:t>Perceived</w:t>
      </w:r>
      <w:r>
        <w:rPr>
          <w:spacing w:val="-1"/>
        </w:rPr>
        <w:t xml:space="preserve"> </w:t>
      </w:r>
      <w:r>
        <w:t>Effectiveness</w:t>
      </w:r>
      <w:r>
        <w:rPr>
          <w:spacing w:val="-2"/>
        </w:rPr>
        <w:t xml:space="preserve"> </w:t>
      </w:r>
      <w:r>
        <w:t>and</w:t>
      </w:r>
      <w:r>
        <w:rPr>
          <w:spacing w:val="-1"/>
        </w:rPr>
        <w:t xml:space="preserve"> </w:t>
      </w:r>
      <w:r>
        <w:rPr>
          <w:spacing w:val="-2"/>
        </w:rPr>
        <w:t>Safety</w:t>
      </w:r>
    </w:p>
    <w:p w14:paraId="3F2D058D" w14:textId="77777777" w:rsidR="00A02889" w:rsidRDefault="00A02889">
      <w:pPr>
        <w:pStyle w:val="BodyText"/>
        <w:rPr>
          <w:b/>
          <w:sz w:val="20"/>
        </w:rPr>
      </w:pPr>
    </w:p>
    <w:p w14:paraId="3D3AC4DE" w14:textId="77777777" w:rsidR="00A02889" w:rsidRDefault="00A02889">
      <w:pPr>
        <w:pStyle w:val="BodyText"/>
        <w:spacing w:before="132"/>
        <w:rPr>
          <w:b/>
          <w:sz w:val="20"/>
        </w:rPr>
      </w:pPr>
    </w:p>
    <w:tbl>
      <w:tblPr>
        <w:tblW w:w="0" w:type="auto"/>
        <w:tblInd w:w="1095" w:type="dxa"/>
        <w:tblLayout w:type="fixed"/>
        <w:tblCellMar>
          <w:left w:w="0" w:type="dxa"/>
          <w:right w:w="0" w:type="dxa"/>
        </w:tblCellMar>
        <w:tblLook w:val="01E0" w:firstRow="1" w:lastRow="1" w:firstColumn="1" w:lastColumn="1" w:noHBand="0" w:noVBand="0"/>
      </w:tblPr>
      <w:tblGrid>
        <w:gridCol w:w="3610"/>
        <w:gridCol w:w="1691"/>
        <w:gridCol w:w="1438"/>
        <w:gridCol w:w="1891"/>
      </w:tblGrid>
      <w:tr w:rsidR="00A02889" w14:paraId="572D88CC" w14:textId="77777777">
        <w:trPr>
          <w:trHeight w:val="577"/>
        </w:trPr>
        <w:tc>
          <w:tcPr>
            <w:tcW w:w="3610" w:type="dxa"/>
            <w:tcBorders>
              <w:top w:val="single" w:sz="4" w:space="0" w:color="000000"/>
              <w:bottom w:val="single" w:sz="4" w:space="0" w:color="000000"/>
            </w:tcBorders>
          </w:tcPr>
          <w:p w14:paraId="129F5FE7" w14:textId="77777777" w:rsidR="00A02889" w:rsidRDefault="00000000">
            <w:pPr>
              <w:pStyle w:val="TableParagraph"/>
              <w:spacing w:before="11"/>
              <w:ind w:left="45"/>
              <w:rPr>
                <w:b/>
                <w:sz w:val="24"/>
              </w:rPr>
            </w:pPr>
            <w:r>
              <w:rPr>
                <w:b/>
                <w:spacing w:val="-2"/>
                <w:sz w:val="24"/>
              </w:rPr>
              <w:t>Question</w:t>
            </w:r>
          </w:p>
        </w:tc>
        <w:tc>
          <w:tcPr>
            <w:tcW w:w="1691" w:type="dxa"/>
            <w:tcBorders>
              <w:top w:val="single" w:sz="4" w:space="0" w:color="000000"/>
              <w:bottom w:val="single" w:sz="4" w:space="0" w:color="000000"/>
            </w:tcBorders>
          </w:tcPr>
          <w:p w14:paraId="072EDFF0" w14:textId="77777777" w:rsidR="00A02889" w:rsidRDefault="00000000">
            <w:pPr>
              <w:pStyle w:val="TableParagraph"/>
              <w:spacing w:before="11"/>
              <w:ind w:left="547"/>
              <w:rPr>
                <w:b/>
                <w:sz w:val="24"/>
              </w:rPr>
            </w:pPr>
            <w:r>
              <w:rPr>
                <w:b/>
                <w:spacing w:val="-2"/>
                <w:sz w:val="24"/>
              </w:rPr>
              <w:t>Response</w:t>
            </w:r>
          </w:p>
        </w:tc>
        <w:tc>
          <w:tcPr>
            <w:tcW w:w="1438" w:type="dxa"/>
            <w:tcBorders>
              <w:top w:val="single" w:sz="4" w:space="0" w:color="000000"/>
              <w:bottom w:val="single" w:sz="4" w:space="0" w:color="000000"/>
            </w:tcBorders>
          </w:tcPr>
          <w:p w14:paraId="2C51A473" w14:textId="77777777" w:rsidR="00A02889" w:rsidRDefault="00000000">
            <w:pPr>
              <w:pStyle w:val="TableParagraph"/>
              <w:spacing w:before="11"/>
              <w:ind w:left="181"/>
              <w:rPr>
                <w:b/>
                <w:sz w:val="24"/>
              </w:rPr>
            </w:pPr>
            <w:r>
              <w:rPr>
                <w:b/>
                <w:spacing w:val="-2"/>
                <w:sz w:val="24"/>
              </w:rPr>
              <w:t>Frequency</w:t>
            </w:r>
          </w:p>
        </w:tc>
        <w:tc>
          <w:tcPr>
            <w:tcW w:w="1891" w:type="dxa"/>
            <w:tcBorders>
              <w:top w:val="single" w:sz="4" w:space="0" w:color="000000"/>
              <w:bottom w:val="single" w:sz="4" w:space="0" w:color="000000"/>
            </w:tcBorders>
          </w:tcPr>
          <w:p w14:paraId="531E9456" w14:textId="77777777" w:rsidR="00A02889" w:rsidRDefault="00000000">
            <w:pPr>
              <w:pStyle w:val="TableParagraph"/>
              <w:spacing w:before="11"/>
              <w:ind w:left="161"/>
              <w:rPr>
                <w:b/>
                <w:sz w:val="24"/>
              </w:rPr>
            </w:pPr>
            <w:r>
              <w:rPr>
                <w:b/>
                <w:sz w:val="24"/>
              </w:rPr>
              <w:t>Percentage</w:t>
            </w:r>
            <w:r>
              <w:rPr>
                <w:b/>
                <w:spacing w:val="-5"/>
                <w:sz w:val="24"/>
              </w:rPr>
              <w:t xml:space="preserve"> (%)</w:t>
            </w:r>
          </w:p>
        </w:tc>
      </w:tr>
      <w:tr w:rsidR="00A02889" w14:paraId="2FB5ACAE" w14:textId="77777777">
        <w:trPr>
          <w:trHeight w:val="488"/>
        </w:trPr>
        <w:tc>
          <w:tcPr>
            <w:tcW w:w="3610" w:type="dxa"/>
            <w:tcBorders>
              <w:top w:val="single" w:sz="4" w:space="0" w:color="000000"/>
            </w:tcBorders>
          </w:tcPr>
          <w:p w14:paraId="08E5E6FC" w14:textId="77777777" w:rsidR="00A02889" w:rsidRDefault="00000000">
            <w:pPr>
              <w:pStyle w:val="TableParagraph"/>
              <w:spacing w:before="39"/>
              <w:ind w:left="45"/>
              <w:rPr>
                <w:sz w:val="24"/>
              </w:rPr>
            </w:pPr>
            <w:r>
              <w:rPr>
                <w:sz w:val="24"/>
              </w:rPr>
              <w:t>Find</w:t>
            </w:r>
            <w:r>
              <w:rPr>
                <w:spacing w:val="-2"/>
                <w:sz w:val="24"/>
              </w:rPr>
              <w:t xml:space="preserve"> </w:t>
            </w:r>
            <w:r>
              <w:rPr>
                <w:sz w:val="24"/>
              </w:rPr>
              <w:t>natural</w:t>
            </w:r>
            <w:r>
              <w:rPr>
                <w:spacing w:val="-1"/>
                <w:sz w:val="24"/>
              </w:rPr>
              <w:t xml:space="preserve"> </w:t>
            </w:r>
            <w:r>
              <w:rPr>
                <w:sz w:val="24"/>
              </w:rPr>
              <w:t>antacids</w:t>
            </w:r>
            <w:r>
              <w:rPr>
                <w:spacing w:val="-1"/>
                <w:sz w:val="24"/>
              </w:rPr>
              <w:t xml:space="preserve"> </w:t>
            </w:r>
            <w:r>
              <w:rPr>
                <w:spacing w:val="-2"/>
                <w:sz w:val="24"/>
              </w:rPr>
              <w:t>effective?</w:t>
            </w:r>
          </w:p>
        </w:tc>
        <w:tc>
          <w:tcPr>
            <w:tcW w:w="1691" w:type="dxa"/>
            <w:tcBorders>
              <w:top w:val="single" w:sz="4" w:space="0" w:color="000000"/>
            </w:tcBorders>
          </w:tcPr>
          <w:p w14:paraId="76DB0219" w14:textId="77777777" w:rsidR="00A02889" w:rsidRDefault="00000000">
            <w:pPr>
              <w:pStyle w:val="TableParagraph"/>
              <w:spacing w:before="39"/>
              <w:ind w:left="547"/>
              <w:rPr>
                <w:sz w:val="24"/>
              </w:rPr>
            </w:pPr>
            <w:r>
              <w:rPr>
                <w:spacing w:val="-5"/>
                <w:sz w:val="24"/>
              </w:rPr>
              <w:t>Yes</w:t>
            </w:r>
          </w:p>
        </w:tc>
        <w:tc>
          <w:tcPr>
            <w:tcW w:w="1438" w:type="dxa"/>
            <w:tcBorders>
              <w:top w:val="single" w:sz="4" w:space="0" w:color="000000"/>
            </w:tcBorders>
          </w:tcPr>
          <w:p w14:paraId="4AEC6DE5" w14:textId="77777777" w:rsidR="00A02889" w:rsidRDefault="00000000">
            <w:pPr>
              <w:pStyle w:val="TableParagraph"/>
              <w:spacing w:before="39"/>
              <w:ind w:left="181"/>
              <w:rPr>
                <w:sz w:val="24"/>
              </w:rPr>
            </w:pPr>
            <w:r>
              <w:rPr>
                <w:spacing w:val="-5"/>
                <w:sz w:val="24"/>
              </w:rPr>
              <w:t>15</w:t>
            </w:r>
          </w:p>
        </w:tc>
        <w:tc>
          <w:tcPr>
            <w:tcW w:w="1891" w:type="dxa"/>
            <w:tcBorders>
              <w:top w:val="single" w:sz="4" w:space="0" w:color="000000"/>
            </w:tcBorders>
          </w:tcPr>
          <w:p w14:paraId="6B40CAEC" w14:textId="77777777" w:rsidR="00A02889" w:rsidRDefault="00000000">
            <w:pPr>
              <w:pStyle w:val="TableParagraph"/>
              <w:spacing w:before="39"/>
              <w:ind w:left="161"/>
              <w:rPr>
                <w:sz w:val="24"/>
              </w:rPr>
            </w:pPr>
            <w:r>
              <w:rPr>
                <w:spacing w:val="-5"/>
                <w:sz w:val="24"/>
              </w:rPr>
              <w:t>30</w:t>
            </w:r>
          </w:p>
        </w:tc>
      </w:tr>
      <w:tr w:rsidR="00A02889" w14:paraId="454B69FA" w14:textId="77777777">
        <w:trPr>
          <w:trHeight w:val="612"/>
        </w:trPr>
        <w:tc>
          <w:tcPr>
            <w:tcW w:w="3610" w:type="dxa"/>
          </w:tcPr>
          <w:p w14:paraId="67AE6D3E" w14:textId="77777777" w:rsidR="00A02889" w:rsidRDefault="00A02889">
            <w:pPr>
              <w:pStyle w:val="TableParagraph"/>
              <w:spacing w:before="0"/>
              <w:rPr>
                <w:sz w:val="24"/>
              </w:rPr>
            </w:pPr>
          </w:p>
        </w:tc>
        <w:tc>
          <w:tcPr>
            <w:tcW w:w="1691" w:type="dxa"/>
          </w:tcPr>
          <w:p w14:paraId="29A1E227" w14:textId="77777777" w:rsidR="00A02889" w:rsidRDefault="00000000">
            <w:pPr>
              <w:pStyle w:val="TableParagraph"/>
              <w:ind w:left="547"/>
              <w:rPr>
                <w:sz w:val="24"/>
              </w:rPr>
            </w:pPr>
            <w:r>
              <w:rPr>
                <w:spacing w:val="-5"/>
                <w:sz w:val="24"/>
              </w:rPr>
              <w:t>No</w:t>
            </w:r>
          </w:p>
        </w:tc>
        <w:tc>
          <w:tcPr>
            <w:tcW w:w="1438" w:type="dxa"/>
          </w:tcPr>
          <w:p w14:paraId="426DCAF5" w14:textId="77777777" w:rsidR="00A02889" w:rsidRDefault="00000000">
            <w:pPr>
              <w:pStyle w:val="TableParagraph"/>
              <w:ind w:left="181"/>
              <w:rPr>
                <w:sz w:val="24"/>
              </w:rPr>
            </w:pPr>
            <w:r>
              <w:rPr>
                <w:spacing w:val="-5"/>
                <w:sz w:val="24"/>
              </w:rPr>
              <w:t>35</w:t>
            </w:r>
          </w:p>
        </w:tc>
        <w:tc>
          <w:tcPr>
            <w:tcW w:w="1891" w:type="dxa"/>
          </w:tcPr>
          <w:p w14:paraId="090FFC36" w14:textId="77777777" w:rsidR="00A02889" w:rsidRDefault="00000000">
            <w:pPr>
              <w:pStyle w:val="TableParagraph"/>
              <w:ind w:left="161"/>
              <w:rPr>
                <w:sz w:val="24"/>
              </w:rPr>
            </w:pPr>
            <w:r>
              <w:rPr>
                <w:spacing w:val="-5"/>
                <w:sz w:val="24"/>
              </w:rPr>
              <w:t>70</w:t>
            </w:r>
          </w:p>
        </w:tc>
      </w:tr>
      <w:tr w:rsidR="00A02889" w14:paraId="55517C89" w14:textId="77777777">
        <w:trPr>
          <w:trHeight w:val="611"/>
        </w:trPr>
        <w:tc>
          <w:tcPr>
            <w:tcW w:w="3610" w:type="dxa"/>
          </w:tcPr>
          <w:p w14:paraId="792D64CC" w14:textId="77777777" w:rsidR="00A02889" w:rsidRDefault="00000000">
            <w:pPr>
              <w:pStyle w:val="TableParagraph"/>
              <w:ind w:left="45"/>
              <w:rPr>
                <w:sz w:val="24"/>
              </w:rPr>
            </w:pPr>
            <w:r>
              <w:rPr>
                <w:sz w:val="24"/>
              </w:rPr>
              <w:t>Experienced</w:t>
            </w:r>
            <w:r>
              <w:rPr>
                <w:spacing w:val="-3"/>
                <w:sz w:val="24"/>
              </w:rPr>
              <w:t xml:space="preserve"> </w:t>
            </w:r>
            <w:r>
              <w:rPr>
                <w:sz w:val="24"/>
              </w:rPr>
              <w:t>side</w:t>
            </w:r>
            <w:r>
              <w:rPr>
                <w:spacing w:val="-2"/>
                <w:sz w:val="24"/>
              </w:rPr>
              <w:t xml:space="preserve"> effects?</w:t>
            </w:r>
          </w:p>
        </w:tc>
        <w:tc>
          <w:tcPr>
            <w:tcW w:w="1691" w:type="dxa"/>
          </w:tcPr>
          <w:p w14:paraId="5D80E32A" w14:textId="77777777" w:rsidR="00A02889" w:rsidRDefault="00000000">
            <w:pPr>
              <w:pStyle w:val="TableParagraph"/>
              <w:ind w:left="547"/>
              <w:rPr>
                <w:sz w:val="24"/>
              </w:rPr>
            </w:pPr>
            <w:r>
              <w:rPr>
                <w:spacing w:val="-5"/>
                <w:sz w:val="24"/>
              </w:rPr>
              <w:t>Yes</w:t>
            </w:r>
          </w:p>
        </w:tc>
        <w:tc>
          <w:tcPr>
            <w:tcW w:w="1438" w:type="dxa"/>
          </w:tcPr>
          <w:p w14:paraId="3497A23E" w14:textId="77777777" w:rsidR="00A02889" w:rsidRDefault="00000000">
            <w:pPr>
              <w:pStyle w:val="TableParagraph"/>
              <w:ind w:left="181"/>
              <w:rPr>
                <w:sz w:val="24"/>
              </w:rPr>
            </w:pPr>
            <w:r>
              <w:rPr>
                <w:spacing w:val="-10"/>
                <w:sz w:val="24"/>
              </w:rPr>
              <w:t>0</w:t>
            </w:r>
          </w:p>
        </w:tc>
        <w:tc>
          <w:tcPr>
            <w:tcW w:w="1891" w:type="dxa"/>
          </w:tcPr>
          <w:p w14:paraId="3837F226" w14:textId="77777777" w:rsidR="00A02889" w:rsidRDefault="00000000">
            <w:pPr>
              <w:pStyle w:val="TableParagraph"/>
              <w:ind w:left="161"/>
              <w:rPr>
                <w:sz w:val="24"/>
              </w:rPr>
            </w:pPr>
            <w:r>
              <w:rPr>
                <w:spacing w:val="-10"/>
                <w:sz w:val="24"/>
              </w:rPr>
              <w:t>0</w:t>
            </w:r>
          </w:p>
        </w:tc>
      </w:tr>
      <w:tr w:rsidR="00A02889" w14:paraId="0C111628" w14:textId="77777777">
        <w:trPr>
          <w:trHeight w:val="737"/>
        </w:trPr>
        <w:tc>
          <w:tcPr>
            <w:tcW w:w="3610" w:type="dxa"/>
            <w:tcBorders>
              <w:bottom w:val="single" w:sz="4" w:space="0" w:color="000000"/>
            </w:tcBorders>
          </w:tcPr>
          <w:p w14:paraId="322380B7" w14:textId="77777777" w:rsidR="00A02889" w:rsidRDefault="00A02889">
            <w:pPr>
              <w:pStyle w:val="TableParagraph"/>
              <w:spacing w:before="0"/>
              <w:rPr>
                <w:sz w:val="24"/>
              </w:rPr>
            </w:pPr>
          </w:p>
        </w:tc>
        <w:tc>
          <w:tcPr>
            <w:tcW w:w="1691" w:type="dxa"/>
            <w:tcBorders>
              <w:bottom w:val="single" w:sz="4" w:space="0" w:color="000000"/>
            </w:tcBorders>
          </w:tcPr>
          <w:p w14:paraId="170DCA5E" w14:textId="77777777" w:rsidR="00A02889" w:rsidRDefault="00000000">
            <w:pPr>
              <w:pStyle w:val="TableParagraph"/>
              <w:ind w:left="547"/>
              <w:rPr>
                <w:sz w:val="24"/>
              </w:rPr>
            </w:pPr>
            <w:r>
              <w:rPr>
                <w:spacing w:val="-5"/>
                <w:sz w:val="24"/>
              </w:rPr>
              <w:t>No</w:t>
            </w:r>
          </w:p>
        </w:tc>
        <w:tc>
          <w:tcPr>
            <w:tcW w:w="1438" w:type="dxa"/>
            <w:tcBorders>
              <w:bottom w:val="single" w:sz="4" w:space="0" w:color="000000"/>
            </w:tcBorders>
          </w:tcPr>
          <w:p w14:paraId="0719427B" w14:textId="77777777" w:rsidR="00A02889" w:rsidRDefault="00000000">
            <w:pPr>
              <w:pStyle w:val="TableParagraph"/>
              <w:ind w:left="181"/>
              <w:rPr>
                <w:sz w:val="24"/>
              </w:rPr>
            </w:pPr>
            <w:r>
              <w:rPr>
                <w:spacing w:val="-5"/>
                <w:sz w:val="24"/>
              </w:rPr>
              <w:t>50</w:t>
            </w:r>
          </w:p>
        </w:tc>
        <w:tc>
          <w:tcPr>
            <w:tcW w:w="1891" w:type="dxa"/>
            <w:tcBorders>
              <w:bottom w:val="single" w:sz="4" w:space="0" w:color="000000"/>
            </w:tcBorders>
          </w:tcPr>
          <w:p w14:paraId="6F18235A" w14:textId="77777777" w:rsidR="00A02889" w:rsidRDefault="00000000">
            <w:pPr>
              <w:pStyle w:val="TableParagraph"/>
              <w:ind w:left="161"/>
              <w:rPr>
                <w:sz w:val="24"/>
              </w:rPr>
            </w:pPr>
            <w:r>
              <w:rPr>
                <w:spacing w:val="-5"/>
                <w:sz w:val="24"/>
              </w:rPr>
              <w:t>100</w:t>
            </w:r>
          </w:p>
        </w:tc>
      </w:tr>
    </w:tbl>
    <w:p w14:paraId="068BA3B9" w14:textId="77777777" w:rsidR="00A02889" w:rsidRDefault="00A02889">
      <w:pPr>
        <w:pStyle w:val="BodyText"/>
        <w:spacing w:before="31"/>
        <w:rPr>
          <w:b/>
        </w:rPr>
      </w:pPr>
    </w:p>
    <w:p w14:paraId="3614A39C" w14:textId="77777777" w:rsidR="00A02889" w:rsidRDefault="00000000">
      <w:pPr>
        <w:pStyle w:val="BodyText"/>
        <w:spacing w:line="480" w:lineRule="auto"/>
        <w:ind w:left="720" w:right="717"/>
        <w:jc w:val="both"/>
      </w:pPr>
      <w:r>
        <w:t xml:space="preserve">When asked whether they found natural antacids effective compared to synthetic ones, 15 respondents (30%) answered Yes, while 35 respondents (70%) responded No. This indicates that the majority perceive synthetic antacids as more effective—a view supported by the laboratory experiment, where synthetic formulations achieved more stable pH levels over time. The result suggests that consumers may equate rapid symptom relief with effectiveness, a perception reinforced by marketing and personal experience (Abdel-Rahman </w:t>
      </w:r>
      <w:r>
        <w:rPr>
          <w:i/>
        </w:rPr>
        <w:t xml:space="preserve">et al., </w:t>
      </w:r>
      <w:r>
        <w:t>2011). Interestingly, none of the respondents (0%) reported experiencing side effects from either type of antacid,</w:t>
      </w:r>
      <w:r>
        <w:rPr>
          <w:spacing w:val="40"/>
        </w:rPr>
        <w:t xml:space="preserve"> </w:t>
      </w:r>
      <w:r>
        <w:t xml:space="preserve">while 50 respondents (100%) indicated No side effects. This may reflect mild or infrequent use among participants, as most reported only rare or occasional symptoms. However, it is worth noting that some side effects—such as constipation from </w:t>
      </w:r>
      <w:proofErr w:type="spellStart"/>
      <w:r>
        <w:t>aluminium</w:t>
      </w:r>
      <w:proofErr w:type="spellEnd"/>
      <w:r>
        <w:t xml:space="preserve"> hydroxide or diarrhea from magnesium hydroxide—typically occur with prolonged or excessive use (Salisbury &amp; Terrell, 2023). Thus, the absence of reported side effects could be attributed to limited exposure rather than absolute safety.</w:t>
      </w:r>
    </w:p>
    <w:p w14:paraId="50D56260"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252BDA63" w14:textId="77777777" w:rsidR="00A02889" w:rsidRDefault="00000000">
      <w:pPr>
        <w:pStyle w:val="Heading2"/>
        <w:spacing w:before="72"/>
        <w:ind w:left="720" w:firstLine="0"/>
      </w:pPr>
      <w:bookmarkStart w:id="75" w:name="_bookmark75"/>
      <w:bookmarkEnd w:id="75"/>
      <w:r>
        <w:lastRenderedPageBreak/>
        <w:t>Table</w:t>
      </w:r>
      <w:r>
        <w:rPr>
          <w:spacing w:val="-3"/>
        </w:rPr>
        <w:t xml:space="preserve"> </w:t>
      </w:r>
      <w:r>
        <w:t>4.8</w:t>
      </w:r>
      <w:r>
        <w:rPr>
          <w:b w:val="0"/>
        </w:rPr>
        <w:t>:</w:t>
      </w:r>
      <w:r>
        <w:rPr>
          <w:b w:val="0"/>
          <w:spacing w:val="-2"/>
        </w:rPr>
        <w:t xml:space="preserve"> </w:t>
      </w:r>
      <w:r>
        <w:t xml:space="preserve">Consumer </w:t>
      </w:r>
      <w:r>
        <w:rPr>
          <w:spacing w:val="-2"/>
        </w:rPr>
        <w:t>Preferences</w:t>
      </w:r>
    </w:p>
    <w:p w14:paraId="1E65D5D1" w14:textId="77777777" w:rsidR="00A02889" w:rsidRDefault="00A02889">
      <w:pPr>
        <w:pStyle w:val="BodyText"/>
        <w:rPr>
          <w:b/>
          <w:sz w:val="20"/>
        </w:rPr>
      </w:pPr>
    </w:p>
    <w:p w14:paraId="43C88233" w14:textId="77777777" w:rsidR="00A02889" w:rsidRDefault="00A02889">
      <w:pPr>
        <w:pStyle w:val="BodyText"/>
        <w:spacing w:before="136"/>
        <w:rPr>
          <w:b/>
          <w:sz w:val="20"/>
        </w:rPr>
      </w:pPr>
    </w:p>
    <w:tbl>
      <w:tblPr>
        <w:tblW w:w="0" w:type="auto"/>
        <w:tblInd w:w="912" w:type="dxa"/>
        <w:tblLayout w:type="fixed"/>
        <w:tblCellMar>
          <w:left w:w="0" w:type="dxa"/>
          <w:right w:w="0" w:type="dxa"/>
        </w:tblCellMar>
        <w:tblLook w:val="01E0" w:firstRow="1" w:lastRow="1" w:firstColumn="1" w:lastColumn="1" w:noHBand="0" w:noVBand="0"/>
      </w:tblPr>
      <w:tblGrid>
        <w:gridCol w:w="3479"/>
        <w:gridCol w:w="2320"/>
        <w:gridCol w:w="1246"/>
        <w:gridCol w:w="1946"/>
      </w:tblGrid>
      <w:tr w:rsidR="00A02889" w14:paraId="764B5CA6" w14:textId="77777777">
        <w:trPr>
          <w:trHeight w:val="577"/>
        </w:trPr>
        <w:tc>
          <w:tcPr>
            <w:tcW w:w="3479" w:type="dxa"/>
            <w:tcBorders>
              <w:top w:val="single" w:sz="4" w:space="0" w:color="000000"/>
              <w:bottom w:val="single" w:sz="4" w:space="0" w:color="000000"/>
            </w:tcBorders>
          </w:tcPr>
          <w:p w14:paraId="7E37BF1B" w14:textId="77777777" w:rsidR="00A02889" w:rsidRDefault="00000000">
            <w:pPr>
              <w:pStyle w:val="TableParagraph"/>
              <w:spacing w:before="11"/>
              <w:ind w:left="1492"/>
              <w:rPr>
                <w:b/>
                <w:sz w:val="24"/>
              </w:rPr>
            </w:pPr>
            <w:r>
              <w:rPr>
                <w:b/>
                <w:spacing w:val="-2"/>
                <w:sz w:val="24"/>
              </w:rPr>
              <w:t>Question</w:t>
            </w:r>
          </w:p>
        </w:tc>
        <w:tc>
          <w:tcPr>
            <w:tcW w:w="2320" w:type="dxa"/>
            <w:tcBorders>
              <w:top w:val="single" w:sz="4" w:space="0" w:color="000000"/>
              <w:bottom w:val="single" w:sz="4" w:space="0" w:color="000000"/>
            </w:tcBorders>
          </w:tcPr>
          <w:p w14:paraId="3BAB742E" w14:textId="77777777" w:rsidR="00A02889" w:rsidRDefault="00000000">
            <w:pPr>
              <w:pStyle w:val="TableParagraph"/>
              <w:spacing w:before="11"/>
              <w:ind w:left="889"/>
              <w:rPr>
                <w:b/>
                <w:sz w:val="24"/>
              </w:rPr>
            </w:pPr>
            <w:r>
              <w:rPr>
                <w:b/>
                <w:spacing w:val="-2"/>
                <w:sz w:val="24"/>
              </w:rPr>
              <w:t>Response</w:t>
            </w:r>
          </w:p>
        </w:tc>
        <w:tc>
          <w:tcPr>
            <w:tcW w:w="1246" w:type="dxa"/>
            <w:tcBorders>
              <w:top w:val="single" w:sz="4" w:space="0" w:color="000000"/>
              <w:bottom w:val="single" w:sz="4" w:space="0" w:color="000000"/>
            </w:tcBorders>
          </w:tcPr>
          <w:p w14:paraId="3B94EED7" w14:textId="77777777" w:rsidR="00A02889" w:rsidRDefault="00000000">
            <w:pPr>
              <w:pStyle w:val="TableParagraph"/>
              <w:spacing w:before="11"/>
              <w:ind w:right="91"/>
              <w:jc w:val="center"/>
              <w:rPr>
                <w:b/>
                <w:sz w:val="24"/>
              </w:rPr>
            </w:pPr>
            <w:r>
              <w:rPr>
                <w:b/>
                <w:spacing w:val="-2"/>
                <w:sz w:val="24"/>
              </w:rPr>
              <w:t>Frequency</w:t>
            </w:r>
          </w:p>
        </w:tc>
        <w:tc>
          <w:tcPr>
            <w:tcW w:w="1946" w:type="dxa"/>
            <w:tcBorders>
              <w:top w:val="single" w:sz="4" w:space="0" w:color="000000"/>
              <w:bottom w:val="single" w:sz="4" w:space="0" w:color="000000"/>
            </w:tcBorders>
          </w:tcPr>
          <w:p w14:paraId="5B9B77AF" w14:textId="77777777" w:rsidR="00A02889" w:rsidRDefault="00000000">
            <w:pPr>
              <w:pStyle w:val="TableParagraph"/>
              <w:spacing w:before="11"/>
              <w:ind w:right="103"/>
              <w:jc w:val="center"/>
              <w:rPr>
                <w:b/>
                <w:sz w:val="24"/>
              </w:rPr>
            </w:pPr>
            <w:r>
              <w:rPr>
                <w:b/>
                <w:sz w:val="24"/>
              </w:rPr>
              <w:t>Percentage</w:t>
            </w:r>
            <w:r>
              <w:rPr>
                <w:b/>
                <w:spacing w:val="-5"/>
                <w:sz w:val="24"/>
              </w:rPr>
              <w:t xml:space="preserve"> (%)</w:t>
            </w:r>
          </w:p>
        </w:tc>
      </w:tr>
      <w:tr w:rsidR="00A02889" w14:paraId="209B0D5D" w14:textId="77777777">
        <w:trPr>
          <w:trHeight w:val="488"/>
        </w:trPr>
        <w:tc>
          <w:tcPr>
            <w:tcW w:w="3479" w:type="dxa"/>
            <w:tcBorders>
              <w:top w:val="single" w:sz="4" w:space="0" w:color="000000"/>
            </w:tcBorders>
          </w:tcPr>
          <w:p w14:paraId="442E319C" w14:textId="77777777" w:rsidR="00A02889" w:rsidRDefault="00000000">
            <w:pPr>
              <w:pStyle w:val="TableParagraph"/>
              <w:spacing w:before="39"/>
              <w:ind w:left="43"/>
              <w:rPr>
                <w:sz w:val="24"/>
              </w:rPr>
            </w:pPr>
            <w:r>
              <w:rPr>
                <w:sz w:val="24"/>
              </w:rPr>
              <w:t>Factors</w:t>
            </w:r>
            <w:r>
              <w:rPr>
                <w:spacing w:val="-2"/>
                <w:sz w:val="24"/>
              </w:rPr>
              <w:t xml:space="preserve"> </w:t>
            </w:r>
            <w:r>
              <w:rPr>
                <w:sz w:val="24"/>
              </w:rPr>
              <w:t>influencing</w:t>
            </w:r>
            <w:r>
              <w:rPr>
                <w:spacing w:val="-4"/>
                <w:sz w:val="24"/>
              </w:rPr>
              <w:t xml:space="preserve"> </w:t>
            </w:r>
            <w:r>
              <w:rPr>
                <w:spacing w:val="-2"/>
                <w:sz w:val="24"/>
              </w:rPr>
              <w:t>choice</w:t>
            </w:r>
          </w:p>
        </w:tc>
        <w:tc>
          <w:tcPr>
            <w:tcW w:w="2320" w:type="dxa"/>
            <w:tcBorders>
              <w:top w:val="single" w:sz="4" w:space="0" w:color="000000"/>
            </w:tcBorders>
          </w:tcPr>
          <w:p w14:paraId="3B31F754" w14:textId="77777777" w:rsidR="00A02889" w:rsidRDefault="00000000">
            <w:pPr>
              <w:pStyle w:val="TableParagraph"/>
              <w:spacing w:before="39"/>
              <w:ind w:left="445"/>
              <w:rPr>
                <w:sz w:val="24"/>
              </w:rPr>
            </w:pPr>
            <w:r>
              <w:rPr>
                <w:spacing w:val="-2"/>
                <w:sz w:val="24"/>
              </w:rPr>
              <w:t>Effectiveness</w:t>
            </w:r>
          </w:p>
        </w:tc>
        <w:tc>
          <w:tcPr>
            <w:tcW w:w="1246" w:type="dxa"/>
            <w:tcBorders>
              <w:top w:val="single" w:sz="4" w:space="0" w:color="000000"/>
            </w:tcBorders>
          </w:tcPr>
          <w:p w14:paraId="06EA1A33" w14:textId="77777777" w:rsidR="00A02889" w:rsidRDefault="00000000">
            <w:pPr>
              <w:pStyle w:val="TableParagraph"/>
              <w:spacing w:before="39"/>
              <w:ind w:left="5" w:right="91"/>
              <w:jc w:val="center"/>
              <w:rPr>
                <w:sz w:val="24"/>
              </w:rPr>
            </w:pPr>
            <w:r>
              <w:rPr>
                <w:spacing w:val="-5"/>
                <w:sz w:val="24"/>
              </w:rPr>
              <w:t>27</w:t>
            </w:r>
          </w:p>
        </w:tc>
        <w:tc>
          <w:tcPr>
            <w:tcW w:w="1946" w:type="dxa"/>
            <w:tcBorders>
              <w:top w:val="single" w:sz="4" w:space="0" w:color="000000"/>
            </w:tcBorders>
          </w:tcPr>
          <w:p w14:paraId="5DFBD158" w14:textId="77777777" w:rsidR="00A02889" w:rsidRDefault="00000000">
            <w:pPr>
              <w:pStyle w:val="TableParagraph"/>
              <w:spacing w:before="39"/>
              <w:ind w:left="4" w:right="103"/>
              <w:jc w:val="center"/>
              <w:rPr>
                <w:sz w:val="24"/>
              </w:rPr>
            </w:pPr>
            <w:r>
              <w:rPr>
                <w:spacing w:val="-5"/>
                <w:sz w:val="24"/>
              </w:rPr>
              <w:t>54</w:t>
            </w:r>
          </w:p>
        </w:tc>
      </w:tr>
      <w:tr w:rsidR="00A02889" w14:paraId="268DF543" w14:textId="77777777">
        <w:trPr>
          <w:trHeight w:val="612"/>
        </w:trPr>
        <w:tc>
          <w:tcPr>
            <w:tcW w:w="3479" w:type="dxa"/>
          </w:tcPr>
          <w:p w14:paraId="775C6DF1" w14:textId="77777777" w:rsidR="00A02889" w:rsidRDefault="00A02889">
            <w:pPr>
              <w:pStyle w:val="TableParagraph"/>
              <w:spacing w:before="0"/>
              <w:rPr>
                <w:sz w:val="24"/>
              </w:rPr>
            </w:pPr>
          </w:p>
        </w:tc>
        <w:tc>
          <w:tcPr>
            <w:tcW w:w="2320" w:type="dxa"/>
          </w:tcPr>
          <w:p w14:paraId="2FF2A97E" w14:textId="77777777" w:rsidR="00A02889" w:rsidRDefault="00000000">
            <w:pPr>
              <w:pStyle w:val="TableParagraph"/>
              <w:ind w:left="445"/>
              <w:rPr>
                <w:sz w:val="24"/>
              </w:rPr>
            </w:pPr>
            <w:r>
              <w:rPr>
                <w:spacing w:val="-4"/>
                <w:sz w:val="24"/>
              </w:rPr>
              <w:t>Cost</w:t>
            </w:r>
          </w:p>
        </w:tc>
        <w:tc>
          <w:tcPr>
            <w:tcW w:w="1246" w:type="dxa"/>
          </w:tcPr>
          <w:p w14:paraId="0B5D12D4" w14:textId="77777777" w:rsidR="00A02889" w:rsidRDefault="00000000">
            <w:pPr>
              <w:pStyle w:val="TableParagraph"/>
              <w:ind w:left="5" w:right="91"/>
              <w:jc w:val="center"/>
              <w:rPr>
                <w:sz w:val="24"/>
              </w:rPr>
            </w:pPr>
            <w:r>
              <w:rPr>
                <w:spacing w:val="-10"/>
                <w:sz w:val="24"/>
              </w:rPr>
              <w:t>3</w:t>
            </w:r>
          </w:p>
        </w:tc>
        <w:tc>
          <w:tcPr>
            <w:tcW w:w="1946" w:type="dxa"/>
          </w:tcPr>
          <w:p w14:paraId="0CA81082" w14:textId="77777777" w:rsidR="00A02889" w:rsidRDefault="00000000">
            <w:pPr>
              <w:pStyle w:val="TableParagraph"/>
              <w:ind w:left="4" w:right="103"/>
              <w:jc w:val="center"/>
              <w:rPr>
                <w:sz w:val="24"/>
              </w:rPr>
            </w:pPr>
            <w:r>
              <w:rPr>
                <w:spacing w:val="-10"/>
                <w:sz w:val="24"/>
              </w:rPr>
              <w:t>6</w:t>
            </w:r>
          </w:p>
        </w:tc>
      </w:tr>
      <w:tr w:rsidR="00A02889" w14:paraId="05E00370" w14:textId="77777777">
        <w:trPr>
          <w:trHeight w:val="611"/>
        </w:trPr>
        <w:tc>
          <w:tcPr>
            <w:tcW w:w="3479" w:type="dxa"/>
          </w:tcPr>
          <w:p w14:paraId="2F06E15C" w14:textId="77777777" w:rsidR="00A02889" w:rsidRDefault="00A02889">
            <w:pPr>
              <w:pStyle w:val="TableParagraph"/>
              <w:spacing w:before="0"/>
              <w:rPr>
                <w:sz w:val="24"/>
              </w:rPr>
            </w:pPr>
          </w:p>
        </w:tc>
        <w:tc>
          <w:tcPr>
            <w:tcW w:w="2320" w:type="dxa"/>
          </w:tcPr>
          <w:p w14:paraId="36004DFB" w14:textId="77777777" w:rsidR="00A02889" w:rsidRDefault="00000000">
            <w:pPr>
              <w:pStyle w:val="TableParagraph"/>
              <w:ind w:left="445"/>
              <w:rPr>
                <w:sz w:val="24"/>
              </w:rPr>
            </w:pPr>
            <w:r>
              <w:rPr>
                <w:spacing w:val="-2"/>
                <w:sz w:val="24"/>
              </w:rPr>
              <w:t>Availability</w:t>
            </w:r>
          </w:p>
        </w:tc>
        <w:tc>
          <w:tcPr>
            <w:tcW w:w="1246" w:type="dxa"/>
          </w:tcPr>
          <w:p w14:paraId="44BC5B91" w14:textId="77777777" w:rsidR="00A02889" w:rsidRDefault="00000000">
            <w:pPr>
              <w:pStyle w:val="TableParagraph"/>
              <w:ind w:left="5" w:right="91"/>
              <w:jc w:val="center"/>
              <w:rPr>
                <w:sz w:val="24"/>
              </w:rPr>
            </w:pPr>
            <w:r>
              <w:rPr>
                <w:spacing w:val="-5"/>
                <w:sz w:val="24"/>
              </w:rPr>
              <w:t>17</w:t>
            </w:r>
          </w:p>
        </w:tc>
        <w:tc>
          <w:tcPr>
            <w:tcW w:w="1946" w:type="dxa"/>
          </w:tcPr>
          <w:p w14:paraId="0911AB29" w14:textId="77777777" w:rsidR="00A02889" w:rsidRDefault="00000000">
            <w:pPr>
              <w:pStyle w:val="TableParagraph"/>
              <w:ind w:left="4" w:right="103"/>
              <w:jc w:val="center"/>
              <w:rPr>
                <w:sz w:val="24"/>
              </w:rPr>
            </w:pPr>
            <w:r>
              <w:rPr>
                <w:spacing w:val="-5"/>
                <w:sz w:val="24"/>
              </w:rPr>
              <w:t>34</w:t>
            </w:r>
          </w:p>
        </w:tc>
      </w:tr>
      <w:tr w:rsidR="00A02889" w14:paraId="6DCCA3AB" w14:textId="77777777">
        <w:trPr>
          <w:trHeight w:val="612"/>
        </w:trPr>
        <w:tc>
          <w:tcPr>
            <w:tcW w:w="3479" w:type="dxa"/>
          </w:tcPr>
          <w:p w14:paraId="7DF0945C" w14:textId="77777777" w:rsidR="00A02889" w:rsidRDefault="00A02889">
            <w:pPr>
              <w:pStyle w:val="TableParagraph"/>
              <w:spacing w:before="0"/>
              <w:rPr>
                <w:sz w:val="24"/>
              </w:rPr>
            </w:pPr>
          </w:p>
        </w:tc>
        <w:tc>
          <w:tcPr>
            <w:tcW w:w="2320" w:type="dxa"/>
          </w:tcPr>
          <w:p w14:paraId="117881DD" w14:textId="77777777" w:rsidR="00A02889" w:rsidRDefault="00000000">
            <w:pPr>
              <w:pStyle w:val="TableParagraph"/>
              <w:ind w:left="445"/>
              <w:rPr>
                <w:sz w:val="24"/>
              </w:rPr>
            </w:pPr>
            <w:r>
              <w:rPr>
                <w:sz w:val="24"/>
              </w:rPr>
              <w:t>Natural</w:t>
            </w:r>
            <w:r>
              <w:rPr>
                <w:spacing w:val="-4"/>
                <w:sz w:val="24"/>
              </w:rPr>
              <w:t xml:space="preserve"> </w:t>
            </w:r>
            <w:r>
              <w:rPr>
                <w:spacing w:val="-2"/>
                <w:sz w:val="24"/>
              </w:rPr>
              <w:t>ingredients</w:t>
            </w:r>
          </w:p>
        </w:tc>
        <w:tc>
          <w:tcPr>
            <w:tcW w:w="1246" w:type="dxa"/>
          </w:tcPr>
          <w:p w14:paraId="571AB940" w14:textId="77777777" w:rsidR="00A02889" w:rsidRDefault="00000000">
            <w:pPr>
              <w:pStyle w:val="TableParagraph"/>
              <w:ind w:left="5" w:right="91"/>
              <w:jc w:val="center"/>
              <w:rPr>
                <w:sz w:val="24"/>
              </w:rPr>
            </w:pPr>
            <w:r>
              <w:rPr>
                <w:spacing w:val="-10"/>
                <w:sz w:val="24"/>
              </w:rPr>
              <w:t>8</w:t>
            </w:r>
          </w:p>
        </w:tc>
        <w:tc>
          <w:tcPr>
            <w:tcW w:w="1946" w:type="dxa"/>
          </w:tcPr>
          <w:p w14:paraId="3741AE68" w14:textId="77777777" w:rsidR="00A02889" w:rsidRDefault="00000000">
            <w:pPr>
              <w:pStyle w:val="TableParagraph"/>
              <w:ind w:left="4" w:right="103"/>
              <w:jc w:val="center"/>
              <w:rPr>
                <w:sz w:val="24"/>
              </w:rPr>
            </w:pPr>
            <w:r>
              <w:rPr>
                <w:spacing w:val="-5"/>
                <w:sz w:val="24"/>
              </w:rPr>
              <w:t>16</w:t>
            </w:r>
          </w:p>
        </w:tc>
      </w:tr>
      <w:tr w:rsidR="00A02889" w14:paraId="642141B6" w14:textId="77777777">
        <w:trPr>
          <w:trHeight w:val="612"/>
        </w:trPr>
        <w:tc>
          <w:tcPr>
            <w:tcW w:w="3479" w:type="dxa"/>
          </w:tcPr>
          <w:p w14:paraId="5EAFD9CB" w14:textId="77777777" w:rsidR="00A02889" w:rsidRDefault="00000000">
            <w:pPr>
              <w:pStyle w:val="TableParagraph"/>
              <w:ind w:left="43"/>
              <w:rPr>
                <w:sz w:val="24"/>
              </w:rPr>
            </w:pPr>
            <w:r>
              <w:rPr>
                <w:sz w:val="24"/>
              </w:rPr>
              <w:t>Prefer</w:t>
            </w:r>
            <w:r>
              <w:rPr>
                <w:spacing w:val="-4"/>
                <w:sz w:val="24"/>
              </w:rPr>
              <w:t xml:space="preserve"> </w:t>
            </w:r>
            <w:r>
              <w:rPr>
                <w:sz w:val="24"/>
              </w:rPr>
              <w:t>natural</w:t>
            </w:r>
            <w:r>
              <w:rPr>
                <w:spacing w:val="-2"/>
                <w:sz w:val="24"/>
              </w:rPr>
              <w:t xml:space="preserve"> </w:t>
            </w:r>
            <w:r>
              <w:rPr>
                <w:sz w:val="24"/>
              </w:rPr>
              <w:t>antacids</w:t>
            </w:r>
            <w:r>
              <w:rPr>
                <w:spacing w:val="-1"/>
                <w:sz w:val="24"/>
              </w:rPr>
              <w:t xml:space="preserve"> </w:t>
            </w:r>
            <w:r>
              <w:rPr>
                <w:spacing w:val="-2"/>
                <w:sz w:val="24"/>
              </w:rPr>
              <w:t>overall?</w:t>
            </w:r>
          </w:p>
        </w:tc>
        <w:tc>
          <w:tcPr>
            <w:tcW w:w="2320" w:type="dxa"/>
          </w:tcPr>
          <w:p w14:paraId="1B43388F" w14:textId="77777777" w:rsidR="00A02889" w:rsidRDefault="00000000">
            <w:pPr>
              <w:pStyle w:val="TableParagraph"/>
              <w:ind w:left="445"/>
              <w:rPr>
                <w:sz w:val="24"/>
              </w:rPr>
            </w:pPr>
            <w:r>
              <w:rPr>
                <w:spacing w:val="-5"/>
                <w:sz w:val="24"/>
              </w:rPr>
              <w:t>Yes</w:t>
            </w:r>
          </w:p>
        </w:tc>
        <w:tc>
          <w:tcPr>
            <w:tcW w:w="1246" w:type="dxa"/>
          </w:tcPr>
          <w:p w14:paraId="7CDD8A6E" w14:textId="77777777" w:rsidR="00A02889" w:rsidRDefault="00000000">
            <w:pPr>
              <w:pStyle w:val="TableParagraph"/>
              <w:ind w:left="5" w:right="91"/>
              <w:jc w:val="center"/>
              <w:rPr>
                <w:sz w:val="24"/>
              </w:rPr>
            </w:pPr>
            <w:r>
              <w:rPr>
                <w:spacing w:val="-5"/>
                <w:sz w:val="24"/>
              </w:rPr>
              <w:t>15</w:t>
            </w:r>
          </w:p>
        </w:tc>
        <w:tc>
          <w:tcPr>
            <w:tcW w:w="1946" w:type="dxa"/>
          </w:tcPr>
          <w:p w14:paraId="5A149EE9" w14:textId="77777777" w:rsidR="00A02889" w:rsidRDefault="00000000">
            <w:pPr>
              <w:pStyle w:val="TableParagraph"/>
              <w:ind w:left="4" w:right="103"/>
              <w:jc w:val="center"/>
              <w:rPr>
                <w:sz w:val="24"/>
              </w:rPr>
            </w:pPr>
            <w:r>
              <w:rPr>
                <w:spacing w:val="-5"/>
                <w:sz w:val="24"/>
              </w:rPr>
              <w:t>30</w:t>
            </w:r>
          </w:p>
        </w:tc>
      </w:tr>
      <w:tr w:rsidR="00A02889" w14:paraId="61A6C8B0" w14:textId="77777777">
        <w:trPr>
          <w:trHeight w:val="737"/>
        </w:trPr>
        <w:tc>
          <w:tcPr>
            <w:tcW w:w="3479" w:type="dxa"/>
            <w:tcBorders>
              <w:bottom w:val="single" w:sz="4" w:space="0" w:color="000000"/>
            </w:tcBorders>
          </w:tcPr>
          <w:p w14:paraId="6AE2C0A0" w14:textId="77777777" w:rsidR="00A02889" w:rsidRDefault="00A02889">
            <w:pPr>
              <w:pStyle w:val="TableParagraph"/>
              <w:spacing w:before="0"/>
              <w:rPr>
                <w:sz w:val="24"/>
              </w:rPr>
            </w:pPr>
          </w:p>
        </w:tc>
        <w:tc>
          <w:tcPr>
            <w:tcW w:w="2320" w:type="dxa"/>
            <w:tcBorders>
              <w:bottom w:val="single" w:sz="4" w:space="0" w:color="000000"/>
            </w:tcBorders>
          </w:tcPr>
          <w:p w14:paraId="1804AE57" w14:textId="77777777" w:rsidR="00A02889" w:rsidRDefault="00000000">
            <w:pPr>
              <w:pStyle w:val="TableParagraph"/>
              <w:ind w:left="445"/>
              <w:rPr>
                <w:sz w:val="24"/>
              </w:rPr>
            </w:pPr>
            <w:r>
              <w:rPr>
                <w:spacing w:val="-5"/>
                <w:sz w:val="24"/>
              </w:rPr>
              <w:t>No</w:t>
            </w:r>
          </w:p>
        </w:tc>
        <w:tc>
          <w:tcPr>
            <w:tcW w:w="1246" w:type="dxa"/>
            <w:tcBorders>
              <w:bottom w:val="single" w:sz="4" w:space="0" w:color="000000"/>
            </w:tcBorders>
          </w:tcPr>
          <w:p w14:paraId="06A10EF5" w14:textId="77777777" w:rsidR="00A02889" w:rsidRDefault="00000000">
            <w:pPr>
              <w:pStyle w:val="TableParagraph"/>
              <w:ind w:left="5" w:right="91"/>
              <w:jc w:val="center"/>
              <w:rPr>
                <w:sz w:val="24"/>
              </w:rPr>
            </w:pPr>
            <w:r>
              <w:rPr>
                <w:spacing w:val="-5"/>
                <w:sz w:val="24"/>
              </w:rPr>
              <w:t>35</w:t>
            </w:r>
          </w:p>
        </w:tc>
        <w:tc>
          <w:tcPr>
            <w:tcW w:w="1946" w:type="dxa"/>
            <w:tcBorders>
              <w:bottom w:val="single" w:sz="4" w:space="0" w:color="000000"/>
            </w:tcBorders>
          </w:tcPr>
          <w:p w14:paraId="6BC78E30" w14:textId="77777777" w:rsidR="00A02889" w:rsidRDefault="00000000">
            <w:pPr>
              <w:pStyle w:val="TableParagraph"/>
              <w:ind w:left="4" w:right="103"/>
              <w:jc w:val="center"/>
              <w:rPr>
                <w:sz w:val="24"/>
              </w:rPr>
            </w:pPr>
            <w:r>
              <w:rPr>
                <w:spacing w:val="-5"/>
                <w:sz w:val="24"/>
              </w:rPr>
              <w:t>70</w:t>
            </w:r>
          </w:p>
        </w:tc>
      </w:tr>
    </w:tbl>
    <w:p w14:paraId="566DEE83" w14:textId="77777777" w:rsidR="00A02889" w:rsidRDefault="00000000">
      <w:pPr>
        <w:pStyle w:val="BodyText"/>
        <w:spacing w:before="267" w:line="480" w:lineRule="auto"/>
        <w:ind w:left="720" w:right="717"/>
        <w:jc w:val="both"/>
      </w:pPr>
      <w:r>
        <w:t xml:space="preserve">When asked about factors influencing their choice of antacid, 27 respondents (54%) selected effectiveness as the most important factor, followed by 17 respondents (34%) who prioritized availability, 8 respondents (16%) who chose natural ingredients, and only 3 respondents (6%) who considered cost. This indicates that consumers value efficacy and convenience over price or product origin, which aligns with findings by </w:t>
      </w:r>
      <w:proofErr w:type="spellStart"/>
      <w:r>
        <w:t>Gatt</w:t>
      </w:r>
      <w:proofErr w:type="spellEnd"/>
      <w:r>
        <w:t xml:space="preserve"> </w:t>
      </w:r>
      <w:r>
        <w:rPr>
          <w:i/>
        </w:rPr>
        <w:t xml:space="preserve">et al. </w:t>
      </w:r>
      <w:r>
        <w:t>(2024) that accessibility and reliability drive over-the-counter medication choices in developing countries. The relatively low emphasis on cost suggests that respondents are willing to pay more for perceived effectiveness and quick relief. Finally, when asked whether</w:t>
      </w:r>
      <w:r>
        <w:rPr>
          <w:spacing w:val="-2"/>
        </w:rPr>
        <w:t xml:space="preserve"> </w:t>
      </w:r>
      <w:r>
        <w:t>they</w:t>
      </w:r>
      <w:r>
        <w:rPr>
          <w:spacing w:val="-3"/>
        </w:rPr>
        <w:t xml:space="preserve"> </w:t>
      </w:r>
      <w:r>
        <w:t>would prefer</w:t>
      </w:r>
      <w:r>
        <w:rPr>
          <w:spacing w:val="-1"/>
        </w:rPr>
        <w:t xml:space="preserve"> </w:t>
      </w:r>
      <w:r>
        <w:t>to use</w:t>
      </w:r>
      <w:r>
        <w:rPr>
          <w:spacing w:val="-1"/>
        </w:rPr>
        <w:t xml:space="preserve"> </w:t>
      </w:r>
      <w:r>
        <w:t>natural antacids over</w:t>
      </w:r>
      <w:r>
        <w:rPr>
          <w:spacing w:val="-1"/>
        </w:rPr>
        <w:t xml:space="preserve"> </w:t>
      </w:r>
      <w:r>
        <w:t>synthetic</w:t>
      </w:r>
      <w:r>
        <w:rPr>
          <w:spacing w:val="-1"/>
        </w:rPr>
        <w:t xml:space="preserve"> </w:t>
      </w:r>
      <w:r>
        <w:t>ones, 15 respondents (30%) said yes, while 35 respondents (70%) said no. This further reinforces the prevailing trust in synthetic antacids, possibly due to their widespread availability, advertising, and physician recommendations. Nevertheless, the 30% who preferred natural remedies</w:t>
      </w:r>
      <w:r>
        <w:rPr>
          <w:spacing w:val="40"/>
        </w:rPr>
        <w:t xml:space="preserve"> </w:t>
      </w:r>
      <w:r>
        <w:t>represent</w:t>
      </w:r>
      <w:r>
        <w:rPr>
          <w:spacing w:val="-2"/>
        </w:rPr>
        <w:t xml:space="preserve"> </w:t>
      </w:r>
      <w:r>
        <w:t>a</w:t>
      </w:r>
      <w:r>
        <w:rPr>
          <w:spacing w:val="-1"/>
        </w:rPr>
        <w:t xml:space="preserve"> </w:t>
      </w:r>
      <w:r>
        <w:t>growing</w:t>
      </w:r>
      <w:r>
        <w:rPr>
          <w:spacing w:val="-5"/>
        </w:rPr>
        <w:t xml:space="preserve"> </w:t>
      </w:r>
      <w:r>
        <w:t>segment</w:t>
      </w:r>
      <w:r>
        <w:rPr>
          <w:spacing w:val="-2"/>
        </w:rPr>
        <w:t xml:space="preserve"> </w:t>
      </w:r>
      <w:r>
        <w:t>of</w:t>
      </w:r>
      <w:r>
        <w:rPr>
          <w:spacing w:val="-3"/>
        </w:rPr>
        <w:t xml:space="preserve"> </w:t>
      </w:r>
      <w:r>
        <w:t>consumers</w:t>
      </w:r>
      <w:r>
        <w:rPr>
          <w:spacing w:val="-2"/>
        </w:rPr>
        <w:t xml:space="preserve"> </w:t>
      </w:r>
      <w:r>
        <w:t>influenced</w:t>
      </w:r>
      <w:r>
        <w:rPr>
          <w:spacing w:val="-2"/>
        </w:rPr>
        <w:t xml:space="preserve"> </w:t>
      </w:r>
      <w:r>
        <w:t>by</w:t>
      </w:r>
      <w:r>
        <w:rPr>
          <w:spacing w:val="-5"/>
        </w:rPr>
        <w:t xml:space="preserve"> </w:t>
      </w:r>
      <w:r>
        <w:t>global</w:t>
      </w:r>
      <w:r>
        <w:rPr>
          <w:spacing w:val="-2"/>
        </w:rPr>
        <w:t xml:space="preserve"> </w:t>
      </w:r>
      <w:r>
        <w:t>trends</w:t>
      </w:r>
      <w:r>
        <w:rPr>
          <w:spacing w:val="-2"/>
        </w:rPr>
        <w:t xml:space="preserve"> </w:t>
      </w:r>
      <w:r>
        <w:t>toward</w:t>
      </w:r>
      <w:r>
        <w:rPr>
          <w:spacing w:val="-2"/>
        </w:rPr>
        <w:t xml:space="preserve"> </w:t>
      </w:r>
      <w:r>
        <w:t>herbal and</w:t>
      </w:r>
      <w:r>
        <w:rPr>
          <w:spacing w:val="-2"/>
        </w:rPr>
        <w:t xml:space="preserve"> </w:t>
      </w:r>
      <w:r>
        <w:t xml:space="preserve">holistic healthcare. As Scott </w:t>
      </w:r>
      <w:r>
        <w:rPr>
          <w:i/>
        </w:rPr>
        <w:t xml:space="preserve">et al. </w:t>
      </w:r>
      <w:r>
        <w:t>(2020) observed, such preferences are often driven by the perception that natural products are safer and healthier, even if less potent</w:t>
      </w:r>
    </w:p>
    <w:p w14:paraId="52640AFB"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3060E88" w14:textId="77777777" w:rsidR="00A02889" w:rsidRDefault="00000000">
      <w:pPr>
        <w:pStyle w:val="Heading2"/>
        <w:numPr>
          <w:ilvl w:val="1"/>
          <w:numId w:val="2"/>
        </w:numPr>
        <w:tabs>
          <w:tab w:val="left" w:pos="1080"/>
        </w:tabs>
        <w:spacing w:before="76"/>
      </w:pPr>
      <w:bookmarkStart w:id="76" w:name="_bookmark76"/>
      <w:bookmarkEnd w:id="76"/>
      <w:r>
        <w:rPr>
          <w:spacing w:val="-2"/>
        </w:rPr>
        <w:lastRenderedPageBreak/>
        <w:t>Discussion</w:t>
      </w:r>
    </w:p>
    <w:p w14:paraId="7A685EF4" w14:textId="77777777" w:rsidR="00A02889" w:rsidRDefault="00A02889">
      <w:pPr>
        <w:pStyle w:val="BodyText"/>
        <w:rPr>
          <w:b/>
        </w:rPr>
      </w:pPr>
    </w:p>
    <w:p w14:paraId="110FB7E5" w14:textId="77777777" w:rsidR="00A02889" w:rsidRDefault="00A02889">
      <w:pPr>
        <w:pStyle w:val="BodyText"/>
        <w:spacing w:before="6"/>
        <w:rPr>
          <w:b/>
        </w:rPr>
      </w:pPr>
    </w:p>
    <w:p w14:paraId="230E8C68" w14:textId="77777777" w:rsidR="00A02889" w:rsidRDefault="00000000">
      <w:pPr>
        <w:pStyle w:val="ListParagraph"/>
        <w:numPr>
          <w:ilvl w:val="2"/>
          <w:numId w:val="2"/>
        </w:numPr>
        <w:tabs>
          <w:tab w:val="left" w:pos="1260"/>
        </w:tabs>
        <w:rPr>
          <w:b/>
          <w:sz w:val="24"/>
        </w:rPr>
      </w:pPr>
      <w:bookmarkStart w:id="77" w:name="_bookmark77"/>
      <w:bookmarkEnd w:id="77"/>
      <w:r>
        <w:rPr>
          <w:b/>
          <w:sz w:val="24"/>
        </w:rPr>
        <w:t>Discussion</w:t>
      </w:r>
      <w:r>
        <w:rPr>
          <w:b/>
          <w:spacing w:val="-1"/>
          <w:sz w:val="24"/>
        </w:rPr>
        <w:t xml:space="preserve"> </w:t>
      </w:r>
      <w:r>
        <w:rPr>
          <w:b/>
          <w:sz w:val="24"/>
        </w:rPr>
        <w:t>of</w:t>
      </w:r>
      <w:r>
        <w:rPr>
          <w:b/>
          <w:spacing w:val="-3"/>
          <w:sz w:val="24"/>
        </w:rPr>
        <w:t xml:space="preserve"> </w:t>
      </w:r>
      <w:r>
        <w:rPr>
          <w:b/>
          <w:sz w:val="24"/>
        </w:rPr>
        <w:t>Laboratory</w:t>
      </w:r>
      <w:r>
        <w:rPr>
          <w:b/>
          <w:spacing w:val="-1"/>
          <w:sz w:val="24"/>
        </w:rPr>
        <w:t xml:space="preserve"> </w:t>
      </w:r>
      <w:r>
        <w:rPr>
          <w:b/>
          <w:spacing w:val="-2"/>
          <w:sz w:val="24"/>
        </w:rPr>
        <w:t>Result</w:t>
      </w:r>
    </w:p>
    <w:p w14:paraId="002D3ED0" w14:textId="77777777" w:rsidR="00A02889" w:rsidRDefault="00A02889">
      <w:pPr>
        <w:pStyle w:val="BodyText"/>
        <w:spacing w:before="273"/>
        <w:rPr>
          <w:b/>
        </w:rPr>
      </w:pPr>
    </w:p>
    <w:p w14:paraId="62CF5A8C" w14:textId="77777777" w:rsidR="00A02889" w:rsidRDefault="00000000">
      <w:pPr>
        <w:pStyle w:val="BodyText"/>
        <w:spacing w:line="480" w:lineRule="auto"/>
        <w:ind w:left="720" w:right="713"/>
        <w:jc w:val="both"/>
      </w:pPr>
      <w:r>
        <w:t xml:space="preserve">The results of the experiment showed that both natural and synthetic antacids effectively neutralized gastric acid, though the extent and stability of their actions differed. All tested </w:t>
      </w:r>
      <w:proofErr w:type="gramStart"/>
      <w:r>
        <w:t>antacids maintained</w:t>
      </w:r>
      <w:proofErr w:type="gramEnd"/>
      <w:r>
        <w:t xml:space="preserve"> pH values within a narrow range (6.38–6.56), demonstrating their capacity</w:t>
      </w:r>
      <w:r>
        <w:rPr>
          <w:spacing w:val="40"/>
        </w:rPr>
        <w:t xml:space="preserve"> </w:t>
      </w:r>
      <w:r>
        <w:t>to buffer acidic conditions.</w:t>
      </w:r>
      <w:r>
        <w:rPr>
          <w:spacing w:val="-1"/>
        </w:rPr>
        <w:t xml:space="preserve"> </w:t>
      </w:r>
      <w:r>
        <w:t>Among the samples, magnesium trisilicate exhibited the most stable and sustained neutralization, maintaining a nearly constant pH throughout the observation</w:t>
      </w:r>
      <w:r>
        <w:rPr>
          <w:spacing w:val="80"/>
        </w:rPr>
        <w:t xml:space="preserve"> </w:t>
      </w:r>
      <w:r>
        <w:t xml:space="preserve">period. This finding supports the report of Garg et al. (2022), who described magnesium-based antacids as highly efficient due to their dual reaction mechanism that neutralizes acid while forming water and magnesium chloride, thereby prolonging the buffering effect. Similarly, </w:t>
      </w:r>
      <w:proofErr w:type="spellStart"/>
      <w:r>
        <w:t>aluminium</w:t>
      </w:r>
      <w:proofErr w:type="spellEnd"/>
      <w:r>
        <w:t xml:space="preserve"> hydroxide (</w:t>
      </w:r>
      <w:proofErr w:type="spellStart"/>
      <w:r>
        <w:t>Gestid</w:t>
      </w:r>
      <w:proofErr w:type="spellEnd"/>
      <w:r>
        <w:t>) demonstrated consistent pH control with slow but long-lasting neutralization, aligning with findings by</w:t>
      </w:r>
      <w:r>
        <w:rPr>
          <w:spacing w:val="-2"/>
        </w:rPr>
        <w:t xml:space="preserve"> </w:t>
      </w:r>
      <w:r>
        <w:t>Salisbury and</w:t>
      </w:r>
      <w:r>
        <w:rPr>
          <w:spacing w:val="-2"/>
        </w:rPr>
        <w:t xml:space="preserve"> </w:t>
      </w:r>
      <w:r>
        <w:t>Terrell (2023), who noted that aluminum- based compounds act gradually but maintain a stable gastric environment over time.</w:t>
      </w:r>
    </w:p>
    <w:p w14:paraId="47D19469" w14:textId="77777777" w:rsidR="00A02889" w:rsidRDefault="00000000">
      <w:pPr>
        <w:pStyle w:val="BodyText"/>
        <w:spacing w:before="201" w:line="480" w:lineRule="auto"/>
        <w:ind w:left="720" w:right="715"/>
        <w:jc w:val="both"/>
      </w:pPr>
      <w:r>
        <w:t>Conversely, natural antacids such as ginger extract and baking soda (sodium bicarbonate)</w:t>
      </w:r>
      <w:r>
        <w:rPr>
          <w:spacing w:val="40"/>
        </w:rPr>
        <w:t xml:space="preserve"> </w:t>
      </w:r>
      <w:r>
        <w:t>showed moderate but consistent neutralization effects. Baking soda produced an immediate rise in pH followed by a gradual decline, reflecting its rapid reaction and short-lived buffering capacity. This observation agrees with Scott et al. (2020), who reported that bicarbonate-based antacids provide quick relief but may lead to rebound acidity once neutralization subsides.</w:t>
      </w:r>
      <w:r>
        <w:rPr>
          <w:spacing w:val="40"/>
        </w:rPr>
        <w:t xml:space="preserve"> </w:t>
      </w:r>
      <w:r>
        <w:t>Ginger extract displayed a slower yet steady buffering trend, likely due to its phytochemicals such as gingerols and shogaols, which exhibit mild alkaline properties and protect the gastric mucosa, a finding supported by Singh et al. (2020) and</w:t>
      </w:r>
      <w:r>
        <w:rPr>
          <w:spacing w:val="-6"/>
        </w:rPr>
        <w:t xml:space="preserve"> </w:t>
      </w:r>
      <w:r>
        <w:t>Abdullahi et al. (2023).</w:t>
      </w:r>
    </w:p>
    <w:p w14:paraId="4E37696B"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3ED40F94" w14:textId="77777777" w:rsidR="00A02889" w:rsidRDefault="00000000">
      <w:pPr>
        <w:pStyle w:val="BodyText"/>
        <w:spacing w:before="72" w:line="480" w:lineRule="auto"/>
        <w:ind w:left="720" w:right="715"/>
        <w:jc w:val="both"/>
      </w:pPr>
      <w:r>
        <w:lastRenderedPageBreak/>
        <w:t>To statistically compare the effectiveness of the antacids, a one-way ANOVA was conducted. The analysis revealed a significant difference among the mean pH values of the four antacid types (</w:t>
      </w:r>
      <w:proofErr w:type="gramStart"/>
      <w:r>
        <w:t>F(</w:t>
      </w:r>
      <w:proofErr w:type="gramEnd"/>
      <w:r>
        <w:t>3,24) = 3.17, p &lt; 0.05), indicating that at least one formulation performed better in neutralizing gastric acid. This suggests that the antacids did not exhibit equal neutralizing capacities.</w:t>
      </w:r>
      <w:r>
        <w:rPr>
          <w:spacing w:val="-2"/>
        </w:rPr>
        <w:t xml:space="preserve"> </w:t>
      </w:r>
      <w:r>
        <w:t xml:space="preserve">The post-hoc observation showed that magnesium trisilicate had the highest mean pH value, making it the most effective of the group. This result is consistent with studies by </w:t>
      </w:r>
      <w:proofErr w:type="spellStart"/>
      <w:r>
        <w:t>Ebeshi</w:t>
      </w:r>
      <w:proofErr w:type="spellEnd"/>
      <w:r>
        <w:rPr>
          <w:spacing w:val="40"/>
        </w:rPr>
        <w:t xml:space="preserve"> </w:t>
      </w:r>
      <w:r>
        <w:t>et al. (2024) and Garg et al. (2022), who found that magnesium trisilicate possesses superior</w:t>
      </w:r>
      <w:r>
        <w:rPr>
          <w:spacing w:val="40"/>
        </w:rPr>
        <w:t xml:space="preserve"> </w:t>
      </w:r>
      <w:r>
        <w:t xml:space="preserve">acid-neutralizing potential and prolonged buffering activity compared to both </w:t>
      </w:r>
      <w:proofErr w:type="spellStart"/>
      <w:r>
        <w:t>aluminium</w:t>
      </w:r>
      <w:proofErr w:type="spellEnd"/>
      <w:r>
        <w:t>-based and natural antacids.</w:t>
      </w:r>
    </w:p>
    <w:p w14:paraId="68667535" w14:textId="77777777" w:rsidR="00A02889" w:rsidRDefault="00A02889">
      <w:pPr>
        <w:pStyle w:val="BodyText"/>
        <w:spacing w:before="8"/>
      </w:pPr>
    </w:p>
    <w:p w14:paraId="3DAB674B" w14:textId="77777777" w:rsidR="00A02889" w:rsidRDefault="00000000">
      <w:pPr>
        <w:pStyle w:val="Heading2"/>
        <w:numPr>
          <w:ilvl w:val="2"/>
          <w:numId w:val="2"/>
        </w:numPr>
        <w:tabs>
          <w:tab w:val="left" w:pos="1260"/>
        </w:tabs>
      </w:pPr>
      <w:bookmarkStart w:id="78" w:name="_bookmark78"/>
      <w:bookmarkEnd w:id="78"/>
      <w:r>
        <w:t>Discussion</w:t>
      </w:r>
      <w:r>
        <w:rPr>
          <w:spacing w:val="-3"/>
        </w:rPr>
        <w:t xml:space="preserve"> </w:t>
      </w:r>
      <w:r>
        <w:t>of</w:t>
      </w:r>
      <w:r>
        <w:rPr>
          <w:spacing w:val="-2"/>
        </w:rPr>
        <w:t xml:space="preserve"> </w:t>
      </w:r>
      <w:r>
        <w:t>Questionnaire</w:t>
      </w:r>
      <w:r>
        <w:rPr>
          <w:spacing w:val="-2"/>
        </w:rPr>
        <w:t xml:space="preserve"> Findings</w:t>
      </w:r>
    </w:p>
    <w:p w14:paraId="73A67771" w14:textId="77777777" w:rsidR="00A02889" w:rsidRDefault="00A02889">
      <w:pPr>
        <w:pStyle w:val="BodyText"/>
        <w:rPr>
          <w:b/>
        </w:rPr>
      </w:pPr>
    </w:p>
    <w:p w14:paraId="54412A07" w14:textId="77777777" w:rsidR="00A02889" w:rsidRDefault="00A02889">
      <w:pPr>
        <w:pStyle w:val="BodyText"/>
        <w:rPr>
          <w:b/>
        </w:rPr>
      </w:pPr>
    </w:p>
    <w:p w14:paraId="62F631AC" w14:textId="77777777" w:rsidR="00A02889" w:rsidRDefault="00000000">
      <w:pPr>
        <w:pStyle w:val="BodyText"/>
        <w:spacing w:line="480" w:lineRule="auto"/>
        <w:ind w:left="720" w:right="714"/>
        <w:jc w:val="both"/>
      </w:pPr>
      <w:r>
        <w:t xml:space="preserve">The questionnaire provided important insights into the awareness, usage, and perceptions of natural and synthetic antacids among residents of Sokoto Metropolis. Most respondents were young adults aged 16–35 years (70%), followed by middle-aged adults (26%) and a few older individuals (4%). This shows that younger people experience acid-related discomforts more often, likely due to stress, irregular eating habits, and diets rich in spicy or processed foods. Similar trends were reported by </w:t>
      </w:r>
      <w:proofErr w:type="spellStart"/>
      <w:r>
        <w:t>Gatt</w:t>
      </w:r>
      <w:proofErr w:type="spellEnd"/>
      <w:r>
        <w:t xml:space="preserve"> et al. (2024), who found that younger adults frequently use over-the-counter (OTC) medications for quick relief from acid-related symptoms. The gender pattern, with 74% males and 26% females, also reflects lifestyle-related risk factors such as caffeine, alcohol use, and irregular meals, which are more common among men (Garg </w:t>
      </w:r>
      <w:r>
        <w:rPr>
          <w:i/>
        </w:rPr>
        <w:t xml:space="preserve">et al., </w:t>
      </w:r>
      <w:r>
        <w:t>2022). A large majority (98%) of respondents had experienced symptoms of acid-related disorders like heartburn, although most reported mild or occasional occurrences. This suggests that</w:t>
      </w:r>
      <w:r>
        <w:rPr>
          <w:spacing w:val="20"/>
        </w:rPr>
        <w:t xml:space="preserve"> </w:t>
      </w:r>
      <w:r>
        <w:t>such</w:t>
      </w:r>
      <w:r>
        <w:rPr>
          <w:spacing w:val="19"/>
        </w:rPr>
        <w:t xml:space="preserve"> </w:t>
      </w:r>
      <w:r>
        <w:t>conditions</w:t>
      </w:r>
      <w:r>
        <w:rPr>
          <w:spacing w:val="21"/>
        </w:rPr>
        <w:t xml:space="preserve"> </w:t>
      </w:r>
      <w:r>
        <w:t>are</w:t>
      </w:r>
      <w:r>
        <w:rPr>
          <w:spacing w:val="21"/>
        </w:rPr>
        <w:t xml:space="preserve"> </w:t>
      </w:r>
      <w:r>
        <w:t>common</w:t>
      </w:r>
      <w:r>
        <w:rPr>
          <w:spacing w:val="20"/>
        </w:rPr>
        <w:t xml:space="preserve"> </w:t>
      </w:r>
      <w:r>
        <w:t>but</w:t>
      </w:r>
      <w:r>
        <w:rPr>
          <w:spacing w:val="20"/>
        </w:rPr>
        <w:t xml:space="preserve"> </w:t>
      </w:r>
      <w:r>
        <w:t>not</w:t>
      </w:r>
      <w:r>
        <w:rPr>
          <w:spacing w:val="21"/>
        </w:rPr>
        <w:t xml:space="preserve"> </w:t>
      </w:r>
      <w:r>
        <w:t>severe,</w:t>
      </w:r>
      <w:r>
        <w:rPr>
          <w:spacing w:val="22"/>
        </w:rPr>
        <w:t xml:space="preserve"> </w:t>
      </w:r>
      <w:r>
        <w:t>supporting</w:t>
      </w:r>
      <w:r>
        <w:rPr>
          <w:spacing w:val="20"/>
        </w:rPr>
        <w:t xml:space="preserve"> </w:t>
      </w:r>
      <w:r>
        <w:t>global</w:t>
      </w:r>
      <w:r>
        <w:rPr>
          <w:spacing w:val="22"/>
        </w:rPr>
        <w:t xml:space="preserve"> </w:t>
      </w:r>
      <w:r>
        <w:t>findings</w:t>
      </w:r>
      <w:r>
        <w:rPr>
          <w:spacing w:val="20"/>
        </w:rPr>
        <w:t xml:space="preserve"> </w:t>
      </w:r>
      <w:r>
        <w:t>that</w:t>
      </w:r>
      <w:r>
        <w:rPr>
          <w:spacing w:val="20"/>
        </w:rPr>
        <w:t xml:space="preserve"> </w:t>
      </w:r>
      <w:r>
        <w:t>mild,</w:t>
      </w:r>
      <w:r>
        <w:rPr>
          <w:spacing w:val="21"/>
        </w:rPr>
        <w:t xml:space="preserve"> </w:t>
      </w:r>
      <w:r>
        <w:rPr>
          <w:spacing w:val="-2"/>
        </w:rPr>
        <w:t>episodic</w:t>
      </w:r>
    </w:p>
    <w:p w14:paraId="19DC793D"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3A23E643" w14:textId="77777777" w:rsidR="00A02889" w:rsidRDefault="00000000">
      <w:pPr>
        <w:pStyle w:val="BodyText"/>
        <w:spacing w:before="72" w:line="480" w:lineRule="auto"/>
        <w:ind w:left="720" w:right="714"/>
        <w:jc w:val="both"/>
      </w:pPr>
      <w:r>
        <w:lastRenderedPageBreak/>
        <w:t xml:space="preserve">reflux affects many adults (Scott </w:t>
      </w:r>
      <w:r>
        <w:rPr>
          <w:i/>
        </w:rPr>
        <w:t xml:space="preserve">et al., </w:t>
      </w:r>
      <w:r>
        <w:t xml:space="preserve">2020; Choudhury </w:t>
      </w:r>
      <w:r>
        <w:rPr>
          <w:i/>
        </w:rPr>
        <w:t xml:space="preserve">et al., </w:t>
      </w:r>
      <w:r>
        <w:t xml:space="preserve">2023). About 92% had used antacids before, confirming that these remain a primary remedy for gastric discomfort. Among them, 58% used synthetic antacids, 22% used natural ones, and 12% used both. This preference aligns with laboratory findings where synthetic antacids such as magnesium trisilicate and </w:t>
      </w:r>
      <w:proofErr w:type="spellStart"/>
      <w:r>
        <w:t>aluminium</w:t>
      </w:r>
      <w:proofErr w:type="spellEnd"/>
      <w:r>
        <w:t xml:space="preserve"> hydroxide</w:t>
      </w:r>
      <w:r>
        <w:rPr>
          <w:spacing w:val="-1"/>
        </w:rPr>
        <w:t xml:space="preserve"> </w:t>
      </w:r>
      <w:r>
        <w:t>were</w:t>
      </w:r>
      <w:r>
        <w:rPr>
          <w:spacing w:val="-2"/>
        </w:rPr>
        <w:t xml:space="preserve"> </w:t>
      </w:r>
      <w:r>
        <w:t>more effective in maintaining</w:t>
      </w:r>
      <w:r>
        <w:rPr>
          <w:spacing w:val="-2"/>
        </w:rPr>
        <w:t xml:space="preserve"> </w:t>
      </w:r>
      <w:r>
        <w:t>stable pH</w:t>
      </w:r>
      <w:r>
        <w:rPr>
          <w:spacing w:val="-1"/>
        </w:rPr>
        <w:t xml:space="preserve"> </w:t>
      </w:r>
      <w:r>
        <w:t>levels. Synthetic</w:t>
      </w:r>
      <w:r>
        <w:rPr>
          <w:spacing w:val="-1"/>
        </w:rPr>
        <w:t xml:space="preserve"> </w:t>
      </w:r>
      <w:r>
        <w:t>antacids are often favored because of their quick action, predictable effects, and standardized quality (</w:t>
      </w:r>
      <w:proofErr w:type="spellStart"/>
      <w:r>
        <w:t>Ebeshi</w:t>
      </w:r>
      <w:proofErr w:type="spellEnd"/>
      <w:r>
        <w:t xml:space="preserve"> </w:t>
      </w:r>
      <w:r>
        <w:rPr>
          <w:i/>
        </w:rPr>
        <w:t xml:space="preserve">et al., </w:t>
      </w:r>
      <w:r>
        <w:t>2023). Regarding effectiveness, 70% of respondents rated synthetic antacids as more effective,</w:t>
      </w:r>
      <w:r>
        <w:rPr>
          <w:spacing w:val="-1"/>
        </w:rPr>
        <w:t xml:space="preserve"> </w:t>
      </w:r>
      <w:r>
        <w:t>while</w:t>
      </w:r>
      <w:r>
        <w:rPr>
          <w:spacing w:val="-2"/>
        </w:rPr>
        <w:t xml:space="preserve"> </w:t>
      </w:r>
      <w:r>
        <w:t>only</w:t>
      </w:r>
      <w:r>
        <w:rPr>
          <w:spacing w:val="-9"/>
        </w:rPr>
        <w:t xml:space="preserve"> </w:t>
      </w:r>
      <w:r>
        <w:t>30%</w:t>
      </w:r>
      <w:r>
        <w:rPr>
          <w:spacing w:val="-2"/>
        </w:rPr>
        <w:t xml:space="preserve"> </w:t>
      </w:r>
      <w:r>
        <w:t>found</w:t>
      </w:r>
      <w:r>
        <w:rPr>
          <w:spacing w:val="-2"/>
        </w:rPr>
        <w:t xml:space="preserve"> </w:t>
      </w:r>
      <w:r>
        <w:t>natural</w:t>
      </w:r>
      <w:r>
        <w:rPr>
          <w:spacing w:val="-1"/>
        </w:rPr>
        <w:t xml:space="preserve"> </w:t>
      </w:r>
      <w:r>
        <w:t>options</w:t>
      </w:r>
      <w:r>
        <w:rPr>
          <w:spacing w:val="-3"/>
        </w:rPr>
        <w:t xml:space="preserve"> </w:t>
      </w:r>
      <w:r>
        <w:t>sufficient.</w:t>
      </w:r>
      <w:r>
        <w:rPr>
          <w:spacing w:val="-1"/>
        </w:rPr>
        <w:t xml:space="preserve"> </w:t>
      </w:r>
      <w:r>
        <w:t>This</w:t>
      </w:r>
      <w:r>
        <w:rPr>
          <w:spacing w:val="-1"/>
        </w:rPr>
        <w:t xml:space="preserve"> </w:t>
      </w:r>
      <w:r>
        <w:t>perception</w:t>
      </w:r>
      <w:r>
        <w:rPr>
          <w:spacing w:val="-1"/>
        </w:rPr>
        <w:t xml:space="preserve"> </w:t>
      </w:r>
      <w:r>
        <w:t>mirrors</w:t>
      </w:r>
      <w:r>
        <w:rPr>
          <w:spacing w:val="-1"/>
        </w:rPr>
        <w:t xml:space="preserve"> </w:t>
      </w:r>
      <w:r>
        <w:t>the</w:t>
      </w:r>
      <w:r>
        <w:rPr>
          <w:spacing w:val="-2"/>
        </w:rPr>
        <w:t xml:space="preserve"> </w:t>
      </w:r>
      <w:r>
        <w:t>laboratory results and supports earlier findings that synthetic antacids provide longer-lasting acid neutralization (</w:t>
      </w:r>
      <w:proofErr w:type="spellStart"/>
      <w:r>
        <w:t>Gatt</w:t>
      </w:r>
      <w:proofErr w:type="spellEnd"/>
      <w:r>
        <w:t xml:space="preserve"> </w:t>
      </w:r>
      <w:r>
        <w:rPr>
          <w:i/>
        </w:rPr>
        <w:t xml:space="preserve">et al., </w:t>
      </w:r>
      <w:r>
        <w:t xml:space="preserve">2024). When asked what influenced their antacid choice, most participants selected effectiveness (54%) and availability (34%) over cost (6%) or natural composition (16%). This shows that quick and reliable relief is the main priority, even when natural alternatives may be perceived as safer. Similar behavior was observed in other studies, where convenience and symptom relief outweighed other considerations (Choudhury </w:t>
      </w:r>
      <w:r>
        <w:rPr>
          <w:i/>
        </w:rPr>
        <w:t xml:space="preserve">et al., </w:t>
      </w:r>
      <w:r>
        <w:t xml:space="preserve">2023). Finally, 70% of respondents preferred synthetic antacids overall, while 30% favored natural ones. The minority preference for natural remedies may reflect increasing awareness of herbal </w:t>
      </w:r>
      <w:proofErr w:type="gramStart"/>
      <w:r>
        <w:t>medicine‘</w:t>
      </w:r>
      <w:proofErr w:type="gramEnd"/>
      <w:r>
        <w:t xml:space="preserve">s safety and holistic benefits, a trend also reported globally (Abdel-Rahman </w:t>
      </w:r>
      <w:r>
        <w:rPr>
          <w:i/>
        </w:rPr>
        <w:t xml:space="preserve">et al., </w:t>
      </w:r>
      <w:r>
        <w:t xml:space="preserve">2023; Scott </w:t>
      </w:r>
      <w:r>
        <w:rPr>
          <w:i/>
        </w:rPr>
        <w:t xml:space="preserve">et al., </w:t>
      </w:r>
      <w:r>
        <w:t>2020).</w:t>
      </w:r>
    </w:p>
    <w:p w14:paraId="0E456EA9"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18B30677" w14:textId="77777777" w:rsidR="00A02889" w:rsidRDefault="00000000">
      <w:pPr>
        <w:pStyle w:val="Heading1"/>
        <w:ind w:right="596"/>
      </w:pPr>
      <w:bookmarkStart w:id="79" w:name="_bookmark79"/>
      <w:bookmarkEnd w:id="79"/>
      <w:r>
        <w:lastRenderedPageBreak/>
        <w:t>CHAPTER</w:t>
      </w:r>
      <w:r>
        <w:rPr>
          <w:spacing w:val="-5"/>
        </w:rPr>
        <w:t xml:space="preserve"> </w:t>
      </w:r>
      <w:r>
        <w:rPr>
          <w:spacing w:val="-4"/>
        </w:rPr>
        <w:t>FIVE</w:t>
      </w:r>
    </w:p>
    <w:p w14:paraId="270BB822" w14:textId="77777777" w:rsidR="00A02889" w:rsidRDefault="00A02889">
      <w:pPr>
        <w:pStyle w:val="BodyText"/>
        <w:rPr>
          <w:b/>
        </w:rPr>
      </w:pPr>
    </w:p>
    <w:p w14:paraId="07A3ACF9" w14:textId="77777777" w:rsidR="00A02889" w:rsidRDefault="00A02889">
      <w:pPr>
        <w:pStyle w:val="BodyText"/>
        <w:spacing w:before="6"/>
        <w:rPr>
          <w:b/>
        </w:rPr>
      </w:pPr>
    </w:p>
    <w:p w14:paraId="2D2F7DE9" w14:textId="77777777" w:rsidR="00A02889" w:rsidRDefault="00000000">
      <w:pPr>
        <w:pStyle w:val="Heading2"/>
        <w:numPr>
          <w:ilvl w:val="1"/>
          <w:numId w:val="1"/>
        </w:numPr>
        <w:tabs>
          <w:tab w:val="left" w:pos="1080"/>
        </w:tabs>
      </w:pPr>
      <w:bookmarkStart w:id="80" w:name="_bookmark80"/>
      <w:bookmarkEnd w:id="80"/>
      <w:r>
        <w:t>Summary,</w:t>
      </w:r>
      <w:r>
        <w:rPr>
          <w:spacing w:val="-2"/>
        </w:rPr>
        <w:t xml:space="preserve"> </w:t>
      </w:r>
      <w:r>
        <w:t>Conclusion</w:t>
      </w:r>
      <w:r>
        <w:rPr>
          <w:spacing w:val="-1"/>
        </w:rPr>
        <w:t xml:space="preserve"> </w:t>
      </w:r>
      <w:r>
        <w:t>and</w:t>
      </w:r>
      <w:r>
        <w:rPr>
          <w:spacing w:val="-1"/>
        </w:rPr>
        <w:t xml:space="preserve"> </w:t>
      </w:r>
      <w:r>
        <w:rPr>
          <w:spacing w:val="-2"/>
        </w:rPr>
        <w:t>Recommendations</w:t>
      </w:r>
    </w:p>
    <w:p w14:paraId="11FE28FE" w14:textId="77777777" w:rsidR="00A02889" w:rsidRDefault="00A02889">
      <w:pPr>
        <w:pStyle w:val="BodyText"/>
        <w:rPr>
          <w:b/>
        </w:rPr>
      </w:pPr>
    </w:p>
    <w:p w14:paraId="5E77477A" w14:textId="77777777" w:rsidR="00A02889" w:rsidRDefault="00A02889">
      <w:pPr>
        <w:pStyle w:val="BodyText"/>
        <w:spacing w:before="2"/>
        <w:rPr>
          <w:b/>
        </w:rPr>
      </w:pPr>
    </w:p>
    <w:p w14:paraId="20FDFDCC" w14:textId="77777777" w:rsidR="00A02889" w:rsidRDefault="00000000">
      <w:pPr>
        <w:pStyle w:val="Heading2"/>
        <w:numPr>
          <w:ilvl w:val="1"/>
          <w:numId w:val="1"/>
        </w:numPr>
        <w:tabs>
          <w:tab w:val="left" w:pos="1080"/>
        </w:tabs>
      </w:pPr>
      <w:bookmarkStart w:id="81" w:name="_bookmark81"/>
      <w:bookmarkEnd w:id="81"/>
      <w:r>
        <w:rPr>
          <w:spacing w:val="-2"/>
        </w:rPr>
        <w:t>Summary</w:t>
      </w:r>
    </w:p>
    <w:p w14:paraId="4AFE32DB" w14:textId="77777777" w:rsidR="00A02889" w:rsidRDefault="00A02889">
      <w:pPr>
        <w:pStyle w:val="BodyText"/>
        <w:rPr>
          <w:b/>
        </w:rPr>
      </w:pPr>
    </w:p>
    <w:p w14:paraId="14F1DACC" w14:textId="77777777" w:rsidR="00A02889" w:rsidRDefault="00A02889">
      <w:pPr>
        <w:pStyle w:val="BodyText"/>
        <w:rPr>
          <w:b/>
        </w:rPr>
      </w:pPr>
    </w:p>
    <w:p w14:paraId="1D63726B" w14:textId="77777777" w:rsidR="00A02889" w:rsidRDefault="00000000">
      <w:pPr>
        <w:pStyle w:val="BodyText"/>
        <w:spacing w:line="480" w:lineRule="auto"/>
        <w:ind w:left="720" w:right="714"/>
        <w:jc w:val="both"/>
      </w:pPr>
      <w:r>
        <w:t>This study was conducted using a mixed-methods design, combined laboratory experiments and questionnaire</w:t>
      </w:r>
      <w:r>
        <w:rPr>
          <w:spacing w:val="-3"/>
        </w:rPr>
        <w:t xml:space="preserve"> </w:t>
      </w:r>
      <w:r>
        <w:t>surveys to compare</w:t>
      </w:r>
      <w:r>
        <w:rPr>
          <w:spacing w:val="-1"/>
        </w:rPr>
        <w:t xml:space="preserve"> </w:t>
      </w:r>
      <w:r>
        <w:t>the effectiveness</w:t>
      </w:r>
      <w:r>
        <w:rPr>
          <w:spacing w:val="-1"/>
        </w:rPr>
        <w:t xml:space="preserve"> </w:t>
      </w:r>
      <w:r>
        <w:t>of</w:t>
      </w:r>
      <w:r>
        <w:rPr>
          <w:spacing w:val="-2"/>
        </w:rPr>
        <w:t xml:space="preserve"> </w:t>
      </w:r>
      <w:r>
        <w:t>natural</w:t>
      </w:r>
      <w:r>
        <w:rPr>
          <w:spacing w:val="-1"/>
        </w:rPr>
        <w:t xml:space="preserve"> </w:t>
      </w:r>
      <w:r>
        <w:t>and</w:t>
      </w:r>
      <w:r>
        <w:rPr>
          <w:spacing w:val="-1"/>
        </w:rPr>
        <w:t xml:space="preserve"> </w:t>
      </w:r>
      <w:r>
        <w:t>synthetic antacids</w:t>
      </w:r>
      <w:r>
        <w:rPr>
          <w:spacing w:val="-1"/>
        </w:rPr>
        <w:t xml:space="preserve"> </w:t>
      </w:r>
      <w:r>
        <w:t>and assessed consumer</w:t>
      </w:r>
      <w:r>
        <w:rPr>
          <w:spacing w:val="27"/>
        </w:rPr>
        <w:t xml:space="preserve"> </w:t>
      </w:r>
      <w:r>
        <w:t>perceptions</w:t>
      </w:r>
      <w:r>
        <w:rPr>
          <w:spacing w:val="31"/>
        </w:rPr>
        <w:t xml:space="preserve"> </w:t>
      </w:r>
      <w:r>
        <w:t>regarding</w:t>
      </w:r>
      <w:r>
        <w:rPr>
          <w:spacing w:val="30"/>
        </w:rPr>
        <w:t xml:space="preserve"> </w:t>
      </w:r>
      <w:r>
        <w:t>their</w:t>
      </w:r>
      <w:r>
        <w:rPr>
          <w:spacing w:val="29"/>
        </w:rPr>
        <w:t xml:space="preserve"> </w:t>
      </w:r>
      <w:r>
        <w:t>use.</w:t>
      </w:r>
      <w:r>
        <w:rPr>
          <w:spacing w:val="33"/>
        </w:rPr>
        <w:t xml:space="preserve"> </w:t>
      </w:r>
      <w:r>
        <w:t>Laboratory</w:t>
      </w:r>
      <w:r>
        <w:rPr>
          <w:spacing w:val="28"/>
        </w:rPr>
        <w:t xml:space="preserve"> </w:t>
      </w:r>
      <w:r>
        <w:t>testing</w:t>
      </w:r>
      <w:r>
        <w:rPr>
          <w:spacing w:val="30"/>
        </w:rPr>
        <w:t xml:space="preserve"> </w:t>
      </w:r>
      <w:r>
        <w:t>involved</w:t>
      </w:r>
      <w:r>
        <w:rPr>
          <w:spacing w:val="29"/>
        </w:rPr>
        <w:t xml:space="preserve"> </w:t>
      </w:r>
      <w:r>
        <w:t>the</w:t>
      </w:r>
      <w:r>
        <w:rPr>
          <w:spacing w:val="30"/>
        </w:rPr>
        <w:t xml:space="preserve"> </w:t>
      </w:r>
      <w:r>
        <w:t>use</w:t>
      </w:r>
      <w:r>
        <w:rPr>
          <w:spacing w:val="38"/>
        </w:rPr>
        <w:t xml:space="preserve"> </w:t>
      </w:r>
      <w:r>
        <w:t>of</w:t>
      </w:r>
      <w:r>
        <w:rPr>
          <w:spacing w:val="32"/>
        </w:rPr>
        <w:t xml:space="preserve"> </w:t>
      </w:r>
      <w:r>
        <w:rPr>
          <w:spacing w:val="-2"/>
        </w:rPr>
        <w:t>standardized</w:t>
      </w:r>
    </w:p>
    <w:p w14:paraId="0B293017" w14:textId="77777777" w:rsidR="00A02889" w:rsidRDefault="00000000">
      <w:pPr>
        <w:pStyle w:val="BodyText"/>
        <w:spacing w:before="1" w:line="480" w:lineRule="auto"/>
        <w:ind w:left="720" w:right="717"/>
        <w:jc w:val="both"/>
      </w:pPr>
      <w:r>
        <w:t xml:space="preserve">0.1 M hydrochloric acid to simulate gastric conditions, with pH measurements recorded at intervals after the addition of natural (ginger extract, sodium bicarbonate) and synthetic (magnesium trisilicate, </w:t>
      </w:r>
      <w:proofErr w:type="spellStart"/>
      <w:r>
        <w:t>aluminium</w:t>
      </w:r>
      <w:proofErr w:type="spellEnd"/>
      <w:r>
        <w:t xml:space="preserve"> hydroxide) antacids. The experimental results showed that both natural and synthetic antacids effectively neutralized gastric acid, maintaining pH values within a narrow range (6.38–6.56). Among the tested samples, magnesium trisilicate produced the highest and most stable pH throughout the 60-minute period, making it the most effective in sustaining acid neutralization. </w:t>
      </w:r>
      <w:proofErr w:type="spellStart"/>
      <w:r>
        <w:t>Aluminium</w:t>
      </w:r>
      <w:proofErr w:type="spellEnd"/>
      <w:r>
        <w:t xml:space="preserve"> hydroxide also showed stable pH control with slower but long-lasting neutralization. On the other hand, baking soda displayed a rapid rise in pH that declined</w:t>
      </w:r>
      <w:r>
        <w:rPr>
          <w:spacing w:val="-1"/>
        </w:rPr>
        <w:t xml:space="preserve"> </w:t>
      </w:r>
      <w:r>
        <w:t>gradually</w:t>
      </w:r>
      <w:r>
        <w:rPr>
          <w:spacing w:val="-8"/>
        </w:rPr>
        <w:t xml:space="preserve"> </w:t>
      </w:r>
      <w:r>
        <w:t>over</w:t>
      </w:r>
      <w:r>
        <w:rPr>
          <w:spacing w:val="-1"/>
        </w:rPr>
        <w:t xml:space="preserve"> </w:t>
      </w:r>
      <w:r>
        <w:t>time,</w:t>
      </w:r>
      <w:r>
        <w:rPr>
          <w:spacing w:val="-1"/>
        </w:rPr>
        <w:t xml:space="preserve"> </w:t>
      </w:r>
      <w:r>
        <w:t>while</w:t>
      </w:r>
      <w:r>
        <w:rPr>
          <w:spacing w:val="-1"/>
        </w:rPr>
        <w:t xml:space="preserve"> </w:t>
      </w:r>
      <w:r>
        <w:t>ginger</w:t>
      </w:r>
      <w:r>
        <w:rPr>
          <w:spacing w:val="-1"/>
        </w:rPr>
        <w:t xml:space="preserve"> </w:t>
      </w:r>
      <w:r>
        <w:t>extract showed a</w:t>
      </w:r>
      <w:r>
        <w:rPr>
          <w:spacing w:val="-1"/>
        </w:rPr>
        <w:t xml:space="preserve"> </w:t>
      </w:r>
      <w:r>
        <w:t>steady</w:t>
      </w:r>
      <w:r>
        <w:rPr>
          <w:spacing w:val="-8"/>
        </w:rPr>
        <w:t xml:space="preserve"> </w:t>
      </w:r>
      <w:r>
        <w:t>but mild buffering</w:t>
      </w:r>
      <w:r>
        <w:rPr>
          <w:spacing w:val="-3"/>
        </w:rPr>
        <w:t xml:space="preserve"> </w:t>
      </w:r>
      <w:r>
        <w:t>effect. The one-way ANOVA test revealed a significant difference among the mean pH values of the four antacids, confirming that their acid-neutralizing capacities were not the same. The result indicated that magnesium trisilicate had the highest mean pH, suggesting it was the most effective formulation overall. This shows that synthetic antacids performed better than natural ones in maintaining pH stability and providing prolonged relief.</w:t>
      </w:r>
    </w:p>
    <w:p w14:paraId="4626A531"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539C238A" w14:textId="77777777" w:rsidR="00A02889" w:rsidRDefault="00000000">
      <w:pPr>
        <w:pStyle w:val="BodyText"/>
        <w:spacing w:before="72" w:line="480" w:lineRule="auto"/>
        <w:ind w:left="720" w:right="715"/>
        <w:jc w:val="both"/>
      </w:pPr>
      <w:r>
        <w:lastRenderedPageBreak/>
        <w:t>The questionnaire findings supported the laboratory</w:t>
      </w:r>
      <w:r>
        <w:rPr>
          <w:spacing w:val="-1"/>
        </w:rPr>
        <w:t xml:space="preserve"> </w:t>
      </w:r>
      <w:r>
        <w:t>results. Most respondents were young adults aged 16–35 years, and a majority had experienced acid-related symptoms such as heartburn. About 92% of participants had used antacids before, with more</w:t>
      </w:r>
      <w:r>
        <w:rPr>
          <w:spacing w:val="-1"/>
        </w:rPr>
        <w:t xml:space="preserve"> </w:t>
      </w:r>
      <w:r>
        <w:t>people using</w:t>
      </w:r>
      <w:r>
        <w:rPr>
          <w:spacing w:val="-2"/>
        </w:rPr>
        <w:t xml:space="preserve"> </w:t>
      </w:r>
      <w:r>
        <w:t>synthetic types than natural ones. The preference for synthetic antacids was mainly due to their fast and reliable</w:t>
      </w:r>
      <w:r>
        <w:rPr>
          <w:spacing w:val="40"/>
        </w:rPr>
        <w:t xml:space="preserve"> </w:t>
      </w:r>
      <w:r>
        <w:t>relief. Effectiveness and availability were identified as the main factors influencing consumer choice, while cost and natural composition were considered less important. Overall, the study showed that synthetic antacids were more effective and widely used, while natural antacids provided milder and safer relief. Although most people preferred synthetic options, a growing number still favored natural remedies for their safety and natural composition. This reflects a balance between quick symptom relief and a preference for safer, plant-based alternatives.</w:t>
      </w:r>
    </w:p>
    <w:p w14:paraId="280C3DB3" w14:textId="77777777" w:rsidR="00A02889" w:rsidRDefault="00A02889">
      <w:pPr>
        <w:pStyle w:val="BodyText"/>
        <w:spacing w:before="8"/>
      </w:pPr>
    </w:p>
    <w:p w14:paraId="78A7CA53" w14:textId="77777777" w:rsidR="00A02889" w:rsidRDefault="00000000">
      <w:pPr>
        <w:pStyle w:val="Heading2"/>
        <w:numPr>
          <w:ilvl w:val="1"/>
          <w:numId w:val="1"/>
        </w:numPr>
        <w:tabs>
          <w:tab w:val="left" w:pos="1080"/>
        </w:tabs>
      </w:pPr>
      <w:bookmarkStart w:id="82" w:name="_bookmark82"/>
      <w:bookmarkEnd w:id="82"/>
      <w:r>
        <w:rPr>
          <w:spacing w:val="-2"/>
        </w:rPr>
        <w:t>Conclusion</w:t>
      </w:r>
    </w:p>
    <w:p w14:paraId="5809CB3C" w14:textId="77777777" w:rsidR="00A02889" w:rsidRDefault="00A02889">
      <w:pPr>
        <w:pStyle w:val="BodyText"/>
        <w:rPr>
          <w:b/>
        </w:rPr>
      </w:pPr>
    </w:p>
    <w:p w14:paraId="0AC6AB05" w14:textId="77777777" w:rsidR="00A02889" w:rsidRDefault="00A02889">
      <w:pPr>
        <w:pStyle w:val="BodyText"/>
        <w:rPr>
          <w:b/>
        </w:rPr>
      </w:pPr>
    </w:p>
    <w:p w14:paraId="029B99B7" w14:textId="77777777" w:rsidR="00A02889" w:rsidRDefault="00000000">
      <w:pPr>
        <w:pStyle w:val="BodyText"/>
        <w:spacing w:line="480" w:lineRule="auto"/>
        <w:ind w:left="720" w:right="715"/>
        <w:jc w:val="both"/>
      </w:pPr>
      <w:r>
        <w:t>This</w:t>
      </w:r>
      <w:r>
        <w:rPr>
          <w:spacing w:val="-1"/>
        </w:rPr>
        <w:t xml:space="preserve"> </w:t>
      </w:r>
      <w:r>
        <w:t>study</w:t>
      </w:r>
      <w:r>
        <w:rPr>
          <w:spacing w:val="-9"/>
        </w:rPr>
        <w:t xml:space="preserve"> </w:t>
      </w:r>
      <w:r>
        <w:t>aimed</w:t>
      </w:r>
      <w:r>
        <w:rPr>
          <w:spacing w:val="-1"/>
        </w:rPr>
        <w:t xml:space="preserve"> </w:t>
      </w:r>
      <w:r>
        <w:t>to</w:t>
      </w:r>
      <w:r>
        <w:rPr>
          <w:spacing w:val="-1"/>
        </w:rPr>
        <w:t xml:space="preserve"> </w:t>
      </w:r>
      <w:r>
        <w:t>compare</w:t>
      </w:r>
      <w:r>
        <w:rPr>
          <w:spacing w:val="-3"/>
        </w:rPr>
        <w:t xml:space="preserve"> </w:t>
      </w:r>
      <w:r>
        <w:t>the</w:t>
      </w:r>
      <w:r>
        <w:rPr>
          <w:spacing w:val="-2"/>
        </w:rPr>
        <w:t xml:space="preserve"> </w:t>
      </w:r>
      <w:r>
        <w:t>effectiveness</w:t>
      </w:r>
      <w:r>
        <w:rPr>
          <w:spacing w:val="-1"/>
        </w:rPr>
        <w:t xml:space="preserve"> </w:t>
      </w:r>
      <w:r>
        <w:t>and</w:t>
      </w:r>
      <w:r>
        <w:rPr>
          <w:spacing w:val="-1"/>
        </w:rPr>
        <w:t xml:space="preserve"> </w:t>
      </w:r>
      <w:r>
        <w:t>consumer perceptions</w:t>
      </w:r>
      <w:r>
        <w:rPr>
          <w:spacing w:val="-1"/>
        </w:rPr>
        <w:t xml:space="preserve"> </w:t>
      </w:r>
      <w:r>
        <w:t>of</w:t>
      </w:r>
      <w:r>
        <w:rPr>
          <w:spacing w:val="-2"/>
        </w:rPr>
        <w:t xml:space="preserve"> </w:t>
      </w:r>
      <w:r>
        <w:t>natural</w:t>
      </w:r>
      <w:r>
        <w:rPr>
          <w:spacing w:val="-1"/>
        </w:rPr>
        <w:t xml:space="preserve"> </w:t>
      </w:r>
      <w:r>
        <w:t>and</w:t>
      </w:r>
      <w:r>
        <w:rPr>
          <w:spacing w:val="-1"/>
        </w:rPr>
        <w:t xml:space="preserve"> </w:t>
      </w:r>
      <w:r>
        <w:t>synthetic antacids</w:t>
      </w:r>
      <w:r>
        <w:rPr>
          <w:spacing w:val="-1"/>
        </w:rPr>
        <w:t xml:space="preserve"> </w:t>
      </w:r>
      <w:r>
        <w:t>through</w:t>
      </w:r>
      <w:r>
        <w:rPr>
          <w:spacing w:val="-1"/>
        </w:rPr>
        <w:t xml:space="preserve"> </w:t>
      </w:r>
      <w:r>
        <w:t>a</w:t>
      </w:r>
      <w:r>
        <w:rPr>
          <w:spacing w:val="-2"/>
        </w:rPr>
        <w:t xml:space="preserve"> </w:t>
      </w:r>
      <w:r>
        <w:t>combination</w:t>
      </w:r>
      <w:r>
        <w:rPr>
          <w:spacing w:val="-1"/>
        </w:rPr>
        <w:t xml:space="preserve"> </w:t>
      </w:r>
      <w:r>
        <w:t>of</w:t>
      </w:r>
      <w:r>
        <w:rPr>
          <w:spacing w:val="-2"/>
        </w:rPr>
        <w:t xml:space="preserve"> </w:t>
      </w:r>
      <w:r>
        <w:t>laboratory</w:t>
      </w:r>
      <w:r>
        <w:rPr>
          <w:spacing w:val="-6"/>
        </w:rPr>
        <w:t xml:space="preserve"> </w:t>
      </w:r>
      <w:r>
        <w:t>experiments</w:t>
      </w:r>
      <w:r>
        <w:rPr>
          <w:spacing w:val="-1"/>
        </w:rPr>
        <w:t xml:space="preserve"> </w:t>
      </w:r>
      <w:r>
        <w:t>and</w:t>
      </w:r>
      <w:r>
        <w:rPr>
          <w:spacing w:val="-1"/>
        </w:rPr>
        <w:t xml:space="preserve"> </w:t>
      </w:r>
      <w:r>
        <w:t>a</w:t>
      </w:r>
      <w:r>
        <w:rPr>
          <w:spacing w:val="-2"/>
        </w:rPr>
        <w:t xml:space="preserve"> </w:t>
      </w:r>
      <w:r>
        <w:t>structured consumer</w:t>
      </w:r>
      <w:r>
        <w:rPr>
          <w:spacing w:val="-2"/>
        </w:rPr>
        <w:t xml:space="preserve"> </w:t>
      </w:r>
      <w:r>
        <w:t>survey.</w:t>
      </w:r>
      <w:r>
        <w:rPr>
          <w:spacing w:val="-1"/>
        </w:rPr>
        <w:t xml:space="preserve"> </w:t>
      </w:r>
      <w:r>
        <w:t xml:space="preserve">The findings demonstrated that while both natural and synthetic antacids are capable of neutralizing gastric acid, there are clear differences in the extent, stability, and duration of their effects. Laboratory results showed that synthetic antacids, particularly magnesium trisilicate and </w:t>
      </w:r>
      <w:proofErr w:type="spellStart"/>
      <w:r>
        <w:t>aluminium</w:t>
      </w:r>
      <w:proofErr w:type="spellEnd"/>
      <w:r>
        <w:rPr>
          <w:spacing w:val="-3"/>
        </w:rPr>
        <w:t xml:space="preserve"> </w:t>
      </w:r>
      <w:r>
        <w:t>hydroxide,</w:t>
      </w:r>
      <w:r>
        <w:rPr>
          <w:spacing w:val="-3"/>
        </w:rPr>
        <w:t xml:space="preserve"> </w:t>
      </w:r>
      <w:r>
        <w:t>maintained</w:t>
      </w:r>
      <w:r>
        <w:rPr>
          <w:spacing w:val="-3"/>
        </w:rPr>
        <w:t xml:space="preserve"> </w:t>
      </w:r>
      <w:r>
        <w:t>more</w:t>
      </w:r>
      <w:r>
        <w:rPr>
          <w:spacing w:val="-4"/>
        </w:rPr>
        <w:t xml:space="preserve"> </w:t>
      </w:r>
      <w:r>
        <w:t>stable</w:t>
      </w:r>
      <w:r>
        <w:rPr>
          <w:spacing w:val="-2"/>
        </w:rPr>
        <w:t xml:space="preserve"> </w:t>
      </w:r>
      <w:r>
        <w:t>and</w:t>
      </w:r>
      <w:r>
        <w:rPr>
          <w:spacing w:val="-3"/>
        </w:rPr>
        <w:t xml:space="preserve"> </w:t>
      </w:r>
      <w:r>
        <w:t>prolonged</w:t>
      </w:r>
      <w:r>
        <w:rPr>
          <w:spacing w:val="-3"/>
        </w:rPr>
        <w:t xml:space="preserve"> </w:t>
      </w:r>
      <w:r>
        <w:t>pH</w:t>
      </w:r>
      <w:r>
        <w:rPr>
          <w:spacing w:val="-4"/>
        </w:rPr>
        <w:t xml:space="preserve"> </w:t>
      </w:r>
      <w:r>
        <w:t>neutralization,</w:t>
      </w:r>
      <w:r>
        <w:rPr>
          <w:spacing w:val="-3"/>
        </w:rPr>
        <w:t xml:space="preserve"> </w:t>
      </w:r>
      <w:r>
        <w:t>indicating</w:t>
      </w:r>
      <w:r>
        <w:rPr>
          <w:spacing w:val="-6"/>
        </w:rPr>
        <w:t xml:space="preserve"> </w:t>
      </w:r>
      <w:r>
        <w:t>higher effectiveness in relieving acid-related discomfort. In contrast, natural antacids such as ginger extract and sodium bicarbonate provided moderate and short-term relief, supporting their role as mild alternatives suitable for occasional use.</w:t>
      </w:r>
    </w:p>
    <w:p w14:paraId="2664AC1E" w14:textId="77777777" w:rsidR="00A02889" w:rsidRDefault="00A02889">
      <w:pPr>
        <w:pStyle w:val="BodyText"/>
        <w:spacing w:before="6"/>
      </w:pPr>
    </w:p>
    <w:p w14:paraId="7F2BBBEF" w14:textId="77777777" w:rsidR="00A02889" w:rsidRDefault="00000000">
      <w:pPr>
        <w:pStyle w:val="BodyText"/>
        <w:spacing w:before="1" w:line="480" w:lineRule="auto"/>
        <w:ind w:left="720" w:right="723"/>
        <w:jc w:val="both"/>
      </w:pPr>
      <w:r>
        <w:t>In addressing the second objective, the questionnaire revealed that the majority of consumers in Sokoto</w:t>
      </w:r>
      <w:r>
        <w:rPr>
          <w:spacing w:val="18"/>
        </w:rPr>
        <w:t xml:space="preserve"> </w:t>
      </w:r>
      <w:r>
        <w:t>Metropolis</w:t>
      </w:r>
      <w:r>
        <w:rPr>
          <w:spacing w:val="19"/>
        </w:rPr>
        <w:t xml:space="preserve"> </w:t>
      </w:r>
      <w:r>
        <w:t>were</w:t>
      </w:r>
      <w:r>
        <w:rPr>
          <w:spacing w:val="18"/>
        </w:rPr>
        <w:t xml:space="preserve"> </w:t>
      </w:r>
      <w:r>
        <w:t>aware</w:t>
      </w:r>
      <w:r>
        <w:rPr>
          <w:spacing w:val="18"/>
        </w:rPr>
        <w:t xml:space="preserve"> </w:t>
      </w:r>
      <w:r>
        <w:t>of</w:t>
      </w:r>
      <w:r>
        <w:rPr>
          <w:spacing w:val="20"/>
        </w:rPr>
        <w:t xml:space="preserve"> </w:t>
      </w:r>
      <w:r>
        <w:t>and</w:t>
      </w:r>
      <w:r>
        <w:rPr>
          <w:spacing w:val="17"/>
        </w:rPr>
        <w:t xml:space="preserve"> </w:t>
      </w:r>
      <w:r>
        <w:t>had</w:t>
      </w:r>
      <w:r>
        <w:rPr>
          <w:spacing w:val="21"/>
        </w:rPr>
        <w:t xml:space="preserve"> </w:t>
      </w:r>
      <w:r>
        <w:t>used</w:t>
      </w:r>
      <w:r>
        <w:rPr>
          <w:spacing w:val="20"/>
        </w:rPr>
        <w:t xml:space="preserve"> </w:t>
      </w:r>
      <w:r>
        <w:t>antacids,</w:t>
      </w:r>
      <w:r>
        <w:rPr>
          <w:spacing w:val="18"/>
        </w:rPr>
        <w:t xml:space="preserve"> </w:t>
      </w:r>
      <w:r>
        <w:t>with</w:t>
      </w:r>
      <w:r>
        <w:rPr>
          <w:spacing w:val="19"/>
        </w:rPr>
        <w:t xml:space="preserve"> </w:t>
      </w:r>
      <w:r>
        <w:t>a</w:t>
      </w:r>
      <w:r>
        <w:rPr>
          <w:spacing w:val="18"/>
        </w:rPr>
        <w:t xml:space="preserve"> </w:t>
      </w:r>
      <w:r>
        <w:t>strong</w:t>
      </w:r>
      <w:r>
        <w:rPr>
          <w:spacing w:val="15"/>
        </w:rPr>
        <w:t xml:space="preserve"> </w:t>
      </w:r>
      <w:r>
        <w:t>preference</w:t>
      </w:r>
      <w:r>
        <w:rPr>
          <w:spacing w:val="18"/>
        </w:rPr>
        <w:t xml:space="preserve"> </w:t>
      </w:r>
      <w:r>
        <w:t>for</w:t>
      </w:r>
      <w:r>
        <w:rPr>
          <w:spacing w:val="19"/>
        </w:rPr>
        <w:t xml:space="preserve"> </w:t>
      </w:r>
      <w:r>
        <w:rPr>
          <w:spacing w:val="-2"/>
        </w:rPr>
        <w:t>synthetic</w:t>
      </w:r>
    </w:p>
    <w:p w14:paraId="4BD5CA24" w14:textId="77777777" w:rsidR="00A02889" w:rsidRDefault="00A02889">
      <w:pPr>
        <w:pStyle w:val="BodyText"/>
        <w:spacing w:line="480" w:lineRule="auto"/>
        <w:jc w:val="both"/>
        <w:sectPr w:rsidR="00A02889">
          <w:pgSz w:w="12240" w:h="15840"/>
          <w:pgMar w:top="1360" w:right="720" w:bottom="1260" w:left="720" w:header="0" w:footer="1068" w:gutter="0"/>
          <w:cols w:space="720"/>
        </w:sectPr>
      </w:pPr>
    </w:p>
    <w:p w14:paraId="63B8ACE7" w14:textId="77777777" w:rsidR="00A02889" w:rsidRDefault="00000000">
      <w:pPr>
        <w:pStyle w:val="BodyText"/>
        <w:spacing w:before="72" w:line="480" w:lineRule="auto"/>
        <w:ind w:left="720" w:right="717"/>
        <w:jc w:val="both"/>
      </w:pPr>
      <w:r>
        <w:lastRenderedPageBreak/>
        <w:t>formulations due to their perceived quick action, reliability, and accessibility. However, a</w:t>
      </w:r>
      <w:r>
        <w:rPr>
          <w:spacing w:val="40"/>
        </w:rPr>
        <w:t xml:space="preserve"> </w:t>
      </w:r>
      <w:r>
        <w:t>notable</w:t>
      </w:r>
      <w:r>
        <w:rPr>
          <w:spacing w:val="-1"/>
        </w:rPr>
        <w:t xml:space="preserve"> </w:t>
      </w:r>
      <w:r>
        <w:t>proportion of</w:t>
      </w:r>
      <w:r>
        <w:rPr>
          <w:spacing w:val="-1"/>
        </w:rPr>
        <w:t xml:space="preserve"> </w:t>
      </w:r>
      <w:r>
        <w:t>respondents expressed interest in natural options,</w:t>
      </w:r>
      <w:r>
        <w:rPr>
          <w:spacing w:val="-2"/>
        </w:rPr>
        <w:t xml:space="preserve"> </w:t>
      </w:r>
      <w:r>
        <w:t>reflecting growing</w:t>
      </w:r>
      <w:r>
        <w:rPr>
          <w:spacing w:val="-2"/>
        </w:rPr>
        <w:t xml:space="preserve"> </w:t>
      </w:r>
      <w:r>
        <w:t>public awareness of herbal and plant-based remedies. Factors such as effectiveness and availability</w:t>
      </w:r>
      <w:r>
        <w:rPr>
          <w:spacing w:val="40"/>
        </w:rPr>
        <w:t xml:space="preserve"> </w:t>
      </w:r>
      <w:r>
        <w:t>were</w:t>
      </w:r>
      <w:r>
        <w:rPr>
          <w:spacing w:val="-1"/>
        </w:rPr>
        <w:t xml:space="preserve"> </w:t>
      </w:r>
      <w:r>
        <w:t>the main determinants of consumer choice, indicating</w:t>
      </w:r>
      <w:r>
        <w:rPr>
          <w:spacing w:val="-1"/>
        </w:rPr>
        <w:t xml:space="preserve"> </w:t>
      </w:r>
      <w:r>
        <w:t>that practical benefits often outweigh cost or natural composition in decision-making.</w:t>
      </w:r>
    </w:p>
    <w:p w14:paraId="3ECE145A" w14:textId="77777777" w:rsidR="00A02889" w:rsidRDefault="00A02889">
      <w:pPr>
        <w:pStyle w:val="BodyText"/>
        <w:spacing w:before="5"/>
      </w:pPr>
    </w:p>
    <w:p w14:paraId="02EF92E5" w14:textId="77777777" w:rsidR="00A02889" w:rsidRDefault="00000000">
      <w:pPr>
        <w:pStyle w:val="BodyText"/>
        <w:spacing w:line="480" w:lineRule="auto"/>
        <w:ind w:left="720" w:right="718"/>
        <w:jc w:val="both"/>
      </w:pPr>
      <w:r>
        <w:t>In conclusion, the study establishes that synthetic antacids remain the most effective and preferred option for rapid and sustained acid relief, while natural antacids offer a safer, though milder, alternative that could complement conventional therapy. These findings highlight the need for continuous consumer education on proper antacid use and further research into improving the efficacy</w:t>
      </w:r>
      <w:r>
        <w:rPr>
          <w:spacing w:val="-3"/>
        </w:rPr>
        <w:t xml:space="preserve"> </w:t>
      </w:r>
      <w:r>
        <w:t>and formulation of natural antacids to enhance their therapeutic potential.</w:t>
      </w:r>
    </w:p>
    <w:p w14:paraId="3BE318A2" w14:textId="77777777" w:rsidR="00A02889" w:rsidRDefault="00A02889">
      <w:pPr>
        <w:pStyle w:val="BodyText"/>
        <w:spacing w:before="8"/>
      </w:pPr>
    </w:p>
    <w:p w14:paraId="1234D699" w14:textId="77777777" w:rsidR="00A02889" w:rsidRDefault="00000000">
      <w:pPr>
        <w:pStyle w:val="Heading2"/>
        <w:numPr>
          <w:ilvl w:val="1"/>
          <w:numId w:val="1"/>
        </w:numPr>
        <w:tabs>
          <w:tab w:val="left" w:pos="1080"/>
        </w:tabs>
      </w:pPr>
      <w:bookmarkStart w:id="83" w:name="_bookmark83"/>
      <w:bookmarkEnd w:id="83"/>
      <w:r>
        <w:rPr>
          <w:spacing w:val="-2"/>
        </w:rPr>
        <w:t>Recommendations</w:t>
      </w:r>
    </w:p>
    <w:p w14:paraId="10196A9A" w14:textId="77777777" w:rsidR="00A02889" w:rsidRDefault="00A02889">
      <w:pPr>
        <w:pStyle w:val="BodyText"/>
        <w:rPr>
          <w:b/>
        </w:rPr>
      </w:pPr>
    </w:p>
    <w:p w14:paraId="3A1B4035" w14:textId="77777777" w:rsidR="00A02889" w:rsidRDefault="00A02889">
      <w:pPr>
        <w:pStyle w:val="BodyText"/>
        <w:rPr>
          <w:b/>
        </w:rPr>
      </w:pPr>
    </w:p>
    <w:p w14:paraId="427AF5D0" w14:textId="77777777" w:rsidR="00A02889" w:rsidRDefault="00000000">
      <w:pPr>
        <w:pStyle w:val="ListParagraph"/>
        <w:numPr>
          <w:ilvl w:val="2"/>
          <w:numId w:val="1"/>
        </w:numPr>
        <w:tabs>
          <w:tab w:val="left" w:pos="1440"/>
        </w:tabs>
        <w:spacing w:before="1" w:line="480" w:lineRule="auto"/>
        <w:ind w:right="716"/>
        <w:rPr>
          <w:sz w:val="24"/>
        </w:rPr>
      </w:pPr>
      <w:r>
        <w:rPr>
          <w:sz w:val="24"/>
        </w:rPr>
        <w:t>There should be</w:t>
      </w:r>
      <w:r>
        <w:rPr>
          <w:spacing w:val="27"/>
          <w:sz w:val="24"/>
        </w:rPr>
        <w:t xml:space="preserve"> </w:t>
      </w:r>
      <w:r>
        <w:rPr>
          <w:sz w:val="24"/>
        </w:rPr>
        <w:t>further research into the safety, dosage standardization, and long-term</w:t>
      </w:r>
      <w:r>
        <w:rPr>
          <w:spacing w:val="80"/>
          <w:sz w:val="24"/>
        </w:rPr>
        <w:t xml:space="preserve"> </w:t>
      </w:r>
      <w:r>
        <w:rPr>
          <w:sz w:val="24"/>
        </w:rPr>
        <w:t>effectiveness of natural antacids such as ginger and baking soda.</w:t>
      </w:r>
    </w:p>
    <w:p w14:paraId="02350E20" w14:textId="77777777" w:rsidR="00A02889" w:rsidRDefault="00000000">
      <w:pPr>
        <w:pStyle w:val="ListParagraph"/>
        <w:numPr>
          <w:ilvl w:val="2"/>
          <w:numId w:val="1"/>
        </w:numPr>
        <w:tabs>
          <w:tab w:val="left" w:pos="1440"/>
        </w:tabs>
        <w:spacing w:line="480" w:lineRule="auto"/>
        <w:ind w:right="718"/>
        <w:rPr>
          <w:sz w:val="24"/>
        </w:rPr>
      </w:pPr>
      <w:r>
        <w:rPr>
          <w:sz w:val="24"/>
        </w:rPr>
        <w:t>There should be collaboration between herbal and pharmaceutical industries to develop</w:t>
      </w:r>
      <w:r>
        <w:rPr>
          <w:spacing w:val="40"/>
          <w:sz w:val="24"/>
        </w:rPr>
        <w:t xml:space="preserve"> </w:t>
      </w:r>
      <w:r>
        <w:rPr>
          <w:sz w:val="24"/>
        </w:rPr>
        <w:t>improved hybrid antacid formulations that combine safety and rapid relief.</w:t>
      </w:r>
    </w:p>
    <w:p w14:paraId="486B81C5" w14:textId="77777777" w:rsidR="00A02889" w:rsidRDefault="00000000">
      <w:pPr>
        <w:pStyle w:val="ListParagraph"/>
        <w:numPr>
          <w:ilvl w:val="2"/>
          <w:numId w:val="1"/>
        </w:numPr>
        <w:tabs>
          <w:tab w:val="left" w:pos="1440"/>
        </w:tabs>
        <w:spacing w:line="480" w:lineRule="auto"/>
        <w:ind w:right="717"/>
        <w:rPr>
          <w:sz w:val="24"/>
        </w:rPr>
      </w:pPr>
      <w:r>
        <w:rPr>
          <w:sz w:val="24"/>
        </w:rPr>
        <w:t>There should be comprehensive clinical trials comparing natural and synthetic antacids</w:t>
      </w:r>
      <w:r>
        <w:rPr>
          <w:spacing w:val="80"/>
          <w:sz w:val="24"/>
        </w:rPr>
        <w:t xml:space="preserve"> </w:t>
      </w:r>
      <w:r>
        <w:rPr>
          <w:sz w:val="24"/>
        </w:rPr>
        <w:t>under real-life conditions to validate their therapeutic effects.</w:t>
      </w:r>
    </w:p>
    <w:p w14:paraId="5F5E397C" w14:textId="77777777" w:rsidR="00A02889" w:rsidRDefault="00A02889">
      <w:pPr>
        <w:pStyle w:val="ListParagraph"/>
        <w:spacing w:line="480" w:lineRule="auto"/>
        <w:rPr>
          <w:sz w:val="24"/>
        </w:rPr>
        <w:sectPr w:rsidR="00A02889">
          <w:pgSz w:w="12240" w:h="15840"/>
          <w:pgMar w:top="1360" w:right="720" w:bottom="1260" w:left="720" w:header="0" w:footer="1068" w:gutter="0"/>
          <w:cols w:space="720"/>
        </w:sectPr>
      </w:pPr>
    </w:p>
    <w:p w14:paraId="3CD02F80" w14:textId="77777777" w:rsidR="00A02889" w:rsidRDefault="00000000">
      <w:pPr>
        <w:pStyle w:val="Heading1"/>
      </w:pPr>
      <w:bookmarkStart w:id="84" w:name="_bookmark84"/>
      <w:bookmarkEnd w:id="84"/>
      <w:r>
        <w:rPr>
          <w:spacing w:val="-2"/>
        </w:rPr>
        <w:lastRenderedPageBreak/>
        <w:t>REFERENCES</w:t>
      </w:r>
    </w:p>
    <w:p w14:paraId="19BB1918" w14:textId="77777777" w:rsidR="00A02889" w:rsidRDefault="00A02889">
      <w:pPr>
        <w:pStyle w:val="BodyText"/>
        <w:rPr>
          <w:b/>
        </w:rPr>
      </w:pPr>
    </w:p>
    <w:p w14:paraId="39BE6E28" w14:textId="77777777" w:rsidR="00A02889" w:rsidRDefault="00A02889">
      <w:pPr>
        <w:pStyle w:val="BodyText"/>
        <w:spacing w:before="1"/>
        <w:rPr>
          <w:b/>
        </w:rPr>
      </w:pPr>
    </w:p>
    <w:p w14:paraId="5994D676" w14:textId="77777777" w:rsidR="00A02889" w:rsidRDefault="00000000">
      <w:pPr>
        <w:spacing w:line="276" w:lineRule="auto"/>
        <w:ind w:left="1505" w:right="718" w:hanging="785"/>
        <w:jc w:val="both"/>
        <w:rPr>
          <w:sz w:val="24"/>
        </w:rPr>
      </w:pPr>
      <w:r>
        <w:rPr>
          <w:sz w:val="24"/>
        </w:rPr>
        <w:t xml:space="preserve">Abdel-Rahman, A., </w:t>
      </w:r>
      <w:proofErr w:type="spellStart"/>
      <w:r>
        <w:rPr>
          <w:sz w:val="24"/>
        </w:rPr>
        <w:t>Anyakora</w:t>
      </w:r>
      <w:proofErr w:type="spellEnd"/>
      <w:r>
        <w:rPr>
          <w:sz w:val="24"/>
        </w:rPr>
        <w:t xml:space="preserve">, C., and Mbonu, O. (2011). </w:t>
      </w:r>
      <w:r>
        <w:rPr>
          <w:i/>
          <w:sz w:val="24"/>
        </w:rPr>
        <w:t xml:space="preserve">Regulation of Herbal Medicines: A </w:t>
      </w:r>
      <w:proofErr w:type="gramStart"/>
      <w:r>
        <w:rPr>
          <w:i/>
          <w:sz w:val="24"/>
        </w:rPr>
        <w:t>Global</w:t>
      </w:r>
      <w:r>
        <w:rPr>
          <w:i/>
          <w:spacing w:val="80"/>
          <w:sz w:val="24"/>
        </w:rPr>
        <w:t xml:space="preserve">  </w:t>
      </w:r>
      <w:r>
        <w:rPr>
          <w:i/>
          <w:sz w:val="24"/>
        </w:rPr>
        <w:t>Perspective</w:t>
      </w:r>
      <w:proofErr w:type="gramEnd"/>
      <w:r>
        <w:rPr>
          <w:i/>
          <w:sz w:val="24"/>
        </w:rPr>
        <w:t>.</w:t>
      </w:r>
      <w:r>
        <w:rPr>
          <w:i/>
          <w:spacing w:val="80"/>
          <w:sz w:val="24"/>
        </w:rPr>
        <w:t xml:space="preserve">  </w:t>
      </w:r>
      <w:proofErr w:type="gramStart"/>
      <w:r>
        <w:rPr>
          <w:sz w:val="24"/>
        </w:rPr>
        <w:t>Journal</w:t>
      </w:r>
      <w:r>
        <w:rPr>
          <w:spacing w:val="80"/>
          <w:sz w:val="24"/>
        </w:rPr>
        <w:t xml:space="preserve">  </w:t>
      </w:r>
      <w:r>
        <w:rPr>
          <w:sz w:val="24"/>
        </w:rPr>
        <w:t>of</w:t>
      </w:r>
      <w:proofErr w:type="gramEnd"/>
      <w:r>
        <w:rPr>
          <w:spacing w:val="80"/>
          <w:sz w:val="24"/>
        </w:rPr>
        <w:t xml:space="preserve">  </w:t>
      </w:r>
      <w:proofErr w:type="gramStart"/>
      <w:r>
        <w:rPr>
          <w:sz w:val="24"/>
        </w:rPr>
        <w:t>Pharmacological</w:t>
      </w:r>
      <w:r>
        <w:rPr>
          <w:spacing w:val="80"/>
          <w:sz w:val="24"/>
        </w:rPr>
        <w:t xml:space="preserve">  </w:t>
      </w:r>
      <w:r>
        <w:rPr>
          <w:sz w:val="24"/>
        </w:rPr>
        <w:t>Research,</w:t>
      </w:r>
      <w:r>
        <w:rPr>
          <w:spacing w:val="80"/>
          <w:sz w:val="24"/>
        </w:rPr>
        <w:t xml:space="preserve">  </w:t>
      </w:r>
      <w:r>
        <w:rPr>
          <w:sz w:val="24"/>
        </w:rPr>
        <w:t>3</w:t>
      </w:r>
      <w:proofErr w:type="gramEnd"/>
      <w:r>
        <w:rPr>
          <w:sz w:val="24"/>
        </w:rPr>
        <w:t>(2</w:t>
      </w:r>
      <w:proofErr w:type="gramStart"/>
      <w:r>
        <w:rPr>
          <w:sz w:val="24"/>
        </w:rPr>
        <w:t>),</w:t>
      </w:r>
      <w:r>
        <w:rPr>
          <w:spacing w:val="80"/>
          <w:sz w:val="24"/>
        </w:rPr>
        <w:t xml:space="preserve">  </w:t>
      </w:r>
      <w:r>
        <w:rPr>
          <w:sz w:val="24"/>
        </w:rPr>
        <w:t>45</w:t>
      </w:r>
      <w:proofErr w:type="gramEnd"/>
      <w:r>
        <w:rPr>
          <w:sz w:val="24"/>
        </w:rPr>
        <w:t>–52. Garg, P.,</w:t>
      </w:r>
    </w:p>
    <w:p w14:paraId="3DF45638" w14:textId="77777777" w:rsidR="00A02889" w:rsidRDefault="00A02889">
      <w:pPr>
        <w:pStyle w:val="BodyText"/>
        <w:spacing w:before="5"/>
      </w:pPr>
    </w:p>
    <w:p w14:paraId="619C64A7" w14:textId="77777777" w:rsidR="00A02889" w:rsidRDefault="00000000">
      <w:pPr>
        <w:pStyle w:val="BodyText"/>
        <w:spacing w:line="276" w:lineRule="auto"/>
        <w:ind w:left="1505" w:right="722" w:hanging="785"/>
        <w:jc w:val="both"/>
      </w:pPr>
      <w:r>
        <w:t>Abdullahi,</w:t>
      </w:r>
      <w:r>
        <w:rPr>
          <w:spacing w:val="-15"/>
        </w:rPr>
        <w:t xml:space="preserve"> </w:t>
      </w:r>
      <w:r>
        <w:t>A.,</w:t>
      </w:r>
      <w:r>
        <w:rPr>
          <w:spacing w:val="-15"/>
        </w:rPr>
        <w:t xml:space="preserve"> </w:t>
      </w:r>
      <w:r>
        <w:t>Yusuf,</w:t>
      </w:r>
      <w:r>
        <w:rPr>
          <w:spacing w:val="-6"/>
        </w:rPr>
        <w:t xml:space="preserve"> </w:t>
      </w:r>
      <w:r>
        <w:t>M.,</w:t>
      </w:r>
      <w:r>
        <w:rPr>
          <w:spacing w:val="-2"/>
        </w:rPr>
        <w:t xml:space="preserve"> </w:t>
      </w:r>
      <w:r>
        <w:t>and</w:t>
      </w:r>
      <w:r>
        <w:rPr>
          <w:spacing w:val="-3"/>
        </w:rPr>
        <w:t xml:space="preserve"> </w:t>
      </w:r>
      <w:r>
        <w:t>Ibrahim,</w:t>
      </w:r>
      <w:r>
        <w:rPr>
          <w:spacing w:val="-5"/>
        </w:rPr>
        <w:t xml:space="preserve"> </w:t>
      </w:r>
      <w:r>
        <w:t>H.</w:t>
      </w:r>
      <w:r>
        <w:rPr>
          <w:spacing w:val="-6"/>
        </w:rPr>
        <w:t xml:space="preserve"> </w:t>
      </w:r>
      <w:r>
        <w:t>(2023).</w:t>
      </w:r>
      <w:r>
        <w:rPr>
          <w:spacing w:val="-6"/>
        </w:rPr>
        <w:t xml:space="preserve"> </w:t>
      </w:r>
      <w:r>
        <w:t>Phytochemical</w:t>
      </w:r>
      <w:r>
        <w:rPr>
          <w:spacing w:val="-5"/>
        </w:rPr>
        <w:t xml:space="preserve"> </w:t>
      </w:r>
      <w:r>
        <w:t>and</w:t>
      </w:r>
      <w:r>
        <w:rPr>
          <w:spacing w:val="-5"/>
        </w:rPr>
        <w:t xml:space="preserve"> </w:t>
      </w:r>
      <w:r>
        <w:t>pharmacological</w:t>
      </w:r>
      <w:r>
        <w:rPr>
          <w:spacing w:val="-5"/>
        </w:rPr>
        <w:t xml:space="preserve"> </w:t>
      </w:r>
      <w:r>
        <w:t>properties of Zingiber officinale in gastrointestinal disorders. Frontiers in Pharmacology, 13, 962095. https://doi.org/10.3389/fphar.2022.962095</w:t>
      </w:r>
    </w:p>
    <w:p w14:paraId="47CE515B" w14:textId="77777777" w:rsidR="00A02889" w:rsidRDefault="00000000">
      <w:pPr>
        <w:pStyle w:val="BodyText"/>
        <w:spacing w:before="200" w:line="276" w:lineRule="auto"/>
        <w:ind w:left="1505" w:right="718" w:hanging="785"/>
        <w:jc w:val="both"/>
      </w:pPr>
      <w:r>
        <w:t xml:space="preserve">Ahmed, M. H., and Momoh, M. K. (2020). Determination of the effectiveness and acid neutralization capacities (ANC) of some commercial antacid tablets. IRE Journals, 5(1), </w:t>
      </w:r>
      <w:r>
        <w:rPr>
          <w:spacing w:val="-2"/>
        </w:rPr>
        <w:t>335–340.</w:t>
      </w:r>
    </w:p>
    <w:p w14:paraId="5113DF1B" w14:textId="77777777" w:rsidR="00A02889" w:rsidRDefault="00000000">
      <w:pPr>
        <w:pStyle w:val="BodyText"/>
        <w:spacing w:before="201" w:line="276" w:lineRule="auto"/>
        <w:ind w:left="1505" w:right="715" w:hanging="785"/>
        <w:jc w:val="both"/>
      </w:pPr>
      <w:r>
        <w:t>Ahmed, M. H., and Momoh, M. K. (2021). Determination of the effectiveness and acid neutralization</w:t>
      </w:r>
      <w:r>
        <w:rPr>
          <w:spacing w:val="7"/>
        </w:rPr>
        <w:t xml:space="preserve"> </w:t>
      </w:r>
      <w:r>
        <w:t>capacities</w:t>
      </w:r>
      <w:r>
        <w:rPr>
          <w:spacing w:val="11"/>
        </w:rPr>
        <w:t xml:space="preserve"> </w:t>
      </w:r>
      <w:r>
        <w:t>(ANC)</w:t>
      </w:r>
      <w:r>
        <w:rPr>
          <w:spacing w:val="9"/>
        </w:rPr>
        <w:t xml:space="preserve"> </w:t>
      </w:r>
      <w:r>
        <w:t>of</w:t>
      </w:r>
      <w:r>
        <w:rPr>
          <w:spacing w:val="10"/>
        </w:rPr>
        <w:t xml:space="preserve"> </w:t>
      </w:r>
      <w:r>
        <w:t>some</w:t>
      </w:r>
      <w:r>
        <w:rPr>
          <w:spacing w:val="9"/>
        </w:rPr>
        <w:t xml:space="preserve"> </w:t>
      </w:r>
      <w:r>
        <w:t>commercial</w:t>
      </w:r>
      <w:r>
        <w:rPr>
          <w:spacing w:val="10"/>
        </w:rPr>
        <w:t xml:space="preserve"> </w:t>
      </w:r>
      <w:r>
        <w:t>antacid</w:t>
      </w:r>
      <w:r>
        <w:rPr>
          <w:spacing w:val="11"/>
        </w:rPr>
        <w:t xml:space="preserve"> </w:t>
      </w:r>
      <w:r>
        <w:t>tablets.</w:t>
      </w:r>
      <w:r>
        <w:rPr>
          <w:spacing w:val="12"/>
        </w:rPr>
        <w:t xml:space="preserve"> </w:t>
      </w:r>
      <w:r>
        <w:t>IRE</w:t>
      </w:r>
      <w:r>
        <w:rPr>
          <w:spacing w:val="11"/>
        </w:rPr>
        <w:t xml:space="preserve"> </w:t>
      </w:r>
      <w:r>
        <w:t>Journals,</w:t>
      </w:r>
      <w:r>
        <w:rPr>
          <w:spacing w:val="11"/>
        </w:rPr>
        <w:t xml:space="preserve"> </w:t>
      </w:r>
      <w:r>
        <w:rPr>
          <w:spacing w:val="-2"/>
        </w:rPr>
        <w:t>5(1),</w:t>
      </w:r>
    </w:p>
    <w:p w14:paraId="026300DB" w14:textId="77777777" w:rsidR="00A02889" w:rsidRDefault="00000000">
      <w:pPr>
        <w:pStyle w:val="BodyText"/>
        <w:tabs>
          <w:tab w:val="left" w:pos="3194"/>
          <w:tab w:val="left" w:pos="5046"/>
          <w:tab w:val="left" w:pos="7414"/>
          <w:tab w:val="left" w:pos="9614"/>
        </w:tabs>
        <w:spacing w:before="1" w:line="276" w:lineRule="auto"/>
        <w:ind w:left="1505" w:right="718"/>
      </w:pPr>
      <w:r>
        <w:rPr>
          <w:spacing w:val="-4"/>
        </w:rPr>
        <w:t>335.</w:t>
      </w:r>
      <w:r>
        <w:tab/>
      </w:r>
      <w:r>
        <w:rPr>
          <w:spacing w:val="-2"/>
        </w:rPr>
        <w:t>ISSN:</w:t>
      </w:r>
      <w:r>
        <w:tab/>
      </w:r>
      <w:r>
        <w:rPr>
          <w:spacing w:val="-2"/>
        </w:rPr>
        <w:t>2456-8880.</w:t>
      </w:r>
      <w:r>
        <w:tab/>
      </w:r>
      <w:r>
        <w:rPr>
          <w:spacing w:val="-2"/>
        </w:rPr>
        <w:t>Retrieved</w:t>
      </w:r>
      <w:r>
        <w:tab/>
      </w:r>
      <w:r>
        <w:rPr>
          <w:spacing w:val="-4"/>
        </w:rPr>
        <w:t xml:space="preserve">from </w:t>
      </w:r>
      <w:r>
        <w:rPr>
          <w:spacing w:val="-2"/>
        </w:rPr>
        <w:t>https:/</w:t>
      </w:r>
      <w:hyperlink r:id="rId14">
        <w:r w:rsidR="00A02889">
          <w:rPr>
            <w:spacing w:val="-2"/>
          </w:rPr>
          <w:t>/www.academia.edu/download/103185970/1702876.pdf</w:t>
        </w:r>
      </w:hyperlink>
    </w:p>
    <w:p w14:paraId="2B247035" w14:textId="77777777" w:rsidR="00A02889" w:rsidRDefault="00000000">
      <w:pPr>
        <w:pStyle w:val="BodyText"/>
        <w:spacing w:before="198" w:line="276" w:lineRule="auto"/>
        <w:ind w:left="1505" w:right="717" w:hanging="785"/>
        <w:jc w:val="both"/>
      </w:pPr>
      <w:r>
        <w:t>Al-Abri, S.</w:t>
      </w:r>
      <w:r>
        <w:rPr>
          <w:spacing w:val="-5"/>
        </w:rPr>
        <w:t xml:space="preserve"> </w:t>
      </w:r>
      <w:r>
        <w:t xml:space="preserve">A., and Olson, K. R. (2013). Baking soda can settle the stomach but upset the heart: Case files of the Medical Toxicology Fellowship at the University of California, San Francisco. </w:t>
      </w:r>
      <w:r>
        <w:rPr>
          <w:i/>
        </w:rPr>
        <w:t>Journal of Medical Toxicology, 9</w:t>
      </w:r>
      <w:r>
        <w:t>(3), 255–258.</w:t>
      </w:r>
      <w:r>
        <w:rPr>
          <w:spacing w:val="40"/>
        </w:rPr>
        <w:t xml:space="preserve"> </w:t>
      </w:r>
      <w:hyperlink r:id="rId15">
        <w:r w:rsidR="00A02889">
          <w:rPr>
            <w:color w:val="0000FF"/>
            <w:spacing w:val="-2"/>
            <w:u w:val="single" w:color="0000FF"/>
          </w:rPr>
          <w:t>https://doi.org/10.1007/s13181-013-0300-4</w:t>
        </w:r>
      </w:hyperlink>
    </w:p>
    <w:p w14:paraId="2FF15FE6" w14:textId="77777777" w:rsidR="00A02889" w:rsidRDefault="00000000">
      <w:pPr>
        <w:pStyle w:val="BodyText"/>
        <w:spacing w:before="202" w:line="276" w:lineRule="auto"/>
        <w:ind w:left="1505" w:right="719" w:hanging="785"/>
        <w:jc w:val="both"/>
      </w:pPr>
      <w:r>
        <w:t xml:space="preserve">Ali B. H, Blunden G, Tanira M. O, </w:t>
      </w:r>
      <w:proofErr w:type="spellStart"/>
      <w:r>
        <w:t>Nemmar</w:t>
      </w:r>
      <w:proofErr w:type="spellEnd"/>
      <w:r>
        <w:t xml:space="preserve"> A. (2006). Some phytochemical, pharmacological and toxicological properties of ginger (Zingiber officinale Roscoe): A review of recent research. Food Chem </w:t>
      </w:r>
      <w:proofErr w:type="spellStart"/>
      <w:r>
        <w:t>Toxicol</w:t>
      </w:r>
      <w:proofErr w:type="spellEnd"/>
      <w:r>
        <w:t>. 2008;46(2):409–20. [ PubMed: 17950516]</w:t>
      </w:r>
    </w:p>
    <w:p w14:paraId="59F8BF56" w14:textId="77777777" w:rsidR="00A02889" w:rsidRDefault="00000000">
      <w:pPr>
        <w:pStyle w:val="BodyText"/>
        <w:spacing w:before="200" w:line="276" w:lineRule="auto"/>
        <w:ind w:left="1505" w:right="719" w:hanging="785"/>
        <w:jc w:val="both"/>
      </w:pPr>
      <w:r>
        <w:t xml:space="preserve">Ali, N., Barbhuiya, A. M., Bhattacharya, K., and </w:t>
      </w:r>
      <w:proofErr w:type="spellStart"/>
      <w:r>
        <w:t>Sahariah</w:t>
      </w:r>
      <w:proofErr w:type="spellEnd"/>
      <w:r>
        <w:t>, B. J. (2021). Comparative study of acid-neutralizing</w:t>
      </w:r>
      <w:r>
        <w:rPr>
          <w:spacing w:val="-6"/>
        </w:rPr>
        <w:t xml:space="preserve"> </w:t>
      </w:r>
      <w:r>
        <w:t>capacity</w:t>
      </w:r>
      <w:r>
        <w:rPr>
          <w:spacing w:val="-6"/>
        </w:rPr>
        <w:t xml:space="preserve"> </w:t>
      </w:r>
      <w:r>
        <w:t>of</w:t>
      </w:r>
      <w:r>
        <w:rPr>
          <w:spacing w:val="-4"/>
        </w:rPr>
        <w:t xml:space="preserve"> </w:t>
      </w:r>
      <w:r>
        <w:t>different</w:t>
      </w:r>
      <w:r>
        <w:rPr>
          <w:spacing w:val="-4"/>
        </w:rPr>
        <w:t xml:space="preserve"> </w:t>
      </w:r>
      <w:r>
        <w:t>brands</w:t>
      </w:r>
      <w:r>
        <w:rPr>
          <w:spacing w:val="-5"/>
        </w:rPr>
        <w:t xml:space="preserve"> </w:t>
      </w:r>
      <w:r>
        <w:t>of</w:t>
      </w:r>
      <w:r>
        <w:rPr>
          <w:spacing w:val="-3"/>
        </w:rPr>
        <w:t xml:space="preserve"> </w:t>
      </w:r>
      <w:r>
        <w:t>antacid</w:t>
      </w:r>
      <w:r>
        <w:rPr>
          <w:spacing w:val="-4"/>
        </w:rPr>
        <w:t xml:space="preserve"> </w:t>
      </w:r>
      <w:r>
        <w:t>tablets</w:t>
      </w:r>
      <w:r>
        <w:rPr>
          <w:spacing w:val="-2"/>
        </w:rPr>
        <w:t xml:space="preserve"> </w:t>
      </w:r>
      <w:r>
        <w:t>and</w:t>
      </w:r>
      <w:r>
        <w:rPr>
          <w:spacing w:val="-4"/>
        </w:rPr>
        <w:t xml:space="preserve"> </w:t>
      </w:r>
      <w:r>
        <w:t>suspensions</w:t>
      </w:r>
      <w:r>
        <w:rPr>
          <w:spacing w:val="-4"/>
        </w:rPr>
        <w:t xml:space="preserve"> </w:t>
      </w:r>
      <w:r>
        <w:t xml:space="preserve">available in Guwahati, India. Indian Journal of Natural Sciences, 12(69), 35619. </w:t>
      </w:r>
      <w:r>
        <w:rPr>
          <w:spacing w:val="-2"/>
        </w:rPr>
        <w:t>https:/</w:t>
      </w:r>
      <w:hyperlink r:id="rId16">
        <w:r w:rsidR="00A02889">
          <w:rPr>
            <w:spacing w:val="-2"/>
          </w:rPr>
          <w:t>/www.tnsroindia.org.in</w:t>
        </w:r>
      </w:hyperlink>
    </w:p>
    <w:p w14:paraId="36D13CB4" w14:textId="77777777" w:rsidR="00A02889" w:rsidRDefault="00000000">
      <w:pPr>
        <w:pStyle w:val="BodyText"/>
        <w:tabs>
          <w:tab w:val="left" w:pos="3690"/>
          <w:tab w:val="left" w:pos="5519"/>
          <w:tab w:val="left" w:pos="7431"/>
          <w:tab w:val="left" w:pos="9612"/>
        </w:tabs>
        <w:spacing w:before="199" w:line="276" w:lineRule="auto"/>
        <w:ind w:left="1505" w:right="718" w:hanging="785"/>
        <w:jc w:val="both"/>
      </w:pPr>
      <w:proofErr w:type="spellStart"/>
      <w:r>
        <w:t>Alqani</w:t>
      </w:r>
      <w:proofErr w:type="spellEnd"/>
      <w:r>
        <w:t xml:space="preserve">, M. T., and </w:t>
      </w:r>
      <w:proofErr w:type="spellStart"/>
      <w:r>
        <w:t>HamaSahad</w:t>
      </w:r>
      <w:proofErr w:type="spellEnd"/>
      <w:r>
        <w:t xml:space="preserve">, K. A. (2022). The influence of ginger extract on gastric acidity and ulcer index in albino rats. Sabon University Journal of Olfactory and Zoological </w:t>
      </w:r>
      <w:r>
        <w:rPr>
          <w:spacing w:val="-2"/>
        </w:rPr>
        <w:t>Research,</w:t>
      </w:r>
      <w:r>
        <w:tab/>
      </w:r>
      <w:r>
        <w:rPr>
          <w:spacing w:val="-2"/>
        </w:rPr>
        <w:t>12(2),</w:t>
      </w:r>
      <w:r>
        <w:tab/>
      </w:r>
      <w:r>
        <w:rPr>
          <w:spacing w:val="-2"/>
        </w:rPr>
        <w:t>45–56.</w:t>
      </w:r>
      <w:r>
        <w:tab/>
      </w:r>
      <w:r>
        <w:rPr>
          <w:spacing w:val="-2"/>
        </w:rPr>
        <w:t>Retrieved</w:t>
      </w:r>
      <w:r>
        <w:tab/>
      </w:r>
      <w:r>
        <w:rPr>
          <w:spacing w:val="-4"/>
        </w:rPr>
        <w:t xml:space="preserve">from </w:t>
      </w:r>
      <w:hyperlink r:id="rId17">
        <w:r w:rsidR="00A02889">
          <w:rPr>
            <w:color w:val="0000FF"/>
            <w:spacing w:val="-2"/>
            <w:u w:val="single" w:color="0000FF"/>
          </w:rPr>
          <w:t>http://sjuoz.uoz.edu.krd/index.php/sjuoz/article/view/1069</w:t>
        </w:r>
      </w:hyperlink>
    </w:p>
    <w:p w14:paraId="1412A5E7" w14:textId="77777777" w:rsidR="00A02889" w:rsidRDefault="00000000">
      <w:pPr>
        <w:pStyle w:val="BodyText"/>
        <w:spacing w:before="200" w:line="278" w:lineRule="auto"/>
        <w:ind w:left="1505" w:right="714" w:hanging="785"/>
        <w:jc w:val="both"/>
      </w:pPr>
      <w:proofErr w:type="spellStart"/>
      <w:r>
        <w:t>Arayne</w:t>
      </w:r>
      <w:proofErr w:type="spellEnd"/>
      <w:r>
        <w:t xml:space="preserve"> MS, Sultana N, Hussain F. (2005). Interactions between ciprofloxacin and antacids- dissolution</w:t>
      </w:r>
      <w:r>
        <w:rPr>
          <w:spacing w:val="-1"/>
        </w:rPr>
        <w:t xml:space="preserve"> </w:t>
      </w:r>
      <w:r>
        <w:t>and adsorption studies. Drug</w:t>
      </w:r>
      <w:r>
        <w:rPr>
          <w:spacing w:val="-3"/>
        </w:rPr>
        <w:t xml:space="preserve"> </w:t>
      </w:r>
      <w:proofErr w:type="spellStart"/>
      <w:r>
        <w:t>Metabol</w:t>
      </w:r>
      <w:proofErr w:type="spellEnd"/>
      <w:r>
        <w:rPr>
          <w:spacing w:val="3"/>
        </w:rPr>
        <w:t xml:space="preserve"> </w:t>
      </w:r>
      <w:r>
        <w:t>Drug Interact. 2005;21(2):117-29. [</w:t>
      </w:r>
      <w:r>
        <w:rPr>
          <w:spacing w:val="1"/>
        </w:rPr>
        <w:t xml:space="preserve"> </w:t>
      </w:r>
      <w:r>
        <w:rPr>
          <w:spacing w:val="-5"/>
        </w:rPr>
        <w:t>11.</w:t>
      </w:r>
    </w:p>
    <w:p w14:paraId="2A734099" w14:textId="77777777" w:rsidR="00A02889" w:rsidRDefault="00000000">
      <w:pPr>
        <w:pStyle w:val="BodyText"/>
        <w:spacing w:line="272" w:lineRule="exact"/>
        <w:ind w:left="1505"/>
      </w:pPr>
      <w:r>
        <w:t>12.</w:t>
      </w:r>
      <w:r>
        <w:rPr>
          <w:spacing w:val="-1"/>
        </w:rPr>
        <w:t xml:space="preserve"> </w:t>
      </w:r>
      <w:r>
        <w:t xml:space="preserve">PubMed: </w:t>
      </w:r>
      <w:r>
        <w:rPr>
          <w:spacing w:val="-2"/>
        </w:rPr>
        <w:t>16355977]</w:t>
      </w:r>
    </w:p>
    <w:p w14:paraId="2281F178" w14:textId="77777777" w:rsidR="00A02889" w:rsidRDefault="00A02889">
      <w:pPr>
        <w:pStyle w:val="BodyText"/>
        <w:spacing w:line="272" w:lineRule="exact"/>
        <w:sectPr w:rsidR="00A02889">
          <w:pgSz w:w="12240" w:h="15840"/>
          <w:pgMar w:top="1360" w:right="720" w:bottom="1260" w:left="720" w:header="0" w:footer="1068" w:gutter="0"/>
          <w:cols w:space="720"/>
        </w:sectPr>
      </w:pPr>
    </w:p>
    <w:p w14:paraId="6E1951CC" w14:textId="77777777" w:rsidR="00A02889" w:rsidRDefault="00000000">
      <w:pPr>
        <w:pStyle w:val="BodyText"/>
        <w:spacing w:before="74" w:line="276" w:lineRule="auto"/>
        <w:ind w:left="1505" w:right="720" w:hanging="785"/>
        <w:jc w:val="both"/>
      </w:pPr>
      <w:r>
        <w:lastRenderedPageBreak/>
        <w:t xml:space="preserve">Bahuguna, A., Bhardwaj, R., and Kumar, A. (2022). Zingiber officinale mediated aflatoxins cleanup in aqueous medium. Journal of Cleaner Production, 373, Article 133319. </w:t>
      </w:r>
      <w:hyperlink r:id="rId18">
        <w:r w:rsidR="00A02889">
          <w:rPr>
            <w:color w:val="0000FF"/>
            <w:spacing w:val="-2"/>
            <w:u w:val="single" w:color="0000FF"/>
          </w:rPr>
          <w:t>https://doi.org/10.1016/j.jclepro.2022.133319</w:t>
        </w:r>
      </w:hyperlink>
    </w:p>
    <w:p w14:paraId="5C63EAB4" w14:textId="77777777" w:rsidR="00A02889" w:rsidRDefault="00000000">
      <w:pPr>
        <w:pStyle w:val="BodyText"/>
        <w:spacing w:before="200" w:line="276" w:lineRule="auto"/>
        <w:ind w:left="1505" w:right="715" w:hanging="785"/>
        <w:jc w:val="both"/>
      </w:pPr>
      <w:r>
        <w:t>Becker LC, Boyer I, Bergfeld WF, Belsito DV, Hill RA, Klaassen CD, Liebler DC, Marks JG, Shank RC, Slaga TJ, Snyder PW, Andersen FA. (2016). Safety</w:t>
      </w:r>
      <w:r>
        <w:rPr>
          <w:spacing w:val="-3"/>
        </w:rPr>
        <w:t xml:space="preserve"> </w:t>
      </w:r>
      <w:r>
        <w:t xml:space="preserve">Assessment of Alumina and Aluminum Hydroxide as Used in Cosmetics. Int J </w:t>
      </w:r>
      <w:proofErr w:type="spellStart"/>
      <w:r>
        <w:t>Toxicol</w:t>
      </w:r>
      <w:proofErr w:type="spellEnd"/>
      <w:r>
        <w:t>. 2016 Nov;35(3 suppl):16S-33S. [ PubMed: 27913785]</w:t>
      </w:r>
    </w:p>
    <w:p w14:paraId="002FF54E" w14:textId="77777777" w:rsidR="00A02889" w:rsidRDefault="00000000">
      <w:pPr>
        <w:pStyle w:val="BodyText"/>
        <w:spacing w:before="200" w:line="276" w:lineRule="auto"/>
        <w:ind w:left="1505" w:right="715" w:hanging="785"/>
        <w:jc w:val="both"/>
      </w:pPr>
      <w:r>
        <w:t xml:space="preserve">BMC Gastroenterology. (2022). Review of recent evidence on the management of heartburn in pregnancy. https://bmcgastroenterol.biomedcentral.com/articles/10.1186/s12876-022- </w:t>
      </w:r>
      <w:r>
        <w:rPr>
          <w:spacing w:val="-2"/>
        </w:rPr>
        <w:t>02287-w</w:t>
      </w:r>
    </w:p>
    <w:p w14:paraId="4AE252C1" w14:textId="77777777" w:rsidR="00A02889" w:rsidRDefault="00000000">
      <w:pPr>
        <w:pStyle w:val="BodyText"/>
        <w:spacing w:before="200" w:line="278" w:lineRule="auto"/>
        <w:ind w:left="1505" w:right="715" w:hanging="785"/>
        <w:jc w:val="both"/>
      </w:pPr>
      <w:r>
        <w:t xml:space="preserve">Chan A, and Ignoffo RJ. (2005). Survey of topical oral solutions for the treatment of chemo- induced oral mucositis. J Oncol Pharm </w:t>
      </w:r>
      <w:proofErr w:type="spellStart"/>
      <w:r>
        <w:t>Pract</w:t>
      </w:r>
      <w:proofErr w:type="spellEnd"/>
      <w:r>
        <w:t>. Dec;11(4):139-43. [ PubMed: 16595065]</w:t>
      </w:r>
    </w:p>
    <w:p w14:paraId="678D9067" w14:textId="77777777" w:rsidR="00A02889" w:rsidRDefault="00000000">
      <w:pPr>
        <w:pStyle w:val="BodyText"/>
        <w:spacing w:before="195" w:line="276" w:lineRule="auto"/>
        <w:ind w:left="1505" w:right="713" w:hanging="785"/>
        <w:jc w:val="both"/>
      </w:pPr>
      <w:r>
        <w:t xml:space="preserve">Cherney, K. (2024). Baking soda for acid reflux: Is it the answer? </w:t>
      </w:r>
      <w:r>
        <w:rPr>
          <w:i/>
        </w:rPr>
        <w:t>Healthline</w:t>
      </w:r>
      <w:r>
        <w:t xml:space="preserve">. </w:t>
      </w:r>
      <w:hyperlink r:id="rId19">
        <w:r w:rsidR="00A02889">
          <w:rPr>
            <w:color w:val="0000FF"/>
            <w:spacing w:val="-2"/>
            <w:u w:val="single" w:color="0000FF"/>
          </w:rPr>
          <w:t>https://www.healthline.com/health/gerd/baking-soda</w:t>
        </w:r>
      </w:hyperlink>
    </w:p>
    <w:p w14:paraId="3CE9A2EC" w14:textId="77777777" w:rsidR="00A02889" w:rsidRDefault="00000000">
      <w:pPr>
        <w:pStyle w:val="BodyText"/>
        <w:spacing w:before="200"/>
        <w:ind w:left="720"/>
      </w:pPr>
      <w:r>
        <w:t>Chiba,</w:t>
      </w:r>
      <w:r>
        <w:rPr>
          <w:spacing w:val="45"/>
        </w:rPr>
        <w:t xml:space="preserve"> </w:t>
      </w:r>
      <w:r>
        <w:t>N.,</w:t>
      </w:r>
      <w:r>
        <w:rPr>
          <w:spacing w:val="48"/>
        </w:rPr>
        <w:t xml:space="preserve"> </w:t>
      </w:r>
      <w:r>
        <w:t>et</w:t>
      </w:r>
      <w:r>
        <w:rPr>
          <w:spacing w:val="51"/>
        </w:rPr>
        <w:t xml:space="preserve"> </w:t>
      </w:r>
      <w:r>
        <w:t>al.</w:t>
      </w:r>
      <w:r>
        <w:rPr>
          <w:spacing w:val="51"/>
        </w:rPr>
        <w:t xml:space="preserve"> </w:t>
      </w:r>
      <w:r>
        <w:t>(2002).</w:t>
      </w:r>
      <w:r>
        <w:rPr>
          <w:spacing w:val="49"/>
        </w:rPr>
        <w:t xml:space="preserve"> </w:t>
      </w:r>
      <w:r>
        <w:t>Pharmacological</w:t>
      </w:r>
      <w:r>
        <w:rPr>
          <w:spacing w:val="49"/>
        </w:rPr>
        <w:t xml:space="preserve"> </w:t>
      </w:r>
      <w:r>
        <w:t>review</w:t>
      </w:r>
      <w:r>
        <w:rPr>
          <w:spacing w:val="47"/>
        </w:rPr>
        <w:t xml:space="preserve"> </w:t>
      </w:r>
      <w:r>
        <w:t>of</w:t>
      </w:r>
      <w:r>
        <w:rPr>
          <w:spacing w:val="50"/>
        </w:rPr>
        <w:t xml:space="preserve"> </w:t>
      </w:r>
      <w:r>
        <w:t>antacids</w:t>
      </w:r>
      <w:r>
        <w:rPr>
          <w:spacing w:val="52"/>
        </w:rPr>
        <w:t xml:space="preserve"> </w:t>
      </w:r>
      <w:r>
        <w:t>and</w:t>
      </w:r>
      <w:r>
        <w:rPr>
          <w:spacing w:val="50"/>
        </w:rPr>
        <w:t xml:space="preserve"> </w:t>
      </w:r>
      <w:r>
        <w:t>acid</w:t>
      </w:r>
      <w:r>
        <w:rPr>
          <w:spacing w:val="51"/>
        </w:rPr>
        <w:t xml:space="preserve"> </w:t>
      </w:r>
      <w:r>
        <w:t>neutralizing</w:t>
      </w:r>
      <w:r>
        <w:rPr>
          <w:spacing w:val="49"/>
        </w:rPr>
        <w:t xml:space="preserve"> </w:t>
      </w:r>
      <w:r>
        <w:rPr>
          <w:spacing w:val="-2"/>
        </w:rPr>
        <w:t>capacity.</w:t>
      </w:r>
    </w:p>
    <w:p w14:paraId="6A1C19F7" w14:textId="77777777" w:rsidR="00A02889" w:rsidRDefault="00000000">
      <w:pPr>
        <w:pStyle w:val="BodyText"/>
        <w:spacing w:before="41"/>
        <w:ind w:left="1505"/>
      </w:pPr>
      <w:r>
        <w:t>Alimentary</w:t>
      </w:r>
      <w:r>
        <w:rPr>
          <w:spacing w:val="-6"/>
        </w:rPr>
        <w:t xml:space="preserve"> </w:t>
      </w:r>
      <w:r>
        <w:t>Pharmacology</w:t>
      </w:r>
      <w:r>
        <w:rPr>
          <w:spacing w:val="-4"/>
        </w:rPr>
        <w:t xml:space="preserve"> </w:t>
      </w:r>
      <w:r>
        <w:t>and</w:t>
      </w:r>
      <w:r>
        <w:rPr>
          <w:spacing w:val="-2"/>
        </w:rPr>
        <w:t xml:space="preserve"> </w:t>
      </w:r>
      <w:r>
        <w:t>Therapeutics,</w:t>
      </w:r>
      <w:r>
        <w:rPr>
          <w:spacing w:val="-1"/>
        </w:rPr>
        <w:t xml:space="preserve"> </w:t>
      </w:r>
      <w:r>
        <w:t>16(6),</w:t>
      </w:r>
      <w:r>
        <w:rPr>
          <w:spacing w:val="-1"/>
        </w:rPr>
        <w:t xml:space="preserve"> </w:t>
      </w:r>
      <w:r>
        <w:rPr>
          <w:spacing w:val="-2"/>
        </w:rPr>
        <w:t>1047–1054.</w:t>
      </w:r>
    </w:p>
    <w:p w14:paraId="531CF797" w14:textId="77777777" w:rsidR="00A02889" w:rsidRDefault="00000000">
      <w:pPr>
        <w:pStyle w:val="BodyText"/>
        <w:spacing w:before="243" w:line="276" w:lineRule="auto"/>
        <w:ind w:left="1505" w:right="715" w:hanging="785"/>
        <w:jc w:val="both"/>
      </w:pPr>
      <w:r>
        <w:t>Chung, S., Habib, M., Lin, S., and Ouyang, S. (2021). Comparing the effectiveness of non- synthetic remedies to commercially produced antacids in combating acid reflux. Expedition, 11. https://ojs.library.ubc.ca/index.php/expedition/article/view/196091</w:t>
      </w:r>
    </w:p>
    <w:p w14:paraId="1953340C" w14:textId="77777777" w:rsidR="00A02889" w:rsidRDefault="00000000">
      <w:pPr>
        <w:pStyle w:val="BodyText"/>
        <w:spacing w:before="200" w:line="276" w:lineRule="auto"/>
        <w:ind w:left="1505" w:right="718" w:hanging="785"/>
        <w:jc w:val="both"/>
      </w:pPr>
      <w:r>
        <w:t>Cohen R. J, Ek K,</w:t>
      </w:r>
      <w:r>
        <w:rPr>
          <w:spacing w:val="80"/>
        </w:rPr>
        <w:t xml:space="preserve"> </w:t>
      </w:r>
      <w:r>
        <w:t xml:space="preserve">and Pan C. X. (2002). Complementary and alternative medicine (CAM) use by older adults: A comparison of self-report and physician chart documentation. J </w:t>
      </w:r>
      <w:proofErr w:type="spellStart"/>
      <w:r>
        <w:t>Gerontol</w:t>
      </w:r>
      <w:proofErr w:type="spellEnd"/>
      <w:r>
        <w:t xml:space="preserve"> </w:t>
      </w:r>
      <w:proofErr w:type="gramStart"/>
      <w:r>
        <w:t>A</w:t>
      </w:r>
      <w:proofErr w:type="gramEnd"/>
      <w:r>
        <w:rPr>
          <w:spacing w:val="-3"/>
        </w:rPr>
        <w:t xml:space="preserve"> </w:t>
      </w:r>
      <w:r>
        <w:t>Biol Sci Med Sci. 2002;57(4):M223–7. [ PubMed: 11909887]</w:t>
      </w:r>
    </w:p>
    <w:p w14:paraId="2800822F" w14:textId="77777777" w:rsidR="00A02889" w:rsidRDefault="00000000">
      <w:pPr>
        <w:pStyle w:val="BodyText"/>
        <w:spacing w:before="200" w:line="276" w:lineRule="auto"/>
        <w:ind w:left="1505" w:right="718" w:hanging="785"/>
      </w:pPr>
      <w:r>
        <w:t>De,</w:t>
      </w:r>
      <w:r>
        <w:rPr>
          <w:spacing w:val="-6"/>
        </w:rPr>
        <w:t xml:space="preserve"> </w:t>
      </w:r>
      <w:r>
        <w:t>B.,</w:t>
      </w:r>
      <w:r>
        <w:rPr>
          <w:spacing w:val="-11"/>
        </w:rPr>
        <w:t xml:space="preserve"> </w:t>
      </w:r>
      <w:proofErr w:type="spellStart"/>
      <w:r>
        <w:t>Wangchu</w:t>
      </w:r>
      <w:proofErr w:type="spellEnd"/>
      <w:r>
        <w:t>,</w:t>
      </w:r>
      <w:r>
        <w:rPr>
          <w:spacing w:val="-5"/>
        </w:rPr>
        <w:t xml:space="preserve"> </w:t>
      </w:r>
      <w:r>
        <w:t>L.,</w:t>
      </w:r>
      <w:r>
        <w:rPr>
          <w:spacing w:val="-5"/>
        </w:rPr>
        <w:t xml:space="preserve"> </w:t>
      </w:r>
      <w:r>
        <w:t>Debnath,</w:t>
      </w:r>
      <w:r>
        <w:rPr>
          <w:spacing w:val="-6"/>
        </w:rPr>
        <w:t xml:space="preserve"> </w:t>
      </w:r>
      <w:r>
        <w:t>S.,</w:t>
      </w:r>
      <w:r>
        <w:rPr>
          <w:spacing w:val="-6"/>
        </w:rPr>
        <w:t xml:space="preserve"> </w:t>
      </w:r>
      <w:r>
        <w:t>and</w:t>
      </w:r>
      <w:r>
        <w:rPr>
          <w:spacing w:val="-6"/>
        </w:rPr>
        <w:t xml:space="preserve"> </w:t>
      </w:r>
      <w:r>
        <w:t>Chakraborty,</w:t>
      </w:r>
      <w:r>
        <w:rPr>
          <w:spacing w:val="-5"/>
        </w:rPr>
        <w:t xml:space="preserve"> </w:t>
      </w:r>
      <w:r>
        <w:t>H.</w:t>
      </w:r>
      <w:r>
        <w:rPr>
          <w:spacing w:val="-6"/>
        </w:rPr>
        <w:t xml:space="preserve"> </w:t>
      </w:r>
      <w:r>
        <w:t>(2023).</w:t>
      </w:r>
      <w:r>
        <w:rPr>
          <w:spacing w:val="-5"/>
        </w:rPr>
        <w:t xml:space="preserve"> </w:t>
      </w:r>
      <w:r>
        <w:t>Gastric</w:t>
      </w:r>
      <w:r>
        <w:rPr>
          <w:spacing w:val="-15"/>
        </w:rPr>
        <w:t xml:space="preserve"> </w:t>
      </w:r>
      <w:r>
        <w:t>Ailments</w:t>
      </w:r>
      <w:r>
        <w:rPr>
          <w:spacing w:val="-7"/>
        </w:rPr>
        <w:t xml:space="preserve"> </w:t>
      </w:r>
      <w:r>
        <w:t>and</w:t>
      </w:r>
      <w:r>
        <w:rPr>
          <w:spacing w:val="-6"/>
        </w:rPr>
        <w:t xml:space="preserve"> </w:t>
      </w:r>
      <w:proofErr w:type="gramStart"/>
      <w:r>
        <w:t>It‘</w:t>
      </w:r>
      <w:proofErr w:type="gramEnd"/>
      <w:r>
        <w:t>s</w:t>
      </w:r>
      <w:r>
        <w:rPr>
          <w:spacing w:val="-7"/>
        </w:rPr>
        <w:t xml:space="preserve"> </w:t>
      </w:r>
      <w:r>
        <w:t>Mystery to Get Relief. Journal of Hospital Pharmacy Innovations, 13(-), [Article ID]. Retrieved</w:t>
      </w:r>
      <w:r>
        <w:rPr>
          <w:spacing w:val="40"/>
        </w:rPr>
        <w:t xml:space="preserve"> </w:t>
      </w:r>
      <w:r>
        <w:rPr>
          <w:spacing w:val="-4"/>
        </w:rPr>
        <w:t xml:space="preserve">from </w:t>
      </w:r>
      <w:r>
        <w:rPr>
          <w:spacing w:val="-2"/>
        </w:rPr>
        <w:t>https:/</w:t>
      </w:r>
      <w:hyperlink r:id="rId20">
        <w:r w:rsidR="00A02889">
          <w:rPr>
            <w:spacing w:val="-2"/>
          </w:rPr>
          <w:t>/www.johp.journalofhospitalpharmacy.in/admin/freePDF/3esko8v54mybxwuko5gj</w:t>
        </w:r>
      </w:hyperlink>
    </w:p>
    <w:p w14:paraId="368F060A" w14:textId="77777777" w:rsidR="00A02889" w:rsidRDefault="00000000">
      <w:pPr>
        <w:pStyle w:val="BodyText"/>
        <w:ind w:left="1505"/>
      </w:pPr>
      <w:r>
        <w:rPr>
          <w:spacing w:val="-4"/>
        </w:rPr>
        <w:t>.pdf</w:t>
      </w:r>
    </w:p>
    <w:p w14:paraId="27E7739E" w14:textId="77777777" w:rsidR="00A02889" w:rsidRDefault="00000000">
      <w:pPr>
        <w:pStyle w:val="BodyText"/>
        <w:spacing w:before="241" w:line="276" w:lineRule="auto"/>
        <w:ind w:left="1505" w:right="714" w:hanging="785"/>
        <w:jc w:val="both"/>
      </w:pPr>
      <w:r>
        <w:t xml:space="preserve">Divya, J. O., and Rasheed, F. M. (2021). Evaluation of the effectiveness of acid-neutralizing property of traditional antacids commonly used in India. Journal of Scientific Research, 65(4), 145–150. Institute of Science, Banaras Hindu University, Varanasi, India. </w:t>
      </w:r>
      <w:r>
        <w:rPr>
          <w:spacing w:val="-2"/>
        </w:rPr>
        <w:t>https:/</w:t>
      </w:r>
      <w:hyperlink r:id="rId21">
        <w:r w:rsidR="00A02889">
          <w:rPr>
            <w:spacing w:val="-2"/>
          </w:rPr>
          <w:t>/www.bhu.ac.in/research_pub/jsr/Volumes/JSR_65_04_2021/16.pdf</w:t>
        </w:r>
      </w:hyperlink>
    </w:p>
    <w:p w14:paraId="754B40E6" w14:textId="77777777" w:rsidR="00A02889" w:rsidRDefault="00000000">
      <w:pPr>
        <w:pStyle w:val="BodyText"/>
        <w:tabs>
          <w:tab w:val="left" w:pos="2030"/>
          <w:tab w:val="left" w:pos="2982"/>
          <w:tab w:val="left" w:pos="3985"/>
          <w:tab w:val="left" w:pos="5422"/>
          <w:tab w:val="left" w:pos="6200"/>
          <w:tab w:val="left" w:pos="7632"/>
          <w:tab w:val="left" w:pos="8975"/>
          <w:tab w:val="left" w:pos="9428"/>
        </w:tabs>
        <w:spacing w:before="201" w:line="276" w:lineRule="auto"/>
        <w:ind w:left="1505" w:right="723" w:hanging="785"/>
      </w:pPr>
      <w:proofErr w:type="spellStart"/>
      <w:r>
        <w:rPr>
          <w:spacing w:val="-2"/>
        </w:rPr>
        <w:t>DrugBank</w:t>
      </w:r>
      <w:proofErr w:type="spellEnd"/>
      <w:r>
        <w:rPr>
          <w:spacing w:val="-2"/>
        </w:rPr>
        <w:t>.</w:t>
      </w:r>
      <w:r>
        <w:tab/>
      </w:r>
      <w:r>
        <w:rPr>
          <w:spacing w:val="-2"/>
        </w:rPr>
        <w:t>(2024).</w:t>
      </w:r>
      <w:r>
        <w:tab/>
      </w:r>
      <w:r>
        <w:rPr>
          <w:spacing w:val="-2"/>
        </w:rPr>
        <w:t>Sodium</w:t>
      </w:r>
      <w:r>
        <w:tab/>
      </w:r>
      <w:r>
        <w:rPr>
          <w:spacing w:val="-2"/>
        </w:rPr>
        <w:t>bicarbonate:</w:t>
      </w:r>
      <w:r>
        <w:tab/>
      </w:r>
      <w:r>
        <w:rPr>
          <w:spacing w:val="-2"/>
        </w:rPr>
        <w:t>Uses,</w:t>
      </w:r>
      <w:r>
        <w:tab/>
      </w:r>
      <w:r>
        <w:rPr>
          <w:spacing w:val="-2"/>
        </w:rPr>
        <w:t>interactions,</w:t>
      </w:r>
      <w:r>
        <w:tab/>
      </w:r>
      <w:r>
        <w:rPr>
          <w:spacing w:val="-2"/>
        </w:rPr>
        <w:t>mechanism</w:t>
      </w:r>
      <w:r>
        <w:tab/>
      </w:r>
      <w:r>
        <w:rPr>
          <w:spacing w:val="-6"/>
        </w:rPr>
        <w:t>of</w:t>
      </w:r>
      <w:r>
        <w:tab/>
      </w:r>
      <w:r>
        <w:rPr>
          <w:spacing w:val="-2"/>
        </w:rPr>
        <w:t>action. https://go.drugbank.com/drugs/DB01390</w:t>
      </w:r>
    </w:p>
    <w:p w14:paraId="6305A2DA" w14:textId="77777777" w:rsidR="00A02889" w:rsidRDefault="00A02889">
      <w:pPr>
        <w:pStyle w:val="BodyText"/>
        <w:spacing w:line="276" w:lineRule="auto"/>
        <w:sectPr w:rsidR="00A02889">
          <w:pgSz w:w="12240" w:h="15840"/>
          <w:pgMar w:top="1360" w:right="720" w:bottom="1260" w:left="720" w:header="0" w:footer="1068" w:gutter="0"/>
          <w:cols w:space="720"/>
        </w:sectPr>
      </w:pPr>
    </w:p>
    <w:p w14:paraId="6A45633A" w14:textId="77777777" w:rsidR="00A02889" w:rsidRDefault="00000000">
      <w:pPr>
        <w:pStyle w:val="BodyText"/>
        <w:spacing w:before="74" w:line="276" w:lineRule="auto"/>
        <w:ind w:left="1505" w:right="714" w:hanging="785"/>
        <w:jc w:val="both"/>
      </w:pPr>
      <w:proofErr w:type="spellStart"/>
      <w:r>
        <w:lastRenderedPageBreak/>
        <w:t>Ebeshi</w:t>
      </w:r>
      <w:proofErr w:type="spellEnd"/>
      <w:r>
        <w:t xml:space="preserve">, B. U., </w:t>
      </w:r>
      <w:proofErr w:type="spellStart"/>
      <w:r>
        <w:t>Bunu</w:t>
      </w:r>
      <w:proofErr w:type="spellEnd"/>
      <w:r>
        <w:t xml:space="preserve">, S. J., and </w:t>
      </w:r>
      <w:proofErr w:type="spellStart"/>
      <w:r>
        <w:t>Kpun</w:t>
      </w:r>
      <w:proofErr w:type="spellEnd"/>
      <w:r>
        <w:t>, H. F. (2024).</w:t>
      </w:r>
      <w:r>
        <w:rPr>
          <w:spacing w:val="-9"/>
        </w:rPr>
        <w:t xml:space="preserve"> </w:t>
      </w:r>
      <w:r>
        <w:t xml:space="preserve">Analysis of gastrointestinal acid-neutralizing potency of some commercial antacid tablet formulations. Wiley Online Library. </w:t>
      </w:r>
      <w:r>
        <w:rPr>
          <w:spacing w:val="-2"/>
        </w:rPr>
        <w:t>https://onlinelibrary.wiley.com/doi/abs/10.1002/9781394167104.ch3</w:t>
      </w:r>
    </w:p>
    <w:p w14:paraId="02FCA6B4" w14:textId="77777777" w:rsidR="00A02889" w:rsidRDefault="00000000">
      <w:pPr>
        <w:pStyle w:val="BodyText"/>
        <w:tabs>
          <w:tab w:val="left" w:pos="3249"/>
          <w:tab w:val="left" w:pos="4343"/>
          <w:tab w:val="left" w:pos="6567"/>
          <w:tab w:val="left" w:pos="8213"/>
          <w:tab w:val="left" w:pos="9537"/>
        </w:tabs>
        <w:spacing w:before="200" w:line="276" w:lineRule="auto"/>
        <w:ind w:left="1505" w:right="717" w:hanging="785"/>
        <w:jc w:val="both"/>
      </w:pPr>
      <w:proofErr w:type="spellStart"/>
      <w:r>
        <w:t>Ebeshi</w:t>
      </w:r>
      <w:proofErr w:type="spellEnd"/>
      <w:r>
        <w:t xml:space="preserve">, B. U., </w:t>
      </w:r>
      <w:proofErr w:type="spellStart"/>
      <w:r>
        <w:t>Bunu</w:t>
      </w:r>
      <w:proofErr w:type="spellEnd"/>
      <w:r>
        <w:t xml:space="preserve">, S. J., </w:t>
      </w:r>
      <w:proofErr w:type="spellStart"/>
      <w:r>
        <w:t>Kpun</w:t>
      </w:r>
      <w:proofErr w:type="spellEnd"/>
      <w:r>
        <w:t xml:space="preserve">, H. F., and </w:t>
      </w:r>
      <w:proofErr w:type="spellStart"/>
      <w:r>
        <w:t>Ezebube</w:t>
      </w:r>
      <w:proofErr w:type="spellEnd"/>
      <w:r>
        <w:t>, C. O. (2022).</w:t>
      </w:r>
      <w:r>
        <w:rPr>
          <w:spacing w:val="-2"/>
        </w:rPr>
        <w:t xml:space="preserve"> </w:t>
      </w:r>
      <w:r>
        <w:t xml:space="preserve">Analysis of gastrointestinal acid-neutralizing potency of some commercial antacid tablet formulations. GSC </w:t>
      </w:r>
      <w:r>
        <w:rPr>
          <w:spacing w:val="-2"/>
        </w:rPr>
        <w:t>Biological</w:t>
      </w:r>
      <w:r>
        <w:tab/>
      </w:r>
      <w:r>
        <w:rPr>
          <w:spacing w:val="-4"/>
        </w:rPr>
        <w:t>and</w:t>
      </w:r>
      <w:r>
        <w:tab/>
      </w:r>
      <w:r>
        <w:rPr>
          <w:spacing w:val="-2"/>
        </w:rPr>
        <w:t>Pharmaceutical</w:t>
      </w:r>
      <w:r>
        <w:tab/>
      </w:r>
      <w:r>
        <w:rPr>
          <w:spacing w:val="-2"/>
        </w:rPr>
        <w:t>Sciences,</w:t>
      </w:r>
      <w:r>
        <w:tab/>
      </w:r>
      <w:r>
        <w:rPr>
          <w:spacing w:val="-2"/>
        </w:rPr>
        <w:t>19(2),</w:t>
      </w:r>
      <w:r>
        <w:tab/>
      </w:r>
      <w:r>
        <w:rPr>
          <w:spacing w:val="-2"/>
        </w:rPr>
        <w:t>8–13. https://doi.org/10.30574/gscbps.2022.19.2.0159</w:t>
      </w:r>
    </w:p>
    <w:p w14:paraId="3193F9D2" w14:textId="77777777" w:rsidR="00A02889" w:rsidRDefault="00000000">
      <w:pPr>
        <w:tabs>
          <w:tab w:val="left" w:pos="3184"/>
          <w:tab w:val="left" w:pos="4213"/>
          <w:tab w:val="left" w:pos="6374"/>
          <w:tab w:val="left" w:pos="7957"/>
        </w:tabs>
        <w:spacing w:before="200" w:line="276" w:lineRule="auto"/>
        <w:ind w:left="1505" w:right="714" w:hanging="785"/>
        <w:jc w:val="both"/>
        <w:rPr>
          <w:sz w:val="24"/>
        </w:rPr>
      </w:pPr>
      <w:proofErr w:type="spellStart"/>
      <w:r>
        <w:rPr>
          <w:sz w:val="24"/>
        </w:rPr>
        <w:t>Ebeshi</w:t>
      </w:r>
      <w:proofErr w:type="spellEnd"/>
      <w:r>
        <w:rPr>
          <w:sz w:val="24"/>
        </w:rPr>
        <w:t>, B.</w:t>
      </w:r>
      <w:r>
        <w:rPr>
          <w:spacing w:val="-15"/>
          <w:sz w:val="24"/>
        </w:rPr>
        <w:t xml:space="preserve"> </w:t>
      </w:r>
      <w:r>
        <w:rPr>
          <w:sz w:val="24"/>
        </w:rPr>
        <w:t xml:space="preserve">U., </w:t>
      </w:r>
      <w:proofErr w:type="spellStart"/>
      <w:r>
        <w:rPr>
          <w:sz w:val="24"/>
        </w:rPr>
        <w:t>Bunu</w:t>
      </w:r>
      <w:proofErr w:type="spellEnd"/>
      <w:r>
        <w:rPr>
          <w:sz w:val="24"/>
        </w:rPr>
        <w:t>, S.</w:t>
      </w:r>
      <w:r>
        <w:rPr>
          <w:spacing w:val="-15"/>
          <w:sz w:val="24"/>
        </w:rPr>
        <w:t xml:space="preserve"> </w:t>
      </w:r>
      <w:r>
        <w:rPr>
          <w:sz w:val="24"/>
        </w:rPr>
        <w:t xml:space="preserve">J., </w:t>
      </w:r>
      <w:proofErr w:type="spellStart"/>
      <w:r>
        <w:rPr>
          <w:sz w:val="24"/>
        </w:rPr>
        <w:t>Kpun</w:t>
      </w:r>
      <w:proofErr w:type="spellEnd"/>
      <w:r>
        <w:rPr>
          <w:sz w:val="24"/>
        </w:rPr>
        <w:t>, H.</w:t>
      </w:r>
      <w:r>
        <w:rPr>
          <w:spacing w:val="-15"/>
          <w:sz w:val="24"/>
        </w:rPr>
        <w:t xml:space="preserve"> </w:t>
      </w:r>
      <w:r>
        <w:rPr>
          <w:sz w:val="24"/>
        </w:rPr>
        <w:t xml:space="preserve">F., and </w:t>
      </w:r>
      <w:proofErr w:type="spellStart"/>
      <w:r>
        <w:rPr>
          <w:sz w:val="24"/>
        </w:rPr>
        <w:t>Ezebube</w:t>
      </w:r>
      <w:proofErr w:type="spellEnd"/>
      <w:r>
        <w:rPr>
          <w:sz w:val="24"/>
        </w:rPr>
        <w:t>, C.</w:t>
      </w:r>
      <w:r>
        <w:rPr>
          <w:spacing w:val="-15"/>
          <w:sz w:val="24"/>
        </w:rPr>
        <w:t xml:space="preserve"> </w:t>
      </w:r>
      <w:r>
        <w:rPr>
          <w:sz w:val="24"/>
        </w:rPr>
        <w:t xml:space="preserve">O. (2022). </w:t>
      </w:r>
      <w:r>
        <w:rPr>
          <w:i/>
          <w:sz w:val="24"/>
        </w:rPr>
        <w:t>Analysis of gastrointestinal acid-neutralizing potency of some commercial antacid tablet formulations</w:t>
      </w:r>
      <w:r>
        <w:rPr>
          <w:sz w:val="24"/>
        </w:rPr>
        <w:t xml:space="preserve">. GSC </w:t>
      </w:r>
      <w:r>
        <w:rPr>
          <w:spacing w:val="-2"/>
          <w:sz w:val="24"/>
        </w:rPr>
        <w:t>Biological</w:t>
      </w:r>
      <w:r>
        <w:rPr>
          <w:sz w:val="24"/>
        </w:rPr>
        <w:tab/>
      </w:r>
      <w:r>
        <w:rPr>
          <w:spacing w:val="-5"/>
          <w:sz w:val="24"/>
        </w:rPr>
        <w:t>and</w:t>
      </w:r>
      <w:r>
        <w:rPr>
          <w:sz w:val="24"/>
        </w:rPr>
        <w:tab/>
      </w:r>
      <w:r>
        <w:rPr>
          <w:spacing w:val="-2"/>
          <w:sz w:val="24"/>
        </w:rPr>
        <w:t>Pharmaceutical</w:t>
      </w:r>
      <w:r>
        <w:rPr>
          <w:sz w:val="24"/>
        </w:rPr>
        <w:tab/>
      </w:r>
      <w:r>
        <w:rPr>
          <w:spacing w:val="-2"/>
          <w:sz w:val="24"/>
        </w:rPr>
        <w:t>Sciences,</w:t>
      </w:r>
      <w:r>
        <w:rPr>
          <w:sz w:val="24"/>
        </w:rPr>
        <w:tab/>
        <w:t>19(2</w:t>
      </w:r>
      <w:proofErr w:type="gramStart"/>
      <w:r>
        <w:rPr>
          <w:sz w:val="24"/>
        </w:rPr>
        <w:t>),</w:t>
      </w:r>
      <w:r>
        <w:rPr>
          <w:spacing w:val="76"/>
          <w:sz w:val="24"/>
        </w:rPr>
        <w:t xml:space="preserve">   </w:t>
      </w:r>
      <w:proofErr w:type="gramEnd"/>
      <w:r>
        <w:rPr>
          <w:spacing w:val="76"/>
          <w:sz w:val="24"/>
        </w:rPr>
        <w:t xml:space="preserve">  </w:t>
      </w:r>
      <w:r>
        <w:rPr>
          <w:sz w:val="24"/>
        </w:rPr>
        <w:t>008-</w:t>
      </w:r>
      <w:r>
        <w:rPr>
          <w:spacing w:val="-4"/>
          <w:sz w:val="24"/>
        </w:rPr>
        <w:t>013.</w:t>
      </w:r>
    </w:p>
    <w:p w14:paraId="14E3AA23" w14:textId="77777777" w:rsidR="00A02889" w:rsidRDefault="00000000">
      <w:pPr>
        <w:pStyle w:val="BodyText"/>
        <w:spacing w:before="1"/>
        <w:ind w:left="1505"/>
      </w:pPr>
      <w:r>
        <w:rPr>
          <w:spacing w:val="-2"/>
        </w:rPr>
        <w:t>https://doi.org/10.30574/gscbps.2022.19.2.0159</w:t>
      </w:r>
    </w:p>
    <w:p w14:paraId="7D02B7B5" w14:textId="77777777" w:rsidR="00A02889" w:rsidRDefault="00000000">
      <w:pPr>
        <w:pStyle w:val="BodyText"/>
        <w:spacing w:before="242" w:line="276" w:lineRule="auto"/>
        <w:ind w:left="1505" w:right="719" w:hanging="785"/>
        <w:jc w:val="both"/>
      </w:pPr>
      <w:r>
        <w:t>Edo, G.</w:t>
      </w:r>
      <w:r>
        <w:rPr>
          <w:spacing w:val="-15"/>
        </w:rPr>
        <w:t xml:space="preserve"> </w:t>
      </w:r>
      <w:r>
        <w:t xml:space="preserve">I., </w:t>
      </w:r>
      <w:proofErr w:type="spellStart"/>
      <w:r>
        <w:t>Igbuku</w:t>
      </w:r>
      <w:proofErr w:type="spellEnd"/>
      <w:r>
        <w:t>, U.</w:t>
      </w:r>
      <w:r>
        <w:rPr>
          <w:spacing w:val="-15"/>
        </w:rPr>
        <w:t xml:space="preserve"> </w:t>
      </w:r>
      <w:r>
        <w:t>A., Makia, R.</w:t>
      </w:r>
      <w:r>
        <w:rPr>
          <w:spacing w:val="-15"/>
        </w:rPr>
        <w:t xml:space="preserve"> </w:t>
      </w:r>
      <w:r>
        <w:t xml:space="preserve">S., Yousif, E., </w:t>
      </w:r>
      <w:proofErr w:type="spellStart"/>
      <w:r>
        <w:t>Zainulabdeen</w:t>
      </w:r>
      <w:proofErr w:type="spellEnd"/>
      <w:r>
        <w:t xml:space="preserve">, K., </w:t>
      </w:r>
      <w:proofErr w:type="spellStart"/>
      <w:r>
        <w:t>Isoje</w:t>
      </w:r>
      <w:proofErr w:type="spellEnd"/>
      <w:r>
        <w:t>, E.</w:t>
      </w:r>
      <w:r>
        <w:rPr>
          <w:spacing w:val="-15"/>
        </w:rPr>
        <w:t xml:space="preserve"> </w:t>
      </w:r>
      <w:r>
        <w:t xml:space="preserve">F., </w:t>
      </w:r>
      <w:proofErr w:type="spellStart"/>
      <w:r>
        <w:t>Gaaz</w:t>
      </w:r>
      <w:proofErr w:type="spellEnd"/>
      <w:r>
        <w:t>, T.</w:t>
      </w:r>
      <w:r>
        <w:rPr>
          <w:spacing w:val="-15"/>
        </w:rPr>
        <w:t xml:space="preserve"> </w:t>
      </w:r>
      <w:r>
        <w:t>S., Jikah,</w:t>
      </w:r>
      <w:r>
        <w:rPr>
          <w:spacing w:val="-13"/>
        </w:rPr>
        <w:t xml:space="preserve"> </w:t>
      </w:r>
      <w:r>
        <w:t>A.</w:t>
      </w:r>
      <w:r>
        <w:rPr>
          <w:spacing w:val="-15"/>
        </w:rPr>
        <w:t xml:space="preserve"> </w:t>
      </w:r>
      <w:r>
        <w:t>N.,</w:t>
      </w:r>
      <w:r>
        <w:rPr>
          <w:spacing w:val="-10"/>
        </w:rPr>
        <w:t xml:space="preserve"> </w:t>
      </w:r>
      <w:proofErr w:type="spellStart"/>
      <w:r>
        <w:t>Akpoghelie</w:t>
      </w:r>
      <w:proofErr w:type="spellEnd"/>
      <w:r>
        <w:t>, P.</w:t>
      </w:r>
      <w:r>
        <w:rPr>
          <w:spacing w:val="-15"/>
        </w:rPr>
        <w:t xml:space="preserve"> </w:t>
      </w:r>
      <w:r>
        <w:t>O., and Umar, H. (2025). Phytochemical profile, therapeutic potentials, nutritional composition, and food applications of ginger: A comprehensive review. Discover Food, 5, Article 25. https://doi.org/10.1007/s44187‑025‑00280‑2</w:t>
      </w:r>
    </w:p>
    <w:p w14:paraId="6C4EA764" w14:textId="77777777" w:rsidR="00A02889" w:rsidRDefault="00000000">
      <w:pPr>
        <w:pStyle w:val="BodyText"/>
        <w:spacing w:before="200" w:line="276" w:lineRule="auto"/>
        <w:ind w:left="1505" w:right="719" w:hanging="785"/>
        <w:jc w:val="both"/>
      </w:pPr>
      <w:r>
        <w:t>Eisen G. (2001). The epidemiology of gastroesophageal reflux disease: what we know and what we need to know. Am J Gastroenterol. 2001 Aug;96(8 Suppl</w:t>
      </w:r>
      <w:proofErr w:type="gramStart"/>
      <w:r>
        <w:t>):S</w:t>
      </w:r>
      <w:proofErr w:type="gramEnd"/>
      <w:r>
        <w:t>16-8.</w:t>
      </w:r>
    </w:p>
    <w:p w14:paraId="2078A549" w14:textId="77777777" w:rsidR="00A02889" w:rsidRDefault="00000000">
      <w:pPr>
        <w:pStyle w:val="BodyText"/>
        <w:spacing w:before="200" w:line="276" w:lineRule="auto"/>
        <w:ind w:left="1505" w:right="717" w:hanging="785"/>
        <w:jc w:val="both"/>
      </w:pPr>
      <w:r>
        <w:t>El-Serag HB, Sweet S, Winchester CC, and Dent J. (2014). Update on the epidemiology of gastro-</w:t>
      </w:r>
      <w:proofErr w:type="spellStart"/>
      <w:r>
        <w:t>oesophageal</w:t>
      </w:r>
      <w:proofErr w:type="spellEnd"/>
      <w:r>
        <w:t xml:space="preserve"> reflux disease: a systematic review. Gut. 2014 Jun;63(6):871-80.</w:t>
      </w:r>
    </w:p>
    <w:p w14:paraId="4F69A208" w14:textId="77777777" w:rsidR="00A02889" w:rsidRDefault="00000000">
      <w:pPr>
        <w:pStyle w:val="BodyText"/>
        <w:spacing w:before="201" w:line="276" w:lineRule="auto"/>
        <w:ind w:left="1505" w:right="714" w:hanging="785"/>
        <w:jc w:val="both"/>
      </w:pPr>
      <w:r>
        <w:t xml:space="preserve">Engdal S, Klepp O, Nilsen O. G. (2009). Identification and exploration of herb-drug combinations used by cancer patients. </w:t>
      </w:r>
      <w:proofErr w:type="spellStart"/>
      <w:r>
        <w:t>Integr</w:t>
      </w:r>
      <w:proofErr w:type="spellEnd"/>
      <w:r>
        <w:t xml:space="preserve"> Cancer Ther.;8(1):29–36. [ PubMed: </w:t>
      </w:r>
      <w:r>
        <w:rPr>
          <w:spacing w:val="-2"/>
        </w:rPr>
        <w:t>19174505]</w:t>
      </w:r>
    </w:p>
    <w:p w14:paraId="2279F5CF" w14:textId="77777777" w:rsidR="00A02889" w:rsidRDefault="00000000">
      <w:pPr>
        <w:pStyle w:val="BodyText"/>
        <w:spacing w:before="200" w:line="276" w:lineRule="auto"/>
        <w:ind w:left="1505" w:right="715" w:hanging="785"/>
        <w:jc w:val="both"/>
      </w:pPr>
      <w:r>
        <w:t xml:space="preserve">Ernst E, and Schmidt K. (2002). Health risks over the Internet: Advice offered by ―medical herbalists‖ to a pregnant woman. Wien Med </w:t>
      </w:r>
      <w:proofErr w:type="spellStart"/>
      <w:r>
        <w:t>Wochenschr</w:t>
      </w:r>
      <w:proofErr w:type="spellEnd"/>
      <w:r>
        <w:t>. 2002;152(7-8):190–2. [ PubMed: 12017746]</w:t>
      </w:r>
    </w:p>
    <w:p w14:paraId="3BD7C511" w14:textId="77777777" w:rsidR="00A02889" w:rsidRDefault="00000000">
      <w:pPr>
        <w:pStyle w:val="BodyText"/>
        <w:spacing w:before="200" w:line="276" w:lineRule="auto"/>
        <w:ind w:left="1505" w:right="713" w:hanging="785"/>
        <w:jc w:val="both"/>
      </w:pPr>
      <w:proofErr w:type="spellStart"/>
      <w:r>
        <w:t>Ersedo</w:t>
      </w:r>
      <w:proofErr w:type="spellEnd"/>
      <w:r>
        <w:t>,</w:t>
      </w:r>
      <w:r>
        <w:rPr>
          <w:spacing w:val="-15"/>
        </w:rPr>
        <w:t xml:space="preserve"> </w:t>
      </w:r>
      <w:r>
        <w:t>T.</w:t>
      </w:r>
      <w:r>
        <w:rPr>
          <w:spacing w:val="-15"/>
        </w:rPr>
        <w:t xml:space="preserve"> </w:t>
      </w:r>
      <w:r>
        <w:t>L.,</w:t>
      </w:r>
      <w:r>
        <w:rPr>
          <w:spacing w:val="-15"/>
        </w:rPr>
        <w:t xml:space="preserve"> </w:t>
      </w:r>
      <w:r>
        <w:t>Teka,</w:t>
      </w:r>
      <w:r>
        <w:rPr>
          <w:spacing w:val="-15"/>
        </w:rPr>
        <w:t xml:space="preserve"> </w:t>
      </w:r>
      <w:r>
        <w:t>T.</w:t>
      </w:r>
      <w:r>
        <w:rPr>
          <w:spacing w:val="-15"/>
        </w:rPr>
        <w:t xml:space="preserve"> </w:t>
      </w:r>
      <w:r>
        <w:t>A.,</w:t>
      </w:r>
      <w:r>
        <w:rPr>
          <w:spacing w:val="-15"/>
        </w:rPr>
        <w:t xml:space="preserve"> </w:t>
      </w:r>
      <w:proofErr w:type="spellStart"/>
      <w:r>
        <w:t>Forsido</w:t>
      </w:r>
      <w:proofErr w:type="spellEnd"/>
      <w:r>
        <w:t>,</w:t>
      </w:r>
      <w:r>
        <w:rPr>
          <w:spacing w:val="-6"/>
        </w:rPr>
        <w:t xml:space="preserve"> </w:t>
      </w:r>
      <w:r>
        <w:t>S.</w:t>
      </w:r>
      <w:r>
        <w:rPr>
          <w:spacing w:val="-15"/>
        </w:rPr>
        <w:t xml:space="preserve"> </w:t>
      </w:r>
      <w:r>
        <w:t>F.,</w:t>
      </w:r>
      <w:r>
        <w:rPr>
          <w:spacing w:val="-7"/>
        </w:rPr>
        <w:t xml:space="preserve"> </w:t>
      </w:r>
      <w:proofErr w:type="spellStart"/>
      <w:r>
        <w:t>Dessalegn</w:t>
      </w:r>
      <w:proofErr w:type="spellEnd"/>
      <w:r>
        <w:t>,</w:t>
      </w:r>
      <w:r>
        <w:rPr>
          <w:spacing w:val="-7"/>
        </w:rPr>
        <w:t xml:space="preserve"> </w:t>
      </w:r>
      <w:r>
        <w:t>E.,</w:t>
      </w:r>
      <w:r>
        <w:rPr>
          <w:spacing w:val="-15"/>
        </w:rPr>
        <w:t xml:space="preserve"> </w:t>
      </w:r>
      <w:r>
        <w:t>Adebo,</w:t>
      </w:r>
      <w:r>
        <w:rPr>
          <w:spacing w:val="-7"/>
        </w:rPr>
        <w:t xml:space="preserve"> </w:t>
      </w:r>
      <w:r>
        <w:t>J.</w:t>
      </w:r>
      <w:r>
        <w:rPr>
          <w:spacing w:val="-15"/>
        </w:rPr>
        <w:t xml:space="preserve"> </w:t>
      </w:r>
      <w:r>
        <w:t>A.,</w:t>
      </w:r>
      <w:r>
        <w:rPr>
          <w:spacing w:val="-11"/>
        </w:rPr>
        <w:t xml:space="preserve"> </w:t>
      </w:r>
      <w:r>
        <w:t>Tamiru,</w:t>
      </w:r>
      <w:r>
        <w:rPr>
          <w:spacing w:val="-7"/>
        </w:rPr>
        <w:t xml:space="preserve"> </w:t>
      </w:r>
      <w:r>
        <w:t>M.,</w:t>
      </w:r>
      <w:r>
        <w:rPr>
          <w:spacing w:val="-3"/>
        </w:rPr>
        <w:t xml:space="preserve"> </w:t>
      </w:r>
      <w:r>
        <w:t>and</w:t>
      </w:r>
      <w:r>
        <w:rPr>
          <w:spacing w:val="-15"/>
        </w:rPr>
        <w:t xml:space="preserve"> </w:t>
      </w:r>
      <w:proofErr w:type="spellStart"/>
      <w:r>
        <w:t>Astatkie</w:t>
      </w:r>
      <w:proofErr w:type="spellEnd"/>
      <w:r>
        <w:t>,</w:t>
      </w:r>
      <w:r>
        <w:rPr>
          <w:spacing w:val="-11"/>
        </w:rPr>
        <w:t xml:space="preserve"> </w:t>
      </w:r>
      <w:r>
        <w:t>T. (2023).</w:t>
      </w:r>
      <w:r>
        <w:rPr>
          <w:spacing w:val="-2"/>
        </w:rPr>
        <w:t xml:space="preserve"> </w:t>
      </w:r>
      <w:r>
        <w:t>Food</w:t>
      </w:r>
      <w:r>
        <w:rPr>
          <w:spacing w:val="-1"/>
        </w:rPr>
        <w:t xml:space="preserve"> </w:t>
      </w:r>
      <w:r>
        <w:t>flavor</w:t>
      </w:r>
      <w:r>
        <w:rPr>
          <w:spacing w:val="-2"/>
        </w:rPr>
        <w:t xml:space="preserve"> </w:t>
      </w:r>
      <w:r>
        <w:t>enhancement,</w:t>
      </w:r>
      <w:r>
        <w:rPr>
          <w:spacing w:val="-1"/>
        </w:rPr>
        <w:t xml:space="preserve"> </w:t>
      </w:r>
      <w:r>
        <w:t>preservation,</w:t>
      </w:r>
      <w:r>
        <w:rPr>
          <w:spacing w:val="-1"/>
        </w:rPr>
        <w:t xml:space="preserve"> </w:t>
      </w:r>
      <w:r>
        <w:t>and</w:t>
      </w:r>
      <w:r>
        <w:rPr>
          <w:spacing w:val="-1"/>
        </w:rPr>
        <w:t xml:space="preserve"> </w:t>
      </w:r>
      <w:r>
        <w:t>bio‑functionality</w:t>
      </w:r>
      <w:r>
        <w:rPr>
          <w:spacing w:val="-6"/>
        </w:rPr>
        <w:t xml:space="preserve"> </w:t>
      </w:r>
      <w:r>
        <w:t>of</w:t>
      </w:r>
      <w:r>
        <w:rPr>
          <w:spacing w:val="-1"/>
        </w:rPr>
        <w:t xml:space="preserve"> </w:t>
      </w:r>
      <w:r>
        <w:t>ginger</w:t>
      </w:r>
      <w:r>
        <w:rPr>
          <w:spacing w:val="-2"/>
        </w:rPr>
        <w:t xml:space="preserve"> </w:t>
      </w:r>
      <w:r>
        <w:t xml:space="preserve">(Zingiber officinale): A review. International Journal of Food Properties, 26, 928‑951. </w:t>
      </w:r>
      <w:r>
        <w:rPr>
          <w:spacing w:val="-2"/>
        </w:rPr>
        <w:t>https://doi.org/10.1080/10942912.2023.2194576</w:t>
      </w:r>
    </w:p>
    <w:p w14:paraId="5FAFDFDC" w14:textId="77777777" w:rsidR="00A02889" w:rsidRDefault="00000000">
      <w:pPr>
        <w:pStyle w:val="BodyText"/>
        <w:tabs>
          <w:tab w:val="left" w:pos="4004"/>
          <w:tab w:val="left" w:pos="5454"/>
          <w:tab w:val="left" w:pos="7390"/>
          <w:tab w:val="left" w:pos="8647"/>
        </w:tabs>
        <w:spacing w:before="200" w:line="276" w:lineRule="auto"/>
        <w:ind w:left="1505" w:right="718" w:hanging="785"/>
        <w:jc w:val="both"/>
      </w:pPr>
      <w:r>
        <w:t>Feng, Z., Li, X., Wang, Y., Sun, Y., and</w:t>
      </w:r>
      <w:r>
        <w:rPr>
          <w:spacing w:val="-15"/>
        </w:rPr>
        <w:t xml:space="preserve"> </w:t>
      </w:r>
      <w:r>
        <w:t xml:space="preserve">Zhao, W. (2022). Pharmacological insights into ginger (Zingiber officinale) and its active compounds: A comprehensive review [Frontiers in </w:t>
      </w:r>
      <w:r>
        <w:rPr>
          <w:spacing w:val="-2"/>
        </w:rPr>
        <w:t>Pharmacology,</w:t>
      </w:r>
      <w:r>
        <w:tab/>
      </w:r>
      <w:r>
        <w:rPr>
          <w:spacing w:val="-4"/>
        </w:rPr>
        <w:t>13].</w:t>
      </w:r>
      <w:r>
        <w:tab/>
      </w:r>
      <w:r>
        <w:rPr>
          <w:spacing w:val="-2"/>
        </w:rPr>
        <w:t>Frontiers</w:t>
      </w:r>
      <w:r>
        <w:tab/>
      </w:r>
      <w:r>
        <w:rPr>
          <w:spacing w:val="-6"/>
        </w:rPr>
        <w:t>in</w:t>
      </w:r>
      <w:r>
        <w:tab/>
      </w:r>
      <w:r>
        <w:rPr>
          <w:spacing w:val="-2"/>
        </w:rPr>
        <w:t xml:space="preserve">Pharmacology. </w:t>
      </w:r>
      <w:hyperlink r:id="rId22">
        <w:r w:rsidR="00A02889">
          <w:rPr>
            <w:color w:val="0000FF"/>
            <w:spacing w:val="-2"/>
            <w:u w:val="single" w:color="0000FF"/>
          </w:rPr>
          <w:t>https://doi.org/10.3389/fphar.2022.962095</w:t>
        </w:r>
      </w:hyperlink>
    </w:p>
    <w:p w14:paraId="792BEE15" w14:textId="77777777" w:rsidR="00A02889" w:rsidRDefault="00A02889">
      <w:pPr>
        <w:pStyle w:val="BodyText"/>
        <w:spacing w:line="276" w:lineRule="auto"/>
        <w:jc w:val="both"/>
        <w:sectPr w:rsidR="00A02889">
          <w:pgSz w:w="12240" w:h="15840"/>
          <w:pgMar w:top="1360" w:right="720" w:bottom="1260" w:left="720" w:header="0" w:footer="1068" w:gutter="0"/>
          <w:cols w:space="720"/>
        </w:sectPr>
      </w:pPr>
    </w:p>
    <w:p w14:paraId="2559A2CD" w14:textId="77777777" w:rsidR="00A02889" w:rsidRDefault="00000000">
      <w:pPr>
        <w:pStyle w:val="BodyText"/>
        <w:spacing w:before="74" w:line="276" w:lineRule="auto"/>
        <w:ind w:left="720" w:right="703"/>
        <w:jc w:val="both"/>
      </w:pPr>
      <w:proofErr w:type="spellStart"/>
      <w:r>
        <w:lastRenderedPageBreak/>
        <w:t>Fidson</w:t>
      </w:r>
      <w:proofErr w:type="spellEnd"/>
      <w:r>
        <w:t xml:space="preserve"> Healthcare Plc. (2022, September</w:t>
      </w:r>
      <w:r>
        <w:rPr>
          <w:spacing w:val="-14"/>
        </w:rPr>
        <w:t xml:space="preserve"> </w:t>
      </w:r>
      <w:r>
        <w:t>27). Mist</w:t>
      </w:r>
      <w:r>
        <w:rPr>
          <w:spacing w:val="-14"/>
        </w:rPr>
        <w:t xml:space="preserve"> </w:t>
      </w:r>
      <w:r>
        <w:t>Magnesium</w:t>
      </w:r>
      <w:r>
        <w:rPr>
          <w:spacing w:val="-12"/>
        </w:rPr>
        <w:t xml:space="preserve"> </w:t>
      </w:r>
      <w:r>
        <w:t>Trisilicate</w:t>
      </w:r>
      <w:r>
        <w:rPr>
          <w:spacing w:val="-14"/>
        </w:rPr>
        <w:t xml:space="preserve"> </w:t>
      </w:r>
      <w:r>
        <w:t>Suspension</w:t>
      </w:r>
      <w:r>
        <w:rPr>
          <w:spacing w:val="40"/>
        </w:rPr>
        <w:t xml:space="preserve"> </w:t>
      </w:r>
      <w:r>
        <w:t xml:space="preserve">– PIL [Leaflet]. </w:t>
      </w:r>
      <w:hyperlink r:id="rId23">
        <w:r w:rsidR="00A02889">
          <w:rPr>
            <w:color w:val="0000FF"/>
            <w:u w:val="single" w:color="0000FF"/>
          </w:rPr>
          <w:t>https://www.fidson.com/product/mist-magnesium-trisilicate-suspension-pil/</w:t>
        </w:r>
      </w:hyperlink>
    </w:p>
    <w:p w14:paraId="7AC76005" w14:textId="77777777" w:rsidR="00A02889" w:rsidRDefault="00000000">
      <w:pPr>
        <w:pStyle w:val="BodyText"/>
        <w:spacing w:before="201" w:line="276" w:lineRule="auto"/>
        <w:ind w:left="1505" w:right="715" w:hanging="785"/>
        <w:jc w:val="both"/>
      </w:pPr>
      <w:r>
        <w:t>Galkin,</w:t>
      </w:r>
      <w:r>
        <w:rPr>
          <w:spacing w:val="-13"/>
        </w:rPr>
        <w:t xml:space="preserve"> </w:t>
      </w:r>
      <w:r>
        <w:t xml:space="preserve">A., </w:t>
      </w:r>
      <w:proofErr w:type="spellStart"/>
      <w:r>
        <w:t>Gorchakova</w:t>
      </w:r>
      <w:proofErr w:type="spellEnd"/>
      <w:r>
        <w:t xml:space="preserve">, N., Zaychenko, G., </w:t>
      </w:r>
      <w:proofErr w:type="spellStart"/>
      <w:r>
        <w:t>Golembiovska</w:t>
      </w:r>
      <w:proofErr w:type="spellEnd"/>
      <w:r>
        <w:t xml:space="preserve">, O., Bondarenko, L., Dmytrenko, O., and </w:t>
      </w:r>
      <w:proofErr w:type="spellStart"/>
      <w:r>
        <w:t>Arkhypova</w:t>
      </w:r>
      <w:proofErr w:type="spellEnd"/>
      <w:r>
        <w:t>, M. (2024). Efficiency and safety issues of modern multi-component herbal medicines [Electronic resource]. Igor Sikorsky Kyiv Polytechnic Institute; Bogomolets National Medical University. https://ela.kpi.ua/items/5dd9583b-d225-4c65- 8d31-250a8eb13553. ISBN 978-966-990-104-0. (264 p.)</w:t>
      </w:r>
    </w:p>
    <w:p w14:paraId="4DBB9FF1" w14:textId="77777777" w:rsidR="00A02889" w:rsidRDefault="00000000">
      <w:pPr>
        <w:pStyle w:val="BodyText"/>
        <w:spacing w:before="199" w:line="276" w:lineRule="auto"/>
        <w:ind w:left="720" w:right="716"/>
        <w:jc w:val="both"/>
      </w:pPr>
      <w:r>
        <w:t>Garber, D., and Smith, J.</w:t>
      </w:r>
      <w:r>
        <w:rPr>
          <w:spacing w:val="-15"/>
        </w:rPr>
        <w:t xml:space="preserve"> </w:t>
      </w:r>
      <w:r>
        <w:t>K. (2022). Antacids and acid‑base regulation (Chapter</w:t>
      </w:r>
      <w:r>
        <w:rPr>
          <w:spacing w:val="-15"/>
        </w:rPr>
        <w:t xml:space="preserve"> </w:t>
      </w:r>
      <w:r>
        <w:t>16). In F.</w:t>
      </w:r>
      <w:r>
        <w:rPr>
          <w:spacing w:val="-15"/>
        </w:rPr>
        <w:t xml:space="preserve"> </w:t>
      </w:r>
      <w:r>
        <w:t>M. Henderson</w:t>
      </w:r>
      <w:r>
        <w:rPr>
          <w:spacing w:val="40"/>
        </w:rPr>
        <w:t xml:space="preserve"> </w:t>
      </w:r>
      <w:r>
        <w:t>and</w:t>
      </w:r>
      <w:r>
        <w:rPr>
          <w:spacing w:val="40"/>
        </w:rPr>
        <w:t xml:space="preserve"> </w:t>
      </w:r>
      <w:r>
        <w:t>P.</w:t>
      </w:r>
      <w:r>
        <w:rPr>
          <w:spacing w:val="-13"/>
        </w:rPr>
        <w:t xml:space="preserve"> </w:t>
      </w:r>
      <w:r>
        <w:t>L.</w:t>
      </w:r>
      <w:r>
        <w:rPr>
          <w:spacing w:val="40"/>
        </w:rPr>
        <w:t xml:space="preserve"> </w:t>
      </w:r>
      <w:r>
        <w:t>Wright</w:t>
      </w:r>
      <w:r>
        <w:rPr>
          <w:spacing w:val="40"/>
        </w:rPr>
        <w:t xml:space="preserve"> </w:t>
      </w:r>
      <w:r>
        <w:t>(Eds.),</w:t>
      </w:r>
      <w:r>
        <w:rPr>
          <w:spacing w:val="40"/>
        </w:rPr>
        <w:t xml:space="preserve"> </w:t>
      </w:r>
      <w:r>
        <w:t>Pharmacology</w:t>
      </w:r>
      <w:r>
        <w:rPr>
          <w:spacing w:val="40"/>
        </w:rPr>
        <w:t xml:space="preserve"> </w:t>
      </w:r>
      <w:r>
        <w:t>and</w:t>
      </w:r>
      <w:r>
        <w:rPr>
          <w:spacing w:val="40"/>
        </w:rPr>
        <w:t xml:space="preserve"> </w:t>
      </w:r>
      <w:r>
        <w:t>therapeutics</w:t>
      </w:r>
      <w:r>
        <w:rPr>
          <w:spacing w:val="40"/>
        </w:rPr>
        <w:t xml:space="preserve"> </w:t>
      </w:r>
      <w:r>
        <w:t>of</w:t>
      </w:r>
      <w:r>
        <w:rPr>
          <w:spacing w:val="40"/>
        </w:rPr>
        <w:t xml:space="preserve"> </w:t>
      </w:r>
      <w:r>
        <w:t>gastrointestinal</w:t>
      </w:r>
      <w:r>
        <w:rPr>
          <w:spacing w:val="40"/>
        </w:rPr>
        <w:t xml:space="preserve"> </w:t>
      </w:r>
      <w:r>
        <w:t xml:space="preserve">drugs (1st ed., pp. 345‑362). Wiley. </w:t>
      </w:r>
      <w:hyperlink r:id="rId24">
        <w:r w:rsidR="00A02889">
          <w:rPr>
            <w:color w:val="0000FF"/>
            <w:u w:val="single" w:color="0000FF"/>
          </w:rPr>
          <w:t>https://doi.org/10.1002/9781394323289.ch16</w:t>
        </w:r>
      </w:hyperlink>
    </w:p>
    <w:p w14:paraId="31F3D1C5" w14:textId="77777777" w:rsidR="00A02889" w:rsidRDefault="00000000">
      <w:pPr>
        <w:pStyle w:val="BodyText"/>
        <w:spacing w:before="200" w:line="276" w:lineRule="auto"/>
        <w:ind w:left="1505" w:right="717" w:hanging="785"/>
        <w:jc w:val="both"/>
      </w:pPr>
      <w:r>
        <w:t>García-NG, N., Sánchez-</w:t>
      </w:r>
      <w:proofErr w:type="spellStart"/>
      <w:r>
        <w:t>Monedero</w:t>
      </w:r>
      <w:proofErr w:type="spellEnd"/>
      <w:r>
        <w:t>, M. A., and Flores-Córdoba, C. (2022). Straightforward sample</w:t>
      </w:r>
      <w:r>
        <w:rPr>
          <w:spacing w:val="-4"/>
        </w:rPr>
        <w:t xml:space="preserve"> </w:t>
      </w:r>
      <w:r>
        <w:t>preparation</w:t>
      </w:r>
      <w:r>
        <w:rPr>
          <w:spacing w:val="-3"/>
        </w:rPr>
        <w:t xml:space="preserve"> </w:t>
      </w:r>
      <w:r>
        <w:t>method</w:t>
      </w:r>
      <w:r>
        <w:rPr>
          <w:spacing w:val="-3"/>
        </w:rPr>
        <w:t xml:space="preserve"> </w:t>
      </w:r>
      <w:r>
        <w:t>for</w:t>
      </w:r>
      <w:r>
        <w:rPr>
          <w:spacing w:val="-3"/>
        </w:rPr>
        <w:t xml:space="preserve"> </w:t>
      </w:r>
      <w:r>
        <w:t>the</w:t>
      </w:r>
      <w:r>
        <w:rPr>
          <w:spacing w:val="-2"/>
        </w:rPr>
        <w:t xml:space="preserve"> </w:t>
      </w:r>
      <w:r>
        <w:t>analysis</w:t>
      </w:r>
      <w:r>
        <w:rPr>
          <w:spacing w:val="-3"/>
        </w:rPr>
        <w:t xml:space="preserve"> </w:t>
      </w:r>
      <w:r>
        <w:t>of</w:t>
      </w:r>
      <w:r>
        <w:rPr>
          <w:spacing w:val="-3"/>
        </w:rPr>
        <w:t xml:space="preserve"> </w:t>
      </w:r>
      <w:r>
        <w:t>trace</w:t>
      </w:r>
      <w:r>
        <w:rPr>
          <w:spacing w:val="-4"/>
        </w:rPr>
        <w:t xml:space="preserve"> </w:t>
      </w:r>
      <w:r>
        <w:t>pesticide</w:t>
      </w:r>
      <w:r>
        <w:rPr>
          <w:spacing w:val="-3"/>
        </w:rPr>
        <w:t xml:space="preserve"> </w:t>
      </w:r>
      <w:r>
        <w:t>residues</w:t>
      </w:r>
      <w:r>
        <w:rPr>
          <w:spacing w:val="-4"/>
        </w:rPr>
        <w:t xml:space="preserve"> </w:t>
      </w:r>
      <w:r>
        <w:t>in</w:t>
      </w:r>
      <w:r>
        <w:rPr>
          <w:spacing w:val="-1"/>
        </w:rPr>
        <w:t xml:space="preserve"> </w:t>
      </w:r>
      <w:r>
        <w:t>ginger</w:t>
      </w:r>
      <w:r>
        <w:rPr>
          <w:spacing w:val="-3"/>
        </w:rPr>
        <w:t xml:space="preserve"> </w:t>
      </w:r>
      <w:r>
        <w:t xml:space="preserve">(Zingiber officinale </w:t>
      </w:r>
      <w:proofErr w:type="spellStart"/>
      <w:r>
        <w:t>Rosc</w:t>
      </w:r>
      <w:proofErr w:type="spellEnd"/>
      <w:r>
        <w:t xml:space="preserve">.) based on an </w:t>
      </w:r>
      <w:proofErr w:type="spellStart"/>
      <w:r>
        <w:t>aluminium</w:t>
      </w:r>
      <w:proofErr w:type="spellEnd"/>
      <w:r>
        <w:t xml:space="preserve"> sulphate-based clean-up. Food Chemistry, 390, 133319. </w:t>
      </w:r>
      <w:hyperlink r:id="rId25">
        <w:r w:rsidR="00A02889">
          <w:rPr>
            <w:color w:val="0000FF"/>
            <w:u w:val="single" w:color="0000FF"/>
          </w:rPr>
          <w:t>https://doi.org/10.1016/j.foodchem.2022.133319</w:t>
        </w:r>
      </w:hyperlink>
    </w:p>
    <w:p w14:paraId="71C337A6" w14:textId="77777777" w:rsidR="00A02889" w:rsidRDefault="00000000">
      <w:pPr>
        <w:pStyle w:val="BodyText"/>
        <w:spacing w:before="202" w:line="276" w:lineRule="auto"/>
        <w:ind w:left="1505" w:right="715" w:hanging="785"/>
        <w:jc w:val="both"/>
      </w:pPr>
      <w:r>
        <w:t>Garg, S., Patel, N., and Sharma, P. (2022). Comparative evaluation of acid-neutralizing capacity of antacid formulations. International Journal of Pharmaceutical Sciences Review and Research, 75(2), 56–61.</w:t>
      </w:r>
    </w:p>
    <w:p w14:paraId="693AC746" w14:textId="77777777" w:rsidR="00A02889" w:rsidRDefault="00000000">
      <w:pPr>
        <w:spacing w:before="200" w:line="276" w:lineRule="auto"/>
        <w:ind w:left="1505" w:right="718" w:hanging="785"/>
        <w:jc w:val="both"/>
        <w:rPr>
          <w:sz w:val="24"/>
        </w:rPr>
      </w:pPr>
      <w:r>
        <w:rPr>
          <w:sz w:val="24"/>
        </w:rPr>
        <w:t xml:space="preserve">Garg, V., Narang, P., and Taneja, R. (2022). Antacids revisited: Review on contemporary facts and relevance for self-management. </w:t>
      </w:r>
      <w:r>
        <w:rPr>
          <w:i/>
          <w:sz w:val="24"/>
        </w:rPr>
        <w:t>Journal of International Medical Research, 50</w:t>
      </w:r>
      <w:r>
        <w:rPr>
          <w:sz w:val="24"/>
        </w:rPr>
        <w:t xml:space="preserve">(3), </w:t>
      </w:r>
      <w:r>
        <w:rPr>
          <w:spacing w:val="-2"/>
          <w:sz w:val="24"/>
        </w:rPr>
        <w:t>03000605221086457.</w:t>
      </w:r>
    </w:p>
    <w:p w14:paraId="0EFBBEE5" w14:textId="77777777" w:rsidR="00A02889" w:rsidRDefault="00A02889">
      <w:pPr>
        <w:pStyle w:val="BodyText"/>
        <w:spacing w:before="3"/>
      </w:pPr>
    </w:p>
    <w:p w14:paraId="6AD71155" w14:textId="77777777" w:rsidR="00A02889" w:rsidRDefault="00000000">
      <w:pPr>
        <w:tabs>
          <w:tab w:val="left" w:pos="4172"/>
          <w:tab w:val="left" w:pos="6684"/>
          <w:tab w:val="left" w:pos="9517"/>
        </w:tabs>
        <w:spacing w:line="276" w:lineRule="auto"/>
        <w:ind w:left="1505" w:right="714" w:hanging="785"/>
        <w:jc w:val="both"/>
        <w:rPr>
          <w:sz w:val="24"/>
        </w:rPr>
      </w:pPr>
      <w:proofErr w:type="spellStart"/>
      <w:r>
        <w:rPr>
          <w:sz w:val="24"/>
        </w:rPr>
        <w:t>Gatt</w:t>
      </w:r>
      <w:proofErr w:type="spellEnd"/>
      <w:r>
        <w:rPr>
          <w:sz w:val="24"/>
        </w:rPr>
        <w:t xml:space="preserve">, C., Wallace, T., and </w:t>
      </w:r>
      <w:proofErr w:type="spellStart"/>
      <w:r>
        <w:rPr>
          <w:sz w:val="24"/>
        </w:rPr>
        <w:t>Onyekwe</w:t>
      </w:r>
      <w:proofErr w:type="spellEnd"/>
      <w:r>
        <w:rPr>
          <w:sz w:val="24"/>
        </w:rPr>
        <w:t xml:space="preserve">, J. (2024). </w:t>
      </w:r>
      <w:r>
        <w:rPr>
          <w:i/>
          <w:sz w:val="24"/>
        </w:rPr>
        <w:t>Consumer Health Behavior and Self-Medication Patterns</w:t>
      </w:r>
      <w:r>
        <w:rPr>
          <w:i/>
          <w:spacing w:val="80"/>
          <w:w w:val="150"/>
          <w:sz w:val="24"/>
        </w:rPr>
        <w:t xml:space="preserve"> </w:t>
      </w:r>
      <w:r>
        <w:rPr>
          <w:i/>
          <w:sz w:val="24"/>
        </w:rPr>
        <w:t>in</w:t>
      </w:r>
      <w:r>
        <w:rPr>
          <w:i/>
          <w:spacing w:val="80"/>
          <w:w w:val="150"/>
          <w:sz w:val="24"/>
        </w:rPr>
        <w:t xml:space="preserve"> </w:t>
      </w:r>
      <w:r>
        <w:rPr>
          <w:i/>
          <w:sz w:val="24"/>
        </w:rPr>
        <w:t>Developing</w:t>
      </w:r>
      <w:r>
        <w:rPr>
          <w:i/>
          <w:spacing w:val="80"/>
          <w:w w:val="150"/>
          <w:sz w:val="24"/>
        </w:rPr>
        <w:t xml:space="preserve"> </w:t>
      </w:r>
      <w:r>
        <w:rPr>
          <w:i/>
          <w:sz w:val="24"/>
        </w:rPr>
        <w:t>Countries.</w:t>
      </w:r>
      <w:r>
        <w:rPr>
          <w:i/>
          <w:spacing w:val="80"/>
          <w:w w:val="150"/>
          <w:sz w:val="24"/>
        </w:rPr>
        <w:t xml:space="preserve"> </w:t>
      </w:r>
      <w:r>
        <w:rPr>
          <w:sz w:val="24"/>
        </w:rPr>
        <w:t>Global</w:t>
      </w:r>
      <w:r>
        <w:rPr>
          <w:spacing w:val="80"/>
          <w:w w:val="150"/>
          <w:sz w:val="24"/>
        </w:rPr>
        <w:t xml:space="preserve"> </w:t>
      </w:r>
      <w:r>
        <w:rPr>
          <w:sz w:val="24"/>
        </w:rPr>
        <w:t>Health</w:t>
      </w:r>
      <w:r>
        <w:rPr>
          <w:spacing w:val="80"/>
          <w:w w:val="150"/>
          <w:sz w:val="24"/>
        </w:rPr>
        <w:t xml:space="preserve"> </w:t>
      </w:r>
      <w:r>
        <w:rPr>
          <w:sz w:val="24"/>
        </w:rPr>
        <w:t>Review,</w:t>
      </w:r>
      <w:r>
        <w:rPr>
          <w:spacing w:val="80"/>
          <w:w w:val="150"/>
          <w:sz w:val="24"/>
        </w:rPr>
        <w:t xml:space="preserve"> </w:t>
      </w:r>
      <w:r>
        <w:rPr>
          <w:sz w:val="24"/>
        </w:rPr>
        <w:t>9(1),</w:t>
      </w:r>
      <w:r>
        <w:rPr>
          <w:spacing w:val="80"/>
          <w:w w:val="150"/>
          <w:sz w:val="24"/>
        </w:rPr>
        <w:t xml:space="preserve"> </w:t>
      </w:r>
      <w:r>
        <w:rPr>
          <w:sz w:val="24"/>
        </w:rPr>
        <w:t xml:space="preserve">33–44. Salisbury, M. and Terrell, R. (2023). </w:t>
      </w:r>
      <w:r>
        <w:rPr>
          <w:i/>
          <w:sz w:val="24"/>
        </w:rPr>
        <w:t>Antacid Therapy: Mechanisms, Safety, and</w:t>
      </w:r>
      <w:r>
        <w:rPr>
          <w:i/>
          <w:spacing w:val="40"/>
          <w:sz w:val="24"/>
        </w:rPr>
        <w:t xml:space="preserve"> </w:t>
      </w:r>
      <w:r>
        <w:rPr>
          <w:i/>
          <w:spacing w:val="-2"/>
          <w:sz w:val="24"/>
        </w:rPr>
        <w:t>Efficacy.</w:t>
      </w:r>
      <w:r>
        <w:rPr>
          <w:i/>
          <w:sz w:val="24"/>
        </w:rPr>
        <w:tab/>
      </w:r>
      <w:r>
        <w:rPr>
          <w:spacing w:val="-2"/>
          <w:sz w:val="24"/>
        </w:rPr>
        <w:t>Oxford</w:t>
      </w:r>
      <w:r>
        <w:rPr>
          <w:sz w:val="24"/>
        </w:rPr>
        <w:tab/>
      </w:r>
      <w:r>
        <w:rPr>
          <w:spacing w:val="-2"/>
          <w:sz w:val="24"/>
        </w:rPr>
        <w:t>University</w:t>
      </w:r>
      <w:r>
        <w:rPr>
          <w:sz w:val="24"/>
        </w:rPr>
        <w:tab/>
      </w:r>
      <w:r>
        <w:rPr>
          <w:spacing w:val="-2"/>
          <w:sz w:val="24"/>
        </w:rPr>
        <w:t>Press.</w:t>
      </w:r>
    </w:p>
    <w:p w14:paraId="57C0E848" w14:textId="77777777" w:rsidR="00A02889" w:rsidRDefault="00A02889">
      <w:pPr>
        <w:pStyle w:val="BodyText"/>
      </w:pPr>
    </w:p>
    <w:p w14:paraId="1E9BFC7B" w14:textId="77777777" w:rsidR="00A02889" w:rsidRDefault="00A02889">
      <w:pPr>
        <w:pStyle w:val="BodyText"/>
        <w:spacing w:before="46"/>
      </w:pPr>
    </w:p>
    <w:p w14:paraId="6131CADB" w14:textId="77777777" w:rsidR="00A02889" w:rsidRDefault="00000000">
      <w:pPr>
        <w:pStyle w:val="BodyText"/>
        <w:spacing w:line="276" w:lineRule="auto"/>
        <w:ind w:left="720" w:right="723"/>
        <w:jc w:val="both"/>
      </w:pPr>
      <w:r>
        <w:t>Gökmen,</w:t>
      </w:r>
      <w:r>
        <w:rPr>
          <w:spacing w:val="-15"/>
        </w:rPr>
        <w:t xml:space="preserve"> </w:t>
      </w:r>
      <w:r>
        <w:t>S., and</w:t>
      </w:r>
      <w:r>
        <w:rPr>
          <w:spacing w:val="-15"/>
        </w:rPr>
        <w:t xml:space="preserve"> </w:t>
      </w:r>
      <w:r>
        <w:t>Gül,</w:t>
      </w:r>
      <w:r>
        <w:rPr>
          <w:spacing w:val="-15"/>
        </w:rPr>
        <w:t xml:space="preserve"> </w:t>
      </w:r>
      <w:r>
        <w:t xml:space="preserve">B. (2023). Aluminum and toxicity. Veterinary Journal of </w:t>
      </w:r>
      <w:proofErr w:type="spellStart"/>
      <w:r>
        <w:t>Kocatepe</w:t>
      </w:r>
      <w:proofErr w:type="spellEnd"/>
      <w:r>
        <w:t xml:space="preserve"> University (Vet J KU), 2(1), 52‑64. </w:t>
      </w:r>
      <w:hyperlink r:id="rId26">
        <w:r w:rsidR="00A02889">
          <w:rPr>
            <w:color w:val="0000FF"/>
            <w:u w:val="single" w:color="0000FF"/>
          </w:rPr>
          <w:t>https://doi.org/10.46409/vetjku.2023.701</w:t>
        </w:r>
      </w:hyperlink>
    </w:p>
    <w:p w14:paraId="4E401B09" w14:textId="77777777" w:rsidR="00A02889" w:rsidRDefault="00000000">
      <w:pPr>
        <w:pStyle w:val="BodyText"/>
        <w:spacing w:before="201" w:line="276" w:lineRule="auto"/>
        <w:ind w:left="1505" w:right="718" w:hanging="785"/>
        <w:jc w:val="both"/>
      </w:pPr>
      <w:r>
        <w:t xml:space="preserve">Goodman, L. S., Brunton, L. L., Hilal-Dandan, R., and </w:t>
      </w:r>
      <w:proofErr w:type="spellStart"/>
      <w:r>
        <w:t>Knollmann</w:t>
      </w:r>
      <w:proofErr w:type="spellEnd"/>
      <w:r>
        <w:t xml:space="preserve">, B. C. (2018). Goodman and </w:t>
      </w:r>
      <w:proofErr w:type="gramStart"/>
      <w:r>
        <w:t>Gilman‘</w:t>
      </w:r>
      <w:proofErr w:type="gramEnd"/>
      <w:r>
        <w:t>s:</w:t>
      </w:r>
      <w:r>
        <w:rPr>
          <w:spacing w:val="-10"/>
        </w:rPr>
        <w:t xml:space="preserve"> </w:t>
      </w:r>
      <w:r>
        <w:t>The</w:t>
      </w:r>
      <w:r>
        <w:rPr>
          <w:spacing w:val="-5"/>
        </w:rPr>
        <w:t xml:space="preserve"> </w:t>
      </w:r>
      <w:r>
        <w:t>pharmacological</w:t>
      </w:r>
      <w:r>
        <w:rPr>
          <w:spacing w:val="-2"/>
        </w:rPr>
        <w:t xml:space="preserve"> </w:t>
      </w:r>
      <w:r>
        <w:t>basis</w:t>
      </w:r>
      <w:r>
        <w:rPr>
          <w:spacing w:val="-4"/>
        </w:rPr>
        <w:t xml:space="preserve"> </w:t>
      </w:r>
      <w:r>
        <w:t>of</w:t>
      </w:r>
      <w:r>
        <w:rPr>
          <w:spacing w:val="-3"/>
        </w:rPr>
        <w:t xml:space="preserve"> </w:t>
      </w:r>
      <w:r>
        <w:t>therapeutics</w:t>
      </w:r>
      <w:r>
        <w:rPr>
          <w:spacing w:val="-3"/>
        </w:rPr>
        <w:t xml:space="preserve"> </w:t>
      </w:r>
      <w:r>
        <w:t>(13th</w:t>
      </w:r>
      <w:r>
        <w:rPr>
          <w:spacing w:val="-3"/>
        </w:rPr>
        <w:t xml:space="preserve"> </w:t>
      </w:r>
      <w:r>
        <w:t>ed.).</w:t>
      </w:r>
      <w:r>
        <w:rPr>
          <w:spacing w:val="-3"/>
        </w:rPr>
        <w:t xml:space="preserve"> </w:t>
      </w:r>
      <w:r>
        <w:t>McGraw-Hill</w:t>
      </w:r>
      <w:r>
        <w:rPr>
          <w:spacing w:val="-2"/>
        </w:rPr>
        <w:t xml:space="preserve"> Education.</w:t>
      </w:r>
    </w:p>
    <w:p w14:paraId="0C59FC31" w14:textId="77777777" w:rsidR="00A02889" w:rsidRDefault="00000000">
      <w:pPr>
        <w:pStyle w:val="BodyText"/>
        <w:spacing w:before="200" w:line="276" w:lineRule="auto"/>
        <w:ind w:left="720" w:right="720"/>
        <w:jc w:val="both"/>
      </w:pPr>
      <w:r>
        <w:t>Hamid,</w:t>
      </w:r>
      <w:r>
        <w:rPr>
          <w:spacing w:val="-2"/>
        </w:rPr>
        <w:t xml:space="preserve"> </w:t>
      </w:r>
      <w:r>
        <w:t>A.</w:t>
      </w:r>
      <w:r>
        <w:rPr>
          <w:spacing w:val="-14"/>
        </w:rPr>
        <w:t xml:space="preserve"> </w:t>
      </w:r>
      <w:r>
        <w:t xml:space="preserve">K. (2024). Phosphate as a nexus of multi‑system sequelae in crystalline acute kidney injury (Doctoral dissertation). University of Zurich. </w:t>
      </w:r>
      <w:hyperlink r:id="rId27">
        <w:r w:rsidR="00A02889">
          <w:rPr>
            <w:color w:val="0000FF"/>
            <w:u w:val="single" w:color="0000FF"/>
          </w:rPr>
          <w:t>https://doi.org/10.5167/uzh-261305</w:t>
        </w:r>
      </w:hyperlink>
    </w:p>
    <w:p w14:paraId="732CA80F" w14:textId="77777777" w:rsidR="00A02889" w:rsidRDefault="00000000">
      <w:pPr>
        <w:pStyle w:val="BodyText"/>
        <w:spacing w:before="199" w:line="276" w:lineRule="auto"/>
        <w:ind w:left="1505" w:right="719" w:hanging="725"/>
        <w:jc w:val="both"/>
      </w:pPr>
      <w:r>
        <w:t>Hassan, A.</w:t>
      </w:r>
      <w:r>
        <w:rPr>
          <w:spacing w:val="-14"/>
        </w:rPr>
        <w:t xml:space="preserve"> </w:t>
      </w:r>
      <w:r>
        <w:t>M., and</w:t>
      </w:r>
      <w:r>
        <w:rPr>
          <w:spacing w:val="-14"/>
        </w:rPr>
        <w:t xml:space="preserve"> </w:t>
      </w:r>
      <w:r>
        <w:t>Momoh, M.</w:t>
      </w:r>
      <w:r>
        <w:rPr>
          <w:spacing w:val="-14"/>
        </w:rPr>
        <w:t xml:space="preserve"> </w:t>
      </w:r>
      <w:r>
        <w:t>K. (2021). Determination of the effectiveness and acid neutralization capacities (ANC) of some commercial antacid tablets.</w:t>
      </w:r>
      <w:r>
        <w:rPr>
          <w:spacing w:val="-11"/>
        </w:rPr>
        <w:t xml:space="preserve"> </w:t>
      </w:r>
      <w:r>
        <w:t xml:space="preserve">IRE Journals, 5(1). </w:t>
      </w:r>
      <w:r>
        <w:rPr>
          <w:spacing w:val="-2"/>
        </w:rPr>
        <w:t>https://doi.org/10.30574/irejournals.2021.5.1.0159</w:t>
      </w:r>
    </w:p>
    <w:p w14:paraId="13383380" w14:textId="77777777" w:rsidR="00A02889" w:rsidRDefault="00A02889">
      <w:pPr>
        <w:pStyle w:val="BodyText"/>
        <w:spacing w:line="276" w:lineRule="auto"/>
        <w:jc w:val="both"/>
        <w:sectPr w:rsidR="00A02889">
          <w:pgSz w:w="12240" w:h="15840"/>
          <w:pgMar w:top="1360" w:right="720" w:bottom="1260" w:left="720" w:header="0" w:footer="1068" w:gutter="0"/>
          <w:cols w:space="720"/>
        </w:sectPr>
      </w:pPr>
    </w:p>
    <w:p w14:paraId="6E1C6647" w14:textId="77777777" w:rsidR="00A02889" w:rsidRDefault="00000000">
      <w:pPr>
        <w:pStyle w:val="BodyText"/>
        <w:spacing w:before="74" w:line="276" w:lineRule="auto"/>
        <w:ind w:left="1505" w:hanging="785"/>
      </w:pPr>
      <w:r>
        <w:lastRenderedPageBreak/>
        <w:t>He P, Zou Y, Hu</w:t>
      </w:r>
      <w:r>
        <w:rPr>
          <w:spacing w:val="23"/>
        </w:rPr>
        <w:t xml:space="preserve"> </w:t>
      </w:r>
      <w:r>
        <w:t>Z.</w:t>
      </w:r>
      <w:r>
        <w:rPr>
          <w:spacing w:val="22"/>
        </w:rPr>
        <w:t xml:space="preserve"> </w:t>
      </w:r>
      <w:r>
        <w:t>(2015). Advances in</w:t>
      </w:r>
      <w:r>
        <w:rPr>
          <w:spacing w:val="22"/>
        </w:rPr>
        <w:t xml:space="preserve"> </w:t>
      </w:r>
      <w:r>
        <w:t>aluminum</w:t>
      </w:r>
      <w:r>
        <w:rPr>
          <w:spacing w:val="22"/>
        </w:rPr>
        <w:t xml:space="preserve"> </w:t>
      </w:r>
      <w:r>
        <w:t>hydroxide-based adjuvant research</w:t>
      </w:r>
      <w:r>
        <w:rPr>
          <w:spacing w:val="23"/>
        </w:rPr>
        <w:t xml:space="preserve"> </w:t>
      </w:r>
      <w:r>
        <w:t xml:space="preserve">and its mechanism. Hum </w:t>
      </w:r>
      <w:proofErr w:type="spellStart"/>
      <w:r>
        <w:t>Vaccin</w:t>
      </w:r>
      <w:proofErr w:type="spellEnd"/>
      <w:r>
        <w:t xml:space="preserve"> </w:t>
      </w:r>
      <w:proofErr w:type="spellStart"/>
      <w:r>
        <w:t>Immunother</w:t>
      </w:r>
      <w:proofErr w:type="spellEnd"/>
      <w:r>
        <w:t>. 2015;11(2):477-88.</w:t>
      </w:r>
    </w:p>
    <w:p w14:paraId="528C9526" w14:textId="77777777" w:rsidR="00A02889" w:rsidRDefault="00000000">
      <w:pPr>
        <w:pStyle w:val="BodyText"/>
        <w:spacing w:before="201"/>
        <w:ind w:left="720"/>
      </w:pPr>
      <w:proofErr w:type="spellStart"/>
      <w:r>
        <w:t>Herdiana</w:t>
      </w:r>
      <w:proofErr w:type="spellEnd"/>
      <w:r>
        <w:rPr>
          <w:spacing w:val="35"/>
        </w:rPr>
        <w:t xml:space="preserve"> </w:t>
      </w:r>
      <w:r>
        <w:t>Y.</w:t>
      </w:r>
      <w:r>
        <w:rPr>
          <w:spacing w:val="49"/>
        </w:rPr>
        <w:t xml:space="preserve"> </w:t>
      </w:r>
      <w:r>
        <w:t>(2023).</w:t>
      </w:r>
      <w:r>
        <w:rPr>
          <w:spacing w:val="47"/>
        </w:rPr>
        <w:t xml:space="preserve"> </w:t>
      </w:r>
      <w:r>
        <w:t>Functional</w:t>
      </w:r>
      <w:r>
        <w:rPr>
          <w:spacing w:val="46"/>
        </w:rPr>
        <w:t xml:space="preserve"> </w:t>
      </w:r>
      <w:r>
        <w:t>food</w:t>
      </w:r>
      <w:r>
        <w:rPr>
          <w:spacing w:val="45"/>
        </w:rPr>
        <w:t xml:space="preserve"> </w:t>
      </w:r>
      <w:r>
        <w:t>in</w:t>
      </w:r>
      <w:r>
        <w:rPr>
          <w:spacing w:val="46"/>
        </w:rPr>
        <w:t xml:space="preserve"> </w:t>
      </w:r>
      <w:r>
        <w:t>relation</w:t>
      </w:r>
      <w:r>
        <w:rPr>
          <w:spacing w:val="46"/>
        </w:rPr>
        <w:t xml:space="preserve"> </w:t>
      </w:r>
      <w:r>
        <w:t>to</w:t>
      </w:r>
      <w:r>
        <w:rPr>
          <w:spacing w:val="46"/>
        </w:rPr>
        <w:t xml:space="preserve"> </w:t>
      </w:r>
      <w:r>
        <w:t>gastroesophageal</w:t>
      </w:r>
      <w:r>
        <w:rPr>
          <w:spacing w:val="49"/>
        </w:rPr>
        <w:t xml:space="preserve"> </w:t>
      </w:r>
      <w:r>
        <w:t>reflux</w:t>
      </w:r>
      <w:r>
        <w:rPr>
          <w:spacing w:val="48"/>
        </w:rPr>
        <w:t xml:space="preserve"> </w:t>
      </w:r>
      <w:r>
        <w:t>disease</w:t>
      </w:r>
      <w:r>
        <w:rPr>
          <w:spacing w:val="45"/>
        </w:rPr>
        <w:t xml:space="preserve"> </w:t>
      </w:r>
      <w:r>
        <w:rPr>
          <w:spacing w:val="-2"/>
        </w:rPr>
        <w:t>(GERD).</w:t>
      </w:r>
    </w:p>
    <w:p w14:paraId="7642A73F" w14:textId="77777777" w:rsidR="00A02889" w:rsidRDefault="00000000">
      <w:pPr>
        <w:pStyle w:val="BodyText"/>
        <w:spacing w:before="41"/>
        <w:ind w:left="1505"/>
      </w:pPr>
      <w:r>
        <w:t>Nutrients.;15(16):3583.</w:t>
      </w:r>
      <w:r>
        <w:rPr>
          <w:spacing w:val="-2"/>
        </w:rPr>
        <w:t xml:space="preserve"> doi:10.3390/nu15163583</w:t>
      </w:r>
    </w:p>
    <w:p w14:paraId="761710EC" w14:textId="77777777" w:rsidR="00A02889" w:rsidRDefault="00000000">
      <w:pPr>
        <w:pStyle w:val="BodyText"/>
        <w:spacing w:before="242" w:line="276" w:lineRule="auto"/>
        <w:ind w:left="1505" w:right="258" w:hanging="785"/>
      </w:pPr>
      <w:proofErr w:type="spellStart"/>
      <w:r>
        <w:t>Hogenesch</w:t>
      </w:r>
      <w:proofErr w:type="spellEnd"/>
      <w:r>
        <w:rPr>
          <w:spacing w:val="38"/>
        </w:rPr>
        <w:t xml:space="preserve"> </w:t>
      </w:r>
      <w:r>
        <w:t>H.</w:t>
      </w:r>
      <w:r>
        <w:rPr>
          <w:spacing w:val="38"/>
        </w:rPr>
        <w:t xml:space="preserve"> </w:t>
      </w:r>
      <w:r>
        <w:t>(2012).</w:t>
      </w:r>
      <w:r>
        <w:rPr>
          <w:spacing w:val="40"/>
        </w:rPr>
        <w:t xml:space="preserve"> </w:t>
      </w:r>
      <w:r>
        <w:t>Mechanism</w:t>
      </w:r>
      <w:r>
        <w:rPr>
          <w:spacing w:val="39"/>
        </w:rPr>
        <w:t xml:space="preserve"> </w:t>
      </w:r>
      <w:r>
        <w:t>of</w:t>
      </w:r>
      <w:r>
        <w:rPr>
          <w:spacing w:val="38"/>
        </w:rPr>
        <w:t xml:space="preserve"> </w:t>
      </w:r>
      <w:r>
        <w:t>immunopotentiation</w:t>
      </w:r>
      <w:r>
        <w:rPr>
          <w:spacing w:val="39"/>
        </w:rPr>
        <w:t xml:space="preserve"> </w:t>
      </w:r>
      <w:r>
        <w:t>and</w:t>
      </w:r>
      <w:r>
        <w:rPr>
          <w:spacing w:val="38"/>
        </w:rPr>
        <w:t xml:space="preserve"> </w:t>
      </w:r>
      <w:r>
        <w:t>safety</w:t>
      </w:r>
      <w:r>
        <w:rPr>
          <w:spacing w:val="34"/>
        </w:rPr>
        <w:t xml:space="preserve"> </w:t>
      </w:r>
      <w:r>
        <w:t>of</w:t>
      </w:r>
      <w:r>
        <w:rPr>
          <w:spacing w:val="40"/>
        </w:rPr>
        <w:t xml:space="preserve"> </w:t>
      </w:r>
      <w:r>
        <w:t>aluminum</w:t>
      </w:r>
      <w:r>
        <w:rPr>
          <w:spacing w:val="39"/>
        </w:rPr>
        <w:t xml:space="preserve"> </w:t>
      </w:r>
      <w:r>
        <w:t>adjuvants. Front</w:t>
      </w:r>
      <w:r>
        <w:rPr>
          <w:spacing w:val="26"/>
        </w:rPr>
        <w:t xml:space="preserve"> </w:t>
      </w:r>
      <w:r>
        <w:t>Immunol.</w:t>
      </w:r>
      <w:r>
        <w:rPr>
          <w:spacing w:val="24"/>
        </w:rPr>
        <w:t xml:space="preserve"> </w:t>
      </w:r>
      <w:proofErr w:type="gramStart"/>
      <w:r>
        <w:t>2012;3:406</w:t>
      </w:r>
      <w:proofErr w:type="gramEnd"/>
      <w:r>
        <w:t>.</w:t>
      </w:r>
      <w:r>
        <w:rPr>
          <w:spacing w:val="25"/>
        </w:rPr>
        <w:t xml:space="preserve"> </w:t>
      </w:r>
      <w:r>
        <w:t>[</w:t>
      </w:r>
      <w:r>
        <w:rPr>
          <w:spacing w:val="23"/>
        </w:rPr>
        <w:t xml:space="preserve"> </w:t>
      </w:r>
      <w:r>
        <w:t>PMC</w:t>
      </w:r>
      <w:r>
        <w:rPr>
          <w:spacing w:val="23"/>
        </w:rPr>
        <w:t xml:space="preserve"> </w:t>
      </w:r>
      <w:r>
        <w:t>free</w:t>
      </w:r>
      <w:r>
        <w:rPr>
          <w:spacing w:val="25"/>
        </w:rPr>
        <w:t xml:space="preserve"> </w:t>
      </w:r>
      <w:r>
        <w:t>article:</w:t>
      </w:r>
      <w:r>
        <w:rPr>
          <w:spacing w:val="27"/>
        </w:rPr>
        <w:t xml:space="preserve"> </w:t>
      </w:r>
      <w:r>
        <w:t>PMC3541479]</w:t>
      </w:r>
      <w:r>
        <w:rPr>
          <w:spacing w:val="23"/>
        </w:rPr>
        <w:t xml:space="preserve"> </w:t>
      </w:r>
      <w:r>
        <w:t>[</w:t>
      </w:r>
      <w:r>
        <w:rPr>
          <w:spacing w:val="24"/>
        </w:rPr>
        <w:t xml:space="preserve"> </w:t>
      </w:r>
      <w:r>
        <w:t>7.</w:t>
      </w:r>
      <w:r>
        <w:rPr>
          <w:spacing w:val="24"/>
        </w:rPr>
        <w:t xml:space="preserve"> </w:t>
      </w:r>
      <w:r>
        <w:t>8.</w:t>
      </w:r>
      <w:r>
        <w:rPr>
          <w:spacing w:val="25"/>
        </w:rPr>
        <w:t xml:space="preserve"> </w:t>
      </w:r>
      <w:r>
        <w:t>9.</w:t>
      </w:r>
      <w:r>
        <w:rPr>
          <w:spacing w:val="24"/>
        </w:rPr>
        <w:t xml:space="preserve"> </w:t>
      </w:r>
      <w:r>
        <w:t>10.</w:t>
      </w:r>
      <w:r>
        <w:rPr>
          <w:spacing w:val="25"/>
        </w:rPr>
        <w:t xml:space="preserve"> </w:t>
      </w:r>
      <w:r>
        <w:rPr>
          <w:spacing w:val="-2"/>
        </w:rPr>
        <w:t>PubMed:</w:t>
      </w:r>
    </w:p>
    <w:p w14:paraId="6DF12372" w14:textId="77777777" w:rsidR="00A02889" w:rsidRDefault="00000000">
      <w:pPr>
        <w:pStyle w:val="BodyText"/>
        <w:spacing w:line="275" w:lineRule="exact"/>
        <w:ind w:left="1505"/>
      </w:pPr>
      <w:r>
        <w:rPr>
          <w:spacing w:val="-2"/>
        </w:rPr>
        <w:t>23335921]</w:t>
      </w:r>
    </w:p>
    <w:p w14:paraId="56E9B40A" w14:textId="77777777" w:rsidR="00A02889" w:rsidRDefault="00000000">
      <w:pPr>
        <w:pStyle w:val="BodyText"/>
        <w:spacing w:before="243" w:line="276" w:lineRule="auto"/>
        <w:ind w:left="1505" w:right="258" w:hanging="785"/>
      </w:pPr>
      <w:r>
        <w:t>Holtmann,</w:t>
      </w:r>
      <w:r>
        <w:rPr>
          <w:spacing w:val="-1"/>
        </w:rPr>
        <w:t xml:space="preserve"> </w:t>
      </w:r>
      <w:r>
        <w:t>G.,</w:t>
      </w:r>
      <w:r>
        <w:rPr>
          <w:spacing w:val="-2"/>
        </w:rPr>
        <w:t xml:space="preserve"> </w:t>
      </w:r>
      <w:r>
        <w:t>et</w:t>
      </w:r>
      <w:r>
        <w:rPr>
          <w:spacing w:val="-1"/>
        </w:rPr>
        <w:t xml:space="preserve"> </w:t>
      </w:r>
      <w:r>
        <w:t>al.</w:t>
      </w:r>
      <w:r>
        <w:rPr>
          <w:spacing w:val="-1"/>
        </w:rPr>
        <w:t xml:space="preserve"> </w:t>
      </w:r>
      <w:r>
        <w:t>(2001).</w:t>
      </w:r>
      <w:r>
        <w:rPr>
          <w:spacing w:val="-7"/>
        </w:rPr>
        <w:t xml:space="preserve"> </w:t>
      </w:r>
      <w:r>
        <w:t>The</w:t>
      </w:r>
      <w:r>
        <w:rPr>
          <w:spacing w:val="-2"/>
        </w:rPr>
        <w:t xml:space="preserve"> </w:t>
      </w:r>
      <w:r>
        <w:t>impact</w:t>
      </w:r>
      <w:r>
        <w:rPr>
          <w:spacing w:val="-1"/>
        </w:rPr>
        <w:t xml:space="preserve"> </w:t>
      </w:r>
      <w:r>
        <w:t>of</w:t>
      </w:r>
      <w:r>
        <w:rPr>
          <w:spacing w:val="-2"/>
        </w:rPr>
        <w:t xml:space="preserve"> </w:t>
      </w:r>
      <w:r>
        <w:t>herbal</w:t>
      </w:r>
      <w:r>
        <w:rPr>
          <w:spacing w:val="-1"/>
        </w:rPr>
        <w:t xml:space="preserve"> </w:t>
      </w:r>
      <w:r>
        <w:t>medicine</w:t>
      </w:r>
      <w:r>
        <w:rPr>
          <w:spacing w:val="-2"/>
        </w:rPr>
        <w:t xml:space="preserve"> </w:t>
      </w:r>
      <w:r>
        <w:t>on</w:t>
      </w:r>
      <w:r>
        <w:rPr>
          <w:spacing w:val="-1"/>
        </w:rPr>
        <w:t xml:space="preserve"> </w:t>
      </w:r>
      <w:r>
        <w:t>gastroesophageal</w:t>
      </w:r>
      <w:r>
        <w:rPr>
          <w:spacing w:val="-1"/>
        </w:rPr>
        <w:t xml:space="preserve"> </w:t>
      </w:r>
      <w:r>
        <w:t>reflux disease:</w:t>
      </w:r>
      <w:r>
        <w:rPr>
          <w:spacing w:val="-15"/>
        </w:rPr>
        <w:t xml:space="preserve"> </w:t>
      </w:r>
      <w:r>
        <w:t>A review. Journal of Clinical Gastroenterology, 33(1), 1-6.</w:t>
      </w:r>
    </w:p>
    <w:p w14:paraId="5EACC590" w14:textId="77777777" w:rsidR="00A02889" w:rsidRDefault="00000000">
      <w:pPr>
        <w:pStyle w:val="BodyText"/>
        <w:spacing w:before="198" w:line="276" w:lineRule="auto"/>
        <w:ind w:left="1505" w:right="720" w:hanging="785"/>
        <w:jc w:val="both"/>
      </w:pPr>
      <w:r>
        <w:t>Houglum, J. E., Harrelson, G. L., and Seefeldt, T. M. (2024). Drugs for treating gastrointestinal disorders. In Principles of Pharmacology for Athletic Trainers (3rd ed., Chapter 11). Routledge. https://doi.org/10.4324/9781003525936-11</w:t>
      </w:r>
    </w:p>
    <w:p w14:paraId="25240EAA" w14:textId="77777777" w:rsidR="00A02889" w:rsidRDefault="00000000">
      <w:pPr>
        <w:pStyle w:val="BodyText"/>
        <w:spacing w:before="202" w:line="276" w:lineRule="auto"/>
        <w:ind w:left="1505" w:right="716" w:hanging="785"/>
        <w:jc w:val="both"/>
      </w:pPr>
      <w:r>
        <w:t>Hu Y, Amoah AA, Zhang H, et al. (2022). Effect of ginger in the treatment of nausea and vomiting compared with vitamin B6 and placebo during pregnancy: a meta-analysis. Journal of Maternal-Fetal and Neonatal Medicine. 2022;35(1):187-196.</w:t>
      </w:r>
    </w:p>
    <w:p w14:paraId="73535211" w14:textId="77777777" w:rsidR="00A02889" w:rsidRDefault="00000000">
      <w:pPr>
        <w:pStyle w:val="BodyText"/>
        <w:spacing w:before="200" w:line="276" w:lineRule="auto"/>
        <w:ind w:left="1505" w:right="718" w:hanging="785"/>
        <w:jc w:val="both"/>
      </w:pPr>
      <w:r>
        <w:t xml:space="preserve">Imam, K., and Rafi, D. M. (2025). Comparative study on the efficacy of natural and synthetic antacids in neutralizing gastric acid. Journal of Emerging Technologies and Innovative Research (JETIR), 12(3). Retrieved from </w:t>
      </w:r>
      <w:hyperlink r:id="rId28">
        <w:r w:rsidR="00A02889">
          <w:rPr>
            <w:color w:val="0000FF"/>
            <w:u w:val="single" w:color="0000FF"/>
          </w:rPr>
          <w:t>https://www.jetir.org</w:t>
        </w:r>
        <w:r w:rsidR="00A02889">
          <w:t>.</w:t>
        </w:r>
      </w:hyperlink>
      <w:r>
        <w:t xml:space="preserve"> (ISSN: 2349-5162)</w:t>
      </w:r>
    </w:p>
    <w:p w14:paraId="5E804CDC" w14:textId="77777777" w:rsidR="00A02889" w:rsidRDefault="00000000">
      <w:pPr>
        <w:pStyle w:val="BodyText"/>
        <w:spacing w:before="201" w:line="276" w:lineRule="auto"/>
        <w:ind w:left="1505" w:right="716" w:hanging="785"/>
        <w:jc w:val="both"/>
      </w:pPr>
      <w:r>
        <w:t xml:space="preserve">Jenkins, D., and </w:t>
      </w:r>
      <w:proofErr w:type="spellStart"/>
      <w:r>
        <w:t>Modolell</w:t>
      </w:r>
      <w:proofErr w:type="spellEnd"/>
      <w:r>
        <w:t xml:space="preserve">, I. (2023). Proton pump inhibitors. BMJ, 383, e070752. </w:t>
      </w:r>
      <w:hyperlink r:id="rId29">
        <w:r w:rsidR="00A02889">
          <w:rPr>
            <w:color w:val="0000FF"/>
            <w:spacing w:val="-2"/>
            <w:u w:val="single" w:color="0000FF"/>
          </w:rPr>
          <w:t>https://doi.org/10.1136/bmj-2022-070752</w:t>
        </w:r>
      </w:hyperlink>
    </w:p>
    <w:p w14:paraId="7B118955" w14:textId="77777777" w:rsidR="00A02889" w:rsidRDefault="00000000">
      <w:pPr>
        <w:spacing w:before="198" w:line="278" w:lineRule="auto"/>
        <w:ind w:left="1505" w:right="717" w:hanging="785"/>
        <w:jc w:val="both"/>
        <w:rPr>
          <w:sz w:val="24"/>
        </w:rPr>
      </w:pPr>
      <w:r>
        <w:rPr>
          <w:sz w:val="24"/>
        </w:rPr>
        <w:t>Joshi,</w:t>
      </w:r>
      <w:r>
        <w:rPr>
          <w:spacing w:val="-8"/>
          <w:sz w:val="24"/>
        </w:rPr>
        <w:t xml:space="preserve"> </w:t>
      </w:r>
      <w:r>
        <w:rPr>
          <w:sz w:val="24"/>
        </w:rPr>
        <w:t>K.</w:t>
      </w:r>
      <w:r>
        <w:rPr>
          <w:spacing w:val="-15"/>
          <w:sz w:val="24"/>
        </w:rPr>
        <w:t xml:space="preserve"> </w:t>
      </w:r>
      <w:r>
        <w:rPr>
          <w:sz w:val="24"/>
        </w:rPr>
        <w:t>R.,</w:t>
      </w:r>
      <w:r>
        <w:rPr>
          <w:spacing w:val="-2"/>
          <w:sz w:val="24"/>
        </w:rPr>
        <w:t xml:space="preserve"> </w:t>
      </w:r>
      <w:r>
        <w:rPr>
          <w:sz w:val="24"/>
        </w:rPr>
        <w:t>Babu,</w:t>
      </w:r>
      <w:r>
        <w:rPr>
          <w:spacing w:val="-2"/>
          <w:sz w:val="24"/>
        </w:rPr>
        <w:t xml:space="preserve"> </w:t>
      </w:r>
      <w:r>
        <w:rPr>
          <w:sz w:val="24"/>
        </w:rPr>
        <w:t>R.,</w:t>
      </w:r>
      <w:r>
        <w:rPr>
          <w:spacing w:val="-4"/>
          <w:sz w:val="24"/>
        </w:rPr>
        <w:t xml:space="preserve"> </w:t>
      </w:r>
      <w:r>
        <w:rPr>
          <w:sz w:val="24"/>
        </w:rPr>
        <w:t>Singh</w:t>
      </w:r>
      <w:r>
        <w:rPr>
          <w:spacing w:val="-15"/>
          <w:sz w:val="24"/>
        </w:rPr>
        <w:t xml:space="preserve"> </w:t>
      </w:r>
      <w:r>
        <w:rPr>
          <w:sz w:val="24"/>
        </w:rPr>
        <w:t>Chauhan,</w:t>
      </w:r>
      <w:r>
        <w:rPr>
          <w:spacing w:val="-2"/>
          <w:sz w:val="24"/>
        </w:rPr>
        <w:t xml:space="preserve"> </w:t>
      </w:r>
      <w:r>
        <w:rPr>
          <w:sz w:val="24"/>
        </w:rPr>
        <w:t>N.</w:t>
      </w:r>
      <w:r>
        <w:rPr>
          <w:spacing w:val="-15"/>
          <w:sz w:val="24"/>
        </w:rPr>
        <w:t xml:space="preserve"> </w:t>
      </w:r>
      <w:r>
        <w:rPr>
          <w:sz w:val="24"/>
        </w:rPr>
        <w:t>K.,</w:t>
      </w:r>
      <w:r>
        <w:rPr>
          <w:spacing w:val="-2"/>
          <w:sz w:val="24"/>
        </w:rPr>
        <w:t xml:space="preserve"> </w:t>
      </w:r>
      <w:r>
        <w:rPr>
          <w:sz w:val="24"/>
        </w:rPr>
        <w:t>and</w:t>
      </w:r>
      <w:r>
        <w:rPr>
          <w:spacing w:val="-2"/>
          <w:sz w:val="24"/>
        </w:rPr>
        <w:t xml:space="preserve"> </w:t>
      </w:r>
      <w:r>
        <w:rPr>
          <w:sz w:val="24"/>
        </w:rPr>
        <w:t>Patel,</w:t>
      </w:r>
      <w:r>
        <w:rPr>
          <w:spacing w:val="-2"/>
          <w:sz w:val="24"/>
        </w:rPr>
        <w:t xml:space="preserve"> </w:t>
      </w:r>
      <w:r>
        <w:rPr>
          <w:sz w:val="24"/>
        </w:rPr>
        <w:t>P.</w:t>
      </w:r>
      <w:r>
        <w:rPr>
          <w:spacing w:val="-2"/>
          <w:sz w:val="24"/>
        </w:rPr>
        <w:t xml:space="preserve"> </w:t>
      </w:r>
      <w:r>
        <w:rPr>
          <w:sz w:val="24"/>
        </w:rPr>
        <w:t xml:space="preserve">(2023). </w:t>
      </w:r>
      <w:r>
        <w:rPr>
          <w:i/>
          <w:sz w:val="24"/>
        </w:rPr>
        <w:t>A</w:t>
      </w:r>
      <w:r>
        <w:rPr>
          <w:i/>
          <w:spacing w:val="-9"/>
          <w:sz w:val="24"/>
        </w:rPr>
        <w:t xml:space="preserve"> </w:t>
      </w:r>
      <w:r>
        <w:rPr>
          <w:i/>
          <w:sz w:val="24"/>
        </w:rPr>
        <w:t>Textbook</w:t>
      </w:r>
      <w:r>
        <w:rPr>
          <w:i/>
          <w:spacing w:val="-2"/>
          <w:sz w:val="24"/>
        </w:rPr>
        <w:t xml:space="preserve"> </w:t>
      </w:r>
      <w:r>
        <w:rPr>
          <w:i/>
          <w:sz w:val="24"/>
        </w:rPr>
        <w:t>of</w:t>
      </w:r>
      <w:r>
        <w:rPr>
          <w:i/>
          <w:spacing w:val="-1"/>
          <w:sz w:val="24"/>
        </w:rPr>
        <w:t xml:space="preserve"> </w:t>
      </w:r>
      <w:r>
        <w:rPr>
          <w:i/>
          <w:sz w:val="24"/>
        </w:rPr>
        <w:t>Pharmaceutical Inorganic Chemistry</w:t>
      </w:r>
      <w:r>
        <w:rPr>
          <w:sz w:val="24"/>
        </w:rPr>
        <w:t>. Academic Guru Publishing House.</w:t>
      </w:r>
    </w:p>
    <w:p w14:paraId="6ACE73EB" w14:textId="77777777" w:rsidR="00A02889" w:rsidRDefault="00000000">
      <w:pPr>
        <w:pStyle w:val="BodyText"/>
        <w:spacing w:before="195" w:line="276" w:lineRule="auto"/>
        <w:ind w:left="1505" w:right="720" w:hanging="785"/>
        <w:jc w:val="both"/>
      </w:pPr>
      <w:r>
        <w:t>Katzung, B. G., Trevor,</w:t>
      </w:r>
      <w:r>
        <w:rPr>
          <w:spacing w:val="-6"/>
        </w:rPr>
        <w:t xml:space="preserve"> </w:t>
      </w:r>
      <w:r>
        <w:t>A. J., and Masters, S. B. (2012). Basic and Clinical Pharmacology (12th ed.). McGraw-Hill Education.</w:t>
      </w:r>
    </w:p>
    <w:p w14:paraId="0D41E9E6" w14:textId="77777777" w:rsidR="00A02889" w:rsidRDefault="00000000">
      <w:pPr>
        <w:pStyle w:val="BodyText"/>
        <w:spacing w:before="200"/>
        <w:ind w:left="720"/>
      </w:pPr>
      <w:r>
        <w:t>Kaul</w:t>
      </w:r>
      <w:r>
        <w:rPr>
          <w:spacing w:val="2"/>
        </w:rPr>
        <w:t xml:space="preserve"> </w:t>
      </w:r>
      <w:r>
        <w:t>P.</w:t>
      </w:r>
      <w:r>
        <w:rPr>
          <w:spacing w:val="2"/>
        </w:rPr>
        <w:t xml:space="preserve"> </w:t>
      </w:r>
      <w:r>
        <w:t>N,</w:t>
      </w:r>
      <w:r>
        <w:rPr>
          <w:spacing w:val="2"/>
        </w:rPr>
        <w:t xml:space="preserve"> </w:t>
      </w:r>
      <w:r>
        <w:t>Joshi</w:t>
      </w:r>
      <w:r>
        <w:rPr>
          <w:spacing w:val="3"/>
        </w:rPr>
        <w:t xml:space="preserve"> </w:t>
      </w:r>
      <w:r>
        <w:t>B.</w:t>
      </w:r>
      <w:r>
        <w:rPr>
          <w:spacing w:val="2"/>
        </w:rPr>
        <w:t xml:space="preserve"> </w:t>
      </w:r>
      <w:r>
        <w:t>S.</w:t>
      </w:r>
      <w:r>
        <w:rPr>
          <w:spacing w:val="4"/>
        </w:rPr>
        <w:t xml:space="preserve"> </w:t>
      </w:r>
      <w:r>
        <w:t>(2001).</w:t>
      </w:r>
      <w:r>
        <w:rPr>
          <w:spacing w:val="-12"/>
        </w:rPr>
        <w:t xml:space="preserve"> </w:t>
      </w:r>
      <w:r>
        <w:t>Alternative</w:t>
      </w:r>
      <w:r>
        <w:rPr>
          <w:spacing w:val="1"/>
        </w:rPr>
        <w:t xml:space="preserve"> </w:t>
      </w:r>
      <w:r>
        <w:t>medicine:</w:t>
      </w:r>
      <w:r>
        <w:rPr>
          <w:spacing w:val="2"/>
        </w:rPr>
        <w:t xml:space="preserve"> </w:t>
      </w:r>
      <w:r>
        <w:t>Herbal</w:t>
      </w:r>
      <w:r>
        <w:rPr>
          <w:spacing w:val="3"/>
        </w:rPr>
        <w:t xml:space="preserve"> </w:t>
      </w:r>
      <w:r>
        <w:t>drugs</w:t>
      </w:r>
      <w:r>
        <w:rPr>
          <w:spacing w:val="5"/>
        </w:rPr>
        <w:t xml:space="preserve"> </w:t>
      </w:r>
      <w:r>
        <w:t>and</w:t>
      </w:r>
      <w:r>
        <w:rPr>
          <w:spacing w:val="2"/>
        </w:rPr>
        <w:t xml:space="preserve"> </w:t>
      </w:r>
      <w:r>
        <w:t>their</w:t>
      </w:r>
      <w:r>
        <w:rPr>
          <w:spacing w:val="1"/>
        </w:rPr>
        <w:t xml:space="preserve"> </w:t>
      </w:r>
      <w:r>
        <w:t>critical</w:t>
      </w:r>
      <w:r>
        <w:rPr>
          <w:spacing w:val="5"/>
        </w:rPr>
        <w:t xml:space="preserve"> </w:t>
      </w:r>
      <w:r>
        <w:t>appraisal-</w:t>
      </w:r>
      <w:r>
        <w:rPr>
          <w:spacing w:val="-4"/>
        </w:rPr>
        <w:t>part</w:t>
      </w:r>
    </w:p>
    <w:p w14:paraId="34B6C2D8" w14:textId="77777777" w:rsidR="00A02889" w:rsidRDefault="00000000">
      <w:pPr>
        <w:pStyle w:val="BodyText"/>
        <w:spacing w:before="41"/>
        <w:ind w:left="1505"/>
      </w:pPr>
      <w:r>
        <w:t>II.</w:t>
      </w:r>
      <w:r>
        <w:rPr>
          <w:spacing w:val="-1"/>
        </w:rPr>
        <w:t xml:space="preserve"> </w:t>
      </w:r>
      <w:r>
        <w:t>Prog</w:t>
      </w:r>
      <w:r>
        <w:rPr>
          <w:spacing w:val="-3"/>
        </w:rPr>
        <w:t xml:space="preserve"> </w:t>
      </w:r>
      <w:r>
        <w:t>Drug</w:t>
      </w:r>
      <w:r>
        <w:rPr>
          <w:spacing w:val="-3"/>
        </w:rPr>
        <w:t xml:space="preserve"> </w:t>
      </w:r>
      <w:r>
        <w:t>Res. 2001;57:1–75. [</w:t>
      </w:r>
      <w:r>
        <w:rPr>
          <w:spacing w:val="1"/>
        </w:rPr>
        <w:t xml:space="preserve"> </w:t>
      </w:r>
      <w:r>
        <w:t xml:space="preserve">PubMed: </w:t>
      </w:r>
      <w:r>
        <w:rPr>
          <w:spacing w:val="-2"/>
        </w:rPr>
        <w:t>11727999]</w:t>
      </w:r>
    </w:p>
    <w:p w14:paraId="625DAB56" w14:textId="77777777" w:rsidR="00A02889" w:rsidRDefault="00000000">
      <w:pPr>
        <w:pStyle w:val="BodyText"/>
        <w:spacing w:before="243" w:line="276" w:lineRule="auto"/>
        <w:ind w:left="1505" w:right="717" w:hanging="785"/>
        <w:jc w:val="both"/>
      </w:pPr>
      <w:r>
        <w:t xml:space="preserve">Khandeparkar A, and </w:t>
      </w:r>
      <w:proofErr w:type="spellStart"/>
      <w:r>
        <w:t>Rataboli</w:t>
      </w:r>
      <w:proofErr w:type="spellEnd"/>
      <w:r>
        <w:t xml:space="preserve"> PV. (2017). A study of harmful drug-drug interactions due to polypharmacy in hospitalized patients in Goa Medical College. </w:t>
      </w:r>
      <w:proofErr w:type="spellStart"/>
      <w:r>
        <w:t>Perspect</w:t>
      </w:r>
      <w:proofErr w:type="spellEnd"/>
      <w:r>
        <w:t xml:space="preserve"> Clin Res. 2017 </w:t>
      </w:r>
      <w:r>
        <w:rPr>
          <w:spacing w:val="-2"/>
        </w:rPr>
        <w:t>Oct-Dec;8(4):180-186.</w:t>
      </w:r>
    </w:p>
    <w:p w14:paraId="3E82FE66" w14:textId="77777777" w:rsidR="00A02889" w:rsidRDefault="00000000">
      <w:pPr>
        <w:pStyle w:val="BodyText"/>
        <w:spacing w:before="200" w:line="276" w:lineRule="auto"/>
        <w:ind w:left="1505" w:right="723" w:hanging="785"/>
        <w:jc w:val="both"/>
      </w:pPr>
      <w:r>
        <w:t>Khasim, I., and Rafi, D. M. (2025). Comparative study on the efficacy of natural and synthetic antacids in neutralizing gastric acid. Journal of Emerging Technologies and Innovative Research, 12(3), e402. Retrieved from https:/</w:t>
      </w:r>
      <w:hyperlink r:id="rId30">
        <w:r w:rsidR="00A02889">
          <w:t>/www.jetir.org/papers/JETIR2503576.pdf</w:t>
        </w:r>
      </w:hyperlink>
    </w:p>
    <w:p w14:paraId="42666812" w14:textId="77777777" w:rsidR="00A02889" w:rsidRDefault="00A02889">
      <w:pPr>
        <w:pStyle w:val="BodyText"/>
        <w:spacing w:line="276" w:lineRule="auto"/>
        <w:jc w:val="both"/>
        <w:sectPr w:rsidR="00A02889">
          <w:pgSz w:w="12240" w:h="15840"/>
          <w:pgMar w:top="1360" w:right="720" w:bottom="1260" w:left="720" w:header="0" w:footer="1068" w:gutter="0"/>
          <w:cols w:space="720"/>
        </w:sectPr>
      </w:pPr>
    </w:p>
    <w:p w14:paraId="6DB34C49" w14:textId="77777777" w:rsidR="00A02889" w:rsidRDefault="00000000">
      <w:pPr>
        <w:pStyle w:val="BodyText"/>
        <w:spacing w:before="74" w:line="276" w:lineRule="auto"/>
        <w:ind w:left="1505" w:right="717" w:hanging="725"/>
        <w:jc w:val="both"/>
      </w:pPr>
      <w:proofErr w:type="spellStart"/>
      <w:r>
        <w:lastRenderedPageBreak/>
        <w:t>Krewski</w:t>
      </w:r>
      <w:proofErr w:type="spellEnd"/>
      <w:r>
        <w:t xml:space="preserve"> D,</w:t>
      </w:r>
      <w:r>
        <w:rPr>
          <w:spacing w:val="-2"/>
        </w:rPr>
        <w:t xml:space="preserve"> </w:t>
      </w:r>
      <w:r>
        <w:t xml:space="preserve">Yokel RA, Nieboer E, Borchelt D, Cohen J, Harry J, </w:t>
      </w:r>
      <w:proofErr w:type="spellStart"/>
      <w:r>
        <w:t>Kacew</w:t>
      </w:r>
      <w:proofErr w:type="spellEnd"/>
      <w:r>
        <w:t xml:space="preserve"> S, Lindsay J, Mahfouz </w:t>
      </w:r>
      <w:proofErr w:type="spellStart"/>
      <w:proofErr w:type="gramStart"/>
      <w:r>
        <w:t>AM,and</w:t>
      </w:r>
      <w:proofErr w:type="spellEnd"/>
      <w:proofErr w:type="gramEnd"/>
      <w:r>
        <w:t xml:space="preserve"> Rondeau V. (2007). Human health risk assessment for </w:t>
      </w:r>
      <w:proofErr w:type="spellStart"/>
      <w:r>
        <w:t>aluminium</w:t>
      </w:r>
      <w:proofErr w:type="spellEnd"/>
      <w:r>
        <w:t xml:space="preserve">, </w:t>
      </w:r>
      <w:proofErr w:type="spellStart"/>
      <w:r>
        <w:t>aluminium</w:t>
      </w:r>
      <w:proofErr w:type="spellEnd"/>
      <w:r>
        <w:t xml:space="preserve"> oxide, and </w:t>
      </w:r>
      <w:proofErr w:type="spellStart"/>
      <w:r>
        <w:t>aluminium</w:t>
      </w:r>
      <w:proofErr w:type="spellEnd"/>
      <w:r>
        <w:t xml:space="preserve"> hydroxide. J </w:t>
      </w:r>
      <w:proofErr w:type="spellStart"/>
      <w:r>
        <w:t>Toxicol</w:t>
      </w:r>
      <w:proofErr w:type="spellEnd"/>
      <w:r>
        <w:t xml:space="preserve"> Environ Health B Crit Rev. 2007;10 Suppl 1(Suppl 1):1 269. [ PMC free article: PMC2782734] [ PubMed: 18085482]</w:t>
      </w:r>
    </w:p>
    <w:p w14:paraId="12826CE1" w14:textId="77777777" w:rsidR="00A02889" w:rsidRDefault="00000000">
      <w:pPr>
        <w:pStyle w:val="BodyText"/>
        <w:spacing w:before="200" w:line="276" w:lineRule="auto"/>
        <w:ind w:left="1505" w:right="715" w:hanging="785"/>
        <w:jc w:val="both"/>
      </w:pPr>
      <w:r>
        <w:t>Krishna</w:t>
      </w:r>
      <w:r>
        <w:rPr>
          <w:spacing w:val="-3"/>
        </w:rPr>
        <w:t xml:space="preserve"> </w:t>
      </w:r>
      <w:r>
        <w:t>R,</w:t>
      </w:r>
      <w:r>
        <w:rPr>
          <w:spacing w:val="-3"/>
        </w:rPr>
        <w:t xml:space="preserve"> </w:t>
      </w:r>
      <w:r>
        <w:t>East L,</w:t>
      </w:r>
      <w:r>
        <w:rPr>
          <w:spacing w:val="-1"/>
        </w:rPr>
        <w:t xml:space="preserve"> </w:t>
      </w:r>
      <w:r>
        <w:t>Larson</w:t>
      </w:r>
      <w:r>
        <w:rPr>
          <w:spacing w:val="-3"/>
        </w:rPr>
        <w:t xml:space="preserve"> </w:t>
      </w:r>
      <w:r>
        <w:t>P,</w:t>
      </w:r>
      <w:r>
        <w:rPr>
          <w:spacing w:val="-7"/>
        </w:rPr>
        <w:t xml:space="preserve"> </w:t>
      </w:r>
      <w:r>
        <w:t>Valiathan</w:t>
      </w:r>
      <w:r>
        <w:rPr>
          <w:spacing w:val="-3"/>
        </w:rPr>
        <w:t xml:space="preserve"> </w:t>
      </w:r>
      <w:r>
        <w:t>C,</w:t>
      </w:r>
      <w:r>
        <w:rPr>
          <w:spacing w:val="-1"/>
        </w:rPr>
        <w:t xml:space="preserve"> </w:t>
      </w:r>
      <w:r>
        <w:t>Butterfield</w:t>
      </w:r>
      <w:r>
        <w:rPr>
          <w:spacing w:val="-2"/>
        </w:rPr>
        <w:t xml:space="preserve"> </w:t>
      </w:r>
      <w:r>
        <w:t>K,</w:t>
      </w:r>
      <w:r>
        <w:rPr>
          <w:spacing w:val="-8"/>
        </w:rPr>
        <w:t xml:space="preserve"> </w:t>
      </w:r>
      <w:r>
        <w:t>Teng</w:t>
      </w:r>
      <w:r>
        <w:rPr>
          <w:spacing w:val="-11"/>
        </w:rPr>
        <w:t xml:space="preserve"> </w:t>
      </w:r>
      <w:r>
        <w:t>Y, and</w:t>
      </w:r>
      <w:r>
        <w:rPr>
          <w:spacing w:val="-2"/>
        </w:rPr>
        <w:t xml:space="preserve"> </w:t>
      </w:r>
      <w:r>
        <w:t>Hernandez-Illas</w:t>
      </w:r>
      <w:r>
        <w:rPr>
          <w:spacing w:val="-2"/>
        </w:rPr>
        <w:t xml:space="preserve"> </w:t>
      </w:r>
      <w:r>
        <w:t>M.</w:t>
      </w:r>
      <w:r>
        <w:rPr>
          <w:spacing w:val="-2"/>
        </w:rPr>
        <w:t xml:space="preserve"> </w:t>
      </w:r>
      <w:r>
        <w:t xml:space="preserve">(2016). Effect of metal-cation antacids on the pharmacokinetics of 1200 mg </w:t>
      </w:r>
      <w:proofErr w:type="spellStart"/>
      <w:r>
        <w:t>raltegravir</w:t>
      </w:r>
      <w:proofErr w:type="spellEnd"/>
      <w:r>
        <w:t xml:space="preserve">. J Pharm </w:t>
      </w:r>
      <w:proofErr w:type="spellStart"/>
      <w:r>
        <w:t>Pharmacol</w:t>
      </w:r>
      <w:proofErr w:type="spellEnd"/>
      <w:r>
        <w:t>. 2016 Nov;68(11):1359-1365. [ PubMed: 27671833]</w:t>
      </w:r>
    </w:p>
    <w:p w14:paraId="3097BDFE" w14:textId="77777777" w:rsidR="00A02889" w:rsidRDefault="00000000">
      <w:pPr>
        <w:pStyle w:val="BodyText"/>
        <w:spacing w:before="200"/>
        <w:ind w:left="720"/>
        <w:jc w:val="both"/>
      </w:pPr>
      <w:r>
        <w:t>Levy,</w:t>
      </w:r>
      <w:r>
        <w:rPr>
          <w:spacing w:val="-7"/>
        </w:rPr>
        <w:t xml:space="preserve"> </w:t>
      </w:r>
      <w:r>
        <w:t>E.</w:t>
      </w:r>
      <w:r>
        <w:rPr>
          <w:spacing w:val="-1"/>
        </w:rPr>
        <w:t xml:space="preserve"> </w:t>
      </w:r>
      <w:r>
        <w:t>I.,</w:t>
      </w:r>
      <w:r>
        <w:rPr>
          <w:spacing w:val="-3"/>
        </w:rPr>
        <w:t xml:space="preserve"> </w:t>
      </w:r>
      <w:r>
        <w:t>Kindt,</w:t>
      </w:r>
      <w:r>
        <w:rPr>
          <w:spacing w:val="-2"/>
        </w:rPr>
        <w:t xml:space="preserve"> </w:t>
      </w:r>
      <w:r>
        <w:t>S.,</w:t>
      </w:r>
      <w:r>
        <w:rPr>
          <w:spacing w:val="-3"/>
        </w:rPr>
        <w:t xml:space="preserve"> </w:t>
      </w:r>
      <w:r>
        <w:t>Simon,</w:t>
      </w:r>
      <w:r>
        <w:rPr>
          <w:spacing w:val="-3"/>
        </w:rPr>
        <w:t xml:space="preserve"> </w:t>
      </w:r>
      <w:r>
        <w:t>M., and</w:t>
      </w:r>
      <w:r>
        <w:rPr>
          <w:spacing w:val="-6"/>
        </w:rPr>
        <w:t xml:space="preserve"> </w:t>
      </w:r>
      <w:r>
        <w:t>Vandenplas,</w:t>
      </w:r>
      <w:r>
        <w:rPr>
          <w:spacing w:val="-12"/>
        </w:rPr>
        <w:t xml:space="preserve"> </w:t>
      </w:r>
      <w:r>
        <w:t>Y.</w:t>
      </w:r>
      <w:r>
        <w:rPr>
          <w:spacing w:val="-3"/>
        </w:rPr>
        <w:t xml:space="preserve"> </w:t>
      </w:r>
      <w:r>
        <w:t>(2022).</w:t>
      </w:r>
      <w:r>
        <w:rPr>
          <w:spacing w:val="-15"/>
        </w:rPr>
        <w:t xml:space="preserve"> </w:t>
      </w:r>
      <w:r>
        <w:t>Anti‑acid</w:t>
      </w:r>
      <w:r>
        <w:rPr>
          <w:spacing w:val="-3"/>
        </w:rPr>
        <w:t xml:space="preserve"> </w:t>
      </w:r>
      <w:r>
        <w:t>drugs:</w:t>
      </w:r>
      <w:r>
        <w:rPr>
          <w:spacing w:val="-14"/>
        </w:rPr>
        <w:t xml:space="preserve"> </w:t>
      </w:r>
      <w:r>
        <w:t>Adverse</w:t>
      </w:r>
      <w:r>
        <w:rPr>
          <w:spacing w:val="-4"/>
        </w:rPr>
        <w:t xml:space="preserve"> </w:t>
      </w:r>
      <w:r>
        <w:t xml:space="preserve">effects. </w:t>
      </w:r>
      <w:r>
        <w:rPr>
          <w:spacing w:val="-5"/>
        </w:rPr>
        <w:t>In</w:t>
      </w:r>
    </w:p>
    <w:p w14:paraId="48609356" w14:textId="77777777" w:rsidR="00A02889" w:rsidRDefault="00000000">
      <w:pPr>
        <w:pStyle w:val="BodyText"/>
        <w:tabs>
          <w:tab w:val="left" w:pos="2356"/>
          <w:tab w:val="left" w:pos="3184"/>
          <w:tab w:val="left" w:pos="5170"/>
          <w:tab w:val="left" w:pos="6026"/>
          <w:tab w:val="left" w:pos="6494"/>
          <w:tab w:val="left" w:pos="7559"/>
          <w:tab w:val="left" w:pos="9205"/>
        </w:tabs>
        <w:spacing w:before="43" w:line="276" w:lineRule="auto"/>
        <w:ind w:left="720" w:right="721"/>
      </w:pPr>
      <w:r>
        <w:t>Y.</w:t>
      </w:r>
      <w:r>
        <w:rPr>
          <w:spacing w:val="-5"/>
        </w:rPr>
        <w:t xml:space="preserve"> </w:t>
      </w:r>
      <w:r>
        <w:t>Vandenplas</w:t>
      </w:r>
      <w:r>
        <w:tab/>
      </w:r>
      <w:r>
        <w:rPr>
          <w:spacing w:val="-2"/>
        </w:rPr>
        <w:t>(Ed.),</w:t>
      </w:r>
      <w:r>
        <w:tab/>
      </w:r>
      <w:r>
        <w:rPr>
          <w:spacing w:val="-2"/>
        </w:rPr>
        <w:t>Gastroesophageal</w:t>
      </w:r>
      <w:r>
        <w:tab/>
      </w:r>
      <w:r>
        <w:rPr>
          <w:spacing w:val="-2"/>
        </w:rPr>
        <w:t>reflux</w:t>
      </w:r>
      <w:r>
        <w:tab/>
      </w:r>
      <w:r>
        <w:rPr>
          <w:spacing w:val="-6"/>
        </w:rPr>
        <w:t>in</w:t>
      </w:r>
      <w:r>
        <w:tab/>
      </w:r>
      <w:r>
        <w:rPr>
          <w:spacing w:val="-2"/>
        </w:rPr>
        <w:t>children</w:t>
      </w:r>
      <w:r>
        <w:tab/>
        <w:t>(pp.</w:t>
      </w:r>
      <w:r>
        <w:rPr>
          <w:spacing w:val="-5"/>
        </w:rPr>
        <w:t xml:space="preserve"> </w:t>
      </w:r>
      <w:r>
        <w:t>307‑318).</w:t>
      </w:r>
      <w:r>
        <w:tab/>
      </w:r>
      <w:r>
        <w:rPr>
          <w:spacing w:val="-4"/>
        </w:rPr>
        <w:t xml:space="preserve">Springer. </w:t>
      </w:r>
      <w:hyperlink r:id="rId31">
        <w:r w:rsidR="00A02889">
          <w:rPr>
            <w:color w:val="0000FF"/>
            <w:spacing w:val="-2"/>
            <w:u w:val="single" w:color="0000FF"/>
          </w:rPr>
          <w:t>https://doi.org/10.1007/978-3-030-99067-1_23</w:t>
        </w:r>
      </w:hyperlink>
    </w:p>
    <w:p w14:paraId="3C0130D2" w14:textId="77777777" w:rsidR="00A02889" w:rsidRDefault="00000000">
      <w:pPr>
        <w:pStyle w:val="BodyText"/>
        <w:spacing w:before="199" w:line="276" w:lineRule="auto"/>
        <w:ind w:left="1505" w:right="717" w:hanging="785"/>
        <w:jc w:val="both"/>
      </w:pPr>
      <w:r>
        <w:t>Mahadevan U, and Kane S. (2006). American gastroenterological association institute medical position statement on the use of gastrointestinal medications in pregnancy. Gastroenterology. 2006 Jul;131(1):278-82.</w:t>
      </w:r>
    </w:p>
    <w:p w14:paraId="14BAB551" w14:textId="77777777" w:rsidR="00A02889" w:rsidRDefault="00000000">
      <w:pPr>
        <w:pStyle w:val="BodyText"/>
        <w:spacing w:before="199" w:line="278" w:lineRule="auto"/>
        <w:ind w:left="1505" w:right="721" w:hanging="785"/>
        <w:jc w:val="both"/>
      </w:pPr>
      <w:r>
        <w:t xml:space="preserve">Medical News Today. (2023). Baking soda: Benefits, uses, and side effects. </w:t>
      </w:r>
      <w:hyperlink r:id="rId32">
        <w:r w:rsidR="00A02889">
          <w:rPr>
            <w:color w:val="0000FF"/>
            <w:spacing w:val="-2"/>
            <w:u w:val="single" w:color="0000FF"/>
          </w:rPr>
          <w:t>https://www.medicalnewstoday.com/articles/321137</w:t>
        </w:r>
      </w:hyperlink>
    </w:p>
    <w:p w14:paraId="59CAB3C6" w14:textId="77777777" w:rsidR="00A02889" w:rsidRDefault="00000000">
      <w:pPr>
        <w:pStyle w:val="BodyText"/>
        <w:spacing w:before="195" w:line="276" w:lineRule="auto"/>
        <w:ind w:left="1505" w:right="714" w:hanging="785"/>
        <w:jc w:val="both"/>
      </w:pPr>
      <w:proofErr w:type="spellStart"/>
      <w:r>
        <w:t>Moayyedi</w:t>
      </w:r>
      <w:proofErr w:type="spellEnd"/>
      <w:r>
        <w:rPr>
          <w:spacing w:val="-1"/>
        </w:rPr>
        <w:t xml:space="preserve"> </w:t>
      </w:r>
      <w:r>
        <w:t>P, and</w:t>
      </w:r>
      <w:r>
        <w:rPr>
          <w:spacing w:val="-11"/>
        </w:rPr>
        <w:t xml:space="preserve"> </w:t>
      </w:r>
      <w:r>
        <w:t>Axon</w:t>
      </w:r>
      <w:r>
        <w:rPr>
          <w:spacing w:val="-13"/>
        </w:rPr>
        <w:t xml:space="preserve"> </w:t>
      </w:r>
      <w:r>
        <w:t>AT. (2005).</w:t>
      </w:r>
      <w:r>
        <w:rPr>
          <w:spacing w:val="-1"/>
        </w:rPr>
        <w:t xml:space="preserve"> </w:t>
      </w:r>
      <w:r>
        <w:t>Review article:</w:t>
      </w:r>
      <w:r>
        <w:rPr>
          <w:spacing w:val="-1"/>
        </w:rPr>
        <w:t xml:space="preserve"> </w:t>
      </w:r>
      <w:r>
        <w:t>gastro-</w:t>
      </w:r>
      <w:proofErr w:type="spellStart"/>
      <w:r>
        <w:t>oesophageal</w:t>
      </w:r>
      <w:proofErr w:type="spellEnd"/>
      <w:r>
        <w:t xml:space="preserve"> reflux disease--the</w:t>
      </w:r>
      <w:r>
        <w:rPr>
          <w:spacing w:val="-1"/>
        </w:rPr>
        <w:t xml:space="preserve"> </w:t>
      </w:r>
      <w:r>
        <w:t>extent of the problem.</w:t>
      </w:r>
      <w:r>
        <w:rPr>
          <w:spacing w:val="-4"/>
        </w:rPr>
        <w:t xml:space="preserve"> </w:t>
      </w:r>
      <w:r>
        <w:t xml:space="preserve">Aliment </w:t>
      </w:r>
      <w:proofErr w:type="spellStart"/>
      <w:r>
        <w:t>Pharmacol</w:t>
      </w:r>
      <w:proofErr w:type="spellEnd"/>
      <w:r>
        <w:t xml:space="preserve"> Ther. 2005</w:t>
      </w:r>
      <w:r>
        <w:rPr>
          <w:spacing w:val="-1"/>
        </w:rPr>
        <w:t xml:space="preserve"> </w:t>
      </w:r>
      <w:r>
        <w:t>Aug;22 Suppl 1:11-9.</w:t>
      </w:r>
    </w:p>
    <w:p w14:paraId="505F9A7B" w14:textId="77777777" w:rsidR="00A02889" w:rsidRDefault="00000000">
      <w:pPr>
        <w:pStyle w:val="BodyText"/>
        <w:tabs>
          <w:tab w:val="left" w:pos="4557"/>
          <w:tab w:val="left" w:pos="7231"/>
        </w:tabs>
        <w:spacing w:before="201" w:line="276" w:lineRule="auto"/>
        <w:ind w:left="1505" w:right="718" w:hanging="785"/>
        <w:jc w:val="both"/>
      </w:pPr>
      <w:r>
        <w:t xml:space="preserve">Mondal DS. (2017). Pharmaceutical inorganic chemistry: Gastrointestinal agents (antacid) 2017. </w:t>
      </w:r>
      <w:r>
        <w:rPr>
          <w:spacing w:val="-2"/>
        </w:rPr>
        <w:t>Available</w:t>
      </w:r>
      <w:r>
        <w:tab/>
      </w:r>
      <w:r>
        <w:rPr>
          <w:spacing w:val="-4"/>
        </w:rPr>
        <w:t>from:</w:t>
      </w:r>
      <w:r>
        <w:tab/>
      </w:r>
      <w:r>
        <w:rPr>
          <w:spacing w:val="-2"/>
        </w:rPr>
        <w:t>https:/</w:t>
      </w:r>
      <w:hyperlink r:id="rId33">
        <w:r w:rsidR="00A02889">
          <w:rPr>
            <w:spacing w:val="-2"/>
          </w:rPr>
          <w:t>/www.researchgate.net/</w:t>
        </w:r>
      </w:hyperlink>
      <w:r>
        <w:rPr>
          <w:spacing w:val="-2"/>
        </w:rPr>
        <w:t xml:space="preserve"> publication/321938715_PHARMACEUTICAL_INORGANIC_CHEMISTRY_</w:t>
      </w:r>
    </w:p>
    <w:p w14:paraId="7EB63B91" w14:textId="77777777" w:rsidR="00A02889" w:rsidRDefault="00000000">
      <w:pPr>
        <w:pStyle w:val="BodyText"/>
        <w:spacing w:before="1"/>
        <w:ind w:left="1505"/>
        <w:jc w:val="both"/>
      </w:pPr>
      <w:proofErr w:type="spellStart"/>
      <w:r>
        <w:t>Gastrointestinal_agents_ANTACID</w:t>
      </w:r>
      <w:proofErr w:type="spellEnd"/>
      <w:r>
        <w:t>.</w:t>
      </w:r>
      <w:r>
        <w:rPr>
          <w:spacing w:val="-17"/>
        </w:rPr>
        <w:t xml:space="preserve"> </w:t>
      </w:r>
      <w:r>
        <w:t>Accessed</w:t>
      </w:r>
      <w:r>
        <w:rPr>
          <w:spacing w:val="-14"/>
        </w:rPr>
        <w:t xml:space="preserve"> </w:t>
      </w:r>
      <w:r>
        <w:t>25</w:t>
      </w:r>
      <w:r>
        <w:rPr>
          <w:spacing w:val="-7"/>
        </w:rPr>
        <w:t xml:space="preserve"> </w:t>
      </w:r>
      <w:r>
        <w:t>September</w:t>
      </w:r>
      <w:r>
        <w:rPr>
          <w:spacing w:val="-8"/>
        </w:rPr>
        <w:t xml:space="preserve"> </w:t>
      </w:r>
      <w:r>
        <w:rPr>
          <w:spacing w:val="-2"/>
        </w:rPr>
        <w:t>2020.</w:t>
      </w:r>
    </w:p>
    <w:p w14:paraId="3018368B" w14:textId="77777777" w:rsidR="00A02889" w:rsidRDefault="00000000">
      <w:pPr>
        <w:pStyle w:val="BodyText"/>
        <w:spacing w:before="240" w:line="276" w:lineRule="auto"/>
        <w:ind w:left="720" w:right="718"/>
        <w:jc w:val="both"/>
      </w:pPr>
      <w:r>
        <w:t>Murthy,</w:t>
      </w:r>
      <w:r>
        <w:rPr>
          <w:spacing w:val="-10"/>
        </w:rPr>
        <w:t xml:space="preserve"> </w:t>
      </w:r>
      <w:r>
        <w:t>A.</w:t>
      </w:r>
      <w:r>
        <w:rPr>
          <w:spacing w:val="-15"/>
        </w:rPr>
        <w:t xml:space="preserve"> </w:t>
      </w:r>
      <w:r>
        <w:t>B.,</w:t>
      </w:r>
      <w:r>
        <w:rPr>
          <w:spacing w:val="-15"/>
        </w:rPr>
        <w:t xml:space="preserve"> </w:t>
      </w:r>
      <w:r>
        <w:t>Palaniappan,</w:t>
      </w:r>
      <w:r>
        <w:rPr>
          <w:spacing w:val="-15"/>
        </w:rPr>
        <w:t xml:space="preserve"> </w:t>
      </w:r>
      <w:r>
        <w:t>V., and</w:t>
      </w:r>
      <w:r>
        <w:rPr>
          <w:spacing w:val="-15"/>
        </w:rPr>
        <w:t xml:space="preserve"> </w:t>
      </w:r>
      <w:r>
        <w:t>Karthikeyan,</w:t>
      </w:r>
      <w:r>
        <w:rPr>
          <w:spacing w:val="-14"/>
        </w:rPr>
        <w:t xml:space="preserve"> </w:t>
      </w:r>
      <w:r>
        <w:t>K. (2024).</w:t>
      </w:r>
      <w:r>
        <w:rPr>
          <w:spacing w:val="-1"/>
        </w:rPr>
        <w:t xml:space="preserve"> </w:t>
      </w:r>
      <w:proofErr w:type="spellStart"/>
      <w:r>
        <w:t>Aluminium</w:t>
      </w:r>
      <w:proofErr w:type="spellEnd"/>
      <w:r>
        <w:t xml:space="preserve"> in dermatology – Inside story</w:t>
      </w:r>
      <w:r>
        <w:rPr>
          <w:spacing w:val="80"/>
        </w:rPr>
        <w:t xml:space="preserve"> </w:t>
      </w:r>
      <w:r>
        <w:t>of</w:t>
      </w:r>
      <w:r>
        <w:rPr>
          <w:spacing w:val="80"/>
        </w:rPr>
        <w:t xml:space="preserve"> </w:t>
      </w:r>
      <w:r>
        <w:t>an</w:t>
      </w:r>
      <w:r>
        <w:rPr>
          <w:spacing w:val="80"/>
        </w:rPr>
        <w:t xml:space="preserve"> </w:t>
      </w:r>
      <w:r>
        <w:t>innocuous</w:t>
      </w:r>
      <w:r>
        <w:rPr>
          <w:spacing w:val="80"/>
        </w:rPr>
        <w:t xml:space="preserve"> </w:t>
      </w:r>
      <w:r>
        <w:t>metal.</w:t>
      </w:r>
      <w:r>
        <w:rPr>
          <w:spacing w:val="-12"/>
        </w:rPr>
        <w:t xml:space="preserve"> </w:t>
      </w:r>
      <w:r>
        <w:t>Indian</w:t>
      </w:r>
      <w:r>
        <w:rPr>
          <w:spacing w:val="80"/>
        </w:rPr>
        <w:t xml:space="preserve"> </w:t>
      </w:r>
      <w:r>
        <w:t>Journal</w:t>
      </w:r>
      <w:r>
        <w:rPr>
          <w:spacing w:val="80"/>
        </w:rPr>
        <w:t xml:space="preserve"> </w:t>
      </w:r>
      <w:r>
        <w:t>of</w:t>
      </w:r>
      <w:r>
        <w:rPr>
          <w:spacing w:val="80"/>
        </w:rPr>
        <w:t xml:space="preserve"> </w:t>
      </w:r>
      <w:r>
        <w:t>Dermatology,</w:t>
      </w:r>
      <w:r>
        <w:rPr>
          <w:spacing w:val="80"/>
        </w:rPr>
        <w:t xml:space="preserve"> </w:t>
      </w:r>
      <w:r>
        <w:t>Venereology</w:t>
      </w:r>
      <w:r>
        <w:rPr>
          <w:spacing w:val="80"/>
        </w:rPr>
        <w:t xml:space="preserve"> </w:t>
      </w:r>
      <w:r>
        <w:t>and</w:t>
      </w:r>
      <w:r>
        <w:rPr>
          <w:spacing w:val="80"/>
        </w:rPr>
        <w:t xml:space="preserve"> </w:t>
      </w:r>
      <w:r>
        <w:t xml:space="preserve">Leprology, 90, 755‑762. </w:t>
      </w:r>
      <w:hyperlink r:id="rId34">
        <w:r w:rsidR="00A02889">
          <w:rPr>
            <w:color w:val="0000FF"/>
            <w:u w:val="single" w:color="0000FF"/>
          </w:rPr>
          <w:t>https://doi.org/10.25259/IJDVL_188_2023</w:t>
        </w:r>
      </w:hyperlink>
    </w:p>
    <w:p w14:paraId="2BF1388E" w14:textId="77777777" w:rsidR="00A02889" w:rsidRDefault="00000000">
      <w:pPr>
        <w:pStyle w:val="BodyText"/>
        <w:spacing w:before="9" w:line="518" w:lineRule="exact"/>
        <w:ind w:left="720" w:right="720"/>
        <w:jc w:val="both"/>
      </w:pPr>
      <w:r>
        <w:t>National Center for Complementary and Integrative Health. (2025). Ginger: Usefulness and Ramadan,</w:t>
      </w:r>
      <w:r>
        <w:rPr>
          <w:spacing w:val="-13"/>
        </w:rPr>
        <w:t xml:space="preserve"> </w:t>
      </w:r>
      <w:r>
        <w:t>M.,</w:t>
      </w:r>
      <w:r>
        <w:rPr>
          <w:spacing w:val="74"/>
        </w:rPr>
        <w:t xml:space="preserve"> </w:t>
      </w:r>
      <w:r>
        <w:t>and</w:t>
      </w:r>
      <w:r>
        <w:rPr>
          <w:spacing w:val="-12"/>
        </w:rPr>
        <w:t xml:space="preserve"> </w:t>
      </w:r>
      <w:r>
        <w:t>Turk,</w:t>
      </w:r>
      <w:r>
        <w:rPr>
          <w:spacing w:val="-12"/>
        </w:rPr>
        <w:t xml:space="preserve"> </w:t>
      </w:r>
      <w:r>
        <w:t>S.</w:t>
      </w:r>
      <w:r>
        <w:rPr>
          <w:spacing w:val="74"/>
        </w:rPr>
        <w:t xml:space="preserve"> </w:t>
      </w:r>
      <w:r>
        <w:t>(2023).</w:t>
      </w:r>
      <w:r>
        <w:rPr>
          <w:spacing w:val="60"/>
        </w:rPr>
        <w:t xml:space="preserve"> </w:t>
      </w:r>
      <w:r>
        <w:t>Assessment</w:t>
      </w:r>
      <w:r>
        <w:rPr>
          <w:spacing w:val="75"/>
        </w:rPr>
        <w:t xml:space="preserve"> </w:t>
      </w:r>
      <w:r>
        <w:t>of</w:t>
      </w:r>
      <w:r>
        <w:rPr>
          <w:spacing w:val="73"/>
        </w:rPr>
        <w:t xml:space="preserve"> </w:t>
      </w:r>
      <w:r>
        <w:t>the</w:t>
      </w:r>
      <w:r>
        <w:rPr>
          <w:spacing w:val="74"/>
        </w:rPr>
        <w:t xml:space="preserve"> </w:t>
      </w:r>
      <w:r>
        <w:t>acid</w:t>
      </w:r>
      <w:r>
        <w:rPr>
          <w:spacing w:val="76"/>
        </w:rPr>
        <w:t xml:space="preserve"> </w:t>
      </w:r>
      <w:r>
        <w:t>neutralizing</w:t>
      </w:r>
      <w:r>
        <w:rPr>
          <w:spacing w:val="75"/>
        </w:rPr>
        <w:t xml:space="preserve"> </w:t>
      </w:r>
      <w:r>
        <w:t>capacity</w:t>
      </w:r>
      <w:r>
        <w:rPr>
          <w:spacing w:val="69"/>
        </w:rPr>
        <w:t xml:space="preserve"> </w:t>
      </w:r>
      <w:r>
        <w:t>and</w:t>
      </w:r>
      <w:r>
        <w:rPr>
          <w:spacing w:val="75"/>
        </w:rPr>
        <w:t xml:space="preserve"> </w:t>
      </w:r>
      <w:r>
        <w:rPr>
          <w:spacing w:val="-2"/>
        </w:rPr>
        <w:t>other</w:t>
      </w:r>
    </w:p>
    <w:p w14:paraId="6013730E" w14:textId="77777777" w:rsidR="00A02889" w:rsidRDefault="00000000">
      <w:pPr>
        <w:spacing w:line="276" w:lineRule="auto"/>
        <w:ind w:left="1505" w:right="719"/>
        <w:jc w:val="both"/>
        <w:rPr>
          <w:sz w:val="24"/>
        </w:rPr>
      </w:pPr>
      <w:r>
        <w:rPr>
          <w:sz w:val="24"/>
        </w:rPr>
        <w:t xml:space="preserve">properties of antacid formulations marketed in the Gaza Strip. </w:t>
      </w:r>
      <w:r>
        <w:rPr>
          <w:i/>
          <w:sz w:val="24"/>
        </w:rPr>
        <w:t>Sabon</w:t>
      </w:r>
      <w:r>
        <w:rPr>
          <w:i/>
          <w:spacing w:val="-15"/>
          <w:sz w:val="24"/>
        </w:rPr>
        <w:t xml:space="preserve"> </w:t>
      </w:r>
      <w:r>
        <w:rPr>
          <w:i/>
          <w:sz w:val="24"/>
        </w:rPr>
        <w:t>University</w:t>
      </w:r>
      <w:r>
        <w:rPr>
          <w:i/>
          <w:spacing w:val="-15"/>
          <w:sz w:val="24"/>
        </w:rPr>
        <w:t xml:space="preserve"> </w:t>
      </w:r>
      <w:r>
        <w:rPr>
          <w:i/>
          <w:sz w:val="24"/>
        </w:rPr>
        <w:t>Journal of Olfactory and Zoological Research, 6</w:t>
      </w:r>
      <w:r>
        <w:rPr>
          <w:sz w:val="24"/>
        </w:rPr>
        <w:t xml:space="preserve">(2), 199-207. </w:t>
      </w:r>
      <w:hyperlink r:id="rId35">
        <w:r w:rsidR="00A02889">
          <w:rPr>
            <w:sz w:val="24"/>
          </w:rPr>
          <w:t>https://doi.org/10.52865/qchr1551</w:t>
        </w:r>
      </w:hyperlink>
    </w:p>
    <w:p w14:paraId="6531C743" w14:textId="77777777" w:rsidR="00A02889" w:rsidRDefault="00000000">
      <w:pPr>
        <w:pStyle w:val="BodyText"/>
        <w:spacing w:before="191" w:line="276" w:lineRule="auto"/>
        <w:ind w:left="1505" w:right="717" w:hanging="785"/>
        <w:jc w:val="both"/>
      </w:pPr>
      <w:r>
        <w:t xml:space="preserve">Raman, R., and Ajmera, R. (2025). 22 benefits and uses of baking soda. </w:t>
      </w:r>
      <w:r>
        <w:rPr>
          <w:i/>
        </w:rPr>
        <w:t>Healthline</w:t>
      </w:r>
      <w:r>
        <w:t xml:space="preserve">. </w:t>
      </w:r>
      <w:hyperlink r:id="rId36">
        <w:r w:rsidR="00A02889">
          <w:rPr>
            <w:spacing w:val="-2"/>
          </w:rPr>
          <w:t>https://www.healthline.com/nutrition/baking-soda-benefits-uses</w:t>
        </w:r>
      </w:hyperlink>
    </w:p>
    <w:p w14:paraId="41B633C0" w14:textId="77777777" w:rsidR="00A02889" w:rsidRDefault="00000000">
      <w:pPr>
        <w:pStyle w:val="BodyText"/>
        <w:spacing w:before="200" w:line="276" w:lineRule="auto"/>
        <w:ind w:left="1505" w:right="720" w:hanging="785"/>
        <w:jc w:val="both"/>
      </w:pPr>
      <w:r>
        <w:t>Rang,</w:t>
      </w:r>
      <w:r>
        <w:rPr>
          <w:spacing w:val="-4"/>
        </w:rPr>
        <w:t xml:space="preserve"> </w:t>
      </w:r>
      <w:r>
        <w:t>H.</w:t>
      </w:r>
      <w:r>
        <w:rPr>
          <w:spacing w:val="-5"/>
        </w:rPr>
        <w:t xml:space="preserve"> </w:t>
      </w:r>
      <w:r>
        <w:t>P.,</w:t>
      </w:r>
      <w:r>
        <w:rPr>
          <w:spacing w:val="-4"/>
        </w:rPr>
        <w:t xml:space="preserve"> </w:t>
      </w:r>
      <w:r>
        <w:t>Dale,</w:t>
      </w:r>
      <w:r>
        <w:rPr>
          <w:spacing w:val="-5"/>
        </w:rPr>
        <w:t xml:space="preserve"> </w:t>
      </w:r>
      <w:r>
        <w:t>M.</w:t>
      </w:r>
      <w:r>
        <w:rPr>
          <w:spacing w:val="-4"/>
        </w:rPr>
        <w:t xml:space="preserve"> </w:t>
      </w:r>
      <w:r>
        <w:t>M.,</w:t>
      </w:r>
      <w:r>
        <w:rPr>
          <w:spacing w:val="-4"/>
        </w:rPr>
        <w:t xml:space="preserve"> </w:t>
      </w:r>
      <w:r>
        <w:t>Ritter,</w:t>
      </w:r>
      <w:r>
        <w:rPr>
          <w:spacing w:val="-4"/>
        </w:rPr>
        <w:t xml:space="preserve"> </w:t>
      </w:r>
      <w:r>
        <w:t>J.</w:t>
      </w:r>
      <w:r>
        <w:rPr>
          <w:spacing w:val="-6"/>
        </w:rPr>
        <w:t xml:space="preserve"> </w:t>
      </w:r>
      <w:r>
        <w:t>M.,</w:t>
      </w:r>
      <w:r>
        <w:rPr>
          <w:spacing w:val="-4"/>
        </w:rPr>
        <w:t xml:space="preserve"> </w:t>
      </w:r>
      <w:r>
        <w:t>Flower,</w:t>
      </w:r>
      <w:r>
        <w:rPr>
          <w:spacing w:val="-4"/>
        </w:rPr>
        <w:t xml:space="preserve"> </w:t>
      </w:r>
      <w:r>
        <w:t>R.</w:t>
      </w:r>
      <w:r>
        <w:rPr>
          <w:spacing w:val="-4"/>
        </w:rPr>
        <w:t xml:space="preserve"> </w:t>
      </w:r>
      <w:r>
        <w:t>J., and</w:t>
      </w:r>
      <w:r>
        <w:rPr>
          <w:spacing w:val="-4"/>
        </w:rPr>
        <w:t xml:space="preserve"> </w:t>
      </w:r>
      <w:r>
        <w:t>Henderson,</w:t>
      </w:r>
      <w:r>
        <w:rPr>
          <w:spacing w:val="-5"/>
        </w:rPr>
        <w:t xml:space="preserve"> </w:t>
      </w:r>
      <w:r>
        <w:t>G.</w:t>
      </w:r>
      <w:r>
        <w:rPr>
          <w:spacing w:val="-5"/>
        </w:rPr>
        <w:t xml:space="preserve"> </w:t>
      </w:r>
      <w:r>
        <w:t>(2021).</w:t>
      </w:r>
      <w:r>
        <w:rPr>
          <w:spacing w:val="-5"/>
        </w:rPr>
        <w:t xml:space="preserve"> </w:t>
      </w:r>
      <w:r>
        <w:t>Rang</w:t>
      </w:r>
      <w:r>
        <w:rPr>
          <w:spacing w:val="-4"/>
        </w:rPr>
        <w:t xml:space="preserve"> </w:t>
      </w:r>
      <w:r>
        <w:t>and</w:t>
      </w:r>
      <w:r>
        <w:rPr>
          <w:spacing w:val="-4"/>
        </w:rPr>
        <w:t xml:space="preserve"> </w:t>
      </w:r>
      <w:proofErr w:type="gramStart"/>
      <w:r>
        <w:t>Dale‘</w:t>
      </w:r>
      <w:proofErr w:type="gramEnd"/>
      <w:r>
        <w:t>s pharmacology (9th ed.). Elsevier.</w:t>
      </w:r>
    </w:p>
    <w:p w14:paraId="05EC217F" w14:textId="77777777" w:rsidR="00A02889" w:rsidRDefault="00A02889">
      <w:pPr>
        <w:pStyle w:val="BodyText"/>
        <w:spacing w:line="276" w:lineRule="auto"/>
        <w:jc w:val="both"/>
        <w:sectPr w:rsidR="00A02889">
          <w:pgSz w:w="12240" w:h="15840"/>
          <w:pgMar w:top="1360" w:right="720" w:bottom="1260" w:left="720" w:header="0" w:footer="1068" w:gutter="0"/>
          <w:cols w:space="720"/>
        </w:sectPr>
      </w:pPr>
    </w:p>
    <w:p w14:paraId="4ECDC952" w14:textId="77777777" w:rsidR="00A02889" w:rsidRDefault="00000000">
      <w:pPr>
        <w:pStyle w:val="BodyText"/>
        <w:spacing w:before="74" w:line="276" w:lineRule="auto"/>
        <w:ind w:left="1505" w:right="719" w:hanging="785"/>
        <w:jc w:val="both"/>
      </w:pPr>
      <w:r>
        <w:lastRenderedPageBreak/>
        <w:t xml:space="preserve">Rodriguez-Stanley S, Ahmed T, Zubaidi S, Riley S, </w:t>
      </w:r>
      <w:proofErr w:type="spellStart"/>
      <w:r>
        <w:t>Akbarali</w:t>
      </w:r>
      <w:proofErr w:type="spellEnd"/>
      <w:r>
        <w:t xml:space="preserve"> HI, Mellow MH, and Miner PB. (2004). Calcium carbonate antacids alter esophageal motility in heartburn sufferers. Dig Dis Sci. 2004 Nov-Dec;49(11-12):1862-7</w:t>
      </w:r>
    </w:p>
    <w:p w14:paraId="47B133DE" w14:textId="77777777" w:rsidR="00A02889" w:rsidRDefault="00000000">
      <w:pPr>
        <w:pStyle w:val="BodyText"/>
        <w:spacing w:before="200" w:line="276" w:lineRule="auto"/>
        <w:ind w:left="1505" w:right="715" w:hanging="785"/>
        <w:jc w:val="both"/>
      </w:pPr>
      <w:r>
        <w:t>Salisbury, C., and Terrell,</w:t>
      </w:r>
      <w:r>
        <w:rPr>
          <w:spacing w:val="-5"/>
        </w:rPr>
        <w:t xml:space="preserve"> </w:t>
      </w:r>
      <w:r>
        <w:t xml:space="preserve">A. (2023). Pharmacological overview of </w:t>
      </w:r>
      <w:proofErr w:type="spellStart"/>
      <w:r>
        <w:t>aluminium</w:t>
      </w:r>
      <w:proofErr w:type="spellEnd"/>
      <w:r>
        <w:t xml:space="preserve">-based antacids in acid-related disorders. Springer Nature. https://link.springer.com/chapter/10.1007/978-3- </w:t>
      </w:r>
      <w:r>
        <w:rPr>
          <w:spacing w:val="-2"/>
        </w:rPr>
        <w:t>030-99067-1_23</w:t>
      </w:r>
    </w:p>
    <w:p w14:paraId="741FA6C2" w14:textId="77777777" w:rsidR="00A02889" w:rsidRDefault="00000000">
      <w:pPr>
        <w:pStyle w:val="BodyText"/>
        <w:spacing w:before="200" w:line="276" w:lineRule="auto"/>
        <w:ind w:left="1505" w:right="712" w:hanging="785"/>
        <w:jc w:val="both"/>
      </w:pPr>
      <w:proofErr w:type="spellStart"/>
      <w:r>
        <w:t>Scarpignato</w:t>
      </w:r>
      <w:proofErr w:type="spellEnd"/>
      <w:r>
        <w:t xml:space="preserve">, C. (2022). Acid-lowering drugs for the treatment of gastro-esophageal reflux disease. In Y. Vandenplas (Ed.), Gastroesophageal reflux in children (pp. 273–305). Springer. </w:t>
      </w:r>
      <w:hyperlink r:id="rId37">
        <w:r w:rsidR="00A02889">
          <w:rPr>
            <w:color w:val="0000FF"/>
            <w:u w:val="single" w:color="0000FF"/>
          </w:rPr>
          <w:t>https://doi.org/10.1007/978-3-030-99067-1_22</w:t>
        </w:r>
      </w:hyperlink>
    </w:p>
    <w:p w14:paraId="7D4D5BE1" w14:textId="77777777" w:rsidR="00A02889" w:rsidRDefault="00000000">
      <w:pPr>
        <w:pStyle w:val="BodyText"/>
        <w:spacing w:before="201" w:line="276" w:lineRule="auto"/>
        <w:ind w:left="1505" w:right="720" w:hanging="785"/>
        <w:jc w:val="both"/>
      </w:pPr>
      <w:r>
        <w:t xml:space="preserve">Schirmacher, H., </w:t>
      </w:r>
      <w:proofErr w:type="spellStart"/>
      <w:r>
        <w:t>Elshiewy</w:t>
      </w:r>
      <w:proofErr w:type="spellEnd"/>
      <w:r>
        <w:t xml:space="preserve">, O., and </w:t>
      </w:r>
      <w:proofErr w:type="spellStart"/>
      <w:r>
        <w:t>Boztug</w:t>
      </w:r>
      <w:proofErr w:type="spellEnd"/>
      <w:r>
        <w:t>,</w:t>
      </w:r>
      <w:r>
        <w:rPr>
          <w:spacing w:val="-3"/>
        </w:rPr>
        <w:t xml:space="preserve"> </w:t>
      </w:r>
      <w:r>
        <w:t>Y. (2023).</w:t>
      </w:r>
      <w:r>
        <w:rPr>
          <w:spacing w:val="-1"/>
        </w:rPr>
        <w:t xml:space="preserve"> </w:t>
      </w:r>
      <w:r>
        <w:t>That's not natural! Consumer response to disconfirmed expectations about ‗</w:t>
      </w:r>
      <w:proofErr w:type="gramStart"/>
      <w:r>
        <w:t>natural‘ food</w:t>
      </w:r>
      <w:proofErr w:type="gramEnd"/>
      <w:r>
        <w:t xml:space="preserve">. Appetite, 180, 106270. </w:t>
      </w:r>
      <w:r>
        <w:rPr>
          <w:spacing w:val="-2"/>
        </w:rPr>
        <w:t>https://doi.org/10.1016/j.appet.2022.106270</w:t>
      </w:r>
    </w:p>
    <w:p w14:paraId="1BCACD3D" w14:textId="77777777" w:rsidR="00A02889" w:rsidRDefault="00000000">
      <w:pPr>
        <w:pStyle w:val="BodyText"/>
        <w:spacing w:before="200" w:line="276" w:lineRule="auto"/>
        <w:ind w:left="1505" w:right="720" w:hanging="785"/>
        <w:jc w:val="both"/>
      </w:pPr>
      <w:r>
        <w:t>Schucker JJ, and Ward KE. (2005). Hyperphosphatemia and phosphate binders. Am J Health Syst Pharm. Nov 15;62(22):2355-61. sciencedirect.com</w:t>
      </w:r>
    </w:p>
    <w:p w14:paraId="4E30526F" w14:textId="77777777" w:rsidR="00A02889" w:rsidRDefault="00000000">
      <w:pPr>
        <w:pStyle w:val="BodyText"/>
        <w:spacing w:before="200" w:line="276" w:lineRule="auto"/>
        <w:ind w:left="1505" w:right="721" w:hanging="785"/>
        <w:jc w:val="both"/>
      </w:pPr>
      <w:r>
        <w:t>Scott, J., Kumar, D., and Reeves, T. (2020). Role of sodium bicarbonate in gastric acid management: Efficacy and safety considerations. Journal of Clinical Gastroenterology, 54(7), 642–648.</w:t>
      </w:r>
    </w:p>
    <w:p w14:paraId="2ED74BC9" w14:textId="77777777" w:rsidR="00A02889" w:rsidRDefault="00A02889">
      <w:pPr>
        <w:pStyle w:val="BodyText"/>
        <w:spacing w:before="3"/>
      </w:pPr>
    </w:p>
    <w:p w14:paraId="1483213C" w14:textId="77777777" w:rsidR="00A02889" w:rsidRDefault="00000000">
      <w:pPr>
        <w:spacing w:line="276" w:lineRule="auto"/>
        <w:ind w:left="1505" w:right="718" w:hanging="785"/>
        <w:jc w:val="both"/>
        <w:rPr>
          <w:sz w:val="24"/>
        </w:rPr>
      </w:pPr>
      <w:r>
        <w:rPr>
          <w:sz w:val="24"/>
        </w:rPr>
        <w:t xml:space="preserve">Scott, J., Williams, L., and Patel, R. (2020). </w:t>
      </w:r>
      <w:r>
        <w:rPr>
          <w:i/>
          <w:sz w:val="24"/>
        </w:rPr>
        <w:t xml:space="preserve">Public Perception and Safety Concerns in Natural Remedies. </w:t>
      </w:r>
      <w:r>
        <w:rPr>
          <w:sz w:val="24"/>
        </w:rPr>
        <w:t>British Journal of Health Sciences, 7(2), 78–86.</w:t>
      </w:r>
    </w:p>
    <w:p w14:paraId="059EABA7" w14:textId="77777777" w:rsidR="00A02889" w:rsidRDefault="00A02889">
      <w:pPr>
        <w:pStyle w:val="BodyText"/>
        <w:spacing w:before="6"/>
      </w:pPr>
    </w:p>
    <w:p w14:paraId="332BE9A1" w14:textId="77777777" w:rsidR="00A02889" w:rsidRDefault="00000000">
      <w:pPr>
        <w:pStyle w:val="BodyText"/>
        <w:spacing w:before="1" w:line="276" w:lineRule="auto"/>
        <w:ind w:left="1505" w:right="719" w:hanging="785"/>
        <w:jc w:val="both"/>
      </w:pPr>
      <w:proofErr w:type="spellStart"/>
      <w:r>
        <w:t>Senewiratne</w:t>
      </w:r>
      <w:proofErr w:type="spellEnd"/>
      <w:r>
        <w:t xml:space="preserve">, N. L., Woodall, A., and Can, A. S. (2024). Sodium bicarbonate. In </w:t>
      </w:r>
      <w:proofErr w:type="spellStart"/>
      <w:r>
        <w:rPr>
          <w:i/>
        </w:rPr>
        <w:t>StatPearls</w:t>
      </w:r>
      <w:proofErr w:type="spellEnd"/>
      <w:r>
        <w:rPr>
          <w:i/>
        </w:rPr>
        <w:t xml:space="preserve"> </w:t>
      </w:r>
      <w:r>
        <w:t xml:space="preserve">[Internet]. Treasure Island (FL): </w:t>
      </w:r>
      <w:proofErr w:type="spellStart"/>
      <w:r>
        <w:t>StatPearls</w:t>
      </w:r>
      <w:proofErr w:type="spellEnd"/>
      <w:r>
        <w:t xml:space="preserve"> Publishing; 2025 Jan. </w:t>
      </w:r>
      <w:hyperlink r:id="rId38">
        <w:r w:rsidR="00A02889">
          <w:rPr>
            <w:color w:val="0000FF"/>
            <w:spacing w:val="-2"/>
            <w:u w:val="single" w:color="0000FF"/>
          </w:rPr>
          <w:t>https://www.ncbi.nlm.nih.gov/books/NBK559139/</w:t>
        </w:r>
      </w:hyperlink>
    </w:p>
    <w:p w14:paraId="36AE95AA" w14:textId="77777777" w:rsidR="00A02889" w:rsidRDefault="00000000">
      <w:pPr>
        <w:pStyle w:val="BodyText"/>
        <w:spacing w:before="199"/>
        <w:ind w:left="720"/>
        <w:jc w:val="both"/>
      </w:pPr>
      <w:proofErr w:type="spellStart"/>
      <w:r>
        <w:t>Shaqran</w:t>
      </w:r>
      <w:proofErr w:type="spellEnd"/>
      <w:r>
        <w:t>,</w:t>
      </w:r>
      <w:r>
        <w:rPr>
          <w:spacing w:val="-5"/>
        </w:rPr>
        <w:t xml:space="preserve"> </w:t>
      </w:r>
      <w:r>
        <w:t>T.</w:t>
      </w:r>
      <w:r>
        <w:rPr>
          <w:spacing w:val="1"/>
        </w:rPr>
        <w:t xml:space="preserve"> </w:t>
      </w:r>
      <w:r>
        <w:t>M.,</w:t>
      </w:r>
      <w:r>
        <w:rPr>
          <w:spacing w:val="3"/>
        </w:rPr>
        <w:t xml:space="preserve"> </w:t>
      </w:r>
      <w:r>
        <w:t>Ismaeel,</w:t>
      </w:r>
      <w:r>
        <w:rPr>
          <w:spacing w:val="2"/>
        </w:rPr>
        <w:t xml:space="preserve"> </w:t>
      </w:r>
      <w:r>
        <w:t>M.</w:t>
      </w:r>
      <w:r>
        <w:rPr>
          <w:spacing w:val="1"/>
        </w:rPr>
        <w:t xml:space="preserve"> </w:t>
      </w:r>
      <w:r>
        <w:t>M.,</w:t>
      </w:r>
      <w:r>
        <w:rPr>
          <w:spacing w:val="-12"/>
        </w:rPr>
        <w:t xml:space="preserve"> </w:t>
      </w:r>
      <w:proofErr w:type="spellStart"/>
      <w:r>
        <w:t>Alnuaman</w:t>
      </w:r>
      <w:proofErr w:type="spellEnd"/>
      <w:r>
        <w:t>,</w:t>
      </w:r>
      <w:r>
        <w:rPr>
          <w:spacing w:val="-11"/>
        </w:rPr>
        <w:t xml:space="preserve"> </w:t>
      </w:r>
      <w:r>
        <w:t>A.</w:t>
      </w:r>
      <w:r>
        <w:rPr>
          <w:spacing w:val="-13"/>
        </w:rPr>
        <w:t xml:space="preserve"> </w:t>
      </w:r>
      <w:r>
        <w:t>A.,</w:t>
      </w:r>
      <w:r>
        <w:rPr>
          <w:spacing w:val="-10"/>
        </w:rPr>
        <w:t xml:space="preserve"> </w:t>
      </w:r>
      <w:r>
        <w:t>Al</w:t>
      </w:r>
      <w:r>
        <w:rPr>
          <w:spacing w:val="-13"/>
        </w:rPr>
        <w:t xml:space="preserve"> </w:t>
      </w:r>
      <w:r>
        <w:t>Ahmad,</w:t>
      </w:r>
      <w:r>
        <w:rPr>
          <w:spacing w:val="3"/>
        </w:rPr>
        <w:t xml:space="preserve"> </w:t>
      </w:r>
      <w:r>
        <w:t>F.</w:t>
      </w:r>
      <w:r>
        <w:rPr>
          <w:spacing w:val="-10"/>
        </w:rPr>
        <w:t xml:space="preserve"> </w:t>
      </w:r>
      <w:r>
        <w:t>A.,</w:t>
      </w:r>
      <w:r>
        <w:rPr>
          <w:spacing w:val="-14"/>
        </w:rPr>
        <w:t xml:space="preserve"> </w:t>
      </w:r>
      <w:proofErr w:type="spellStart"/>
      <w:r>
        <w:t>Albalawi</w:t>
      </w:r>
      <w:proofErr w:type="spellEnd"/>
      <w:r>
        <w:t>,</w:t>
      </w:r>
      <w:r>
        <w:rPr>
          <w:spacing w:val="1"/>
        </w:rPr>
        <w:t xml:space="preserve"> </w:t>
      </w:r>
      <w:r>
        <w:t>G.</w:t>
      </w:r>
      <w:r>
        <w:rPr>
          <w:spacing w:val="-13"/>
        </w:rPr>
        <w:t xml:space="preserve"> </w:t>
      </w:r>
      <w:r>
        <w:t>A.,</w:t>
      </w:r>
      <w:r>
        <w:rPr>
          <w:spacing w:val="-10"/>
        </w:rPr>
        <w:t xml:space="preserve"> </w:t>
      </w:r>
      <w:proofErr w:type="spellStart"/>
      <w:r>
        <w:rPr>
          <w:spacing w:val="-2"/>
        </w:rPr>
        <w:t>Almubarak</w:t>
      </w:r>
      <w:proofErr w:type="spellEnd"/>
      <w:r>
        <w:rPr>
          <w:spacing w:val="-2"/>
        </w:rPr>
        <w:t>,</w:t>
      </w:r>
    </w:p>
    <w:p w14:paraId="62B05BDE" w14:textId="77777777" w:rsidR="00A02889" w:rsidRDefault="00000000">
      <w:pPr>
        <w:pStyle w:val="BodyText"/>
        <w:spacing w:before="41" w:line="276" w:lineRule="auto"/>
        <w:ind w:left="1505" w:right="712"/>
        <w:jc w:val="both"/>
      </w:pPr>
      <w:r>
        <w:t xml:space="preserve">J. N., and </w:t>
      </w:r>
      <w:proofErr w:type="spellStart"/>
      <w:r>
        <w:t>Daghriri</w:t>
      </w:r>
      <w:proofErr w:type="spellEnd"/>
      <w:r>
        <w:t xml:space="preserve">, A. A. (2023). Epidemiology, causes, and management of gastro- esophageal reflux disease: A systematic review. Cureus, 15(10), e47420. </w:t>
      </w:r>
      <w:hyperlink r:id="rId39">
        <w:r w:rsidR="00A02889">
          <w:rPr>
            <w:color w:val="0000FF"/>
            <w:spacing w:val="-2"/>
            <w:u w:val="single" w:color="0000FF"/>
          </w:rPr>
          <w:t>https://doi.org/10.7759/cureus.47420</w:t>
        </w:r>
      </w:hyperlink>
    </w:p>
    <w:p w14:paraId="22C14DEF" w14:textId="77777777" w:rsidR="00A02889" w:rsidRDefault="00000000">
      <w:pPr>
        <w:pStyle w:val="BodyText"/>
        <w:spacing w:before="201" w:line="276" w:lineRule="auto"/>
        <w:ind w:left="720" w:right="719"/>
        <w:jc w:val="both"/>
      </w:pPr>
      <w:r>
        <w:t>Shetty, B., and Vishwanath, M.</w:t>
      </w:r>
      <w:r>
        <w:rPr>
          <w:spacing w:val="-14"/>
        </w:rPr>
        <w:t xml:space="preserve"> </w:t>
      </w:r>
      <w:r>
        <w:t>K. (2022). An expert opinion on antacids: A review of its pharmacological properties and therapeutic efficacy [Version</w:t>
      </w:r>
      <w:r>
        <w:rPr>
          <w:spacing w:val="-15"/>
        </w:rPr>
        <w:t xml:space="preserve"> </w:t>
      </w:r>
      <w:r>
        <w:t>1; peer review:</w:t>
      </w:r>
      <w:r>
        <w:rPr>
          <w:spacing w:val="-15"/>
        </w:rPr>
        <w:t xml:space="preserve"> </w:t>
      </w:r>
      <w:r>
        <w:t xml:space="preserve">1 approved]. F1000Research, 11, 1057. </w:t>
      </w:r>
      <w:hyperlink r:id="rId40">
        <w:r w:rsidR="00A02889">
          <w:rPr>
            <w:color w:val="0000FF"/>
            <w:u w:val="single" w:color="0000FF"/>
          </w:rPr>
          <w:t>https://doi.org/10.12688/f1000research.124024.1</w:t>
        </w:r>
      </w:hyperlink>
    </w:p>
    <w:p w14:paraId="6CD78E15" w14:textId="77777777" w:rsidR="00A02889" w:rsidRDefault="00000000">
      <w:pPr>
        <w:pStyle w:val="BodyText"/>
        <w:spacing w:before="200" w:line="276" w:lineRule="auto"/>
        <w:ind w:left="1505" w:right="720" w:hanging="785"/>
        <w:jc w:val="both"/>
      </w:pPr>
      <w:proofErr w:type="spellStart"/>
      <w:r>
        <w:t>Sifawa</w:t>
      </w:r>
      <w:proofErr w:type="spellEnd"/>
      <w:r>
        <w:t>, U.</w:t>
      </w:r>
      <w:r>
        <w:rPr>
          <w:spacing w:val="-13"/>
        </w:rPr>
        <w:t xml:space="preserve"> </w:t>
      </w:r>
      <w:r>
        <w:t>B., et al. (2024). Spatial analyses of specific criteria pollutants distribution in Sokoto Metropolis, Sokoto State [Paper]. International Journal of Innovative Scientific and Engineering Technologies Research, 12(4), 119‑126.</w:t>
      </w:r>
    </w:p>
    <w:p w14:paraId="2472A7AD" w14:textId="77777777" w:rsidR="00A02889" w:rsidRDefault="00A02889">
      <w:pPr>
        <w:pStyle w:val="BodyText"/>
        <w:spacing w:line="276" w:lineRule="auto"/>
        <w:jc w:val="both"/>
        <w:sectPr w:rsidR="00A02889">
          <w:pgSz w:w="12240" w:h="15840"/>
          <w:pgMar w:top="1360" w:right="720" w:bottom="1260" w:left="720" w:header="0" w:footer="1068" w:gutter="0"/>
          <w:cols w:space="720"/>
        </w:sectPr>
      </w:pPr>
    </w:p>
    <w:p w14:paraId="5D976EFD" w14:textId="77777777" w:rsidR="00A02889" w:rsidRDefault="00000000">
      <w:pPr>
        <w:spacing w:before="74" w:line="276" w:lineRule="auto"/>
        <w:ind w:left="1505" w:right="718" w:hanging="785"/>
        <w:jc w:val="both"/>
        <w:rPr>
          <w:sz w:val="24"/>
        </w:rPr>
      </w:pPr>
      <w:r>
        <w:rPr>
          <w:sz w:val="24"/>
        </w:rPr>
        <w:lastRenderedPageBreak/>
        <w:t xml:space="preserve">Singh, R., and Thomas, M. (2022). </w:t>
      </w:r>
      <w:r>
        <w:rPr>
          <w:i/>
          <w:sz w:val="24"/>
        </w:rPr>
        <w:t>Comparative Analysis of Natural and Synthetic Antacids in Acid</w:t>
      </w:r>
      <w:r>
        <w:rPr>
          <w:i/>
          <w:spacing w:val="24"/>
          <w:sz w:val="24"/>
        </w:rPr>
        <w:t xml:space="preserve"> </w:t>
      </w:r>
      <w:r>
        <w:rPr>
          <w:i/>
          <w:sz w:val="24"/>
        </w:rPr>
        <w:t>Neutralization.</w:t>
      </w:r>
      <w:r>
        <w:rPr>
          <w:i/>
          <w:spacing w:val="28"/>
          <w:sz w:val="24"/>
        </w:rPr>
        <w:t xml:space="preserve"> </w:t>
      </w:r>
      <w:r>
        <w:rPr>
          <w:sz w:val="24"/>
        </w:rPr>
        <w:t>International</w:t>
      </w:r>
      <w:r>
        <w:rPr>
          <w:spacing w:val="24"/>
          <w:sz w:val="24"/>
        </w:rPr>
        <w:t xml:space="preserve"> </w:t>
      </w:r>
      <w:r>
        <w:rPr>
          <w:sz w:val="24"/>
        </w:rPr>
        <w:t>Journal</w:t>
      </w:r>
      <w:r>
        <w:rPr>
          <w:spacing w:val="24"/>
          <w:sz w:val="24"/>
        </w:rPr>
        <w:t xml:space="preserve"> </w:t>
      </w:r>
      <w:r>
        <w:rPr>
          <w:sz w:val="24"/>
        </w:rPr>
        <w:t>of</w:t>
      </w:r>
      <w:r>
        <w:rPr>
          <w:spacing w:val="23"/>
          <w:sz w:val="24"/>
        </w:rPr>
        <w:t xml:space="preserve"> </w:t>
      </w:r>
      <w:r>
        <w:rPr>
          <w:sz w:val="24"/>
        </w:rPr>
        <w:t>Pharmaceutical</w:t>
      </w:r>
      <w:r>
        <w:rPr>
          <w:spacing w:val="24"/>
          <w:sz w:val="24"/>
        </w:rPr>
        <w:t xml:space="preserve"> </w:t>
      </w:r>
      <w:r>
        <w:rPr>
          <w:sz w:val="24"/>
        </w:rPr>
        <w:t>Sciences,</w:t>
      </w:r>
      <w:r>
        <w:rPr>
          <w:spacing w:val="24"/>
          <w:sz w:val="24"/>
        </w:rPr>
        <w:t xml:space="preserve"> </w:t>
      </w:r>
      <w:r>
        <w:rPr>
          <w:sz w:val="24"/>
        </w:rPr>
        <w:t>14(4),</w:t>
      </w:r>
      <w:r>
        <w:rPr>
          <w:spacing w:val="25"/>
          <w:sz w:val="24"/>
        </w:rPr>
        <w:t xml:space="preserve"> </w:t>
      </w:r>
      <w:r>
        <w:rPr>
          <w:spacing w:val="-2"/>
          <w:sz w:val="24"/>
        </w:rPr>
        <w:t>245–253.</w:t>
      </w:r>
    </w:p>
    <w:p w14:paraId="1589C345" w14:textId="77777777" w:rsidR="00A02889" w:rsidRDefault="00A02889">
      <w:pPr>
        <w:pStyle w:val="BodyText"/>
      </w:pPr>
    </w:p>
    <w:p w14:paraId="6114DBFF" w14:textId="77777777" w:rsidR="00A02889" w:rsidRDefault="00A02889">
      <w:pPr>
        <w:pStyle w:val="BodyText"/>
        <w:spacing w:before="45"/>
      </w:pPr>
    </w:p>
    <w:p w14:paraId="7848ACBC" w14:textId="77777777" w:rsidR="00A02889" w:rsidRDefault="00000000">
      <w:pPr>
        <w:pStyle w:val="BodyText"/>
        <w:spacing w:line="276" w:lineRule="auto"/>
        <w:ind w:left="1505" w:right="722" w:hanging="785"/>
        <w:jc w:val="both"/>
      </w:pPr>
      <w:r>
        <w:t>Singh, R., Verma, S., and Sharma, N. (2020). Herbal approaches for managing gastric hyperacidity: A review of Zingiber officinale. Asian Journal of Plant Science and Research, 10(4), 12–18.</w:t>
      </w:r>
    </w:p>
    <w:p w14:paraId="1717A61B" w14:textId="77777777" w:rsidR="00A02889" w:rsidRDefault="00000000">
      <w:pPr>
        <w:pStyle w:val="BodyText"/>
        <w:spacing w:before="200" w:line="278" w:lineRule="auto"/>
        <w:ind w:left="1505" w:right="718" w:hanging="785"/>
        <w:jc w:val="both"/>
      </w:pPr>
      <w:proofErr w:type="spellStart"/>
      <w:r>
        <w:t>StatPearls</w:t>
      </w:r>
      <w:proofErr w:type="spellEnd"/>
      <w:r>
        <w:t xml:space="preserve">. (2025). Sodium bicarbonate – Mechanism and administration. NCBI Bookshelf. </w:t>
      </w:r>
      <w:r>
        <w:rPr>
          <w:spacing w:val="-2"/>
        </w:rPr>
        <w:t>https:/</w:t>
      </w:r>
      <w:hyperlink r:id="rId41">
        <w:r w:rsidR="00A02889">
          <w:rPr>
            <w:spacing w:val="-2"/>
          </w:rPr>
          <w:t>/www.ncbi.nlm.nih.gov/books/NBK559139/</w:t>
        </w:r>
      </w:hyperlink>
    </w:p>
    <w:p w14:paraId="014C0C64" w14:textId="77777777" w:rsidR="00A02889" w:rsidRDefault="00000000">
      <w:pPr>
        <w:pStyle w:val="BodyText"/>
        <w:spacing w:before="195" w:line="276" w:lineRule="auto"/>
        <w:ind w:left="1505" w:right="721" w:hanging="785"/>
        <w:jc w:val="both"/>
      </w:pPr>
      <w:r>
        <w:t xml:space="preserve">Stefani, V. (2023). Comparison of the buffering capacity of canine food in relation … (Diploma thesis). </w:t>
      </w:r>
      <w:proofErr w:type="spellStart"/>
      <w:r>
        <w:t>Veterinärmedizinische</w:t>
      </w:r>
      <w:proofErr w:type="spellEnd"/>
      <w:r>
        <w:t xml:space="preserve"> Universität Wien, Austria. Retrieved from </w:t>
      </w:r>
      <w:r>
        <w:rPr>
          <w:spacing w:val="-2"/>
        </w:rPr>
        <w:t>https://phaidra.vetmeduni.ac.at/o:4051</w:t>
      </w:r>
    </w:p>
    <w:p w14:paraId="5D83FCBE" w14:textId="77777777" w:rsidR="00A02889" w:rsidRDefault="00000000">
      <w:pPr>
        <w:pStyle w:val="BodyText"/>
        <w:spacing w:before="200" w:line="278" w:lineRule="auto"/>
        <w:ind w:left="1505" w:right="723" w:hanging="785"/>
        <w:jc w:val="both"/>
      </w:pPr>
      <w:r>
        <w:t>Sweetman, 2002 Sweetman S.C. Sweetman (Ed.), Martindale: The complete drug reference (Edition 33), Pharmaceutical Press, London (2002)</w:t>
      </w:r>
    </w:p>
    <w:p w14:paraId="2B83E981" w14:textId="77777777" w:rsidR="00A02889" w:rsidRDefault="00000000">
      <w:pPr>
        <w:pStyle w:val="BodyText"/>
        <w:spacing w:before="195" w:line="276" w:lineRule="auto"/>
        <w:ind w:left="1505" w:right="721" w:hanging="785"/>
        <w:jc w:val="both"/>
      </w:pPr>
      <w:r>
        <w:t>Talalay P, Talalay P. The importance of using scientific principles in the development of medicinal agents from plants.</w:t>
      </w:r>
      <w:r>
        <w:rPr>
          <w:spacing w:val="-2"/>
        </w:rPr>
        <w:t xml:space="preserve"> </w:t>
      </w:r>
      <w:proofErr w:type="spellStart"/>
      <w:r>
        <w:t>Acad</w:t>
      </w:r>
      <w:proofErr w:type="spellEnd"/>
      <w:r>
        <w:t xml:space="preserve"> Med. 2001;76(3):238–47. [ PubMed: 11242573]</w:t>
      </w:r>
    </w:p>
    <w:p w14:paraId="7EA1CF0E" w14:textId="77777777" w:rsidR="00A02889" w:rsidRDefault="00000000">
      <w:pPr>
        <w:pStyle w:val="BodyText"/>
        <w:spacing w:before="201" w:line="276" w:lineRule="auto"/>
        <w:ind w:left="1505" w:right="717" w:hanging="785"/>
        <w:jc w:val="both"/>
      </w:pPr>
      <w:r>
        <w:t xml:space="preserve">Tomina O, </w:t>
      </w:r>
      <w:proofErr w:type="spellStart"/>
      <w:r>
        <w:t>Yabluchansky</w:t>
      </w:r>
      <w:proofErr w:type="spellEnd"/>
      <w:r>
        <w:t xml:space="preserve"> M, Bychkova O, </w:t>
      </w:r>
      <w:proofErr w:type="spellStart"/>
      <w:r>
        <w:t>Ivleva</w:t>
      </w:r>
      <w:proofErr w:type="spellEnd"/>
      <w:r>
        <w:t xml:space="preserve"> O. (2014). Antacids clinical pharmacology. Journal of V N </w:t>
      </w:r>
      <w:proofErr w:type="gramStart"/>
      <w:r>
        <w:t xml:space="preserve">Karazin‘ </w:t>
      </w:r>
      <w:proofErr w:type="spellStart"/>
      <w:r>
        <w:t>KhNU</w:t>
      </w:r>
      <w:proofErr w:type="spellEnd"/>
      <w:proofErr w:type="gramEnd"/>
      <w:r>
        <w:t xml:space="preserve">. </w:t>
      </w:r>
      <w:proofErr w:type="gramStart"/>
      <w:r>
        <w:t>2014;1141:52</w:t>
      </w:r>
      <w:proofErr w:type="gramEnd"/>
      <w:r>
        <w:t xml:space="preserve">-7. Available from: </w:t>
      </w:r>
      <w:hyperlink r:id="rId42">
        <w:r w:rsidR="00A02889">
          <w:rPr>
            <w:color w:val="0000FF"/>
            <w:u w:val="single" w:color="0000FF"/>
          </w:rPr>
          <w:t>http://oaji.net/articles/2015/1225-1437914944.pdf. Accessed 25 September 2020</w:t>
        </w:r>
      </w:hyperlink>
      <w:r>
        <w:t>.</w:t>
      </w:r>
    </w:p>
    <w:p w14:paraId="20913A15" w14:textId="77777777" w:rsidR="00A02889" w:rsidRDefault="00000000">
      <w:pPr>
        <w:pStyle w:val="BodyText"/>
        <w:spacing w:before="200" w:line="276" w:lineRule="auto"/>
        <w:ind w:left="1505" w:right="723" w:hanging="785"/>
        <w:jc w:val="both"/>
      </w:pPr>
      <w:r>
        <w:t xml:space="preserve">Tripathi, K. D. (2018). Essentials of Medical Pharmacology (8th ed.). Jaypee Brothers Medical </w:t>
      </w:r>
      <w:r>
        <w:rPr>
          <w:spacing w:val="-2"/>
        </w:rPr>
        <w:t>Publishers.</w:t>
      </w:r>
    </w:p>
    <w:p w14:paraId="7E6E03FA" w14:textId="77777777" w:rsidR="00A02889" w:rsidRDefault="00000000">
      <w:pPr>
        <w:pStyle w:val="BodyText"/>
        <w:spacing w:before="200" w:line="276" w:lineRule="auto"/>
        <w:ind w:left="1505" w:right="717" w:hanging="785"/>
        <w:jc w:val="both"/>
      </w:pPr>
      <w:proofErr w:type="spellStart"/>
      <w:r>
        <w:t>Tytgat</w:t>
      </w:r>
      <w:proofErr w:type="spellEnd"/>
      <w:r>
        <w:t>, G. N. (2003). Review: Treatments for gastroesophageal reflux disease. Scandinavian Journal of Gastroenterology, 38(sup239), 19-23.</w:t>
      </w:r>
    </w:p>
    <w:p w14:paraId="5D9B918B" w14:textId="77777777" w:rsidR="00A02889" w:rsidRDefault="00000000">
      <w:pPr>
        <w:pStyle w:val="BodyText"/>
        <w:spacing w:before="201" w:line="276" w:lineRule="auto"/>
        <w:ind w:left="1505" w:right="720" w:hanging="785"/>
        <w:jc w:val="both"/>
      </w:pPr>
      <w:r>
        <w:t xml:space="preserve">WebMD. (2025). Sodium bicarbonate – Uses, side effects, and more. </w:t>
      </w:r>
      <w:r>
        <w:rPr>
          <w:spacing w:val="-2"/>
        </w:rPr>
        <w:t>https:/</w:t>
      </w:r>
      <w:hyperlink r:id="rId43">
        <w:r w:rsidR="00A02889">
          <w:rPr>
            <w:spacing w:val="-2"/>
          </w:rPr>
          <w:t>/www.webmd.com/vitamins/ai/ingredientmono-1470/sodium-bicarbonate</w:t>
        </w:r>
      </w:hyperlink>
    </w:p>
    <w:p w14:paraId="342B67ED" w14:textId="77777777" w:rsidR="00A02889" w:rsidRDefault="00000000">
      <w:pPr>
        <w:pStyle w:val="BodyText"/>
        <w:spacing w:before="198" w:line="276" w:lineRule="auto"/>
        <w:ind w:left="1505" w:right="717" w:hanging="785"/>
        <w:jc w:val="both"/>
      </w:pPr>
      <w:r>
        <w:t>Willhite CC,</w:t>
      </w:r>
      <w:r>
        <w:rPr>
          <w:spacing w:val="-1"/>
        </w:rPr>
        <w:t xml:space="preserve"> </w:t>
      </w:r>
      <w:proofErr w:type="spellStart"/>
      <w:r>
        <w:t>Karyakina</w:t>
      </w:r>
      <w:proofErr w:type="spellEnd"/>
      <w:r>
        <w:rPr>
          <w:spacing w:val="-1"/>
        </w:rPr>
        <w:t xml:space="preserve"> </w:t>
      </w:r>
      <w:r>
        <w:t>NA,</w:t>
      </w:r>
      <w:r>
        <w:rPr>
          <w:spacing w:val="-7"/>
        </w:rPr>
        <w:t xml:space="preserve"> </w:t>
      </w:r>
      <w:r>
        <w:t>Yokel RA,</w:t>
      </w:r>
      <w:r>
        <w:rPr>
          <w:spacing w:val="-8"/>
        </w:rPr>
        <w:t xml:space="preserve"> </w:t>
      </w:r>
      <w:proofErr w:type="spellStart"/>
      <w:r>
        <w:t>Yenugadhati</w:t>
      </w:r>
      <w:proofErr w:type="spellEnd"/>
      <w:r>
        <w:t xml:space="preserve"> N,</w:t>
      </w:r>
      <w:r>
        <w:rPr>
          <w:spacing w:val="-4"/>
        </w:rPr>
        <w:t xml:space="preserve"> </w:t>
      </w:r>
      <w:r>
        <w:t>Wisniewski</w:t>
      </w:r>
      <w:r>
        <w:rPr>
          <w:spacing w:val="-3"/>
        </w:rPr>
        <w:t xml:space="preserve"> </w:t>
      </w:r>
      <w:r>
        <w:t>TM,</w:t>
      </w:r>
      <w:r>
        <w:rPr>
          <w:spacing w:val="-13"/>
        </w:rPr>
        <w:t xml:space="preserve"> </w:t>
      </w:r>
      <w:r>
        <w:t xml:space="preserve">Arnold IM, </w:t>
      </w:r>
      <w:proofErr w:type="spellStart"/>
      <w:r>
        <w:t>Momoli</w:t>
      </w:r>
      <w:proofErr w:type="spellEnd"/>
      <w:r>
        <w:t xml:space="preserve"> F, and </w:t>
      </w:r>
      <w:proofErr w:type="spellStart"/>
      <w:r>
        <w:t>Krewski</w:t>
      </w:r>
      <w:proofErr w:type="spellEnd"/>
      <w:r>
        <w:t xml:space="preserve"> D. (2014). Systematic review of potential health risks posed by pharmaceutical, occupational and consumer exposures to metallic and nanoscale aluminum, aluminum oxides, aluminum hydroxide and its soluble salts. Crit Rev </w:t>
      </w:r>
      <w:proofErr w:type="spellStart"/>
      <w:r>
        <w:t>Toxicol</w:t>
      </w:r>
      <w:proofErr w:type="spellEnd"/>
      <w:r>
        <w:t>. 2014 Oct;44 Suppl 4(Suppl 4):1-80. [ PMC free article: PMC4997813] [ PubMed: 25233067]</w:t>
      </w:r>
    </w:p>
    <w:p w14:paraId="003EAE31" w14:textId="77777777" w:rsidR="00A02889" w:rsidRDefault="00000000">
      <w:pPr>
        <w:pStyle w:val="BodyText"/>
        <w:spacing w:before="201" w:line="276" w:lineRule="auto"/>
        <w:ind w:left="1505" w:right="714" w:hanging="785"/>
        <w:jc w:val="both"/>
      </w:pPr>
      <w:r>
        <w:t>Wu K. L, Rayner C. K, and Chuah S. K, (2008).</w:t>
      </w:r>
      <w:r>
        <w:rPr>
          <w:spacing w:val="40"/>
        </w:rPr>
        <w:t xml:space="preserve"> </w:t>
      </w:r>
      <w:r>
        <w:t>Effects of ginger on gastric emptying and motility</w:t>
      </w:r>
      <w:r>
        <w:rPr>
          <w:spacing w:val="-3"/>
        </w:rPr>
        <w:t xml:space="preserve"> </w:t>
      </w:r>
      <w:r>
        <w:t xml:space="preserve">in healthy humans. </w:t>
      </w:r>
      <w:proofErr w:type="spellStart"/>
      <w:r>
        <w:t>Eur</w:t>
      </w:r>
      <w:proofErr w:type="spellEnd"/>
      <w:r>
        <w:t xml:space="preserve"> J Gastroenterol Hepatol. 2008;20(5):436–40. [ PubMed: </w:t>
      </w:r>
      <w:r>
        <w:rPr>
          <w:spacing w:val="-2"/>
        </w:rPr>
        <w:t>18403946]</w:t>
      </w:r>
    </w:p>
    <w:p w14:paraId="7FAD3F06" w14:textId="77777777" w:rsidR="00A02889" w:rsidRDefault="00A02889">
      <w:pPr>
        <w:pStyle w:val="BodyText"/>
        <w:spacing w:line="276" w:lineRule="auto"/>
        <w:jc w:val="both"/>
        <w:sectPr w:rsidR="00A02889">
          <w:pgSz w:w="12240" w:h="15840"/>
          <w:pgMar w:top="1360" w:right="720" w:bottom="1260" w:left="720" w:header="0" w:footer="1068" w:gutter="0"/>
          <w:cols w:space="720"/>
        </w:sectPr>
      </w:pPr>
    </w:p>
    <w:p w14:paraId="3457D659" w14:textId="77777777" w:rsidR="00A02889" w:rsidRDefault="00000000">
      <w:pPr>
        <w:pStyle w:val="BodyText"/>
        <w:tabs>
          <w:tab w:val="left" w:pos="2920"/>
          <w:tab w:val="left" w:pos="5407"/>
          <w:tab w:val="left" w:pos="7312"/>
          <w:tab w:val="left" w:pos="9047"/>
        </w:tabs>
        <w:spacing w:before="74" w:line="276" w:lineRule="auto"/>
        <w:ind w:left="720" w:right="716"/>
        <w:jc w:val="both"/>
      </w:pPr>
      <w:r>
        <w:lastRenderedPageBreak/>
        <w:t>Yadav,</w:t>
      </w:r>
      <w:r>
        <w:rPr>
          <w:spacing w:val="-15"/>
        </w:rPr>
        <w:t xml:space="preserve"> </w:t>
      </w:r>
      <w:r>
        <w:t>S.,</w:t>
      </w:r>
      <w:r>
        <w:rPr>
          <w:spacing w:val="-7"/>
        </w:rPr>
        <w:t xml:space="preserve"> </w:t>
      </w:r>
      <w:r>
        <w:t>Yadav,</w:t>
      </w:r>
      <w:r>
        <w:rPr>
          <w:spacing w:val="-15"/>
        </w:rPr>
        <w:t xml:space="preserve"> </w:t>
      </w:r>
      <w:r>
        <w:t>J., Kumar,</w:t>
      </w:r>
      <w:r>
        <w:rPr>
          <w:spacing w:val="-15"/>
        </w:rPr>
        <w:t xml:space="preserve"> </w:t>
      </w:r>
      <w:r>
        <w:t>S., and Singh,</w:t>
      </w:r>
      <w:r>
        <w:rPr>
          <w:spacing w:val="-15"/>
        </w:rPr>
        <w:t xml:space="preserve"> </w:t>
      </w:r>
      <w:r>
        <w:t xml:space="preserve">P. (2024). Metabolism of macro‑elements (calcium, magnesium, sodium, potassium, chloride and phosphorus) and associated disorders. In Clinical applications of biomolecules in disease diagnosis: A comprehensive guide to biochemistry and </w:t>
      </w:r>
      <w:r>
        <w:rPr>
          <w:spacing w:val="-2"/>
        </w:rPr>
        <w:t>metabolism</w:t>
      </w:r>
      <w:r>
        <w:tab/>
        <w:t>(pp.</w:t>
      </w:r>
      <w:r>
        <w:rPr>
          <w:spacing w:val="-5"/>
        </w:rPr>
        <w:t xml:space="preserve"> </w:t>
      </w:r>
      <w:r>
        <w:t>177–203).</w:t>
      </w:r>
      <w:r>
        <w:tab/>
      </w:r>
      <w:r>
        <w:rPr>
          <w:spacing w:val="-2"/>
        </w:rPr>
        <w:t>Springer</w:t>
      </w:r>
      <w:r>
        <w:tab/>
      </w:r>
      <w:r>
        <w:rPr>
          <w:spacing w:val="-2"/>
        </w:rPr>
        <w:t>Nature</w:t>
      </w:r>
      <w:r>
        <w:tab/>
      </w:r>
      <w:r>
        <w:rPr>
          <w:spacing w:val="-2"/>
        </w:rPr>
        <w:t>Singapore. https://doi.org/10.1007/978‑981‑97‑4723‑8_8</w:t>
      </w:r>
    </w:p>
    <w:p w14:paraId="28C6DE4A" w14:textId="77777777" w:rsidR="00A02889" w:rsidRDefault="00000000">
      <w:pPr>
        <w:pStyle w:val="BodyText"/>
        <w:spacing w:before="202" w:line="276" w:lineRule="auto"/>
        <w:ind w:left="1505" w:right="718" w:hanging="785"/>
        <w:jc w:val="both"/>
      </w:pPr>
      <w:r>
        <w:t>Zhang, L.‑y., Liu, J.‑g., Han, Y., Zhang, S.‑m., Jiang, L.‑f., Zhan, C.‑r.,</w:t>
      </w:r>
      <w:r>
        <w:rPr>
          <w:spacing w:val="-15"/>
        </w:rPr>
        <w:t xml:space="preserve"> </w:t>
      </w:r>
      <w:r>
        <w:t>…</w:t>
      </w:r>
      <w:r>
        <w:rPr>
          <w:spacing w:val="-15"/>
        </w:rPr>
        <w:t xml:space="preserve"> </w:t>
      </w:r>
      <w:r>
        <w:t xml:space="preserve">Wang, W.‑j. (2024). Determination of sodium bicarbonate in compositions of smoke‑type fireworks based on automatic potentiometric setting dynamic pH titration method. Chemical Papers, 78, 645–650. </w:t>
      </w:r>
      <w:hyperlink r:id="rId44">
        <w:r w:rsidR="00A02889">
          <w:rPr>
            <w:color w:val="0000FF"/>
            <w:u w:val="single" w:color="0000FF"/>
          </w:rPr>
          <w:t>https://doi.org/10.1007/s11696-023-03099-2</w:t>
        </w:r>
      </w:hyperlink>
    </w:p>
    <w:p w14:paraId="704A7B12" w14:textId="77777777" w:rsidR="00A02889" w:rsidRDefault="00000000">
      <w:pPr>
        <w:pStyle w:val="BodyText"/>
        <w:spacing w:before="199" w:line="276" w:lineRule="auto"/>
        <w:ind w:left="720" w:right="720"/>
        <w:jc w:val="both"/>
      </w:pPr>
      <w:r>
        <w:t>Zhang,</w:t>
      </w:r>
      <w:r>
        <w:rPr>
          <w:spacing w:val="-8"/>
        </w:rPr>
        <w:t xml:space="preserve"> </w:t>
      </w:r>
      <w:r>
        <w:t>T.,</w:t>
      </w:r>
      <w:r>
        <w:rPr>
          <w:spacing w:val="-4"/>
        </w:rPr>
        <w:t xml:space="preserve"> </w:t>
      </w:r>
      <w:r>
        <w:t>He,</w:t>
      </w:r>
      <w:r>
        <w:rPr>
          <w:spacing w:val="-4"/>
        </w:rPr>
        <w:t xml:space="preserve"> </w:t>
      </w:r>
      <w:r>
        <w:t>P.,</w:t>
      </w:r>
      <w:r>
        <w:rPr>
          <w:spacing w:val="-4"/>
        </w:rPr>
        <w:t xml:space="preserve"> </w:t>
      </w:r>
      <w:r>
        <w:t>Guo,</w:t>
      </w:r>
      <w:r>
        <w:rPr>
          <w:spacing w:val="-4"/>
        </w:rPr>
        <w:t xml:space="preserve"> </w:t>
      </w:r>
      <w:r>
        <w:t>D.,</w:t>
      </w:r>
      <w:r>
        <w:rPr>
          <w:spacing w:val="-4"/>
        </w:rPr>
        <w:t xml:space="preserve"> </w:t>
      </w:r>
      <w:r>
        <w:t>Chen,</w:t>
      </w:r>
      <w:r>
        <w:rPr>
          <w:spacing w:val="-4"/>
        </w:rPr>
        <w:t xml:space="preserve"> </w:t>
      </w:r>
      <w:r>
        <w:t>K.,</w:t>
      </w:r>
      <w:r>
        <w:rPr>
          <w:spacing w:val="-4"/>
        </w:rPr>
        <w:t xml:space="preserve"> </w:t>
      </w:r>
      <w:r>
        <w:t>Hu,</w:t>
      </w:r>
      <w:r>
        <w:rPr>
          <w:spacing w:val="-4"/>
        </w:rPr>
        <w:t xml:space="preserve"> </w:t>
      </w:r>
      <w:r>
        <w:t>Z.,</w:t>
      </w:r>
      <w:r>
        <w:rPr>
          <w:spacing w:val="-1"/>
        </w:rPr>
        <w:t xml:space="preserve"> </w:t>
      </w:r>
      <w:r>
        <w:t>and</w:t>
      </w:r>
      <w:r>
        <w:rPr>
          <w:spacing w:val="-15"/>
        </w:rPr>
        <w:t xml:space="preserve"> </w:t>
      </w:r>
      <w:r>
        <w:t>Zou,</w:t>
      </w:r>
      <w:r>
        <w:rPr>
          <w:spacing w:val="-10"/>
        </w:rPr>
        <w:t xml:space="preserve"> </w:t>
      </w:r>
      <w:r>
        <w:t>Y.</w:t>
      </w:r>
      <w:r>
        <w:rPr>
          <w:spacing w:val="-4"/>
        </w:rPr>
        <w:t xml:space="preserve"> </w:t>
      </w:r>
      <w:r>
        <w:t>(2023).</w:t>
      </w:r>
      <w:r>
        <w:rPr>
          <w:spacing w:val="-5"/>
        </w:rPr>
        <w:t xml:space="preserve"> </w:t>
      </w:r>
      <w:r>
        <w:t>Research</w:t>
      </w:r>
      <w:r>
        <w:rPr>
          <w:spacing w:val="-2"/>
        </w:rPr>
        <w:t xml:space="preserve"> </w:t>
      </w:r>
      <w:r>
        <w:t>progress</w:t>
      </w:r>
      <w:r>
        <w:rPr>
          <w:spacing w:val="-3"/>
        </w:rPr>
        <w:t xml:space="preserve"> </w:t>
      </w:r>
      <w:r>
        <w:t>of</w:t>
      </w:r>
      <w:r>
        <w:rPr>
          <w:spacing w:val="-5"/>
        </w:rPr>
        <w:t xml:space="preserve"> </w:t>
      </w:r>
      <w:r>
        <w:t>aluminum phosphate</w:t>
      </w:r>
      <w:r>
        <w:rPr>
          <w:spacing w:val="40"/>
        </w:rPr>
        <w:t xml:space="preserve"> </w:t>
      </w:r>
      <w:r>
        <w:t>adjuvants</w:t>
      </w:r>
      <w:r>
        <w:rPr>
          <w:spacing w:val="40"/>
        </w:rPr>
        <w:t xml:space="preserve"> </w:t>
      </w:r>
      <w:r>
        <w:t>and</w:t>
      </w:r>
      <w:r>
        <w:rPr>
          <w:spacing w:val="40"/>
        </w:rPr>
        <w:t xml:space="preserve"> </w:t>
      </w:r>
      <w:r>
        <w:t>their</w:t>
      </w:r>
      <w:r>
        <w:rPr>
          <w:spacing w:val="40"/>
        </w:rPr>
        <w:t xml:space="preserve"> </w:t>
      </w:r>
      <w:r>
        <w:t>action</w:t>
      </w:r>
      <w:r>
        <w:rPr>
          <w:spacing w:val="40"/>
        </w:rPr>
        <w:t xml:space="preserve"> </w:t>
      </w:r>
      <w:r>
        <w:t>mechanisms.</w:t>
      </w:r>
      <w:r>
        <w:rPr>
          <w:spacing w:val="-13"/>
        </w:rPr>
        <w:t xml:space="preserve"> </w:t>
      </w:r>
      <w:r>
        <w:t>Pharmaceutics,</w:t>
      </w:r>
      <w:r>
        <w:rPr>
          <w:spacing w:val="-13"/>
        </w:rPr>
        <w:t xml:space="preserve"> </w:t>
      </w:r>
      <w:r>
        <w:t>15(6),</w:t>
      </w:r>
      <w:r>
        <w:rPr>
          <w:spacing w:val="-11"/>
        </w:rPr>
        <w:t xml:space="preserve"> </w:t>
      </w:r>
      <w:r>
        <w:t xml:space="preserve">1756. </w:t>
      </w:r>
      <w:hyperlink r:id="rId45">
        <w:r w:rsidR="00A02889">
          <w:rPr>
            <w:color w:val="0000FF"/>
            <w:spacing w:val="-2"/>
            <w:u w:val="single" w:color="0000FF"/>
          </w:rPr>
          <w:t>https://doi.org/10.3390/pharmaceutics15061756</w:t>
        </w:r>
      </w:hyperlink>
    </w:p>
    <w:sectPr w:rsidR="00A02889">
      <w:pgSz w:w="12240" w:h="15840"/>
      <w:pgMar w:top="1360" w:right="720" w:bottom="1260" w:left="720" w:header="0" w:footer="10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DDDD6B" w14:textId="77777777" w:rsidR="00377D8A" w:rsidRDefault="00377D8A">
      <w:r>
        <w:separator/>
      </w:r>
    </w:p>
  </w:endnote>
  <w:endnote w:type="continuationSeparator" w:id="0">
    <w:p w14:paraId="24228207" w14:textId="77777777" w:rsidR="00377D8A" w:rsidRDefault="00377D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A3AC3" w14:textId="77777777" w:rsidR="00A02889" w:rsidRDefault="00000000">
    <w:pPr>
      <w:pStyle w:val="BodyText"/>
      <w:spacing w:line="14" w:lineRule="auto"/>
      <w:rPr>
        <w:sz w:val="20"/>
      </w:rPr>
    </w:pPr>
    <w:r>
      <w:rPr>
        <w:noProof/>
        <w:sz w:val="20"/>
      </w:rPr>
      <mc:AlternateContent>
        <mc:Choice Requires="wps">
          <w:drawing>
            <wp:anchor distT="0" distB="0" distL="0" distR="0" simplePos="0" relativeHeight="486529024" behindDoc="1" locked="0" layoutInCell="1" allowOverlap="1" wp14:anchorId="23C00264" wp14:editId="18287379">
              <wp:simplePos x="0" y="0"/>
              <wp:positionH relativeFrom="page">
                <wp:posOffset>3773551</wp:posOffset>
              </wp:positionH>
              <wp:positionV relativeFrom="page">
                <wp:posOffset>9240553</wp:posOffset>
              </wp:positionV>
              <wp:extent cx="229235"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94310"/>
                      </a:xfrm>
                      <a:prstGeom prst="rect">
                        <a:avLst/>
                      </a:prstGeom>
                    </wps:spPr>
                    <wps:txbx>
                      <w:txbxContent>
                        <w:p w14:paraId="5A6E689F" w14:textId="77777777" w:rsidR="00A02889" w:rsidRDefault="00000000">
                          <w:pPr>
                            <w:pStyle w:val="BodyText"/>
                            <w:spacing w:before="10"/>
                            <w:ind w:left="20"/>
                          </w:pPr>
                          <w:r>
                            <w:rPr>
                              <w:spacing w:val="-4"/>
                            </w:rPr>
                            <w:fldChar w:fldCharType="begin"/>
                          </w:r>
                          <w:r>
                            <w:rPr>
                              <w:spacing w:val="-4"/>
                            </w:rPr>
                            <w:instrText xml:space="preserve"> PAGE  \* roman </w:instrText>
                          </w:r>
                          <w:r>
                            <w:rPr>
                              <w:spacing w:val="-4"/>
                            </w:rPr>
                            <w:fldChar w:fldCharType="separate"/>
                          </w:r>
                          <w:r>
                            <w:rPr>
                              <w:spacing w:val="-4"/>
                            </w:rPr>
                            <w:t>viii</w:t>
                          </w:r>
                          <w:r>
                            <w:rPr>
                              <w:spacing w:val="-4"/>
                            </w:rPr>
                            <w:fldChar w:fldCharType="end"/>
                          </w:r>
                        </w:p>
                      </w:txbxContent>
                    </wps:txbx>
                    <wps:bodyPr wrap="square" lIns="0" tIns="0" rIns="0" bIns="0" rtlCol="0">
                      <a:noAutofit/>
                    </wps:bodyPr>
                  </wps:wsp>
                </a:graphicData>
              </a:graphic>
            </wp:anchor>
          </w:drawing>
        </mc:Choice>
        <mc:Fallback>
          <w:pict>
            <v:shapetype w14:anchorId="23C00264" id="_x0000_t202" coordsize="21600,21600" o:spt="202" path="m,l,21600r21600,l21600,xe">
              <v:stroke joinstyle="miter"/>
              <v:path gradientshapeok="t" o:connecttype="rect"/>
            </v:shapetype>
            <v:shape id="Textbox 1" o:spid="_x0000_s1042" type="#_x0000_t202" style="position:absolute;margin-left:297.15pt;margin-top:727.6pt;width:18.05pt;height:15.3pt;z-index:-1678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" filled="f" stroked="f">
              <v:textbox inset="0,0,0,0">
                <w:txbxContent>
                  <w:p w14:paraId="5A6E689F" w14:textId="77777777" w:rsidR="00A02889" w:rsidRDefault="00000000">
                    <w:pPr>
                      <w:pStyle w:val="BodyText"/>
                      <w:spacing w:before="10"/>
                      <w:ind w:left="20"/>
                    </w:pPr>
                    <w:r>
                      <w:rPr>
                        <w:spacing w:val="-4"/>
                      </w:rPr>
                      <w:fldChar w:fldCharType="begin"/>
                    </w:r>
                    <w:r>
                      <w:rPr>
                        <w:spacing w:val="-4"/>
                      </w:rPr>
                      <w:instrText xml:space="preserve"> PAGE  \* roman </w:instrText>
                    </w:r>
                    <w:r>
                      <w:rPr>
                        <w:spacing w:val="-4"/>
                      </w:rPr>
                      <w:fldChar w:fldCharType="separate"/>
                    </w:r>
                    <w:r>
                      <w:rPr>
                        <w:spacing w:val="-4"/>
                      </w:rPr>
                      <w:t>viii</w:t>
                    </w:r>
                    <w:r>
                      <w:rPr>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2CB4E" w14:textId="77777777" w:rsidR="00A02889" w:rsidRDefault="00000000">
    <w:pPr>
      <w:pStyle w:val="BodyText"/>
      <w:spacing w:line="14" w:lineRule="auto"/>
      <w:rPr>
        <w:sz w:val="20"/>
      </w:rPr>
    </w:pPr>
    <w:r>
      <w:rPr>
        <w:noProof/>
        <w:sz w:val="20"/>
      </w:rPr>
      <mc:AlternateContent>
        <mc:Choice Requires="wps">
          <w:drawing>
            <wp:anchor distT="0" distB="0" distL="0" distR="0" simplePos="0" relativeHeight="486529536" behindDoc="1" locked="0" layoutInCell="1" allowOverlap="1" wp14:anchorId="62E2A4D3" wp14:editId="2BDA1183">
              <wp:simplePos x="0" y="0"/>
              <wp:positionH relativeFrom="page">
                <wp:posOffset>3797934</wp:posOffset>
              </wp:positionH>
              <wp:positionV relativeFrom="page">
                <wp:posOffset>9240553</wp:posOffset>
              </wp:positionV>
              <wp:extent cx="177800"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14:paraId="06D86CE3" w14:textId="77777777" w:rsidR="00A02889" w:rsidRDefault="00000000">
                          <w:pPr>
                            <w:pStyle w:val="BodyText"/>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62E2A4D3" id="_x0000_t202" coordsize="21600,21600" o:spt="202" path="m,l,21600r21600,l21600,xe">
              <v:stroke joinstyle="miter"/>
              <v:path gradientshapeok="t" o:connecttype="rect"/>
            </v:shapetype>
            <v:shape id="Textbox 2" o:spid="_x0000_s1043" type="#_x0000_t202" style="position:absolute;margin-left:299.05pt;margin-top:727.6pt;width:14pt;height:15.3pt;z-index:-1678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" filled="f" stroked="f">
              <v:textbox inset="0,0,0,0">
                <w:txbxContent>
                  <w:p w14:paraId="06D86CE3" w14:textId="77777777" w:rsidR="00A02889" w:rsidRDefault="00000000">
                    <w:pPr>
                      <w:pStyle w:val="BodyText"/>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50E0C1" w14:textId="77777777" w:rsidR="00377D8A" w:rsidRDefault="00377D8A">
      <w:r>
        <w:separator/>
      </w:r>
    </w:p>
  </w:footnote>
  <w:footnote w:type="continuationSeparator" w:id="0">
    <w:p w14:paraId="0FB550BB" w14:textId="77777777" w:rsidR="00377D8A" w:rsidRDefault="00377D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437331"/>
    <w:multiLevelType w:val="hybridMultilevel"/>
    <w:tmpl w:val="C6A40956"/>
    <w:lvl w:ilvl="0" w:tplc="96BE8C54">
      <w:start w:val="9"/>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FC258CA">
      <w:numFmt w:val="bullet"/>
      <w:lvlText w:val="•"/>
      <w:lvlJc w:val="left"/>
      <w:pPr>
        <w:ind w:left="1944" w:hanging="240"/>
      </w:pPr>
      <w:rPr>
        <w:rFonts w:hint="default"/>
        <w:lang w:val="en-US" w:eastAsia="en-US" w:bidi="ar-SA"/>
      </w:rPr>
    </w:lvl>
    <w:lvl w:ilvl="2" w:tplc="AF444CA4">
      <w:numFmt w:val="bullet"/>
      <w:lvlText w:val="•"/>
      <w:lvlJc w:val="left"/>
      <w:pPr>
        <w:ind w:left="2928" w:hanging="240"/>
      </w:pPr>
      <w:rPr>
        <w:rFonts w:hint="default"/>
        <w:lang w:val="en-US" w:eastAsia="en-US" w:bidi="ar-SA"/>
      </w:rPr>
    </w:lvl>
    <w:lvl w:ilvl="3" w:tplc="86EA2F8E">
      <w:numFmt w:val="bullet"/>
      <w:lvlText w:val="•"/>
      <w:lvlJc w:val="left"/>
      <w:pPr>
        <w:ind w:left="3912" w:hanging="240"/>
      </w:pPr>
      <w:rPr>
        <w:rFonts w:hint="default"/>
        <w:lang w:val="en-US" w:eastAsia="en-US" w:bidi="ar-SA"/>
      </w:rPr>
    </w:lvl>
    <w:lvl w:ilvl="4" w:tplc="C39E3AB4">
      <w:numFmt w:val="bullet"/>
      <w:lvlText w:val="•"/>
      <w:lvlJc w:val="left"/>
      <w:pPr>
        <w:ind w:left="4896" w:hanging="240"/>
      </w:pPr>
      <w:rPr>
        <w:rFonts w:hint="default"/>
        <w:lang w:val="en-US" w:eastAsia="en-US" w:bidi="ar-SA"/>
      </w:rPr>
    </w:lvl>
    <w:lvl w:ilvl="5" w:tplc="6530803A">
      <w:numFmt w:val="bullet"/>
      <w:lvlText w:val="•"/>
      <w:lvlJc w:val="left"/>
      <w:pPr>
        <w:ind w:left="5880" w:hanging="240"/>
      </w:pPr>
      <w:rPr>
        <w:rFonts w:hint="default"/>
        <w:lang w:val="en-US" w:eastAsia="en-US" w:bidi="ar-SA"/>
      </w:rPr>
    </w:lvl>
    <w:lvl w:ilvl="6" w:tplc="D6FE7C3E">
      <w:numFmt w:val="bullet"/>
      <w:lvlText w:val="•"/>
      <w:lvlJc w:val="left"/>
      <w:pPr>
        <w:ind w:left="6864" w:hanging="240"/>
      </w:pPr>
      <w:rPr>
        <w:rFonts w:hint="default"/>
        <w:lang w:val="en-US" w:eastAsia="en-US" w:bidi="ar-SA"/>
      </w:rPr>
    </w:lvl>
    <w:lvl w:ilvl="7" w:tplc="C5CEF31A">
      <w:numFmt w:val="bullet"/>
      <w:lvlText w:val="•"/>
      <w:lvlJc w:val="left"/>
      <w:pPr>
        <w:ind w:left="7848" w:hanging="240"/>
      </w:pPr>
      <w:rPr>
        <w:rFonts w:hint="default"/>
        <w:lang w:val="en-US" w:eastAsia="en-US" w:bidi="ar-SA"/>
      </w:rPr>
    </w:lvl>
    <w:lvl w:ilvl="8" w:tplc="EDF42852">
      <w:numFmt w:val="bullet"/>
      <w:lvlText w:val="•"/>
      <w:lvlJc w:val="left"/>
      <w:pPr>
        <w:ind w:left="8832" w:hanging="240"/>
      </w:pPr>
      <w:rPr>
        <w:rFonts w:hint="default"/>
        <w:lang w:val="en-US" w:eastAsia="en-US" w:bidi="ar-SA"/>
      </w:rPr>
    </w:lvl>
  </w:abstractNum>
  <w:abstractNum w:abstractNumId="1" w15:restartNumberingAfterBreak="0">
    <w:nsid w:val="1382146F"/>
    <w:multiLevelType w:val="multilevel"/>
    <w:tmpl w:val="18C0D3E4"/>
    <w:lvl w:ilvl="0">
      <w:start w:val="5"/>
      <w:numFmt w:val="decimal"/>
      <w:lvlText w:val="%1"/>
      <w:lvlJc w:val="left"/>
      <w:pPr>
        <w:ind w:left="1301" w:hanging="360"/>
        <w:jc w:val="left"/>
      </w:pPr>
      <w:rPr>
        <w:rFonts w:hint="default"/>
        <w:lang w:val="en-US" w:eastAsia="en-US" w:bidi="ar-SA"/>
      </w:rPr>
    </w:lvl>
    <w:lvl w:ilvl="1">
      <w:numFmt w:val="decimal"/>
      <w:lvlText w:val="%1.%2"/>
      <w:lvlJc w:val="left"/>
      <w:pPr>
        <w:ind w:left="13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200" w:hanging="360"/>
      </w:pPr>
      <w:rPr>
        <w:rFonts w:hint="default"/>
        <w:lang w:val="en-US" w:eastAsia="en-US" w:bidi="ar-SA"/>
      </w:rPr>
    </w:lvl>
    <w:lvl w:ilvl="3">
      <w:numFmt w:val="bullet"/>
      <w:lvlText w:val="•"/>
      <w:lvlJc w:val="left"/>
      <w:pPr>
        <w:ind w:left="4150" w:hanging="360"/>
      </w:pPr>
      <w:rPr>
        <w:rFonts w:hint="default"/>
        <w:lang w:val="en-US" w:eastAsia="en-US" w:bidi="ar-SA"/>
      </w:rPr>
    </w:lvl>
    <w:lvl w:ilvl="4">
      <w:numFmt w:val="bullet"/>
      <w:lvlText w:val="•"/>
      <w:lvlJc w:val="left"/>
      <w:pPr>
        <w:ind w:left="5100" w:hanging="360"/>
      </w:pPr>
      <w:rPr>
        <w:rFonts w:hint="default"/>
        <w:lang w:val="en-US" w:eastAsia="en-US" w:bidi="ar-SA"/>
      </w:rPr>
    </w:lvl>
    <w:lvl w:ilvl="5">
      <w:numFmt w:val="bullet"/>
      <w:lvlText w:val="•"/>
      <w:lvlJc w:val="left"/>
      <w:pPr>
        <w:ind w:left="6050" w:hanging="360"/>
      </w:pPr>
      <w:rPr>
        <w:rFonts w:hint="default"/>
        <w:lang w:val="en-US" w:eastAsia="en-US" w:bidi="ar-SA"/>
      </w:rPr>
    </w:lvl>
    <w:lvl w:ilvl="6">
      <w:numFmt w:val="bullet"/>
      <w:lvlText w:val="•"/>
      <w:lvlJc w:val="left"/>
      <w:pPr>
        <w:ind w:left="7000" w:hanging="360"/>
      </w:pPr>
      <w:rPr>
        <w:rFonts w:hint="default"/>
        <w:lang w:val="en-US" w:eastAsia="en-US" w:bidi="ar-SA"/>
      </w:rPr>
    </w:lvl>
    <w:lvl w:ilvl="7">
      <w:numFmt w:val="bullet"/>
      <w:lvlText w:val="•"/>
      <w:lvlJc w:val="left"/>
      <w:pPr>
        <w:ind w:left="7950" w:hanging="360"/>
      </w:pPr>
      <w:rPr>
        <w:rFonts w:hint="default"/>
        <w:lang w:val="en-US" w:eastAsia="en-US" w:bidi="ar-SA"/>
      </w:rPr>
    </w:lvl>
    <w:lvl w:ilvl="8">
      <w:numFmt w:val="bullet"/>
      <w:lvlText w:val="•"/>
      <w:lvlJc w:val="left"/>
      <w:pPr>
        <w:ind w:left="8900" w:hanging="360"/>
      </w:pPr>
      <w:rPr>
        <w:rFonts w:hint="default"/>
        <w:lang w:val="en-US" w:eastAsia="en-US" w:bidi="ar-SA"/>
      </w:rPr>
    </w:lvl>
  </w:abstractNum>
  <w:abstractNum w:abstractNumId="2" w15:restartNumberingAfterBreak="0">
    <w:nsid w:val="230400CB"/>
    <w:multiLevelType w:val="multilevel"/>
    <w:tmpl w:val="1F764788"/>
    <w:lvl w:ilvl="0">
      <w:start w:val="1"/>
      <w:numFmt w:val="decimal"/>
      <w:lvlText w:val="%1"/>
      <w:lvlJc w:val="left"/>
      <w:pPr>
        <w:ind w:left="1303" w:hanging="363"/>
        <w:jc w:val="left"/>
      </w:pPr>
      <w:rPr>
        <w:rFonts w:hint="default"/>
        <w:lang w:val="en-US" w:eastAsia="en-US" w:bidi="ar-SA"/>
      </w:rPr>
    </w:lvl>
    <w:lvl w:ilvl="1">
      <w:numFmt w:val="decimal"/>
      <w:lvlText w:val="%1.%2"/>
      <w:lvlJc w:val="left"/>
      <w:pPr>
        <w:ind w:left="1303"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200" w:hanging="363"/>
      </w:pPr>
      <w:rPr>
        <w:rFonts w:hint="default"/>
        <w:lang w:val="en-US" w:eastAsia="en-US" w:bidi="ar-SA"/>
      </w:rPr>
    </w:lvl>
    <w:lvl w:ilvl="3">
      <w:numFmt w:val="bullet"/>
      <w:lvlText w:val="•"/>
      <w:lvlJc w:val="left"/>
      <w:pPr>
        <w:ind w:left="4150" w:hanging="363"/>
      </w:pPr>
      <w:rPr>
        <w:rFonts w:hint="default"/>
        <w:lang w:val="en-US" w:eastAsia="en-US" w:bidi="ar-SA"/>
      </w:rPr>
    </w:lvl>
    <w:lvl w:ilvl="4">
      <w:numFmt w:val="bullet"/>
      <w:lvlText w:val="•"/>
      <w:lvlJc w:val="left"/>
      <w:pPr>
        <w:ind w:left="5100" w:hanging="363"/>
      </w:pPr>
      <w:rPr>
        <w:rFonts w:hint="default"/>
        <w:lang w:val="en-US" w:eastAsia="en-US" w:bidi="ar-SA"/>
      </w:rPr>
    </w:lvl>
    <w:lvl w:ilvl="5">
      <w:numFmt w:val="bullet"/>
      <w:lvlText w:val="•"/>
      <w:lvlJc w:val="left"/>
      <w:pPr>
        <w:ind w:left="6050" w:hanging="363"/>
      </w:pPr>
      <w:rPr>
        <w:rFonts w:hint="default"/>
        <w:lang w:val="en-US" w:eastAsia="en-US" w:bidi="ar-SA"/>
      </w:rPr>
    </w:lvl>
    <w:lvl w:ilvl="6">
      <w:numFmt w:val="bullet"/>
      <w:lvlText w:val="•"/>
      <w:lvlJc w:val="left"/>
      <w:pPr>
        <w:ind w:left="7000" w:hanging="363"/>
      </w:pPr>
      <w:rPr>
        <w:rFonts w:hint="default"/>
        <w:lang w:val="en-US" w:eastAsia="en-US" w:bidi="ar-SA"/>
      </w:rPr>
    </w:lvl>
    <w:lvl w:ilvl="7">
      <w:numFmt w:val="bullet"/>
      <w:lvlText w:val="•"/>
      <w:lvlJc w:val="left"/>
      <w:pPr>
        <w:ind w:left="7950" w:hanging="363"/>
      </w:pPr>
      <w:rPr>
        <w:rFonts w:hint="default"/>
        <w:lang w:val="en-US" w:eastAsia="en-US" w:bidi="ar-SA"/>
      </w:rPr>
    </w:lvl>
    <w:lvl w:ilvl="8">
      <w:numFmt w:val="bullet"/>
      <w:lvlText w:val="•"/>
      <w:lvlJc w:val="left"/>
      <w:pPr>
        <w:ind w:left="8900" w:hanging="363"/>
      </w:pPr>
      <w:rPr>
        <w:rFonts w:hint="default"/>
        <w:lang w:val="en-US" w:eastAsia="en-US" w:bidi="ar-SA"/>
      </w:rPr>
    </w:lvl>
  </w:abstractNum>
  <w:abstractNum w:abstractNumId="3" w15:restartNumberingAfterBreak="0">
    <w:nsid w:val="235D4F48"/>
    <w:multiLevelType w:val="multilevel"/>
    <w:tmpl w:val="A28A04CA"/>
    <w:lvl w:ilvl="0">
      <w:start w:val="3"/>
      <w:numFmt w:val="decimal"/>
      <w:lvlText w:val="%1"/>
      <w:lvlJc w:val="left"/>
      <w:pPr>
        <w:ind w:left="1080" w:hanging="360"/>
        <w:jc w:val="left"/>
      </w:pPr>
      <w:rPr>
        <w:rFonts w:hint="default"/>
        <w:lang w:val="en-US" w:eastAsia="en-US" w:bidi="ar-SA"/>
      </w:rPr>
    </w:lvl>
    <w:lvl w:ilvl="1">
      <w:numFmt w:val="decimal"/>
      <w:lvlText w:val="%1.%2"/>
      <w:lvlJc w:val="left"/>
      <w:pPr>
        <w:ind w:left="108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260" w:hanging="540"/>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380" w:hanging="540"/>
      </w:pPr>
      <w:rPr>
        <w:rFonts w:hint="default"/>
        <w:lang w:val="en-US" w:eastAsia="en-US" w:bidi="ar-SA"/>
      </w:rPr>
    </w:lvl>
    <w:lvl w:ilvl="4">
      <w:numFmt w:val="bullet"/>
      <w:lvlText w:val="•"/>
      <w:lvlJc w:val="left"/>
      <w:pPr>
        <w:ind w:left="4440" w:hanging="540"/>
      </w:pPr>
      <w:rPr>
        <w:rFonts w:hint="default"/>
        <w:lang w:val="en-US" w:eastAsia="en-US" w:bidi="ar-SA"/>
      </w:rPr>
    </w:lvl>
    <w:lvl w:ilvl="5">
      <w:numFmt w:val="bullet"/>
      <w:lvlText w:val="•"/>
      <w:lvlJc w:val="left"/>
      <w:pPr>
        <w:ind w:left="5500" w:hanging="540"/>
      </w:pPr>
      <w:rPr>
        <w:rFonts w:hint="default"/>
        <w:lang w:val="en-US" w:eastAsia="en-US" w:bidi="ar-SA"/>
      </w:rPr>
    </w:lvl>
    <w:lvl w:ilvl="6">
      <w:numFmt w:val="bullet"/>
      <w:lvlText w:val="•"/>
      <w:lvlJc w:val="left"/>
      <w:pPr>
        <w:ind w:left="6560" w:hanging="540"/>
      </w:pPr>
      <w:rPr>
        <w:rFonts w:hint="default"/>
        <w:lang w:val="en-US" w:eastAsia="en-US" w:bidi="ar-SA"/>
      </w:rPr>
    </w:lvl>
    <w:lvl w:ilvl="7">
      <w:numFmt w:val="bullet"/>
      <w:lvlText w:val="•"/>
      <w:lvlJc w:val="left"/>
      <w:pPr>
        <w:ind w:left="7620" w:hanging="540"/>
      </w:pPr>
      <w:rPr>
        <w:rFonts w:hint="default"/>
        <w:lang w:val="en-US" w:eastAsia="en-US" w:bidi="ar-SA"/>
      </w:rPr>
    </w:lvl>
    <w:lvl w:ilvl="8">
      <w:numFmt w:val="bullet"/>
      <w:lvlText w:val="•"/>
      <w:lvlJc w:val="left"/>
      <w:pPr>
        <w:ind w:left="8680" w:hanging="540"/>
      </w:pPr>
      <w:rPr>
        <w:rFonts w:hint="default"/>
        <w:lang w:val="en-US" w:eastAsia="en-US" w:bidi="ar-SA"/>
      </w:rPr>
    </w:lvl>
  </w:abstractNum>
  <w:abstractNum w:abstractNumId="4" w15:restartNumberingAfterBreak="0">
    <w:nsid w:val="243D701D"/>
    <w:multiLevelType w:val="multilevel"/>
    <w:tmpl w:val="9C10BFE0"/>
    <w:lvl w:ilvl="0">
      <w:start w:val="3"/>
      <w:numFmt w:val="decimal"/>
      <w:lvlText w:val="%1"/>
      <w:lvlJc w:val="left"/>
      <w:pPr>
        <w:ind w:left="1301" w:hanging="360"/>
        <w:jc w:val="left"/>
      </w:pPr>
      <w:rPr>
        <w:rFonts w:hint="default"/>
        <w:lang w:val="en-US" w:eastAsia="en-US" w:bidi="ar-SA"/>
      </w:rPr>
    </w:lvl>
    <w:lvl w:ilvl="1">
      <w:numFmt w:val="decimal"/>
      <w:lvlText w:val="%1.%2"/>
      <w:lvlJc w:val="left"/>
      <w:pPr>
        <w:ind w:left="13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99" w:hanging="5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722" w:hanging="540"/>
      </w:pPr>
      <w:rPr>
        <w:rFonts w:hint="default"/>
        <w:lang w:val="en-US" w:eastAsia="en-US" w:bidi="ar-SA"/>
      </w:rPr>
    </w:lvl>
    <w:lvl w:ilvl="4">
      <w:numFmt w:val="bullet"/>
      <w:lvlText w:val="•"/>
      <w:lvlJc w:val="left"/>
      <w:pPr>
        <w:ind w:left="4733" w:hanging="540"/>
      </w:pPr>
      <w:rPr>
        <w:rFonts w:hint="default"/>
        <w:lang w:val="en-US" w:eastAsia="en-US" w:bidi="ar-SA"/>
      </w:rPr>
    </w:lvl>
    <w:lvl w:ilvl="5">
      <w:numFmt w:val="bullet"/>
      <w:lvlText w:val="•"/>
      <w:lvlJc w:val="left"/>
      <w:pPr>
        <w:ind w:left="5744" w:hanging="540"/>
      </w:pPr>
      <w:rPr>
        <w:rFonts w:hint="default"/>
        <w:lang w:val="en-US" w:eastAsia="en-US" w:bidi="ar-SA"/>
      </w:rPr>
    </w:lvl>
    <w:lvl w:ilvl="6">
      <w:numFmt w:val="bullet"/>
      <w:lvlText w:val="•"/>
      <w:lvlJc w:val="left"/>
      <w:pPr>
        <w:ind w:left="6755" w:hanging="540"/>
      </w:pPr>
      <w:rPr>
        <w:rFonts w:hint="default"/>
        <w:lang w:val="en-US" w:eastAsia="en-US" w:bidi="ar-SA"/>
      </w:rPr>
    </w:lvl>
    <w:lvl w:ilvl="7">
      <w:numFmt w:val="bullet"/>
      <w:lvlText w:val="•"/>
      <w:lvlJc w:val="left"/>
      <w:pPr>
        <w:ind w:left="7766" w:hanging="540"/>
      </w:pPr>
      <w:rPr>
        <w:rFonts w:hint="default"/>
        <w:lang w:val="en-US" w:eastAsia="en-US" w:bidi="ar-SA"/>
      </w:rPr>
    </w:lvl>
    <w:lvl w:ilvl="8">
      <w:numFmt w:val="bullet"/>
      <w:lvlText w:val="•"/>
      <w:lvlJc w:val="left"/>
      <w:pPr>
        <w:ind w:left="8777" w:hanging="540"/>
      </w:pPr>
      <w:rPr>
        <w:rFonts w:hint="default"/>
        <w:lang w:val="en-US" w:eastAsia="en-US" w:bidi="ar-SA"/>
      </w:rPr>
    </w:lvl>
  </w:abstractNum>
  <w:abstractNum w:abstractNumId="5" w15:restartNumberingAfterBreak="0">
    <w:nsid w:val="27C43C6C"/>
    <w:multiLevelType w:val="multilevel"/>
    <w:tmpl w:val="8D4E83D0"/>
    <w:lvl w:ilvl="0">
      <w:start w:val="2"/>
      <w:numFmt w:val="decimal"/>
      <w:lvlText w:val="%1"/>
      <w:lvlJc w:val="left"/>
      <w:pPr>
        <w:ind w:left="1080" w:hanging="360"/>
        <w:jc w:val="left"/>
      </w:pPr>
      <w:rPr>
        <w:rFonts w:hint="default"/>
        <w:lang w:val="en-US" w:eastAsia="en-US" w:bidi="ar-SA"/>
      </w:rPr>
    </w:lvl>
    <w:lvl w:ilvl="1">
      <w:numFmt w:val="decimal"/>
      <w:lvlText w:val="%1.%2"/>
      <w:lvlJc w:val="left"/>
      <w:pPr>
        <w:ind w:left="108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260" w:hanging="540"/>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557" w:hanging="540"/>
      </w:pPr>
      <w:rPr>
        <w:rFonts w:hint="default"/>
        <w:lang w:val="en-US" w:eastAsia="en-US" w:bidi="ar-SA"/>
      </w:rPr>
    </w:lvl>
    <w:lvl w:ilvl="4">
      <w:numFmt w:val="bullet"/>
      <w:lvlText w:val="•"/>
      <w:lvlJc w:val="left"/>
      <w:pPr>
        <w:ind w:left="3735" w:hanging="540"/>
      </w:pPr>
      <w:rPr>
        <w:rFonts w:hint="default"/>
        <w:lang w:val="en-US" w:eastAsia="en-US" w:bidi="ar-SA"/>
      </w:rPr>
    </w:lvl>
    <w:lvl w:ilvl="5">
      <w:numFmt w:val="bullet"/>
      <w:lvlText w:val="•"/>
      <w:lvlJc w:val="left"/>
      <w:pPr>
        <w:ind w:left="4912" w:hanging="540"/>
      </w:pPr>
      <w:rPr>
        <w:rFonts w:hint="default"/>
        <w:lang w:val="en-US" w:eastAsia="en-US" w:bidi="ar-SA"/>
      </w:rPr>
    </w:lvl>
    <w:lvl w:ilvl="6">
      <w:numFmt w:val="bullet"/>
      <w:lvlText w:val="•"/>
      <w:lvlJc w:val="left"/>
      <w:pPr>
        <w:ind w:left="6090" w:hanging="540"/>
      </w:pPr>
      <w:rPr>
        <w:rFonts w:hint="default"/>
        <w:lang w:val="en-US" w:eastAsia="en-US" w:bidi="ar-SA"/>
      </w:rPr>
    </w:lvl>
    <w:lvl w:ilvl="7">
      <w:numFmt w:val="bullet"/>
      <w:lvlText w:val="•"/>
      <w:lvlJc w:val="left"/>
      <w:pPr>
        <w:ind w:left="7267" w:hanging="540"/>
      </w:pPr>
      <w:rPr>
        <w:rFonts w:hint="default"/>
        <w:lang w:val="en-US" w:eastAsia="en-US" w:bidi="ar-SA"/>
      </w:rPr>
    </w:lvl>
    <w:lvl w:ilvl="8">
      <w:numFmt w:val="bullet"/>
      <w:lvlText w:val="•"/>
      <w:lvlJc w:val="left"/>
      <w:pPr>
        <w:ind w:left="8445" w:hanging="540"/>
      </w:pPr>
      <w:rPr>
        <w:rFonts w:hint="default"/>
        <w:lang w:val="en-US" w:eastAsia="en-US" w:bidi="ar-SA"/>
      </w:rPr>
    </w:lvl>
  </w:abstractNum>
  <w:abstractNum w:abstractNumId="6" w15:restartNumberingAfterBreak="0">
    <w:nsid w:val="39F23703"/>
    <w:multiLevelType w:val="multilevel"/>
    <w:tmpl w:val="650A8CCC"/>
    <w:lvl w:ilvl="0">
      <w:start w:val="2"/>
      <w:numFmt w:val="decimal"/>
      <w:lvlText w:val="%1"/>
      <w:lvlJc w:val="left"/>
      <w:pPr>
        <w:ind w:left="1303" w:hanging="363"/>
        <w:jc w:val="left"/>
      </w:pPr>
      <w:rPr>
        <w:rFonts w:hint="default"/>
        <w:lang w:val="en-US" w:eastAsia="en-US" w:bidi="ar-SA"/>
      </w:rPr>
    </w:lvl>
    <w:lvl w:ilvl="1">
      <w:numFmt w:val="decimal"/>
      <w:lvlText w:val="%1.%2"/>
      <w:lvlJc w:val="left"/>
      <w:pPr>
        <w:ind w:left="1303"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99" w:hanging="54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3">
      <w:numFmt w:val="bullet"/>
      <w:lvlText w:val="•"/>
      <w:lvlJc w:val="left"/>
      <w:pPr>
        <w:ind w:left="1820" w:hanging="540"/>
      </w:pPr>
      <w:rPr>
        <w:rFonts w:hint="default"/>
        <w:lang w:val="en-US" w:eastAsia="en-US" w:bidi="ar-SA"/>
      </w:rPr>
    </w:lvl>
    <w:lvl w:ilvl="4">
      <w:numFmt w:val="bullet"/>
      <w:lvlText w:val="•"/>
      <w:lvlJc w:val="left"/>
      <w:pPr>
        <w:ind w:left="3102" w:hanging="540"/>
      </w:pPr>
      <w:rPr>
        <w:rFonts w:hint="default"/>
        <w:lang w:val="en-US" w:eastAsia="en-US" w:bidi="ar-SA"/>
      </w:rPr>
    </w:lvl>
    <w:lvl w:ilvl="5">
      <w:numFmt w:val="bullet"/>
      <w:lvlText w:val="•"/>
      <w:lvlJc w:val="left"/>
      <w:pPr>
        <w:ind w:left="4385" w:hanging="540"/>
      </w:pPr>
      <w:rPr>
        <w:rFonts w:hint="default"/>
        <w:lang w:val="en-US" w:eastAsia="en-US" w:bidi="ar-SA"/>
      </w:rPr>
    </w:lvl>
    <w:lvl w:ilvl="6">
      <w:numFmt w:val="bullet"/>
      <w:lvlText w:val="•"/>
      <w:lvlJc w:val="left"/>
      <w:pPr>
        <w:ind w:left="5668" w:hanging="540"/>
      </w:pPr>
      <w:rPr>
        <w:rFonts w:hint="default"/>
        <w:lang w:val="en-US" w:eastAsia="en-US" w:bidi="ar-SA"/>
      </w:rPr>
    </w:lvl>
    <w:lvl w:ilvl="7">
      <w:numFmt w:val="bullet"/>
      <w:lvlText w:val="•"/>
      <w:lvlJc w:val="left"/>
      <w:pPr>
        <w:ind w:left="6951" w:hanging="540"/>
      </w:pPr>
      <w:rPr>
        <w:rFonts w:hint="default"/>
        <w:lang w:val="en-US" w:eastAsia="en-US" w:bidi="ar-SA"/>
      </w:rPr>
    </w:lvl>
    <w:lvl w:ilvl="8">
      <w:numFmt w:val="bullet"/>
      <w:lvlText w:val="•"/>
      <w:lvlJc w:val="left"/>
      <w:pPr>
        <w:ind w:left="8234" w:hanging="540"/>
      </w:pPr>
      <w:rPr>
        <w:rFonts w:hint="default"/>
        <w:lang w:val="en-US" w:eastAsia="en-US" w:bidi="ar-SA"/>
      </w:rPr>
    </w:lvl>
  </w:abstractNum>
  <w:abstractNum w:abstractNumId="7" w15:restartNumberingAfterBreak="0">
    <w:nsid w:val="3C0C583E"/>
    <w:multiLevelType w:val="hybridMultilevel"/>
    <w:tmpl w:val="04A0BB3E"/>
    <w:lvl w:ilvl="0" w:tplc="E1787674">
      <w:start w:val="12"/>
      <w:numFmt w:val="decimal"/>
      <w:lvlText w:val="%1."/>
      <w:lvlJc w:val="left"/>
      <w:pPr>
        <w:ind w:left="108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1F820FA">
      <w:numFmt w:val="bullet"/>
      <w:lvlText w:val="•"/>
      <w:lvlJc w:val="left"/>
      <w:pPr>
        <w:ind w:left="2052" w:hanging="360"/>
      </w:pPr>
      <w:rPr>
        <w:rFonts w:hint="default"/>
        <w:lang w:val="en-US" w:eastAsia="en-US" w:bidi="ar-SA"/>
      </w:rPr>
    </w:lvl>
    <w:lvl w:ilvl="2" w:tplc="8206BA9C">
      <w:numFmt w:val="bullet"/>
      <w:lvlText w:val="•"/>
      <w:lvlJc w:val="left"/>
      <w:pPr>
        <w:ind w:left="3024" w:hanging="360"/>
      </w:pPr>
      <w:rPr>
        <w:rFonts w:hint="default"/>
        <w:lang w:val="en-US" w:eastAsia="en-US" w:bidi="ar-SA"/>
      </w:rPr>
    </w:lvl>
    <w:lvl w:ilvl="3" w:tplc="9D0C62F0">
      <w:numFmt w:val="bullet"/>
      <w:lvlText w:val="•"/>
      <w:lvlJc w:val="left"/>
      <w:pPr>
        <w:ind w:left="3996" w:hanging="360"/>
      </w:pPr>
      <w:rPr>
        <w:rFonts w:hint="default"/>
        <w:lang w:val="en-US" w:eastAsia="en-US" w:bidi="ar-SA"/>
      </w:rPr>
    </w:lvl>
    <w:lvl w:ilvl="4" w:tplc="2006F782">
      <w:numFmt w:val="bullet"/>
      <w:lvlText w:val="•"/>
      <w:lvlJc w:val="left"/>
      <w:pPr>
        <w:ind w:left="4968" w:hanging="360"/>
      </w:pPr>
      <w:rPr>
        <w:rFonts w:hint="default"/>
        <w:lang w:val="en-US" w:eastAsia="en-US" w:bidi="ar-SA"/>
      </w:rPr>
    </w:lvl>
    <w:lvl w:ilvl="5" w:tplc="ECDEC2CE">
      <w:numFmt w:val="bullet"/>
      <w:lvlText w:val="•"/>
      <w:lvlJc w:val="left"/>
      <w:pPr>
        <w:ind w:left="5940" w:hanging="360"/>
      </w:pPr>
      <w:rPr>
        <w:rFonts w:hint="default"/>
        <w:lang w:val="en-US" w:eastAsia="en-US" w:bidi="ar-SA"/>
      </w:rPr>
    </w:lvl>
    <w:lvl w:ilvl="6" w:tplc="0E68FB02">
      <w:numFmt w:val="bullet"/>
      <w:lvlText w:val="•"/>
      <w:lvlJc w:val="left"/>
      <w:pPr>
        <w:ind w:left="6912" w:hanging="360"/>
      </w:pPr>
      <w:rPr>
        <w:rFonts w:hint="default"/>
        <w:lang w:val="en-US" w:eastAsia="en-US" w:bidi="ar-SA"/>
      </w:rPr>
    </w:lvl>
    <w:lvl w:ilvl="7" w:tplc="34DC378E">
      <w:numFmt w:val="bullet"/>
      <w:lvlText w:val="•"/>
      <w:lvlJc w:val="left"/>
      <w:pPr>
        <w:ind w:left="7884" w:hanging="360"/>
      </w:pPr>
      <w:rPr>
        <w:rFonts w:hint="default"/>
        <w:lang w:val="en-US" w:eastAsia="en-US" w:bidi="ar-SA"/>
      </w:rPr>
    </w:lvl>
    <w:lvl w:ilvl="8" w:tplc="CF0461A0">
      <w:numFmt w:val="bullet"/>
      <w:lvlText w:val="•"/>
      <w:lvlJc w:val="left"/>
      <w:pPr>
        <w:ind w:left="8856" w:hanging="360"/>
      </w:pPr>
      <w:rPr>
        <w:rFonts w:hint="default"/>
        <w:lang w:val="en-US" w:eastAsia="en-US" w:bidi="ar-SA"/>
      </w:rPr>
    </w:lvl>
  </w:abstractNum>
  <w:abstractNum w:abstractNumId="8" w15:restartNumberingAfterBreak="0">
    <w:nsid w:val="50F646E4"/>
    <w:multiLevelType w:val="hybridMultilevel"/>
    <w:tmpl w:val="D84A10CC"/>
    <w:lvl w:ilvl="0" w:tplc="E870A6AA">
      <w:start w:val="15"/>
      <w:numFmt w:val="decimal"/>
      <w:lvlText w:val="%1."/>
      <w:lvlJc w:val="left"/>
      <w:pPr>
        <w:ind w:left="1106" w:hanging="387"/>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AB2CD30">
      <w:numFmt w:val="bullet"/>
      <w:lvlText w:val="•"/>
      <w:lvlJc w:val="left"/>
      <w:pPr>
        <w:ind w:left="2070" w:hanging="387"/>
      </w:pPr>
      <w:rPr>
        <w:rFonts w:hint="default"/>
        <w:lang w:val="en-US" w:eastAsia="en-US" w:bidi="ar-SA"/>
      </w:rPr>
    </w:lvl>
    <w:lvl w:ilvl="2" w:tplc="21143DB4">
      <w:numFmt w:val="bullet"/>
      <w:lvlText w:val="•"/>
      <w:lvlJc w:val="left"/>
      <w:pPr>
        <w:ind w:left="3040" w:hanging="387"/>
      </w:pPr>
      <w:rPr>
        <w:rFonts w:hint="default"/>
        <w:lang w:val="en-US" w:eastAsia="en-US" w:bidi="ar-SA"/>
      </w:rPr>
    </w:lvl>
    <w:lvl w:ilvl="3" w:tplc="B1849CD4">
      <w:numFmt w:val="bullet"/>
      <w:lvlText w:val="•"/>
      <w:lvlJc w:val="left"/>
      <w:pPr>
        <w:ind w:left="4010" w:hanging="387"/>
      </w:pPr>
      <w:rPr>
        <w:rFonts w:hint="default"/>
        <w:lang w:val="en-US" w:eastAsia="en-US" w:bidi="ar-SA"/>
      </w:rPr>
    </w:lvl>
    <w:lvl w:ilvl="4" w:tplc="F82C5322">
      <w:numFmt w:val="bullet"/>
      <w:lvlText w:val="•"/>
      <w:lvlJc w:val="left"/>
      <w:pPr>
        <w:ind w:left="4980" w:hanging="387"/>
      </w:pPr>
      <w:rPr>
        <w:rFonts w:hint="default"/>
        <w:lang w:val="en-US" w:eastAsia="en-US" w:bidi="ar-SA"/>
      </w:rPr>
    </w:lvl>
    <w:lvl w:ilvl="5" w:tplc="ABCAFFF6">
      <w:numFmt w:val="bullet"/>
      <w:lvlText w:val="•"/>
      <w:lvlJc w:val="left"/>
      <w:pPr>
        <w:ind w:left="5950" w:hanging="387"/>
      </w:pPr>
      <w:rPr>
        <w:rFonts w:hint="default"/>
        <w:lang w:val="en-US" w:eastAsia="en-US" w:bidi="ar-SA"/>
      </w:rPr>
    </w:lvl>
    <w:lvl w:ilvl="6" w:tplc="2C0A092E">
      <w:numFmt w:val="bullet"/>
      <w:lvlText w:val="•"/>
      <w:lvlJc w:val="left"/>
      <w:pPr>
        <w:ind w:left="6920" w:hanging="387"/>
      </w:pPr>
      <w:rPr>
        <w:rFonts w:hint="default"/>
        <w:lang w:val="en-US" w:eastAsia="en-US" w:bidi="ar-SA"/>
      </w:rPr>
    </w:lvl>
    <w:lvl w:ilvl="7" w:tplc="7DEC2C64">
      <w:numFmt w:val="bullet"/>
      <w:lvlText w:val="•"/>
      <w:lvlJc w:val="left"/>
      <w:pPr>
        <w:ind w:left="7890" w:hanging="387"/>
      </w:pPr>
      <w:rPr>
        <w:rFonts w:hint="default"/>
        <w:lang w:val="en-US" w:eastAsia="en-US" w:bidi="ar-SA"/>
      </w:rPr>
    </w:lvl>
    <w:lvl w:ilvl="8" w:tplc="75EECABA">
      <w:numFmt w:val="bullet"/>
      <w:lvlText w:val="•"/>
      <w:lvlJc w:val="left"/>
      <w:pPr>
        <w:ind w:left="8860" w:hanging="387"/>
      </w:pPr>
      <w:rPr>
        <w:rFonts w:hint="default"/>
        <w:lang w:val="en-US" w:eastAsia="en-US" w:bidi="ar-SA"/>
      </w:rPr>
    </w:lvl>
  </w:abstractNum>
  <w:abstractNum w:abstractNumId="9" w15:restartNumberingAfterBreak="0">
    <w:nsid w:val="523F7E93"/>
    <w:multiLevelType w:val="hybridMultilevel"/>
    <w:tmpl w:val="5322BACE"/>
    <w:lvl w:ilvl="0" w:tplc="E536CF62">
      <w:start w:val="1"/>
      <w:numFmt w:val="decimal"/>
      <w:lvlText w:val="%1."/>
      <w:lvlJc w:val="left"/>
      <w:pPr>
        <w:ind w:left="946" w:hanging="226"/>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6880262">
      <w:numFmt w:val="bullet"/>
      <w:lvlText w:val="•"/>
      <w:lvlJc w:val="left"/>
      <w:pPr>
        <w:ind w:left="1926" w:hanging="226"/>
      </w:pPr>
      <w:rPr>
        <w:rFonts w:hint="default"/>
        <w:lang w:val="en-US" w:eastAsia="en-US" w:bidi="ar-SA"/>
      </w:rPr>
    </w:lvl>
    <w:lvl w:ilvl="2" w:tplc="E55E0672">
      <w:numFmt w:val="bullet"/>
      <w:lvlText w:val="•"/>
      <w:lvlJc w:val="left"/>
      <w:pPr>
        <w:ind w:left="2912" w:hanging="226"/>
      </w:pPr>
      <w:rPr>
        <w:rFonts w:hint="default"/>
        <w:lang w:val="en-US" w:eastAsia="en-US" w:bidi="ar-SA"/>
      </w:rPr>
    </w:lvl>
    <w:lvl w:ilvl="3" w:tplc="928C88E8">
      <w:numFmt w:val="bullet"/>
      <w:lvlText w:val="•"/>
      <w:lvlJc w:val="left"/>
      <w:pPr>
        <w:ind w:left="3898" w:hanging="226"/>
      </w:pPr>
      <w:rPr>
        <w:rFonts w:hint="default"/>
        <w:lang w:val="en-US" w:eastAsia="en-US" w:bidi="ar-SA"/>
      </w:rPr>
    </w:lvl>
    <w:lvl w:ilvl="4" w:tplc="9D7C0D24">
      <w:numFmt w:val="bullet"/>
      <w:lvlText w:val="•"/>
      <w:lvlJc w:val="left"/>
      <w:pPr>
        <w:ind w:left="4884" w:hanging="226"/>
      </w:pPr>
      <w:rPr>
        <w:rFonts w:hint="default"/>
        <w:lang w:val="en-US" w:eastAsia="en-US" w:bidi="ar-SA"/>
      </w:rPr>
    </w:lvl>
    <w:lvl w:ilvl="5" w:tplc="7E76F9A8">
      <w:numFmt w:val="bullet"/>
      <w:lvlText w:val="•"/>
      <w:lvlJc w:val="left"/>
      <w:pPr>
        <w:ind w:left="5870" w:hanging="226"/>
      </w:pPr>
      <w:rPr>
        <w:rFonts w:hint="default"/>
        <w:lang w:val="en-US" w:eastAsia="en-US" w:bidi="ar-SA"/>
      </w:rPr>
    </w:lvl>
    <w:lvl w:ilvl="6" w:tplc="686EE4D8">
      <w:numFmt w:val="bullet"/>
      <w:lvlText w:val="•"/>
      <w:lvlJc w:val="left"/>
      <w:pPr>
        <w:ind w:left="6856" w:hanging="226"/>
      </w:pPr>
      <w:rPr>
        <w:rFonts w:hint="default"/>
        <w:lang w:val="en-US" w:eastAsia="en-US" w:bidi="ar-SA"/>
      </w:rPr>
    </w:lvl>
    <w:lvl w:ilvl="7" w:tplc="B19E823E">
      <w:numFmt w:val="bullet"/>
      <w:lvlText w:val="•"/>
      <w:lvlJc w:val="left"/>
      <w:pPr>
        <w:ind w:left="7842" w:hanging="226"/>
      </w:pPr>
      <w:rPr>
        <w:rFonts w:hint="default"/>
        <w:lang w:val="en-US" w:eastAsia="en-US" w:bidi="ar-SA"/>
      </w:rPr>
    </w:lvl>
    <w:lvl w:ilvl="8" w:tplc="21AE7C70">
      <w:numFmt w:val="bullet"/>
      <w:lvlText w:val="•"/>
      <w:lvlJc w:val="left"/>
      <w:pPr>
        <w:ind w:left="8828" w:hanging="226"/>
      </w:pPr>
      <w:rPr>
        <w:rFonts w:hint="default"/>
        <w:lang w:val="en-US" w:eastAsia="en-US" w:bidi="ar-SA"/>
      </w:rPr>
    </w:lvl>
  </w:abstractNum>
  <w:abstractNum w:abstractNumId="10" w15:restartNumberingAfterBreak="0">
    <w:nsid w:val="59211AD5"/>
    <w:multiLevelType w:val="hybridMultilevel"/>
    <w:tmpl w:val="35100006"/>
    <w:lvl w:ilvl="0" w:tplc="4CE8F7E2">
      <w:start w:val="6"/>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4D2E592">
      <w:numFmt w:val="bullet"/>
      <w:lvlText w:val="•"/>
      <w:lvlJc w:val="left"/>
      <w:pPr>
        <w:ind w:left="1944" w:hanging="240"/>
      </w:pPr>
      <w:rPr>
        <w:rFonts w:hint="default"/>
        <w:lang w:val="en-US" w:eastAsia="en-US" w:bidi="ar-SA"/>
      </w:rPr>
    </w:lvl>
    <w:lvl w:ilvl="2" w:tplc="B42A593E">
      <w:numFmt w:val="bullet"/>
      <w:lvlText w:val="•"/>
      <w:lvlJc w:val="left"/>
      <w:pPr>
        <w:ind w:left="2928" w:hanging="240"/>
      </w:pPr>
      <w:rPr>
        <w:rFonts w:hint="default"/>
        <w:lang w:val="en-US" w:eastAsia="en-US" w:bidi="ar-SA"/>
      </w:rPr>
    </w:lvl>
    <w:lvl w:ilvl="3" w:tplc="38EAFA74">
      <w:numFmt w:val="bullet"/>
      <w:lvlText w:val="•"/>
      <w:lvlJc w:val="left"/>
      <w:pPr>
        <w:ind w:left="3912" w:hanging="240"/>
      </w:pPr>
      <w:rPr>
        <w:rFonts w:hint="default"/>
        <w:lang w:val="en-US" w:eastAsia="en-US" w:bidi="ar-SA"/>
      </w:rPr>
    </w:lvl>
    <w:lvl w:ilvl="4" w:tplc="B79C4E02">
      <w:numFmt w:val="bullet"/>
      <w:lvlText w:val="•"/>
      <w:lvlJc w:val="left"/>
      <w:pPr>
        <w:ind w:left="4896" w:hanging="240"/>
      </w:pPr>
      <w:rPr>
        <w:rFonts w:hint="default"/>
        <w:lang w:val="en-US" w:eastAsia="en-US" w:bidi="ar-SA"/>
      </w:rPr>
    </w:lvl>
    <w:lvl w:ilvl="5" w:tplc="06F4005A">
      <w:numFmt w:val="bullet"/>
      <w:lvlText w:val="•"/>
      <w:lvlJc w:val="left"/>
      <w:pPr>
        <w:ind w:left="5880" w:hanging="240"/>
      </w:pPr>
      <w:rPr>
        <w:rFonts w:hint="default"/>
        <w:lang w:val="en-US" w:eastAsia="en-US" w:bidi="ar-SA"/>
      </w:rPr>
    </w:lvl>
    <w:lvl w:ilvl="6" w:tplc="E884ABBA">
      <w:numFmt w:val="bullet"/>
      <w:lvlText w:val="•"/>
      <w:lvlJc w:val="left"/>
      <w:pPr>
        <w:ind w:left="6864" w:hanging="240"/>
      </w:pPr>
      <w:rPr>
        <w:rFonts w:hint="default"/>
        <w:lang w:val="en-US" w:eastAsia="en-US" w:bidi="ar-SA"/>
      </w:rPr>
    </w:lvl>
    <w:lvl w:ilvl="7" w:tplc="6EBC92B6">
      <w:numFmt w:val="bullet"/>
      <w:lvlText w:val="•"/>
      <w:lvlJc w:val="left"/>
      <w:pPr>
        <w:ind w:left="7848" w:hanging="240"/>
      </w:pPr>
      <w:rPr>
        <w:rFonts w:hint="default"/>
        <w:lang w:val="en-US" w:eastAsia="en-US" w:bidi="ar-SA"/>
      </w:rPr>
    </w:lvl>
    <w:lvl w:ilvl="8" w:tplc="BC36F552">
      <w:numFmt w:val="bullet"/>
      <w:lvlText w:val="•"/>
      <w:lvlJc w:val="left"/>
      <w:pPr>
        <w:ind w:left="8832" w:hanging="240"/>
      </w:pPr>
      <w:rPr>
        <w:rFonts w:hint="default"/>
        <w:lang w:val="en-US" w:eastAsia="en-US" w:bidi="ar-SA"/>
      </w:rPr>
    </w:lvl>
  </w:abstractNum>
  <w:abstractNum w:abstractNumId="11" w15:restartNumberingAfterBreak="0">
    <w:nsid w:val="5D136E3A"/>
    <w:multiLevelType w:val="multilevel"/>
    <w:tmpl w:val="0FBC23A4"/>
    <w:lvl w:ilvl="0">
      <w:start w:val="4"/>
      <w:numFmt w:val="decimal"/>
      <w:lvlText w:val="%1"/>
      <w:lvlJc w:val="left"/>
      <w:pPr>
        <w:ind w:left="1080" w:hanging="360"/>
        <w:jc w:val="left"/>
      </w:pPr>
      <w:rPr>
        <w:rFonts w:hint="default"/>
        <w:lang w:val="en-US" w:eastAsia="en-US" w:bidi="ar-SA"/>
      </w:rPr>
    </w:lvl>
    <w:lvl w:ilvl="1">
      <w:numFmt w:val="decimal"/>
      <w:lvlText w:val="%1.%2"/>
      <w:lvlJc w:val="left"/>
      <w:pPr>
        <w:ind w:left="108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3024" w:hanging="360"/>
      </w:pPr>
      <w:rPr>
        <w:rFonts w:hint="default"/>
        <w:lang w:val="en-US" w:eastAsia="en-US" w:bidi="ar-SA"/>
      </w:rPr>
    </w:lvl>
    <w:lvl w:ilvl="3">
      <w:numFmt w:val="bullet"/>
      <w:lvlText w:val="•"/>
      <w:lvlJc w:val="left"/>
      <w:pPr>
        <w:ind w:left="3996" w:hanging="360"/>
      </w:pPr>
      <w:rPr>
        <w:rFonts w:hint="default"/>
        <w:lang w:val="en-US" w:eastAsia="en-US" w:bidi="ar-SA"/>
      </w:rPr>
    </w:lvl>
    <w:lvl w:ilvl="4">
      <w:numFmt w:val="bullet"/>
      <w:lvlText w:val="•"/>
      <w:lvlJc w:val="left"/>
      <w:pPr>
        <w:ind w:left="4968" w:hanging="360"/>
      </w:pPr>
      <w:rPr>
        <w:rFonts w:hint="default"/>
        <w:lang w:val="en-US" w:eastAsia="en-US" w:bidi="ar-SA"/>
      </w:rPr>
    </w:lvl>
    <w:lvl w:ilvl="5">
      <w:numFmt w:val="bullet"/>
      <w:lvlText w:val="•"/>
      <w:lvlJc w:val="left"/>
      <w:pPr>
        <w:ind w:left="5940" w:hanging="360"/>
      </w:pPr>
      <w:rPr>
        <w:rFonts w:hint="default"/>
        <w:lang w:val="en-US" w:eastAsia="en-US" w:bidi="ar-SA"/>
      </w:rPr>
    </w:lvl>
    <w:lvl w:ilvl="6">
      <w:numFmt w:val="bullet"/>
      <w:lvlText w:val="•"/>
      <w:lvlJc w:val="left"/>
      <w:pPr>
        <w:ind w:left="6912" w:hanging="360"/>
      </w:pPr>
      <w:rPr>
        <w:rFonts w:hint="default"/>
        <w:lang w:val="en-US" w:eastAsia="en-US" w:bidi="ar-SA"/>
      </w:rPr>
    </w:lvl>
    <w:lvl w:ilvl="7">
      <w:numFmt w:val="bullet"/>
      <w:lvlText w:val="•"/>
      <w:lvlJc w:val="left"/>
      <w:pPr>
        <w:ind w:left="7884" w:hanging="360"/>
      </w:pPr>
      <w:rPr>
        <w:rFonts w:hint="default"/>
        <w:lang w:val="en-US" w:eastAsia="en-US" w:bidi="ar-SA"/>
      </w:rPr>
    </w:lvl>
    <w:lvl w:ilvl="8">
      <w:numFmt w:val="bullet"/>
      <w:lvlText w:val="•"/>
      <w:lvlJc w:val="left"/>
      <w:pPr>
        <w:ind w:left="8856" w:hanging="360"/>
      </w:pPr>
      <w:rPr>
        <w:rFonts w:hint="default"/>
        <w:lang w:val="en-US" w:eastAsia="en-US" w:bidi="ar-SA"/>
      </w:rPr>
    </w:lvl>
  </w:abstractNum>
  <w:abstractNum w:abstractNumId="12" w15:restartNumberingAfterBreak="0">
    <w:nsid w:val="60F85426"/>
    <w:multiLevelType w:val="multilevel"/>
    <w:tmpl w:val="4D94BF6E"/>
    <w:lvl w:ilvl="0">
      <w:start w:val="5"/>
      <w:numFmt w:val="decimal"/>
      <w:lvlText w:val="%1"/>
      <w:lvlJc w:val="left"/>
      <w:pPr>
        <w:ind w:left="1080" w:hanging="360"/>
        <w:jc w:val="left"/>
      </w:pPr>
      <w:rPr>
        <w:rFonts w:hint="default"/>
        <w:lang w:val="en-US" w:eastAsia="en-US" w:bidi="ar-SA"/>
      </w:rPr>
    </w:lvl>
    <w:lvl w:ilvl="1">
      <w:numFmt w:val="decimal"/>
      <w:lvlText w:val="%1.%2"/>
      <w:lvlJc w:val="left"/>
      <w:pPr>
        <w:ind w:left="108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3."/>
      <w:lvlJc w:val="left"/>
      <w:pPr>
        <w:ind w:left="14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520" w:hanging="360"/>
      </w:pPr>
      <w:rPr>
        <w:rFonts w:hint="default"/>
        <w:lang w:val="en-US" w:eastAsia="en-US" w:bidi="ar-SA"/>
      </w:rPr>
    </w:lvl>
    <w:lvl w:ilvl="4">
      <w:numFmt w:val="bullet"/>
      <w:lvlText w:val="•"/>
      <w:lvlJc w:val="left"/>
      <w:pPr>
        <w:ind w:left="4560" w:hanging="360"/>
      </w:pPr>
      <w:rPr>
        <w:rFonts w:hint="default"/>
        <w:lang w:val="en-US" w:eastAsia="en-US" w:bidi="ar-SA"/>
      </w:rPr>
    </w:lvl>
    <w:lvl w:ilvl="5">
      <w:numFmt w:val="bullet"/>
      <w:lvlText w:val="•"/>
      <w:lvlJc w:val="left"/>
      <w:pPr>
        <w:ind w:left="5600" w:hanging="360"/>
      </w:pPr>
      <w:rPr>
        <w:rFonts w:hint="default"/>
        <w:lang w:val="en-US" w:eastAsia="en-US" w:bidi="ar-SA"/>
      </w:rPr>
    </w:lvl>
    <w:lvl w:ilvl="6">
      <w:numFmt w:val="bullet"/>
      <w:lvlText w:val="•"/>
      <w:lvlJc w:val="left"/>
      <w:pPr>
        <w:ind w:left="6640" w:hanging="360"/>
      </w:pPr>
      <w:rPr>
        <w:rFonts w:hint="default"/>
        <w:lang w:val="en-US" w:eastAsia="en-US" w:bidi="ar-SA"/>
      </w:rPr>
    </w:lvl>
    <w:lvl w:ilvl="7">
      <w:numFmt w:val="bullet"/>
      <w:lvlText w:val="•"/>
      <w:lvlJc w:val="left"/>
      <w:pPr>
        <w:ind w:left="7680" w:hanging="360"/>
      </w:pPr>
      <w:rPr>
        <w:rFonts w:hint="default"/>
        <w:lang w:val="en-US" w:eastAsia="en-US" w:bidi="ar-SA"/>
      </w:rPr>
    </w:lvl>
    <w:lvl w:ilvl="8">
      <w:numFmt w:val="bullet"/>
      <w:lvlText w:val="•"/>
      <w:lvlJc w:val="left"/>
      <w:pPr>
        <w:ind w:left="8720" w:hanging="360"/>
      </w:pPr>
      <w:rPr>
        <w:rFonts w:hint="default"/>
        <w:lang w:val="en-US" w:eastAsia="en-US" w:bidi="ar-SA"/>
      </w:rPr>
    </w:lvl>
  </w:abstractNum>
  <w:abstractNum w:abstractNumId="13" w15:restartNumberingAfterBreak="0">
    <w:nsid w:val="70A774EC"/>
    <w:multiLevelType w:val="multilevel"/>
    <w:tmpl w:val="BFA260A4"/>
    <w:lvl w:ilvl="0">
      <w:start w:val="4"/>
      <w:numFmt w:val="decimal"/>
      <w:lvlText w:val="%1"/>
      <w:lvlJc w:val="left"/>
      <w:pPr>
        <w:ind w:left="1301" w:hanging="360"/>
        <w:jc w:val="left"/>
      </w:pPr>
      <w:rPr>
        <w:rFonts w:hint="default"/>
        <w:lang w:val="en-US" w:eastAsia="en-US" w:bidi="ar-SA"/>
      </w:rPr>
    </w:lvl>
    <w:lvl w:ilvl="1">
      <w:numFmt w:val="decimal"/>
      <w:lvlText w:val="%1.%2"/>
      <w:lvlJc w:val="left"/>
      <w:pPr>
        <w:ind w:left="130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99" w:hanging="54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3">
      <w:numFmt w:val="bullet"/>
      <w:lvlText w:val="•"/>
      <w:lvlJc w:val="left"/>
      <w:pPr>
        <w:ind w:left="3722" w:hanging="540"/>
      </w:pPr>
      <w:rPr>
        <w:rFonts w:hint="default"/>
        <w:lang w:val="en-US" w:eastAsia="en-US" w:bidi="ar-SA"/>
      </w:rPr>
    </w:lvl>
    <w:lvl w:ilvl="4">
      <w:numFmt w:val="bullet"/>
      <w:lvlText w:val="•"/>
      <w:lvlJc w:val="left"/>
      <w:pPr>
        <w:ind w:left="4733" w:hanging="540"/>
      </w:pPr>
      <w:rPr>
        <w:rFonts w:hint="default"/>
        <w:lang w:val="en-US" w:eastAsia="en-US" w:bidi="ar-SA"/>
      </w:rPr>
    </w:lvl>
    <w:lvl w:ilvl="5">
      <w:numFmt w:val="bullet"/>
      <w:lvlText w:val="•"/>
      <w:lvlJc w:val="left"/>
      <w:pPr>
        <w:ind w:left="5744" w:hanging="540"/>
      </w:pPr>
      <w:rPr>
        <w:rFonts w:hint="default"/>
        <w:lang w:val="en-US" w:eastAsia="en-US" w:bidi="ar-SA"/>
      </w:rPr>
    </w:lvl>
    <w:lvl w:ilvl="6">
      <w:numFmt w:val="bullet"/>
      <w:lvlText w:val="•"/>
      <w:lvlJc w:val="left"/>
      <w:pPr>
        <w:ind w:left="6755" w:hanging="540"/>
      </w:pPr>
      <w:rPr>
        <w:rFonts w:hint="default"/>
        <w:lang w:val="en-US" w:eastAsia="en-US" w:bidi="ar-SA"/>
      </w:rPr>
    </w:lvl>
    <w:lvl w:ilvl="7">
      <w:numFmt w:val="bullet"/>
      <w:lvlText w:val="•"/>
      <w:lvlJc w:val="left"/>
      <w:pPr>
        <w:ind w:left="7766" w:hanging="540"/>
      </w:pPr>
      <w:rPr>
        <w:rFonts w:hint="default"/>
        <w:lang w:val="en-US" w:eastAsia="en-US" w:bidi="ar-SA"/>
      </w:rPr>
    </w:lvl>
    <w:lvl w:ilvl="8">
      <w:numFmt w:val="bullet"/>
      <w:lvlText w:val="•"/>
      <w:lvlJc w:val="left"/>
      <w:pPr>
        <w:ind w:left="8777" w:hanging="540"/>
      </w:pPr>
      <w:rPr>
        <w:rFonts w:hint="default"/>
        <w:lang w:val="en-US" w:eastAsia="en-US" w:bidi="ar-SA"/>
      </w:rPr>
    </w:lvl>
  </w:abstractNum>
  <w:abstractNum w:abstractNumId="14" w15:restartNumberingAfterBreak="0">
    <w:nsid w:val="75871F69"/>
    <w:multiLevelType w:val="multilevel"/>
    <w:tmpl w:val="600C44A2"/>
    <w:lvl w:ilvl="0">
      <w:start w:val="1"/>
      <w:numFmt w:val="decimal"/>
      <w:lvlText w:val="%1"/>
      <w:lvlJc w:val="left"/>
      <w:pPr>
        <w:ind w:left="1080" w:hanging="360"/>
        <w:jc w:val="left"/>
      </w:pPr>
      <w:rPr>
        <w:rFonts w:hint="default"/>
        <w:lang w:val="en-US" w:eastAsia="en-US" w:bidi="ar-SA"/>
      </w:rPr>
    </w:lvl>
    <w:lvl w:ilvl="1">
      <w:numFmt w:val="decimal"/>
      <w:lvlText w:val="%1.%2"/>
      <w:lvlJc w:val="left"/>
      <w:pPr>
        <w:ind w:left="108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3."/>
      <w:lvlJc w:val="left"/>
      <w:pPr>
        <w:ind w:left="14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520" w:hanging="360"/>
      </w:pPr>
      <w:rPr>
        <w:rFonts w:hint="default"/>
        <w:lang w:val="en-US" w:eastAsia="en-US" w:bidi="ar-SA"/>
      </w:rPr>
    </w:lvl>
    <w:lvl w:ilvl="4">
      <w:numFmt w:val="bullet"/>
      <w:lvlText w:val="•"/>
      <w:lvlJc w:val="left"/>
      <w:pPr>
        <w:ind w:left="4560" w:hanging="360"/>
      </w:pPr>
      <w:rPr>
        <w:rFonts w:hint="default"/>
        <w:lang w:val="en-US" w:eastAsia="en-US" w:bidi="ar-SA"/>
      </w:rPr>
    </w:lvl>
    <w:lvl w:ilvl="5">
      <w:numFmt w:val="bullet"/>
      <w:lvlText w:val="•"/>
      <w:lvlJc w:val="left"/>
      <w:pPr>
        <w:ind w:left="5600" w:hanging="360"/>
      </w:pPr>
      <w:rPr>
        <w:rFonts w:hint="default"/>
        <w:lang w:val="en-US" w:eastAsia="en-US" w:bidi="ar-SA"/>
      </w:rPr>
    </w:lvl>
    <w:lvl w:ilvl="6">
      <w:numFmt w:val="bullet"/>
      <w:lvlText w:val="•"/>
      <w:lvlJc w:val="left"/>
      <w:pPr>
        <w:ind w:left="6640" w:hanging="360"/>
      </w:pPr>
      <w:rPr>
        <w:rFonts w:hint="default"/>
        <w:lang w:val="en-US" w:eastAsia="en-US" w:bidi="ar-SA"/>
      </w:rPr>
    </w:lvl>
    <w:lvl w:ilvl="7">
      <w:numFmt w:val="bullet"/>
      <w:lvlText w:val="•"/>
      <w:lvlJc w:val="left"/>
      <w:pPr>
        <w:ind w:left="7680" w:hanging="360"/>
      </w:pPr>
      <w:rPr>
        <w:rFonts w:hint="default"/>
        <w:lang w:val="en-US" w:eastAsia="en-US" w:bidi="ar-SA"/>
      </w:rPr>
    </w:lvl>
    <w:lvl w:ilvl="8">
      <w:numFmt w:val="bullet"/>
      <w:lvlText w:val="•"/>
      <w:lvlJc w:val="left"/>
      <w:pPr>
        <w:ind w:left="8720" w:hanging="360"/>
      </w:pPr>
      <w:rPr>
        <w:rFonts w:hint="default"/>
        <w:lang w:val="en-US" w:eastAsia="en-US" w:bidi="ar-SA"/>
      </w:rPr>
    </w:lvl>
  </w:abstractNum>
  <w:abstractNum w:abstractNumId="15" w15:restartNumberingAfterBreak="0">
    <w:nsid w:val="76D46900"/>
    <w:multiLevelType w:val="multilevel"/>
    <w:tmpl w:val="DCB6BDC6"/>
    <w:lvl w:ilvl="0">
      <w:start w:val="4"/>
      <w:numFmt w:val="decimal"/>
      <w:lvlText w:val="%1"/>
      <w:lvlJc w:val="left"/>
      <w:pPr>
        <w:ind w:left="1080" w:hanging="360"/>
        <w:jc w:val="left"/>
      </w:pPr>
      <w:rPr>
        <w:rFonts w:hint="default"/>
        <w:lang w:val="en-US" w:eastAsia="en-US" w:bidi="ar-SA"/>
      </w:rPr>
    </w:lvl>
    <w:lvl w:ilvl="1">
      <w:start w:val="2"/>
      <w:numFmt w:val="decimal"/>
      <w:lvlText w:val="%1.%2"/>
      <w:lvlJc w:val="left"/>
      <w:pPr>
        <w:ind w:left="108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260" w:hanging="540"/>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380" w:hanging="540"/>
      </w:pPr>
      <w:rPr>
        <w:rFonts w:hint="default"/>
        <w:lang w:val="en-US" w:eastAsia="en-US" w:bidi="ar-SA"/>
      </w:rPr>
    </w:lvl>
    <w:lvl w:ilvl="4">
      <w:numFmt w:val="bullet"/>
      <w:lvlText w:val="•"/>
      <w:lvlJc w:val="left"/>
      <w:pPr>
        <w:ind w:left="4440" w:hanging="540"/>
      </w:pPr>
      <w:rPr>
        <w:rFonts w:hint="default"/>
        <w:lang w:val="en-US" w:eastAsia="en-US" w:bidi="ar-SA"/>
      </w:rPr>
    </w:lvl>
    <w:lvl w:ilvl="5">
      <w:numFmt w:val="bullet"/>
      <w:lvlText w:val="•"/>
      <w:lvlJc w:val="left"/>
      <w:pPr>
        <w:ind w:left="5500" w:hanging="540"/>
      </w:pPr>
      <w:rPr>
        <w:rFonts w:hint="default"/>
        <w:lang w:val="en-US" w:eastAsia="en-US" w:bidi="ar-SA"/>
      </w:rPr>
    </w:lvl>
    <w:lvl w:ilvl="6">
      <w:numFmt w:val="bullet"/>
      <w:lvlText w:val="•"/>
      <w:lvlJc w:val="left"/>
      <w:pPr>
        <w:ind w:left="6560" w:hanging="540"/>
      </w:pPr>
      <w:rPr>
        <w:rFonts w:hint="default"/>
        <w:lang w:val="en-US" w:eastAsia="en-US" w:bidi="ar-SA"/>
      </w:rPr>
    </w:lvl>
    <w:lvl w:ilvl="7">
      <w:numFmt w:val="bullet"/>
      <w:lvlText w:val="•"/>
      <w:lvlJc w:val="left"/>
      <w:pPr>
        <w:ind w:left="7620" w:hanging="540"/>
      </w:pPr>
      <w:rPr>
        <w:rFonts w:hint="default"/>
        <w:lang w:val="en-US" w:eastAsia="en-US" w:bidi="ar-SA"/>
      </w:rPr>
    </w:lvl>
    <w:lvl w:ilvl="8">
      <w:numFmt w:val="bullet"/>
      <w:lvlText w:val="•"/>
      <w:lvlJc w:val="left"/>
      <w:pPr>
        <w:ind w:left="8680" w:hanging="540"/>
      </w:pPr>
      <w:rPr>
        <w:rFonts w:hint="default"/>
        <w:lang w:val="en-US" w:eastAsia="en-US" w:bidi="ar-SA"/>
      </w:rPr>
    </w:lvl>
  </w:abstractNum>
  <w:num w:numId="1" w16cid:durableId="1132137314">
    <w:abstractNumId w:val="12"/>
  </w:num>
  <w:num w:numId="2" w16cid:durableId="1753088601">
    <w:abstractNumId w:val="15"/>
  </w:num>
  <w:num w:numId="3" w16cid:durableId="499194458">
    <w:abstractNumId w:val="11"/>
  </w:num>
  <w:num w:numId="4" w16cid:durableId="839975116">
    <w:abstractNumId w:val="8"/>
  </w:num>
  <w:num w:numId="5" w16cid:durableId="216356990">
    <w:abstractNumId w:val="7"/>
  </w:num>
  <w:num w:numId="6" w16cid:durableId="377514529">
    <w:abstractNumId w:val="0"/>
  </w:num>
  <w:num w:numId="7" w16cid:durableId="497692321">
    <w:abstractNumId w:val="10"/>
  </w:num>
  <w:num w:numId="8" w16cid:durableId="1055589041">
    <w:abstractNumId w:val="9"/>
  </w:num>
  <w:num w:numId="9" w16cid:durableId="881743690">
    <w:abstractNumId w:val="3"/>
  </w:num>
  <w:num w:numId="10" w16cid:durableId="431585688">
    <w:abstractNumId w:val="5"/>
  </w:num>
  <w:num w:numId="11" w16cid:durableId="868571479">
    <w:abstractNumId w:val="14"/>
  </w:num>
  <w:num w:numId="12" w16cid:durableId="228926384">
    <w:abstractNumId w:val="1"/>
  </w:num>
  <w:num w:numId="13" w16cid:durableId="1719352685">
    <w:abstractNumId w:val="13"/>
  </w:num>
  <w:num w:numId="14" w16cid:durableId="577641815">
    <w:abstractNumId w:val="4"/>
  </w:num>
  <w:num w:numId="15" w16cid:durableId="790444157">
    <w:abstractNumId w:val="6"/>
  </w:num>
  <w:num w:numId="16" w16cid:durableId="17457148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A02889"/>
    <w:rsid w:val="000B5CE5"/>
    <w:rsid w:val="001423A3"/>
    <w:rsid w:val="00377D8A"/>
    <w:rsid w:val="00386080"/>
    <w:rsid w:val="004249FC"/>
    <w:rsid w:val="004773C7"/>
    <w:rsid w:val="008051F7"/>
    <w:rsid w:val="00A02889"/>
    <w:rsid w:val="00AA3F51"/>
    <w:rsid w:val="00C54D13"/>
    <w:rsid w:val="00E61E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3C4BC"/>
  <w15:docId w15:val="{03FA9DEB-BD95-4987-9238-380266CAB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76"/>
      <w:ind w:left="595" w:right="595"/>
      <w:jc w:val="center"/>
      <w:outlineLvl w:val="0"/>
    </w:pPr>
    <w:rPr>
      <w:b/>
      <w:bCs/>
      <w:sz w:val="24"/>
      <w:szCs w:val="24"/>
    </w:rPr>
  </w:style>
  <w:style w:type="paragraph" w:styleId="Heading2">
    <w:name w:val="heading 2"/>
    <w:basedOn w:val="Normal"/>
    <w:uiPriority w:val="9"/>
    <w:unhideWhenUsed/>
    <w:qFormat/>
    <w:pPr>
      <w:ind w:left="1080" w:hanging="36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42"/>
      <w:ind w:left="720"/>
    </w:pPr>
    <w:rPr>
      <w:sz w:val="24"/>
      <w:szCs w:val="24"/>
    </w:rPr>
  </w:style>
  <w:style w:type="paragraph" w:styleId="TOC2">
    <w:name w:val="toc 2"/>
    <w:basedOn w:val="Normal"/>
    <w:uiPriority w:val="1"/>
    <w:qFormat/>
    <w:pPr>
      <w:spacing w:before="141"/>
      <w:ind w:left="720"/>
    </w:pPr>
    <w:rPr>
      <w:sz w:val="24"/>
      <w:szCs w:val="24"/>
    </w:rPr>
  </w:style>
  <w:style w:type="paragraph" w:styleId="TOC3">
    <w:name w:val="toc 3"/>
    <w:basedOn w:val="Normal"/>
    <w:uiPriority w:val="1"/>
    <w:qFormat/>
    <w:pPr>
      <w:spacing w:before="142"/>
      <w:ind w:left="1301" w:hanging="360"/>
    </w:pPr>
    <w:rPr>
      <w:sz w:val="24"/>
      <w:szCs w:val="24"/>
    </w:rPr>
  </w:style>
  <w:style w:type="paragraph" w:styleId="TOC4">
    <w:name w:val="toc 4"/>
    <w:basedOn w:val="Normal"/>
    <w:uiPriority w:val="1"/>
    <w:qFormat/>
    <w:pPr>
      <w:spacing w:before="142"/>
      <w:ind w:left="1699" w:hanging="54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80" w:hanging="360"/>
    </w:pPr>
  </w:style>
  <w:style w:type="paragraph" w:customStyle="1" w:styleId="TableParagraph">
    <w:name w:val="Table Paragraph"/>
    <w:basedOn w:val="Normal"/>
    <w:uiPriority w:val="1"/>
    <w:qFormat/>
    <w:pPr>
      <w:spacing w:before="16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doi.org/10.1016/j.jclepro.2022.133319" TargetMode="External"/><Relationship Id="rId26" Type="http://schemas.openxmlformats.org/officeDocument/2006/relationships/hyperlink" Target="https://doi.org/10.46409/vetjku.2023.701" TargetMode="External"/><Relationship Id="rId39" Type="http://schemas.openxmlformats.org/officeDocument/2006/relationships/hyperlink" Target="https://doi.org/10.7759/cureus.47420" TargetMode="External"/><Relationship Id="rId21" Type="http://schemas.openxmlformats.org/officeDocument/2006/relationships/hyperlink" Target="http://www.bhu.ac.in/research_pub/jsr/Volumes/JSR_65_04_2021/16.pdf" TargetMode="External"/><Relationship Id="rId34" Type="http://schemas.openxmlformats.org/officeDocument/2006/relationships/hyperlink" Target="https://doi.org/10.25259/IJDVL_188_2023" TargetMode="External"/><Relationship Id="rId42" Type="http://schemas.openxmlformats.org/officeDocument/2006/relationships/hyperlink" Target="http://oaji.net/articles/2015/1225-1437914944.pdf.%20Accessed%2025%20September%202020" TargetMode="External"/><Relationship Id="rId47" Type="http://schemas.openxmlformats.org/officeDocument/2006/relationships/theme" Target="theme/theme1.xm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tnsroindia.org.in/" TargetMode="External"/><Relationship Id="rId29" Type="http://schemas.openxmlformats.org/officeDocument/2006/relationships/hyperlink" Target="https://doi.org/10.1136/bmj-2022-07075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hyperlink" Target="https://doi.org/10.1002/9781394323289.ch16" TargetMode="External"/><Relationship Id="rId32" Type="http://schemas.openxmlformats.org/officeDocument/2006/relationships/hyperlink" Target="https://www.medicalnewstoday.com/articles/321137" TargetMode="External"/><Relationship Id="rId37" Type="http://schemas.openxmlformats.org/officeDocument/2006/relationships/hyperlink" Target="https://doi.org/10.1007/978-3-030-99067-1_22" TargetMode="External"/><Relationship Id="rId40" Type="http://schemas.openxmlformats.org/officeDocument/2006/relationships/hyperlink" Target="https://doi.org/10.12688/f1000research.124024.1" TargetMode="External"/><Relationship Id="rId45" Type="http://schemas.openxmlformats.org/officeDocument/2006/relationships/hyperlink" Target="https://doi.org/10.3390/pharmaceutics15061756" TargetMode="External"/><Relationship Id="rId5" Type="http://schemas.openxmlformats.org/officeDocument/2006/relationships/footnotes" Target="footnotes.xml"/><Relationship Id="rId15" Type="http://schemas.openxmlformats.org/officeDocument/2006/relationships/hyperlink" Target="https://doi.org/10.1007/s13181-013-0300-4" TargetMode="External"/><Relationship Id="rId23" Type="http://schemas.openxmlformats.org/officeDocument/2006/relationships/hyperlink" Target="https://www.fidson.com/product/mist-magnesium-trisilicate-suspension-pil/" TargetMode="External"/><Relationship Id="rId28" Type="http://schemas.openxmlformats.org/officeDocument/2006/relationships/hyperlink" Target="https://www.jetir.org/" TargetMode="External"/><Relationship Id="rId36" Type="http://schemas.openxmlformats.org/officeDocument/2006/relationships/hyperlink" Target="https://www.healthline.com/nutrition/baking-soda-benefits-uses" TargetMode="External"/><Relationship Id="rId10" Type="http://schemas.openxmlformats.org/officeDocument/2006/relationships/image" Target="media/image2.jpeg"/><Relationship Id="rId19" Type="http://schemas.openxmlformats.org/officeDocument/2006/relationships/hyperlink" Target="https://www.healthline.com/health/gerd/baking-soda" TargetMode="External"/><Relationship Id="rId31" Type="http://schemas.openxmlformats.org/officeDocument/2006/relationships/hyperlink" Target="https://doi.org/10.1007/978-3-030-99067-1_23" TargetMode="External"/><Relationship Id="rId44" Type="http://schemas.openxmlformats.org/officeDocument/2006/relationships/hyperlink" Target="https://doi.org/10.1007/s11696-023-03099-2"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www.academia.edu/download/103185970/1702876.pdf" TargetMode="External"/><Relationship Id="rId22" Type="http://schemas.openxmlformats.org/officeDocument/2006/relationships/hyperlink" Target="https://doi.org/10.3389/fphar.2022.962095" TargetMode="External"/><Relationship Id="rId27" Type="http://schemas.openxmlformats.org/officeDocument/2006/relationships/hyperlink" Target="https://doi.org/10.5167/uzh-261305" TargetMode="External"/><Relationship Id="rId30" Type="http://schemas.openxmlformats.org/officeDocument/2006/relationships/hyperlink" Target="http://www.jetir.org/papers/JETIR2503576.pdf" TargetMode="External"/><Relationship Id="rId35" Type="http://schemas.openxmlformats.org/officeDocument/2006/relationships/hyperlink" Target="https://doi.org/10.52865/qchr1551" TargetMode="External"/><Relationship Id="rId43" Type="http://schemas.openxmlformats.org/officeDocument/2006/relationships/hyperlink" Target="http://www.webmd.com/vitamins/ai/ingredientmono-1470/sodium-bicarbonate" TargetMode="External"/><Relationship Id="rId8"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hyperlink" Target="http://sjuoz.uoz.edu.krd/index.php/sjuoz/article/view/1069" TargetMode="External"/><Relationship Id="rId25" Type="http://schemas.openxmlformats.org/officeDocument/2006/relationships/hyperlink" Target="https://doi.org/10.1016/j.foodchem.2022.133319" TargetMode="External"/><Relationship Id="rId33" Type="http://schemas.openxmlformats.org/officeDocument/2006/relationships/hyperlink" Target="http://www.researchgate.net/" TargetMode="External"/><Relationship Id="rId38" Type="http://schemas.openxmlformats.org/officeDocument/2006/relationships/hyperlink" Target="https://www.ncbi.nlm.nih.gov/books/NBK559139/" TargetMode="External"/><Relationship Id="rId46" Type="http://schemas.openxmlformats.org/officeDocument/2006/relationships/fontTable" Target="fontTable.xml"/><Relationship Id="rId20" Type="http://schemas.openxmlformats.org/officeDocument/2006/relationships/hyperlink" Target="http://www.johp.journalofhospitalpharmacy.in/admin/freePDF/3esko8v54mybxwuko5gj" TargetMode="External"/><Relationship Id="rId41" Type="http://schemas.openxmlformats.org/officeDocument/2006/relationships/hyperlink" Target="http://www.ncbi.nlm.nih.gov/books/NBK5591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14082</Words>
  <Characters>80269</Characters>
  <Application>Microsoft Office Word</Application>
  <DocSecurity>0</DocSecurity>
  <Lines>668</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AA</cp:lastModifiedBy>
  <cp:revision>7</cp:revision>
  <cp:lastPrinted>2025-11-16T19:43:00Z</cp:lastPrinted>
  <dcterms:created xsi:type="dcterms:W3CDTF">2025-11-16T19:19:00Z</dcterms:created>
  <dcterms:modified xsi:type="dcterms:W3CDTF">2025-11-16T19:43:00Z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2025-11-03T00:00:00Z</vt:filetime>
  </property>
  <property fmtid="{D5CDD505-2E9C-101B-9397-08002B2CF9AE}" pid="3" name="Creator">
    <vt:lpwstr>Microsoft® Word 2010</vt:lpwstr>
  </property>
  <property fmtid="{D5CDD505-2E9C-101B-9397-08002B2CF9AE}" pid="4" name="LastSaved">
    <vt:filetime>2025-11-16T00:00:00Z</vt:filetime>
  </property>
  <property fmtid="{D5CDD505-2E9C-101B-9397-08002B2CF9AE}" pid="5" name="Producer">
    <vt:lpwstr>Microsoft® Word 2010</vt:lpwstr>
  </property>
</Properties>
</file>