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D81AF8" w14:textId="7DB4D9E3" w:rsidR="00337B86" w:rsidRDefault="00000000">
      <w:pPr>
        <w:jc w:val="center"/>
        <w:rPr>
          <w:rFonts w:ascii="Times New Roman" w:hAnsi="Times New Roman"/>
          <w:b/>
          <w:sz w:val="24"/>
          <w:szCs w:val="24"/>
        </w:rPr>
      </w:pPr>
      <w:bookmarkStart w:id="0" w:name="_Hlk213066331"/>
      <w:r>
        <w:rPr>
          <w:rFonts w:ascii="Times New Roman" w:hAnsi="Times New Roman"/>
          <w:b/>
          <w:sz w:val="24"/>
          <w:szCs w:val="24"/>
        </w:rPr>
        <w:t xml:space="preserve">DETERMINATION OF </w:t>
      </w:r>
      <w:r w:rsidR="00A719C8">
        <w:rPr>
          <w:rFonts w:ascii="Times New Roman" w:hAnsi="Times New Roman"/>
          <w:b/>
          <w:sz w:val="24"/>
          <w:szCs w:val="24"/>
        </w:rPr>
        <w:t xml:space="preserve">SOME </w:t>
      </w:r>
      <w:r>
        <w:rPr>
          <w:rFonts w:ascii="Times New Roman" w:hAnsi="Times New Roman"/>
          <w:b/>
          <w:sz w:val="24"/>
          <w:szCs w:val="24"/>
        </w:rPr>
        <w:t>HEAVY METALS CONTENT IN SELECTED BRANDS OF MACARONI, SPAGHETTI AND INSTANT NOODLES SOLD IN SOKOTO</w:t>
      </w:r>
    </w:p>
    <w:p w14:paraId="458F9E2B" w14:textId="77777777" w:rsidR="00337B86" w:rsidRDefault="00337B86">
      <w:pPr>
        <w:jc w:val="center"/>
        <w:rPr>
          <w:rFonts w:ascii="Times New Roman" w:hAnsi="Times New Roman"/>
          <w:b/>
          <w:sz w:val="24"/>
          <w:szCs w:val="24"/>
        </w:rPr>
      </w:pPr>
    </w:p>
    <w:p w14:paraId="31B3BE0D" w14:textId="77777777" w:rsidR="00337B86" w:rsidRDefault="00337B86">
      <w:pPr>
        <w:tabs>
          <w:tab w:val="left" w:pos="477"/>
        </w:tabs>
        <w:jc w:val="center"/>
        <w:rPr>
          <w:rFonts w:ascii="Times New Roman" w:hAnsi="Times New Roman"/>
          <w:b/>
          <w:sz w:val="24"/>
          <w:szCs w:val="24"/>
        </w:rPr>
      </w:pPr>
    </w:p>
    <w:p w14:paraId="578EB7D0" w14:textId="77777777" w:rsidR="00337B86" w:rsidRDefault="00000000">
      <w:pPr>
        <w:jc w:val="center"/>
        <w:rPr>
          <w:rFonts w:ascii="Times New Roman" w:hAnsi="Times New Roman"/>
          <w:b/>
          <w:sz w:val="24"/>
          <w:szCs w:val="24"/>
        </w:rPr>
      </w:pPr>
      <w:r>
        <w:rPr>
          <w:rFonts w:ascii="Times New Roman" w:hAnsi="Times New Roman"/>
          <w:b/>
          <w:sz w:val="24"/>
          <w:szCs w:val="24"/>
        </w:rPr>
        <w:t>BY</w:t>
      </w:r>
    </w:p>
    <w:p w14:paraId="192E7E28" w14:textId="77777777" w:rsidR="00337B86" w:rsidRDefault="00337B86">
      <w:pPr>
        <w:jc w:val="center"/>
        <w:rPr>
          <w:rFonts w:ascii="Times New Roman" w:hAnsi="Times New Roman"/>
          <w:b/>
          <w:sz w:val="24"/>
          <w:szCs w:val="24"/>
        </w:rPr>
      </w:pPr>
    </w:p>
    <w:p w14:paraId="27AA84F9" w14:textId="77777777" w:rsidR="00337B86" w:rsidRDefault="00337B86">
      <w:pPr>
        <w:jc w:val="center"/>
        <w:rPr>
          <w:rFonts w:ascii="Times New Roman" w:hAnsi="Times New Roman"/>
          <w:b/>
          <w:sz w:val="24"/>
          <w:szCs w:val="24"/>
        </w:rPr>
      </w:pPr>
    </w:p>
    <w:p w14:paraId="53BC0006" w14:textId="77777777" w:rsidR="00337B86" w:rsidRDefault="00000000">
      <w:pPr>
        <w:jc w:val="center"/>
        <w:rPr>
          <w:rFonts w:ascii="Times New Roman" w:hAnsi="Times New Roman"/>
          <w:b/>
          <w:sz w:val="24"/>
          <w:szCs w:val="24"/>
        </w:rPr>
      </w:pPr>
      <w:r>
        <w:rPr>
          <w:rFonts w:ascii="Times New Roman" w:hAnsi="Times New Roman"/>
          <w:b/>
          <w:sz w:val="24"/>
          <w:szCs w:val="24"/>
        </w:rPr>
        <w:t>AWODELE BUKOLA RUKAYAT</w:t>
      </w:r>
    </w:p>
    <w:p w14:paraId="6E59CF87" w14:textId="77777777" w:rsidR="00337B86" w:rsidRDefault="00000000">
      <w:pPr>
        <w:jc w:val="center"/>
        <w:rPr>
          <w:rFonts w:ascii="Times New Roman" w:hAnsi="Times New Roman"/>
          <w:b/>
          <w:sz w:val="24"/>
          <w:szCs w:val="24"/>
        </w:rPr>
      </w:pPr>
      <w:r>
        <w:rPr>
          <w:rFonts w:ascii="Times New Roman" w:hAnsi="Times New Roman"/>
          <w:b/>
          <w:sz w:val="24"/>
          <w:szCs w:val="24"/>
        </w:rPr>
        <w:t>ADMISSION NUMBER: 2010312166</w:t>
      </w:r>
    </w:p>
    <w:p w14:paraId="067B56B9" w14:textId="77777777" w:rsidR="00337B86" w:rsidRDefault="00337B86">
      <w:pPr>
        <w:jc w:val="center"/>
        <w:rPr>
          <w:rFonts w:ascii="Times New Roman" w:hAnsi="Times New Roman"/>
          <w:b/>
          <w:sz w:val="24"/>
          <w:szCs w:val="24"/>
        </w:rPr>
      </w:pPr>
    </w:p>
    <w:p w14:paraId="44BAA13E" w14:textId="77777777" w:rsidR="00337B86" w:rsidRDefault="00337B86">
      <w:pPr>
        <w:jc w:val="center"/>
        <w:rPr>
          <w:rFonts w:ascii="Times New Roman" w:hAnsi="Times New Roman"/>
          <w:b/>
          <w:sz w:val="24"/>
          <w:szCs w:val="24"/>
        </w:rPr>
      </w:pPr>
    </w:p>
    <w:p w14:paraId="46C89D8B" w14:textId="77777777" w:rsidR="00337B86" w:rsidRDefault="00337B86">
      <w:pPr>
        <w:jc w:val="center"/>
        <w:rPr>
          <w:rFonts w:ascii="Times New Roman" w:hAnsi="Times New Roman"/>
          <w:b/>
          <w:sz w:val="24"/>
          <w:szCs w:val="24"/>
        </w:rPr>
      </w:pPr>
    </w:p>
    <w:p w14:paraId="1950A50E" w14:textId="77777777" w:rsidR="00337B86" w:rsidRDefault="00000000">
      <w:pPr>
        <w:jc w:val="center"/>
        <w:rPr>
          <w:rFonts w:ascii="Times New Roman" w:hAnsi="Times New Roman"/>
          <w:b/>
          <w:sz w:val="24"/>
          <w:szCs w:val="24"/>
        </w:rPr>
      </w:pPr>
      <w:r>
        <w:rPr>
          <w:rFonts w:ascii="Times New Roman" w:hAnsi="Times New Roman"/>
          <w:b/>
          <w:sz w:val="24"/>
          <w:szCs w:val="24"/>
        </w:rPr>
        <w:t xml:space="preserve">A RESEARCH PROJECT SUBMITTED TO THE DEPARTMENT OF ENERGY AND APPLIED CHEMISTRY, FACULTY OF CHEMICAL AND LIFE SCIENCE, </w:t>
      </w:r>
    </w:p>
    <w:p w14:paraId="45D8CF78" w14:textId="77777777" w:rsidR="00337B86" w:rsidRDefault="00000000">
      <w:pPr>
        <w:jc w:val="center"/>
        <w:rPr>
          <w:rFonts w:ascii="Times New Roman" w:hAnsi="Times New Roman"/>
          <w:b/>
          <w:sz w:val="24"/>
          <w:szCs w:val="24"/>
        </w:rPr>
      </w:pPr>
      <w:r>
        <w:rPr>
          <w:rFonts w:ascii="Times New Roman" w:hAnsi="Times New Roman"/>
          <w:b/>
          <w:sz w:val="24"/>
          <w:szCs w:val="24"/>
        </w:rPr>
        <w:t>USMANU DANFODIYO UNIVERSITY, SOKOTO</w:t>
      </w:r>
    </w:p>
    <w:p w14:paraId="299C1014" w14:textId="77777777" w:rsidR="00337B86" w:rsidRDefault="00337B86">
      <w:pPr>
        <w:jc w:val="center"/>
        <w:rPr>
          <w:rFonts w:ascii="Times New Roman" w:hAnsi="Times New Roman"/>
          <w:b/>
          <w:sz w:val="24"/>
          <w:szCs w:val="24"/>
        </w:rPr>
      </w:pPr>
    </w:p>
    <w:p w14:paraId="63218ECE" w14:textId="7C0762FD" w:rsidR="00337B86" w:rsidRDefault="00000000">
      <w:pPr>
        <w:jc w:val="center"/>
        <w:rPr>
          <w:rFonts w:ascii="Times New Roman" w:hAnsi="Times New Roman"/>
          <w:b/>
          <w:sz w:val="24"/>
          <w:szCs w:val="24"/>
        </w:rPr>
      </w:pPr>
      <w:proofErr w:type="gramStart"/>
      <w:r>
        <w:rPr>
          <w:rFonts w:ascii="Times New Roman" w:hAnsi="Times New Roman"/>
          <w:b/>
          <w:sz w:val="24"/>
          <w:szCs w:val="24"/>
        </w:rPr>
        <w:t>IN  PARTIAL</w:t>
      </w:r>
      <w:proofErr w:type="gramEnd"/>
      <w:r>
        <w:rPr>
          <w:rFonts w:ascii="Times New Roman" w:hAnsi="Times New Roman"/>
          <w:b/>
          <w:sz w:val="24"/>
          <w:szCs w:val="24"/>
        </w:rPr>
        <w:t xml:space="preserve"> FULFILLMENT OF THE REQUIREMENT</w:t>
      </w:r>
      <w:r w:rsidR="00F55359">
        <w:rPr>
          <w:rFonts w:ascii="Times New Roman" w:hAnsi="Times New Roman"/>
          <w:b/>
          <w:sz w:val="24"/>
          <w:szCs w:val="24"/>
        </w:rPr>
        <w:t>S</w:t>
      </w:r>
      <w:r>
        <w:rPr>
          <w:rFonts w:ascii="Times New Roman" w:hAnsi="Times New Roman"/>
          <w:b/>
          <w:sz w:val="24"/>
          <w:szCs w:val="24"/>
        </w:rPr>
        <w:t xml:space="preserve"> FOR THE AWARD OF BACHELOR OF SCIENCE (</w:t>
      </w:r>
      <w:proofErr w:type="spellStart"/>
      <w:r>
        <w:rPr>
          <w:rFonts w:ascii="Times New Roman" w:hAnsi="Times New Roman"/>
          <w:b/>
          <w:sz w:val="24"/>
          <w:szCs w:val="24"/>
        </w:rPr>
        <w:t>B.Sc</w:t>
      </w:r>
      <w:proofErr w:type="spellEnd"/>
      <w:r>
        <w:rPr>
          <w:rFonts w:ascii="Times New Roman" w:hAnsi="Times New Roman"/>
          <w:b/>
          <w:sz w:val="24"/>
          <w:szCs w:val="24"/>
        </w:rPr>
        <w:t xml:space="preserve"> HONS) DEGREE IN APPLIED CHEMISTRY</w:t>
      </w:r>
    </w:p>
    <w:p w14:paraId="19704FE0" w14:textId="77777777" w:rsidR="00337B86" w:rsidRDefault="00337B86">
      <w:pPr>
        <w:jc w:val="center"/>
        <w:rPr>
          <w:rFonts w:ascii="Times New Roman" w:hAnsi="Times New Roman"/>
          <w:b/>
          <w:sz w:val="24"/>
          <w:szCs w:val="24"/>
        </w:rPr>
      </w:pPr>
    </w:p>
    <w:p w14:paraId="04B51274" w14:textId="77777777" w:rsidR="00337B86" w:rsidRDefault="00337B86">
      <w:pPr>
        <w:jc w:val="center"/>
        <w:rPr>
          <w:rFonts w:ascii="Times New Roman" w:hAnsi="Times New Roman"/>
          <w:b/>
          <w:sz w:val="24"/>
          <w:szCs w:val="24"/>
        </w:rPr>
      </w:pPr>
    </w:p>
    <w:p w14:paraId="3191A9F5" w14:textId="77777777" w:rsidR="00337B86" w:rsidRDefault="00337B86">
      <w:pPr>
        <w:jc w:val="center"/>
        <w:rPr>
          <w:rFonts w:ascii="Times New Roman" w:hAnsi="Times New Roman"/>
          <w:b/>
          <w:sz w:val="24"/>
          <w:szCs w:val="24"/>
        </w:rPr>
      </w:pPr>
    </w:p>
    <w:p w14:paraId="3C31F039" w14:textId="77777777" w:rsidR="00337B86" w:rsidRDefault="00000000">
      <w:pPr>
        <w:jc w:val="center"/>
        <w:rPr>
          <w:rFonts w:ascii="Times New Roman" w:hAnsi="Times New Roman"/>
          <w:b/>
          <w:sz w:val="24"/>
          <w:szCs w:val="24"/>
        </w:rPr>
      </w:pPr>
      <w:r>
        <w:rPr>
          <w:rFonts w:ascii="Times New Roman" w:hAnsi="Times New Roman"/>
          <w:b/>
          <w:sz w:val="24"/>
          <w:szCs w:val="24"/>
        </w:rPr>
        <w:t xml:space="preserve">SUPERVISED BY: Dr E.V.C OKOH </w:t>
      </w:r>
    </w:p>
    <w:p w14:paraId="62D99AD7" w14:textId="77777777" w:rsidR="00337B86" w:rsidRDefault="00337B86">
      <w:pPr>
        <w:jc w:val="center"/>
        <w:rPr>
          <w:rFonts w:ascii="Times New Roman" w:hAnsi="Times New Roman"/>
          <w:b/>
          <w:sz w:val="24"/>
          <w:szCs w:val="24"/>
        </w:rPr>
      </w:pPr>
    </w:p>
    <w:p w14:paraId="511605AB" w14:textId="77777777" w:rsidR="00337B86" w:rsidRDefault="00337B86">
      <w:pPr>
        <w:jc w:val="center"/>
        <w:rPr>
          <w:rFonts w:ascii="Times New Roman" w:hAnsi="Times New Roman"/>
          <w:b/>
          <w:sz w:val="24"/>
          <w:szCs w:val="24"/>
        </w:rPr>
      </w:pPr>
    </w:p>
    <w:p w14:paraId="54E4499C" w14:textId="77777777" w:rsidR="00337B86" w:rsidRDefault="00337B86">
      <w:pPr>
        <w:jc w:val="center"/>
        <w:rPr>
          <w:rFonts w:ascii="Times New Roman" w:hAnsi="Times New Roman"/>
          <w:b/>
          <w:sz w:val="24"/>
          <w:szCs w:val="24"/>
        </w:rPr>
      </w:pPr>
    </w:p>
    <w:p w14:paraId="54E8D35E" w14:textId="77777777" w:rsidR="00337B86" w:rsidRDefault="00000000">
      <w:pPr>
        <w:jc w:val="center"/>
        <w:rPr>
          <w:rFonts w:ascii="Times New Roman" w:hAnsi="Times New Roman"/>
          <w:b/>
          <w:sz w:val="24"/>
          <w:szCs w:val="24"/>
        </w:rPr>
      </w:pPr>
      <w:r>
        <w:rPr>
          <w:rFonts w:ascii="Times New Roman" w:hAnsi="Times New Roman"/>
          <w:b/>
          <w:sz w:val="24"/>
          <w:szCs w:val="24"/>
        </w:rPr>
        <w:t>NOVEMBER, 2025.</w:t>
      </w:r>
    </w:p>
    <w:p w14:paraId="030193FF" w14:textId="77777777" w:rsidR="00337B86" w:rsidRDefault="00000000">
      <w:pPr>
        <w:tabs>
          <w:tab w:val="left" w:pos="1230"/>
        </w:tabs>
        <w:spacing w:line="360" w:lineRule="auto"/>
        <w:jc w:val="center"/>
        <w:rPr>
          <w:rFonts w:ascii="Times New Roman" w:hAnsi="Times New Roman"/>
          <w:b/>
          <w:sz w:val="24"/>
          <w:szCs w:val="24"/>
        </w:rPr>
      </w:pPr>
      <w:r>
        <w:rPr>
          <w:rFonts w:ascii="Times New Roman" w:hAnsi="Times New Roman"/>
          <w:b/>
          <w:sz w:val="24"/>
          <w:szCs w:val="24"/>
        </w:rPr>
        <w:lastRenderedPageBreak/>
        <w:t>DEDICATION</w:t>
      </w:r>
    </w:p>
    <w:p w14:paraId="6E973EC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I dedicate this project to my beloved parents and my dear siblings, whose love, prayers, and encouragement have been my greatest source of strength and inspiration throughout this journey.</w:t>
      </w:r>
    </w:p>
    <w:p w14:paraId="3B4F56E5" w14:textId="77777777" w:rsidR="00337B86" w:rsidRDefault="00337B86">
      <w:pPr>
        <w:spacing w:line="360" w:lineRule="auto"/>
        <w:jc w:val="both"/>
        <w:rPr>
          <w:rFonts w:ascii="Times New Roman" w:hAnsi="Times New Roman"/>
          <w:sz w:val="24"/>
          <w:szCs w:val="24"/>
        </w:rPr>
      </w:pPr>
    </w:p>
    <w:p w14:paraId="6DC5656E" w14:textId="77777777" w:rsidR="00337B86" w:rsidRDefault="00337B86"/>
    <w:p w14:paraId="48D12FC9" w14:textId="77777777" w:rsidR="00337B86" w:rsidRDefault="00337B86"/>
    <w:p w14:paraId="1C23118E" w14:textId="77777777" w:rsidR="00337B86" w:rsidRDefault="00337B86"/>
    <w:p w14:paraId="08653EC5" w14:textId="77777777" w:rsidR="00337B86" w:rsidRDefault="00337B86"/>
    <w:p w14:paraId="2F25B84D" w14:textId="77777777" w:rsidR="00337B86" w:rsidRDefault="00337B86"/>
    <w:p w14:paraId="551C264E" w14:textId="77777777" w:rsidR="00337B86" w:rsidRDefault="00337B86"/>
    <w:p w14:paraId="33F6715A" w14:textId="77777777" w:rsidR="00337B86" w:rsidRDefault="00337B86"/>
    <w:p w14:paraId="10675C92" w14:textId="77777777" w:rsidR="00337B86" w:rsidRDefault="00337B86"/>
    <w:p w14:paraId="6856FC77" w14:textId="77777777" w:rsidR="00337B86" w:rsidRDefault="00337B86"/>
    <w:p w14:paraId="6C20609B" w14:textId="77777777" w:rsidR="00337B86" w:rsidRDefault="00337B86"/>
    <w:p w14:paraId="3127126B" w14:textId="77777777" w:rsidR="00337B86" w:rsidRDefault="00337B86"/>
    <w:p w14:paraId="42FA734E" w14:textId="77777777" w:rsidR="00337B86" w:rsidRDefault="00337B86"/>
    <w:p w14:paraId="1D264869" w14:textId="77777777" w:rsidR="00337B86" w:rsidRDefault="00337B86"/>
    <w:p w14:paraId="60B4AC26" w14:textId="77777777" w:rsidR="00337B86" w:rsidRDefault="00337B86"/>
    <w:p w14:paraId="0E3D1D00" w14:textId="77777777" w:rsidR="00337B86" w:rsidRDefault="00337B86"/>
    <w:p w14:paraId="598E51C1" w14:textId="77777777" w:rsidR="00337B86" w:rsidRDefault="00337B86"/>
    <w:p w14:paraId="43E34144" w14:textId="77777777" w:rsidR="00337B86" w:rsidRDefault="00337B86"/>
    <w:p w14:paraId="004B939E" w14:textId="77777777" w:rsidR="00337B86" w:rsidRDefault="00337B86"/>
    <w:p w14:paraId="6E6AB391" w14:textId="77777777" w:rsidR="00337B86" w:rsidRDefault="00337B86"/>
    <w:p w14:paraId="1C83D84B" w14:textId="77777777" w:rsidR="00EA14A2" w:rsidRDefault="00EA14A2"/>
    <w:p w14:paraId="0E77B119" w14:textId="77777777" w:rsidR="00337B86" w:rsidRDefault="00337B86"/>
    <w:p w14:paraId="20D1D1D8" w14:textId="77777777" w:rsidR="00337B86" w:rsidRDefault="00000000">
      <w:pPr>
        <w:jc w:val="center"/>
        <w:rPr>
          <w:rFonts w:ascii="Times New Roman" w:hAnsi="Times New Roman"/>
          <w:b/>
          <w:sz w:val="24"/>
          <w:szCs w:val="24"/>
        </w:rPr>
      </w:pPr>
      <w:r>
        <w:rPr>
          <w:rFonts w:ascii="Times New Roman" w:hAnsi="Times New Roman"/>
          <w:b/>
          <w:sz w:val="24"/>
          <w:szCs w:val="24"/>
        </w:rPr>
        <w:lastRenderedPageBreak/>
        <w:t>ACKNOWLEDGEMENTS</w:t>
      </w:r>
    </w:p>
    <w:p w14:paraId="2C6C0311" w14:textId="77777777" w:rsidR="00337B86" w:rsidRDefault="00000000">
      <w:pPr>
        <w:jc w:val="both"/>
        <w:rPr>
          <w:rFonts w:ascii="Times New Roman" w:hAnsi="Times New Roman"/>
          <w:sz w:val="24"/>
          <w:szCs w:val="24"/>
        </w:rPr>
      </w:pPr>
      <w:r>
        <w:rPr>
          <w:rFonts w:ascii="Times New Roman" w:hAnsi="Times New Roman"/>
          <w:sz w:val="24"/>
          <w:szCs w:val="24"/>
        </w:rPr>
        <w:t xml:space="preserve">All praises and thanks be to Almighty ALLAH (SWT), the Most Gracious, the Most Merciful, the Creator of the heavens and the earth, </w:t>
      </w:r>
      <w:proofErr w:type="gramStart"/>
      <w:r>
        <w:rPr>
          <w:rFonts w:ascii="Times New Roman" w:hAnsi="Times New Roman"/>
          <w:sz w:val="24"/>
          <w:szCs w:val="24"/>
        </w:rPr>
        <w:t>Who</w:t>
      </w:r>
      <w:proofErr w:type="gramEnd"/>
      <w:r>
        <w:rPr>
          <w:rFonts w:ascii="Times New Roman" w:hAnsi="Times New Roman"/>
          <w:sz w:val="24"/>
          <w:szCs w:val="24"/>
        </w:rPr>
        <w:t xml:space="preserve"> granted me the privilege, strength, and wisdom to successfully complete this project. May His peace and blessings be upon our noble Prophet Muhammad (S.A.W), his family, his companions, and all followers till the Day of Judgment.</w:t>
      </w:r>
    </w:p>
    <w:p w14:paraId="46BE7479" w14:textId="77777777" w:rsidR="00337B86" w:rsidRDefault="00000000">
      <w:pPr>
        <w:jc w:val="both"/>
        <w:rPr>
          <w:rFonts w:ascii="Times New Roman" w:hAnsi="Times New Roman"/>
          <w:sz w:val="24"/>
          <w:szCs w:val="24"/>
        </w:rPr>
      </w:pPr>
      <w:r>
        <w:rPr>
          <w:rFonts w:ascii="Times New Roman" w:hAnsi="Times New Roman"/>
          <w:sz w:val="24"/>
          <w:szCs w:val="24"/>
        </w:rPr>
        <w:t>I wish to express my profound and sincere appreciation to my able supervisor, Dr. E. V. C. Okoh, for his unwavering guidance, patience, encouragement, and valuable suggestions throughout the course of this research work. Despite his busy schedule, he always made time to guide me and provide meaningful corrections and advice. May Almighty ALLAH reward him abundantly and grant him more wisdom, health, and success in his academic pursuits.</w:t>
      </w:r>
    </w:p>
    <w:p w14:paraId="138722DF" w14:textId="77777777" w:rsidR="00337B86" w:rsidRDefault="00000000">
      <w:pPr>
        <w:jc w:val="both"/>
        <w:rPr>
          <w:rFonts w:ascii="Times New Roman" w:hAnsi="Times New Roman"/>
          <w:sz w:val="24"/>
          <w:szCs w:val="24"/>
        </w:rPr>
      </w:pPr>
      <w:r>
        <w:rPr>
          <w:rFonts w:ascii="Times New Roman" w:hAnsi="Times New Roman"/>
          <w:sz w:val="24"/>
          <w:szCs w:val="24"/>
        </w:rPr>
        <w:t>My heartfelt gratitude also goes to all my lecturers and staff of the Department of Chemistry, Usmanu Danfodiyo University, Sokoto, for their dedication, effort, and impact throughout my academic journey. Your teachings, guidance, and encouragement have been a great source of inspiration. May Almighty ALLAH bless and reward you all abundantly.</w:t>
      </w:r>
    </w:p>
    <w:p w14:paraId="4251817B" w14:textId="77777777" w:rsidR="00337B86" w:rsidRDefault="00000000">
      <w:pPr>
        <w:jc w:val="both"/>
        <w:rPr>
          <w:rFonts w:ascii="Times New Roman" w:hAnsi="Times New Roman"/>
          <w:sz w:val="24"/>
          <w:szCs w:val="24"/>
        </w:rPr>
      </w:pPr>
      <w:r>
        <w:rPr>
          <w:rFonts w:ascii="Times New Roman" w:hAnsi="Times New Roman"/>
          <w:sz w:val="24"/>
          <w:szCs w:val="24"/>
        </w:rPr>
        <w:t xml:space="preserve">I am deeply thankful to my wonderful parents, Mr. Habeeb </w:t>
      </w:r>
      <w:proofErr w:type="spellStart"/>
      <w:r>
        <w:rPr>
          <w:rFonts w:ascii="Times New Roman" w:hAnsi="Times New Roman"/>
          <w:sz w:val="24"/>
          <w:szCs w:val="24"/>
        </w:rPr>
        <w:t>Awodele</w:t>
      </w:r>
      <w:proofErr w:type="spellEnd"/>
      <w:r>
        <w:rPr>
          <w:rFonts w:ascii="Times New Roman" w:hAnsi="Times New Roman"/>
          <w:sz w:val="24"/>
          <w:szCs w:val="24"/>
        </w:rPr>
        <w:t xml:space="preserve"> and Mrs. </w:t>
      </w:r>
      <w:proofErr w:type="spellStart"/>
      <w:r>
        <w:rPr>
          <w:rFonts w:ascii="Times New Roman" w:hAnsi="Times New Roman"/>
          <w:sz w:val="24"/>
          <w:szCs w:val="24"/>
        </w:rPr>
        <w:t>Romoke</w:t>
      </w:r>
      <w:proofErr w:type="spellEnd"/>
      <w:r>
        <w:rPr>
          <w:rFonts w:ascii="Times New Roman" w:hAnsi="Times New Roman"/>
          <w:sz w:val="24"/>
          <w:szCs w:val="24"/>
        </w:rPr>
        <w:t xml:space="preserve"> </w:t>
      </w:r>
      <w:proofErr w:type="spellStart"/>
      <w:r>
        <w:rPr>
          <w:rFonts w:ascii="Times New Roman" w:hAnsi="Times New Roman"/>
          <w:sz w:val="24"/>
          <w:szCs w:val="24"/>
        </w:rPr>
        <w:t>Awodele</w:t>
      </w:r>
      <w:proofErr w:type="spellEnd"/>
      <w:r>
        <w:rPr>
          <w:rFonts w:ascii="Times New Roman" w:hAnsi="Times New Roman"/>
          <w:sz w:val="24"/>
          <w:szCs w:val="24"/>
        </w:rPr>
        <w:t xml:space="preserve">, for their endless love, prayers, sacrifices, and moral support throughout my life and studies. You have been my greatest source of motivation and strength. May Almighty ALLAH reward you with good health, long life, and happiness, and may you live to reap the fruits of your </w:t>
      </w:r>
      <w:proofErr w:type="spellStart"/>
      <w:r>
        <w:rPr>
          <w:rFonts w:ascii="Times New Roman" w:hAnsi="Times New Roman"/>
          <w:sz w:val="24"/>
          <w:szCs w:val="24"/>
        </w:rPr>
        <w:t>labour</w:t>
      </w:r>
      <w:proofErr w:type="spellEnd"/>
      <w:r>
        <w:rPr>
          <w:rFonts w:ascii="Times New Roman" w:hAnsi="Times New Roman"/>
          <w:sz w:val="24"/>
          <w:szCs w:val="24"/>
        </w:rPr>
        <w:t>.</w:t>
      </w:r>
    </w:p>
    <w:p w14:paraId="4BE11590" w14:textId="32F4ED0F" w:rsidR="00337B86" w:rsidRDefault="00000000">
      <w:pPr>
        <w:jc w:val="both"/>
        <w:rPr>
          <w:rFonts w:ascii="Times New Roman" w:hAnsi="Times New Roman"/>
          <w:sz w:val="24"/>
          <w:szCs w:val="24"/>
        </w:rPr>
      </w:pPr>
      <w:r>
        <w:rPr>
          <w:rFonts w:ascii="Times New Roman" w:hAnsi="Times New Roman"/>
          <w:sz w:val="24"/>
          <w:szCs w:val="24"/>
        </w:rPr>
        <w:t xml:space="preserve">My sincere appreciation also goes to my lovely siblings </w:t>
      </w:r>
      <w:proofErr w:type="spellStart"/>
      <w:r>
        <w:rPr>
          <w:rFonts w:ascii="Times New Roman" w:hAnsi="Times New Roman"/>
          <w:sz w:val="24"/>
          <w:szCs w:val="24"/>
        </w:rPr>
        <w:t>Toyeeb</w:t>
      </w:r>
      <w:proofErr w:type="spellEnd"/>
      <w:r>
        <w:rPr>
          <w:rFonts w:ascii="Times New Roman" w:hAnsi="Times New Roman"/>
          <w:sz w:val="24"/>
          <w:szCs w:val="24"/>
        </w:rPr>
        <w:t xml:space="preserve"> </w:t>
      </w:r>
      <w:proofErr w:type="spellStart"/>
      <w:r>
        <w:rPr>
          <w:rFonts w:ascii="Times New Roman" w:hAnsi="Times New Roman"/>
          <w:sz w:val="24"/>
          <w:szCs w:val="24"/>
        </w:rPr>
        <w:t>Awodele</w:t>
      </w:r>
      <w:proofErr w:type="spellEnd"/>
      <w:r>
        <w:rPr>
          <w:rFonts w:ascii="Times New Roman" w:hAnsi="Times New Roman"/>
          <w:sz w:val="24"/>
          <w:szCs w:val="24"/>
        </w:rPr>
        <w:t xml:space="preserve">, Omowunmi </w:t>
      </w:r>
      <w:proofErr w:type="spellStart"/>
      <w:r>
        <w:rPr>
          <w:rFonts w:ascii="Times New Roman" w:hAnsi="Times New Roman"/>
          <w:sz w:val="24"/>
          <w:szCs w:val="24"/>
        </w:rPr>
        <w:t>Awodele</w:t>
      </w:r>
      <w:proofErr w:type="spellEnd"/>
      <w:r>
        <w:rPr>
          <w:rFonts w:ascii="Times New Roman" w:hAnsi="Times New Roman"/>
          <w:sz w:val="24"/>
          <w:szCs w:val="24"/>
        </w:rPr>
        <w:t xml:space="preserve"> </w:t>
      </w:r>
      <w:proofErr w:type="spellStart"/>
      <w:r>
        <w:rPr>
          <w:rFonts w:ascii="Times New Roman" w:hAnsi="Times New Roman"/>
          <w:sz w:val="24"/>
          <w:szCs w:val="24"/>
        </w:rPr>
        <w:t>Omotolani</w:t>
      </w:r>
      <w:proofErr w:type="spellEnd"/>
      <w:r>
        <w:rPr>
          <w:rFonts w:ascii="Times New Roman" w:hAnsi="Times New Roman"/>
          <w:sz w:val="24"/>
          <w:szCs w:val="24"/>
        </w:rPr>
        <w:t xml:space="preserve">, Aisha </w:t>
      </w:r>
      <w:proofErr w:type="spellStart"/>
      <w:r>
        <w:rPr>
          <w:rFonts w:ascii="Times New Roman" w:hAnsi="Times New Roman"/>
          <w:sz w:val="24"/>
          <w:szCs w:val="24"/>
        </w:rPr>
        <w:t>Awodele</w:t>
      </w:r>
      <w:proofErr w:type="spellEnd"/>
      <w:r w:rsidR="00180371">
        <w:rPr>
          <w:rFonts w:ascii="Times New Roman" w:hAnsi="Times New Roman"/>
          <w:sz w:val="24"/>
          <w:szCs w:val="24"/>
        </w:rPr>
        <w:t>, Akinyemi Peter</w:t>
      </w:r>
      <w:r w:rsidR="008A7B52">
        <w:rPr>
          <w:rFonts w:ascii="Times New Roman" w:hAnsi="Times New Roman"/>
          <w:sz w:val="24"/>
          <w:szCs w:val="24"/>
        </w:rPr>
        <w:t xml:space="preserve"> and Busari Ridwan </w:t>
      </w:r>
      <w:r>
        <w:rPr>
          <w:rFonts w:ascii="Times New Roman" w:hAnsi="Times New Roman"/>
          <w:sz w:val="24"/>
          <w:szCs w:val="24"/>
        </w:rPr>
        <w:t>for their love, prayers, and encouragement. Thank you all for being there for me always and for filling my life with joy and laughter. May Almighty ALLAH continue to strengthen the bond of our family and bless you all abundantly.</w:t>
      </w:r>
    </w:p>
    <w:p w14:paraId="150512E7" w14:textId="77777777" w:rsidR="00337B86" w:rsidRDefault="00000000">
      <w:pPr>
        <w:jc w:val="both"/>
        <w:rPr>
          <w:rFonts w:ascii="Times New Roman" w:hAnsi="Times New Roman"/>
          <w:sz w:val="24"/>
          <w:szCs w:val="24"/>
        </w:rPr>
      </w:pPr>
      <w:r>
        <w:rPr>
          <w:rFonts w:ascii="Times New Roman" w:hAnsi="Times New Roman"/>
          <w:sz w:val="24"/>
          <w:szCs w:val="24"/>
        </w:rPr>
        <w:t xml:space="preserve">To my dear friends, Ahmed Aishat Damilola, Busari </w:t>
      </w:r>
      <w:proofErr w:type="spellStart"/>
      <w:r>
        <w:rPr>
          <w:rFonts w:ascii="Times New Roman" w:hAnsi="Times New Roman"/>
          <w:sz w:val="24"/>
          <w:szCs w:val="24"/>
        </w:rPr>
        <w:t>Muibah</w:t>
      </w:r>
      <w:proofErr w:type="spellEnd"/>
      <w:r>
        <w:rPr>
          <w:rFonts w:ascii="Times New Roman" w:hAnsi="Times New Roman"/>
          <w:sz w:val="24"/>
          <w:szCs w:val="24"/>
        </w:rPr>
        <w:t xml:space="preserve"> and Ojo </w:t>
      </w:r>
      <w:proofErr w:type="spellStart"/>
      <w:r>
        <w:rPr>
          <w:rFonts w:ascii="Times New Roman" w:hAnsi="Times New Roman"/>
          <w:sz w:val="24"/>
          <w:szCs w:val="24"/>
        </w:rPr>
        <w:t>Jelilah</w:t>
      </w:r>
      <w:proofErr w:type="spellEnd"/>
      <w:r>
        <w:rPr>
          <w:rFonts w:ascii="Times New Roman" w:hAnsi="Times New Roman"/>
          <w:sz w:val="24"/>
          <w:szCs w:val="24"/>
        </w:rPr>
        <w:t xml:space="preserve">. I am truly grateful for your love, friendship, understanding, and constant support. You have made my academic journey easier and more enjoyable with your kindness and encouragement. May Almighty ALLAH reward you all and grant you success in all your </w:t>
      </w:r>
      <w:proofErr w:type="spellStart"/>
      <w:r>
        <w:rPr>
          <w:rFonts w:ascii="Times New Roman" w:hAnsi="Times New Roman"/>
          <w:sz w:val="24"/>
          <w:szCs w:val="24"/>
        </w:rPr>
        <w:t>endeavours</w:t>
      </w:r>
      <w:proofErr w:type="spellEnd"/>
      <w:r>
        <w:rPr>
          <w:rFonts w:ascii="Times New Roman" w:hAnsi="Times New Roman"/>
          <w:sz w:val="24"/>
          <w:szCs w:val="24"/>
        </w:rPr>
        <w:t>.</w:t>
      </w:r>
    </w:p>
    <w:p w14:paraId="7EB2D65F" w14:textId="77777777" w:rsidR="00337B86" w:rsidRDefault="00000000">
      <w:pPr>
        <w:jc w:val="both"/>
        <w:rPr>
          <w:rFonts w:ascii="Times New Roman" w:hAnsi="Times New Roman"/>
          <w:sz w:val="24"/>
          <w:szCs w:val="24"/>
        </w:rPr>
      </w:pPr>
      <w:r>
        <w:rPr>
          <w:rFonts w:ascii="Times New Roman" w:hAnsi="Times New Roman"/>
          <w:sz w:val="24"/>
          <w:szCs w:val="24"/>
        </w:rPr>
        <w:t>Finally, to everyone who has contributed in one way or another to the success of this project, your efforts, advice, prayers, and words of encouragement are deeply appreciated. May Almighty ALLAH (SWT) bless you all, reward you abundantly, and crown your efforts with success both in this world and in the hereafter.</w:t>
      </w:r>
    </w:p>
    <w:p w14:paraId="2DD6EC08" w14:textId="77777777" w:rsidR="00337B86" w:rsidRDefault="00337B86">
      <w:pPr>
        <w:jc w:val="both"/>
        <w:rPr>
          <w:rFonts w:ascii="Times New Roman" w:hAnsi="Times New Roman"/>
          <w:sz w:val="24"/>
          <w:szCs w:val="24"/>
        </w:rPr>
      </w:pPr>
    </w:p>
    <w:p w14:paraId="2929A994" w14:textId="77777777" w:rsidR="00337B86" w:rsidRDefault="00337B86">
      <w:pPr>
        <w:jc w:val="both"/>
        <w:rPr>
          <w:rFonts w:ascii="Times New Roman" w:hAnsi="Times New Roman"/>
          <w:sz w:val="24"/>
          <w:szCs w:val="24"/>
        </w:rPr>
      </w:pPr>
    </w:p>
    <w:p w14:paraId="3E5B4EDC" w14:textId="77777777" w:rsidR="00337B86" w:rsidRDefault="00337B86">
      <w:pPr>
        <w:jc w:val="both"/>
        <w:rPr>
          <w:rFonts w:ascii="Times New Roman" w:hAnsi="Times New Roman"/>
          <w:sz w:val="24"/>
          <w:szCs w:val="24"/>
        </w:rPr>
      </w:pPr>
    </w:p>
    <w:p w14:paraId="65AD6DE4" w14:textId="77777777" w:rsidR="00EA14A2" w:rsidRDefault="00EA14A2">
      <w:pPr>
        <w:jc w:val="both"/>
        <w:rPr>
          <w:rFonts w:ascii="Times New Roman" w:hAnsi="Times New Roman"/>
          <w:sz w:val="24"/>
          <w:szCs w:val="24"/>
        </w:rPr>
      </w:pPr>
    </w:p>
    <w:p w14:paraId="4FED1B52" w14:textId="77777777" w:rsidR="00337B86" w:rsidRDefault="00000000">
      <w:pPr>
        <w:spacing w:line="360" w:lineRule="auto"/>
        <w:jc w:val="center"/>
        <w:rPr>
          <w:rFonts w:ascii="Times New Roman" w:hAnsi="Times New Roman"/>
          <w:b/>
          <w:sz w:val="24"/>
          <w:szCs w:val="24"/>
        </w:rPr>
      </w:pPr>
      <w:r>
        <w:rPr>
          <w:rFonts w:ascii="Times New Roman" w:hAnsi="Times New Roman"/>
          <w:b/>
          <w:sz w:val="24"/>
          <w:szCs w:val="24"/>
        </w:rPr>
        <w:t>APPROVAL PAGE</w:t>
      </w:r>
    </w:p>
    <w:p w14:paraId="563E0AFB" w14:textId="2C2BBBD0"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This is to certify that this project report by </w:t>
      </w:r>
      <w:proofErr w:type="spellStart"/>
      <w:r>
        <w:rPr>
          <w:rFonts w:ascii="Times New Roman" w:hAnsi="Times New Roman"/>
          <w:sz w:val="24"/>
          <w:szCs w:val="24"/>
        </w:rPr>
        <w:t>Awodele</w:t>
      </w:r>
      <w:proofErr w:type="spellEnd"/>
      <w:r>
        <w:rPr>
          <w:rFonts w:ascii="Times New Roman" w:hAnsi="Times New Roman"/>
          <w:sz w:val="24"/>
          <w:szCs w:val="24"/>
        </w:rPr>
        <w:t xml:space="preserve"> Bukola Rukayat</w:t>
      </w:r>
      <w:r w:rsidR="00EA14A2">
        <w:rPr>
          <w:rFonts w:ascii="Times New Roman" w:hAnsi="Times New Roman"/>
          <w:sz w:val="24"/>
          <w:szCs w:val="24"/>
        </w:rPr>
        <w:t xml:space="preserve"> </w:t>
      </w:r>
      <w:r>
        <w:rPr>
          <w:rFonts w:ascii="Times New Roman" w:hAnsi="Times New Roman"/>
          <w:sz w:val="24"/>
          <w:szCs w:val="24"/>
        </w:rPr>
        <w:t>(2010312166) has met the requirements for the Award of the Bachelor of Science Degree in Applied Chemistry of the Usmanu Danfodiyo University, Sokoto and is approved for its contribution to knowledge.</w:t>
      </w:r>
    </w:p>
    <w:p w14:paraId="25381222" w14:textId="77777777" w:rsidR="00337B86" w:rsidRDefault="00000000">
      <w:pPr>
        <w:tabs>
          <w:tab w:val="left" w:pos="1001"/>
        </w:tabs>
        <w:spacing w:line="360" w:lineRule="auto"/>
      </w:pPr>
      <w:r>
        <w:tab/>
      </w:r>
    </w:p>
    <w:p w14:paraId="731C58BF" w14:textId="77777777" w:rsidR="00337B86" w:rsidRDefault="00337B86">
      <w:pPr>
        <w:spacing w:line="360" w:lineRule="auto"/>
        <w:jc w:val="both"/>
        <w:rPr>
          <w:rFonts w:ascii="Times New Roman" w:hAnsi="Times New Roman"/>
          <w:b/>
          <w:sz w:val="24"/>
          <w:szCs w:val="24"/>
        </w:rPr>
      </w:pPr>
    </w:p>
    <w:p w14:paraId="218592A5" w14:textId="77777777" w:rsidR="00337B86" w:rsidRDefault="00337B86">
      <w:pPr>
        <w:spacing w:after="0" w:line="360" w:lineRule="auto"/>
        <w:jc w:val="both"/>
        <w:rPr>
          <w:rFonts w:ascii="Times New Roman" w:hAnsi="Times New Roman"/>
          <w:sz w:val="24"/>
          <w:szCs w:val="24"/>
        </w:rPr>
      </w:pPr>
    </w:p>
    <w:p w14:paraId="1C579624" w14:textId="77777777" w:rsidR="00337B86" w:rsidRDefault="00000000">
      <w:pPr>
        <w:spacing w:after="0" w:line="360" w:lineRule="auto"/>
        <w:jc w:val="both"/>
        <w:rPr>
          <w:rFonts w:ascii="Times New Roman" w:hAnsi="Times New Roman"/>
          <w:sz w:val="24"/>
          <w:szCs w:val="24"/>
        </w:rPr>
      </w:pPr>
      <w:r>
        <w:rPr>
          <w:rFonts w:ascii="Times New Roman" w:hAnsi="Times New Roman"/>
          <w:sz w:val="24"/>
          <w:szCs w:val="24"/>
        </w:rPr>
        <w:t>__________________________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_________________</w:t>
      </w:r>
    </w:p>
    <w:p w14:paraId="6727A084" w14:textId="77777777" w:rsidR="00337B86" w:rsidRDefault="00000000">
      <w:pPr>
        <w:spacing w:after="0" w:line="360" w:lineRule="auto"/>
        <w:jc w:val="both"/>
        <w:rPr>
          <w:rFonts w:ascii="Times New Roman" w:hAnsi="Times New Roman"/>
          <w:sz w:val="24"/>
          <w:szCs w:val="24"/>
        </w:rPr>
      </w:pPr>
      <w:r>
        <w:rPr>
          <w:rFonts w:ascii="Times New Roman" w:hAnsi="Times New Roman"/>
          <w:sz w:val="24"/>
          <w:szCs w:val="24"/>
        </w:rPr>
        <w:t>Dr. E.V.C OKOH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Date</w:t>
      </w:r>
    </w:p>
    <w:p w14:paraId="7645E60E" w14:textId="77777777" w:rsidR="00337B86" w:rsidRDefault="00000000">
      <w:pPr>
        <w:spacing w:after="0" w:line="360" w:lineRule="auto"/>
        <w:jc w:val="both"/>
        <w:rPr>
          <w:rFonts w:ascii="Times New Roman" w:hAnsi="Times New Roman"/>
          <w:sz w:val="24"/>
          <w:szCs w:val="24"/>
        </w:rPr>
      </w:pPr>
      <w:r>
        <w:rPr>
          <w:rFonts w:ascii="Times New Roman" w:hAnsi="Times New Roman"/>
          <w:sz w:val="24"/>
          <w:szCs w:val="24"/>
        </w:rPr>
        <w:t>Project Supervisor</w:t>
      </w:r>
    </w:p>
    <w:p w14:paraId="72979BD2" w14:textId="77777777" w:rsidR="00337B86" w:rsidRDefault="00337B86">
      <w:pPr>
        <w:tabs>
          <w:tab w:val="left" w:pos="4876"/>
          <w:tab w:val="left" w:pos="5731"/>
        </w:tabs>
        <w:rPr>
          <w:rFonts w:ascii="Times New Roman" w:hAnsi="Times New Roman"/>
          <w:sz w:val="24"/>
          <w:szCs w:val="24"/>
        </w:rPr>
      </w:pPr>
    </w:p>
    <w:p w14:paraId="3D41C77E" w14:textId="77777777" w:rsidR="00337B86" w:rsidRDefault="00337B86">
      <w:pPr>
        <w:spacing w:after="0" w:line="360" w:lineRule="auto"/>
        <w:jc w:val="both"/>
        <w:rPr>
          <w:rFonts w:ascii="Times New Roman" w:hAnsi="Times New Roman"/>
          <w:sz w:val="24"/>
          <w:szCs w:val="24"/>
        </w:rPr>
      </w:pPr>
    </w:p>
    <w:p w14:paraId="1F8EFE86" w14:textId="77777777" w:rsidR="00337B86" w:rsidRDefault="00337B86">
      <w:pPr>
        <w:spacing w:after="0" w:line="360" w:lineRule="auto"/>
        <w:jc w:val="both"/>
        <w:rPr>
          <w:rFonts w:ascii="Times New Roman" w:hAnsi="Times New Roman"/>
          <w:sz w:val="24"/>
          <w:szCs w:val="24"/>
        </w:rPr>
      </w:pPr>
    </w:p>
    <w:p w14:paraId="4BC714AC" w14:textId="77777777" w:rsidR="00337B86" w:rsidRDefault="00000000">
      <w:pPr>
        <w:spacing w:after="0" w:line="360" w:lineRule="auto"/>
        <w:jc w:val="both"/>
        <w:rPr>
          <w:rFonts w:ascii="Times New Roman" w:hAnsi="Times New Roman"/>
          <w:sz w:val="24"/>
          <w:szCs w:val="24"/>
        </w:rPr>
      </w:pPr>
      <w:r>
        <w:rPr>
          <w:rFonts w:ascii="Times New Roman" w:hAnsi="Times New Roman"/>
          <w:sz w:val="24"/>
          <w:szCs w:val="24"/>
        </w:rPr>
        <w:t>__________________________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_________________</w:t>
      </w:r>
    </w:p>
    <w:p w14:paraId="2F70FAF4" w14:textId="4E519685" w:rsidR="00337B86" w:rsidRDefault="00DA33AF">
      <w:pPr>
        <w:spacing w:after="0" w:line="360" w:lineRule="auto"/>
        <w:jc w:val="both"/>
        <w:rPr>
          <w:rFonts w:ascii="Times New Roman" w:hAnsi="Times New Roman"/>
          <w:sz w:val="24"/>
          <w:szCs w:val="24"/>
        </w:rPr>
      </w:pPr>
      <w:r>
        <w:rPr>
          <w:rFonts w:ascii="Times New Roman" w:hAnsi="Times New Roman"/>
          <w:sz w:val="24"/>
          <w:szCs w:val="24"/>
        </w:rPr>
        <w:t xml:space="preserve">Assoc. Prof. Aliyu Muhammad </w:t>
      </w:r>
      <w:r w:rsidR="00EA14A2">
        <w:rPr>
          <w:rFonts w:ascii="Times New Roman" w:hAnsi="Times New Roman"/>
          <w:sz w:val="24"/>
          <w:szCs w:val="24"/>
        </w:rPr>
        <w:tab/>
      </w:r>
      <w:r w:rsidR="00EA14A2">
        <w:rPr>
          <w:rFonts w:ascii="Times New Roman" w:hAnsi="Times New Roman"/>
          <w:sz w:val="24"/>
          <w:szCs w:val="24"/>
        </w:rPr>
        <w:tab/>
      </w:r>
      <w:r w:rsidR="00EA14A2">
        <w:rPr>
          <w:rFonts w:ascii="Times New Roman" w:hAnsi="Times New Roman"/>
          <w:sz w:val="24"/>
          <w:szCs w:val="24"/>
        </w:rPr>
        <w:tab/>
      </w:r>
      <w:r w:rsidR="00EA14A2">
        <w:rPr>
          <w:rFonts w:ascii="Times New Roman" w:hAnsi="Times New Roman"/>
          <w:sz w:val="24"/>
          <w:szCs w:val="24"/>
        </w:rPr>
        <w:tab/>
      </w:r>
      <w:r w:rsidR="00EA14A2">
        <w:rPr>
          <w:rFonts w:ascii="Times New Roman" w:hAnsi="Times New Roman"/>
          <w:sz w:val="24"/>
          <w:szCs w:val="24"/>
        </w:rPr>
        <w:tab/>
      </w:r>
      <w:r w:rsidR="00EA14A2">
        <w:rPr>
          <w:rFonts w:ascii="Times New Roman" w:hAnsi="Times New Roman"/>
          <w:sz w:val="24"/>
          <w:szCs w:val="24"/>
        </w:rPr>
        <w:tab/>
      </w:r>
      <w:r w:rsidR="00EA14A2">
        <w:rPr>
          <w:rFonts w:ascii="Times New Roman" w:hAnsi="Times New Roman"/>
          <w:sz w:val="24"/>
          <w:szCs w:val="24"/>
        </w:rPr>
        <w:tab/>
        <w:t>Date</w:t>
      </w:r>
    </w:p>
    <w:p w14:paraId="1C582EC5" w14:textId="2844FCBB" w:rsidR="00337B86" w:rsidRDefault="00000000">
      <w:pPr>
        <w:spacing w:after="0" w:line="360" w:lineRule="auto"/>
        <w:jc w:val="both"/>
        <w:rPr>
          <w:rFonts w:ascii="Times New Roman" w:hAnsi="Times New Roman"/>
          <w:sz w:val="24"/>
          <w:szCs w:val="24"/>
        </w:rPr>
      </w:pPr>
      <w:r>
        <w:rPr>
          <w:rFonts w:ascii="Times New Roman" w:hAnsi="Times New Roman"/>
          <w:sz w:val="24"/>
          <w:szCs w:val="24"/>
        </w:rPr>
        <w:t>External Examiner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7E070405" w14:textId="77777777" w:rsidR="00337B86" w:rsidRDefault="00000000">
      <w:pPr>
        <w:tabs>
          <w:tab w:val="left" w:pos="4876"/>
          <w:tab w:val="left" w:pos="5731"/>
        </w:tabs>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
    <w:p w14:paraId="6E322674" w14:textId="77777777" w:rsidR="00337B86" w:rsidRDefault="00337B86">
      <w:pPr>
        <w:rPr>
          <w:rFonts w:ascii="Times New Roman" w:hAnsi="Times New Roman"/>
          <w:sz w:val="24"/>
          <w:szCs w:val="24"/>
        </w:rPr>
      </w:pPr>
    </w:p>
    <w:p w14:paraId="14FA2D0D" w14:textId="77777777" w:rsidR="00337B86" w:rsidRDefault="00337B86">
      <w:pPr>
        <w:spacing w:after="0" w:line="360" w:lineRule="auto"/>
        <w:jc w:val="both"/>
        <w:rPr>
          <w:rFonts w:ascii="Times New Roman" w:hAnsi="Times New Roman"/>
          <w:sz w:val="24"/>
          <w:szCs w:val="24"/>
        </w:rPr>
      </w:pPr>
    </w:p>
    <w:p w14:paraId="5C9EF768" w14:textId="77777777" w:rsidR="00337B86" w:rsidRDefault="00000000">
      <w:pPr>
        <w:spacing w:after="0" w:line="360" w:lineRule="auto"/>
        <w:jc w:val="both"/>
        <w:rPr>
          <w:rFonts w:ascii="Times New Roman" w:hAnsi="Times New Roman"/>
          <w:sz w:val="24"/>
          <w:szCs w:val="24"/>
        </w:rPr>
      </w:pPr>
      <w:r>
        <w:rPr>
          <w:rFonts w:ascii="Times New Roman" w:hAnsi="Times New Roman"/>
          <w:sz w:val="24"/>
          <w:szCs w:val="24"/>
        </w:rPr>
        <w:t>__________________________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_________________</w:t>
      </w:r>
    </w:p>
    <w:p w14:paraId="598626A6" w14:textId="77777777" w:rsidR="00337B86" w:rsidRDefault="00000000">
      <w:pPr>
        <w:spacing w:after="0" w:line="360" w:lineRule="auto"/>
        <w:jc w:val="both"/>
        <w:rPr>
          <w:rFonts w:ascii="Times New Roman" w:hAnsi="Times New Roman"/>
          <w:sz w:val="24"/>
          <w:szCs w:val="24"/>
        </w:rPr>
      </w:pPr>
      <w:r>
        <w:rPr>
          <w:rFonts w:ascii="Times New Roman" w:hAnsi="Times New Roman"/>
          <w:sz w:val="24"/>
          <w:szCs w:val="24"/>
        </w:rPr>
        <w:t>Prof. M.L Muhammad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Date</w:t>
      </w:r>
    </w:p>
    <w:p w14:paraId="0A858E4B" w14:textId="77777777" w:rsidR="00337B86" w:rsidRDefault="00000000">
      <w:pPr>
        <w:spacing w:after="0" w:line="360" w:lineRule="auto"/>
        <w:jc w:val="both"/>
        <w:rPr>
          <w:rFonts w:ascii="Times New Roman" w:hAnsi="Times New Roman"/>
          <w:sz w:val="24"/>
          <w:szCs w:val="24"/>
        </w:rPr>
      </w:pPr>
      <w:r>
        <w:rPr>
          <w:rFonts w:ascii="Times New Roman" w:hAnsi="Times New Roman"/>
          <w:sz w:val="24"/>
          <w:szCs w:val="24"/>
        </w:rPr>
        <w:t>Head of Department</w:t>
      </w:r>
    </w:p>
    <w:p w14:paraId="40B07A82" w14:textId="77777777" w:rsidR="00337B86" w:rsidRDefault="00337B86">
      <w:pPr>
        <w:rPr>
          <w:rFonts w:ascii="Times New Roman" w:hAnsi="Times New Roman"/>
          <w:sz w:val="24"/>
          <w:szCs w:val="24"/>
        </w:rPr>
      </w:pPr>
    </w:p>
    <w:p w14:paraId="4D58ADF5" w14:textId="77777777" w:rsidR="00337B86" w:rsidRDefault="00337B86">
      <w:pPr>
        <w:rPr>
          <w:rFonts w:ascii="Times New Roman" w:hAnsi="Times New Roman"/>
          <w:sz w:val="24"/>
          <w:szCs w:val="24"/>
        </w:rPr>
      </w:pPr>
    </w:p>
    <w:p w14:paraId="5E167CF3" w14:textId="77777777" w:rsidR="00337B86" w:rsidRDefault="00337B86">
      <w:pPr>
        <w:rPr>
          <w:rFonts w:ascii="Times New Roman" w:hAnsi="Times New Roman"/>
          <w:sz w:val="24"/>
          <w:szCs w:val="24"/>
        </w:rPr>
      </w:pPr>
    </w:p>
    <w:p w14:paraId="1FC4542A" w14:textId="77777777" w:rsidR="00337B86" w:rsidRDefault="00337B86">
      <w:pPr>
        <w:rPr>
          <w:rFonts w:ascii="Times New Roman" w:hAnsi="Times New Roman"/>
          <w:sz w:val="24"/>
          <w:szCs w:val="24"/>
        </w:rPr>
      </w:pPr>
    </w:p>
    <w:p w14:paraId="49DD9996" w14:textId="77777777" w:rsidR="00337B86" w:rsidRDefault="00337B86">
      <w:pPr>
        <w:rPr>
          <w:rFonts w:ascii="Times New Roman" w:hAnsi="Times New Roman"/>
          <w:sz w:val="24"/>
          <w:szCs w:val="24"/>
        </w:rPr>
      </w:pPr>
    </w:p>
    <w:p w14:paraId="766D2722" w14:textId="77777777" w:rsidR="00337B86" w:rsidRDefault="00000000">
      <w:pPr>
        <w:spacing w:line="360" w:lineRule="auto"/>
        <w:jc w:val="center"/>
        <w:rPr>
          <w:rFonts w:ascii="Times New Roman" w:hAnsi="Times New Roman"/>
          <w:b/>
          <w:sz w:val="24"/>
          <w:szCs w:val="24"/>
        </w:rPr>
      </w:pPr>
      <w:r>
        <w:rPr>
          <w:rFonts w:ascii="Times New Roman" w:hAnsi="Times New Roman"/>
          <w:b/>
          <w:sz w:val="24"/>
          <w:szCs w:val="24"/>
        </w:rPr>
        <w:t>DECLARATION</w:t>
      </w:r>
    </w:p>
    <w:p w14:paraId="5483371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I hereby declare that this project is based on my original work except for quotation and citation which have been duly </w:t>
      </w:r>
      <w:proofErr w:type="spellStart"/>
      <w:proofErr w:type="gramStart"/>
      <w:r>
        <w:rPr>
          <w:rFonts w:ascii="Times New Roman" w:hAnsi="Times New Roman"/>
          <w:sz w:val="24"/>
          <w:szCs w:val="24"/>
        </w:rPr>
        <w:t>acknowledged.I</w:t>
      </w:r>
      <w:proofErr w:type="spellEnd"/>
      <w:proofErr w:type="gramEnd"/>
      <w:r>
        <w:rPr>
          <w:rFonts w:ascii="Times New Roman" w:hAnsi="Times New Roman"/>
          <w:sz w:val="24"/>
          <w:szCs w:val="24"/>
        </w:rPr>
        <w:t xml:space="preserve"> also declare that it has not been previously or concurrently submitted to any other degree at Usmanu Danfodiyo University Sokoto.</w:t>
      </w:r>
    </w:p>
    <w:p w14:paraId="48E645C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ab/>
      </w:r>
    </w:p>
    <w:p w14:paraId="4510A363" w14:textId="77777777" w:rsidR="00337B86" w:rsidRDefault="00337B86">
      <w:pPr>
        <w:rPr>
          <w:rFonts w:ascii="Times New Roman" w:hAnsi="Times New Roman"/>
          <w:sz w:val="24"/>
          <w:szCs w:val="24"/>
        </w:rPr>
      </w:pPr>
    </w:p>
    <w:p w14:paraId="2A58E59B" w14:textId="77777777" w:rsidR="00337B86" w:rsidRDefault="00337B86">
      <w:pPr>
        <w:spacing w:after="0" w:line="360" w:lineRule="auto"/>
        <w:jc w:val="center"/>
        <w:rPr>
          <w:rFonts w:ascii="Times New Roman" w:hAnsi="Times New Roman"/>
          <w:b/>
          <w:bCs/>
          <w:sz w:val="24"/>
          <w:szCs w:val="24"/>
        </w:rPr>
      </w:pPr>
    </w:p>
    <w:p w14:paraId="2F6D4094" w14:textId="77777777" w:rsidR="00337B86" w:rsidRDefault="00000000">
      <w:pPr>
        <w:spacing w:after="0" w:line="360" w:lineRule="auto"/>
        <w:rPr>
          <w:rFonts w:ascii="Times New Roman" w:hAnsi="Times New Roman"/>
          <w:b/>
          <w:bCs/>
          <w:sz w:val="24"/>
          <w:szCs w:val="24"/>
        </w:rPr>
      </w:pPr>
      <w:r>
        <w:rPr>
          <w:rFonts w:ascii="Times New Roman" w:hAnsi="Times New Roman"/>
          <w:b/>
          <w:bCs/>
          <w:sz w:val="24"/>
          <w:szCs w:val="24"/>
        </w:rPr>
        <w:t>____________________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w:t>
      </w:r>
    </w:p>
    <w:p w14:paraId="0D533C5E" w14:textId="77777777" w:rsidR="00337B86" w:rsidRDefault="00000000">
      <w:pPr>
        <w:spacing w:after="0" w:line="360" w:lineRule="auto"/>
        <w:rPr>
          <w:rFonts w:ascii="Times New Roman" w:hAnsi="Times New Roman"/>
          <w:b/>
          <w:bCs/>
          <w:sz w:val="24"/>
          <w:szCs w:val="24"/>
        </w:rPr>
      </w:pPr>
      <w:proofErr w:type="spellStart"/>
      <w:r>
        <w:rPr>
          <w:rFonts w:ascii="Times New Roman" w:hAnsi="Times New Roman"/>
          <w:b/>
          <w:bCs/>
          <w:sz w:val="24"/>
          <w:szCs w:val="24"/>
        </w:rPr>
        <w:t>Awodele</w:t>
      </w:r>
      <w:proofErr w:type="spellEnd"/>
      <w:r>
        <w:rPr>
          <w:rFonts w:ascii="Times New Roman" w:hAnsi="Times New Roman"/>
          <w:b/>
          <w:bCs/>
          <w:sz w:val="24"/>
          <w:szCs w:val="24"/>
        </w:rPr>
        <w:t xml:space="preserve"> Bukola Rukayat</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Date</w:t>
      </w:r>
    </w:p>
    <w:p w14:paraId="4D3FAA61" w14:textId="77777777" w:rsidR="00337B86" w:rsidRDefault="00337B86">
      <w:pPr>
        <w:spacing w:after="0"/>
      </w:pPr>
    </w:p>
    <w:p w14:paraId="1E7828FA" w14:textId="77777777" w:rsidR="00337B86" w:rsidRDefault="00337B86">
      <w:pPr>
        <w:spacing w:after="0"/>
      </w:pPr>
    </w:p>
    <w:p w14:paraId="02C8BB37" w14:textId="77777777" w:rsidR="00337B86" w:rsidRDefault="00337B86"/>
    <w:p w14:paraId="69C2EFE4" w14:textId="77777777" w:rsidR="00337B86" w:rsidRDefault="00337B86"/>
    <w:p w14:paraId="7679DF89" w14:textId="77777777" w:rsidR="00337B86" w:rsidRDefault="00337B86"/>
    <w:p w14:paraId="3C817638" w14:textId="77777777" w:rsidR="00337B86" w:rsidRDefault="00337B86"/>
    <w:p w14:paraId="4DA1081A" w14:textId="77777777" w:rsidR="00337B86" w:rsidRDefault="00337B86"/>
    <w:p w14:paraId="35C0AB68" w14:textId="77777777" w:rsidR="00337B86" w:rsidRDefault="00337B86"/>
    <w:p w14:paraId="3B7C8614" w14:textId="77777777" w:rsidR="00337B86" w:rsidRDefault="00337B86"/>
    <w:p w14:paraId="33308A2E" w14:textId="77777777" w:rsidR="00337B86" w:rsidRDefault="00337B86"/>
    <w:p w14:paraId="6831C32D" w14:textId="77777777" w:rsidR="00337B86" w:rsidRDefault="00337B86"/>
    <w:p w14:paraId="58198597" w14:textId="77777777" w:rsidR="00337B86" w:rsidRDefault="00337B86"/>
    <w:p w14:paraId="6626CF70" w14:textId="77777777" w:rsidR="00337B86" w:rsidRDefault="00337B86"/>
    <w:p w14:paraId="79F0F6DE" w14:textId="77777777" w:rsidR="00337B86" w:rsidRDefault="00337B86"/>
    <w:p w14:paraId="2C3B942B" w14:textId="77777777" w:rsidR="00337B86" w:rsidRDefault="00337B86"/>
    <w:p w14:paraId="04AFF04B" w14:textId="77777777" w:rsidR="00337B86" w:rsidRDefault="00337B86"/>
    <w:p w14:paraId="6CA22956" w14:textId="77777777" w:rsidR="00337B86" w:rsidRDefault="00337B86"/>
    <w:p w14:paraId="462AFA7B" w14:textId="77777777" w:rsidR="00EA14A2" w:rsidRDefault="00EA14A2"/>
    <w:p w14:paraId="2418BC02" w14:textId="77777777" w:rsidR="00337B86" w:rsidRDefault="00000000">
      <w:pPr>
        <w:jc w:val="center"/>
        <w:rPr>
          <w:rFonts w:ascii="Times New Roman" w:hAnsi="Times New Roman"/>
          <w:b/>
          <w:sz w:val="24"/>
          <w:szCs w:val="24"/>
        </w:rPr>
      </w:pPr>
      <w:r>
        <w:rPr>
          <w:rFonts w:ascii="Times New Roman" w:hAnsi="Times New Roman"/>
          <w:b/>
          <w:sz w:val="24"/>
          <w:szCs w:val="24"/>
        </w:rPr>
        <w:t>TABLE OF CONTENTS</w:t>
      </w:r>
    </w:p>
    <w:p w14:paraId="63F164A1" w14:textId="77777777" w:rsidR="00337B86" w:rsidRDefault="00000000">
      <w:pPr>
        <w:rPr>
          <w:rFonts w:ascii="Times New Roman" w:hAnsi="Times New Roman"/>
          <w:sz w:val="24"/>
          <w:szCs w:val="24"/>
        </w:rPr>
      </w:pPr>
      <w:r>
        <w:rPr>
          <w:rFonts w:ascii="Times New Roman" w:hAnsi="Times New Roman"/>
          <w:sz w:val="24"/>
          <w:szCs w:val="24"/>
        </w:rPr>
        <w:t xml:space="preserve">TITLE PAGE                                                                                                                              </w:t>
      </w:r>
      <w:proofErr w:type="spellStart"/>
      <w:r>
        <w:rPr>
          <w:rFonts w:ascii="Times New Roman" w:hAnsi="Times New Roman"/>
          <w:sz w:val="24"/>
          <w:szCs w:val="24"/>
        </w:rPr>
        <w:t>i</w:t>
      </w:r>
      <w:proofErr w:type="spellEnd"/>
    </w:p>
    <w:p w14:paraId="3EAE4E67" w14:textId="77777777" w:rsidR="00337B86" w:rsidRDefault="00000000">
      <w:pPr>
        <w:rPr>
          <w:rFonts w:ascii="Times New Roman" w:hAnsi="Times New Roman"/>
          <w:sz w:val="24"/>
          <w:szCs w:val="24"/>
        </w:rPr>
      </w:pPr>
      <w:r>
        <w:rPr>
          <w:rFonts w:ascii="Times New Roman" w:hAnsi="Times New Roman"/>
          <w:sz w:val="24"/>
          <w:szCs w:val="24"/>
        </w:rPr>
        <w:t>DEDICATION                                                                                                                            ii</w:t>
      </w:r>
    </w:p>
    <w:p w14:paraId="40029E0F" w14:textId="77777777" w:rsidR="00337B86" w:rsidRDefault="00000000">
      <w:pPr>
        <w:rPr>
          <w:rFonts w:ascii="Times New Roman" w:hAnsi="Times New Roman"/>
          <w:sz w:val="24"/>
          <w:szCs w:val="24"/>
        </w:rPr>
      </w:pPr>
      <w:r>
        <w:rPr>
          <w:rFonts w:ascii="Times New Roman" w:hAnsi="Times New Roman"/>
          <w:sz w:val="24"/>
          <w:szCs w:val="24"/>
        </w:rPr>
        <w:t>ACKNOWLEDGEMENT                                                                                                          iii</w:t>
      </w:r>
    </w:p>
    <w:p w14:paraId="3F767AB8" w14:textId="77777777" w:rsidR="00337B86" w:rsidRDefault="00000000">
      <w:pPr>
        <w:rPr>
          <w:rFonts w:ascii="Times New Roman" w:hAnsi="Times New Roman"/>
          <w:sz w:val="24"/>
          <w:szCs w:val="24"/>
        </w:rPr>
      </w:pPr>
      <w:r>
        <w:rPr>
          <w:rFonts w:ascii="Times New Roman" w:hAnsi="Times New Roman"/>
          <w:sz w:val="24"/>
          <w:szCs w:val="24"/>
        </w:rPr>
        <w:t xml:space="preserve">APPROVAL PAGE                                                                                                                    iv </w:t>
      </w:r>
    </w:p>
    <w:p w14:paraId="3F4EB372" w14:textId="77777777" w:rsidR="00337B86" w:rsidRDefault="00000000">
      <w:pPr>
        <w:rPr>
          <w:rFonts w:ascii="Times New Roman" w:hAnsi="Times New Roman"/>
          <w:sz w:val="24"/>
          <w:szCs w:val="24"/>
        </w:rPr>
      </w:pPr>
      <w:r>
        <w:rPr>
          <w:rFonts w:ascii="Times New Roman" w:hAnsi="Times New Roman"/>
          <w:sz w:val="24"/>
          <w:szCs w:val="24"/>
        </w:rPr>
        <w:t>DECLARATION                                                                                                                         v</w:t>
      </w:r>
    </w:p>
    <w:p w14:paraId="4946E4A5" w14:textId="77777777" w:rsidR="00337B86" w:rsidRDefault="00000000">
      <w:pPr>
        <w:rPr>
          <w:rFonts w:ascii="Times New Roman" w:hAnsi="Times New Roman"/>
          <w:sz w:val="24"/>
          <w:szCs w:val="24"/>
        </w:rPr>
      </w:pPr>
      <w:r>
        <w:rPr>
          <w:rFonts w:ascii="Times New Roman" w:hAnsi="Times New Roman"/>
          <w:sz w:val="24"/>
          <w:szCs w:val="24"/>
        </w:rPr>
        <w:t>TABLE OF CONTENT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vi</w:t>
      </w:r>
    </w:p>
    <w:p w14:paraId="3FBE6BAD" w14:textId="77777777" w:rsidR="00337B86" w:rsidRDefault="00000000">
      <w:pPr>
        <w:rPr>
          <w:rFonts w:ascii="Times New Roman" w:hAnsi="Times New Roman"/>
          <w:sz w:val="24"/>
          <w:szCs w:val="24"/>
        </w:rPr>
      </w:pPr>
      <w:r>
        <w:rPr>
          <w:rFonts w:ascii="Times New Roman" w:hAnsi="Times New Roman"/>
          <w:sz w:val="24"/>
          <w:szCs w:val="24"/>
        </w:rPr>
        <w:t>LIST OF TABLE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x</w:t>
      </w:r>
    </w:p>
    <w:p w14:paraId="0735AE9B" w14:textId="77777777" w:rsidR="00337B86" w:rsidRDefault="00000000">
      <w:pPr>
        <w:rPr>
          <w:rFonts w:ascii="Times New Roman" w:hAnsi="Times New Roman"/>
          <w:sz w:val="24"/>
          <w:szCs w:val="24"/>
        </w:rPr>
      </w:pPr>
      <w:r>
        <w:rPr>
          <w:rFonts w:ascii="Times New Roman" w:hAnsi="Times New Roman"/>
          <w:sz w:val="24"/>
          <w:szCs w:val="24"/>
        </w:rPr>
        <w:t>LIST OF ABBREVIATION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xi</w:t>
      </w:r>
    </w:p>
    <w:p w14:paraId="31783339" w14:textId="77777777" w:rsidR="00337B86" w:rsidRDefault="00000000">
      <w:pPr>
        <w:rPr>
          <w:rFonts w:ascii="Times New Roman" w:hAnsi="Times New Roman"/>
          <w:sz w:val="24"/>
          <w:szCs w:val="24"/>
        </w:rPr>
      </w:pPr>
      <w:r>
        <w:rPr>
          <w:rFonts w:ascii="Times New Roman" w:hAnsi="Times New Roman"/>
          <w:sz w:val="24"/>
          <w:szCs w:val="24"/>
        </w:rPr>
        <w:t>ABSTRACT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xii</w:t>
      </w:r>
    </w:p>
    <w:p w14:paraId="6B51CD0C" w14:textId="77777777" w:rsidR="00337B86" w:rsidRDefault="00000000">
      <w:pPr>
        <w:rPr>
          <w:rFonts w:ascii="Times New Roman" w:hAnsi="Times New Roman"/>
          <w:b/>
          <w:sz w:val="24"/>
          <w:szCs w:val="24"/>
        </w:rPr>
      </w:pPr>
      <w:r>
        <w:rPr>
          <w:rFonts w:ascii="Times New Roman" w:hAnsi="Times New Roman"/>
          <w:b/>
          <w:sz w:val="24"/>
          <w:szCs w:val="24"/>
        </w:rPr>
        <w:t>CHAPTER ONE: INTRODUCTION</w:t>
      </w:r>
    </w:p>
    <w:p w14:paraId="3C34402B" w14:textId="77777777" w:rsidR="00337B86" w:rsidRDefault="00000000">
      <w:pPr>
        <w:spacing w:line="360" w:lineRule="auto"/>
        <w:rPr>
          <w:rFonts w:ascii="Times New Roman" w:hAnsi="Times New Roman"/>
          <w:sz w:val="24"/>
          <w:szCs w:val="24"/>
        </w:rPr>
      </w:pPr>
      <w:r>
        <w:rPr>
          <w:rFonts w:ascii="Times New Roman" w:hAnsi="Times New Roman"/>
          <w:sz w:val="24"/>
          <w:szCs w:val="24"/>
        </w:rPr>
        <w:t>CHAPTER ONE: INTRODUCTION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w:t>
      </w:r>
    </w:p>
    <w:p w14:paraId="3B8E805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1.1 Background of the 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w:t>
      </w:r>
    </w:p>
    <w:p w14:paraId="64DF92A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1.2 Statement of the Problem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w:t>
      </w:r>
    </w:p>
    <w:p w14:paraId="700AF2B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1.3 Justification of the 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w:t>
      </w:r>
    </w:p>
    <w:p w14:paraId="6F0DC6E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1.4 Aims and objectives of the research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w:t>
      </w:r>
    </w:p>
    <w:p w14:paraId="7E94216B" w14:textId="77777777" w:rsidR="00337B86" w:rsidRDefault="00000000">
      <w:pPr>
        <w:spacing w:line="360" w:lineRule="auto"/>
        <w:rPr>
          <w:rFonts w:ascii="Times New Roman" w:hAnsi="Times New Roman"/>
          <w:sz w:val="24"/>
          <w:szCs w:val="24"/>
        </w:rPr>
      </w:pPr>
      <w:r>
        <w:rPr>
          <w:rFonts w:ascii="Times New Roman" w:hAnsi="Times New Roman"/>
          <w:sz w:val="24"/>
          <w:szCs w:val="24"/>
        </w:rPr>
        <w:t>CHAPTER TWO: LITERATURE REVIEW</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w:t>
      </w:r>
    </w:p>
    <w:p w14:paraId="13D30B2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2.1 Concept of Food Safety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w:t>
      </w:r>
    </w:p>
    <w:p w14:paraId="22604FD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2.1.2 Importance of Food Safety in Public Health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w:t>
      </w:r>
    </w:p>
    <w:p w14:paraId="63E4593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2.1.3 Evolution of Food Safety Concerns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4A3FE9A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2.1.4 Food Safety in Developing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10F36E8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2.1.5 Relationship between Food Safety and Sustainable Development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65E3259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2.2 Heavy Metals: Nature and Characteristics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56265D8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2.2.1 Definition and General Features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18DE38E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2.2.2 Sources of Heavy Metals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2039558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2.2.3 Chemical Characteristics of Heavy Metals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5293CA1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2.2.4 Classification of Heavy Metals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0ABC428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2.2.5 </w:t>
      </w:r>
      <w:proofErr w:type="spellStart"/>
      <w:r>
        <w:rPr>
          <w:rFonts w:ascii="Times New Roman" w:hAnsi="Times New Roman"/>
          <w:sz w:val="24"/>
          <w:szCs w:val="24"/>
        </w:rPr>
        <w:t>Toxicokinetics</w:t>
      </w:r>
      <w:proofErr w:type="spellEnd"/>
      <w:r>
        <w:rPr>
          <w:rFonts w:ascii="Times New Roman" w:hAnsi="Times New Roman"/>
          <w:sz w:val="24"/>
          <w:szCs w:val="24"/>
        </w:rPr>
        <w:t xml:space="preserve"> of Heavy Metals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p>
    <w:p w14:paraId="7350DFA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2.2.6 Bioaccumulation and Biomagnification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p>
    <w:p w14:paraId="00A1D74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2.2.7 Physicochemical Properties of Selected Heavy Metals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w:t>
      </w:r>
    </w:p>
    <w:p w14:paraId="5BCB7F3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2.2.8 Regulatory Perspectives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w:t>
      </w:r>
    </w:p>
    <w:p w14:paraId="28DBB64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2.3 Common Heavy Metals in Food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w:t>
      </w:r>
    </w:p>
    <w:p w14:paraId="0FEC6C3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2.3.1 Lead (Pb)</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14:paraId="7BFFD96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2.3.2 Cadmium (Cd)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14:paraId="2143844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2.3.3 Copper (Cu)</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14:paraId="3636856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2.3.4 Cobalt (Co)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14:paraId="64A9036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2.3.5 Chromium (Cr)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14:paraId="42F3923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2.4 Sources of Heavy Metal Contamination in Foods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14:paraId="153CB94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2.4.1 Natural Sources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14:paraId="559D5B5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2.4.2 Agricultural Sources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14:paraId="10C71F4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2.4.3 Industrial Sources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14:paraId="4207E9D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2.4.4 Food Processing and Packaging Sources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w:t>
      </w:r>
    </w:p>
    <w:p w14:paraId="44A2D16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2.4.5 Transportation and Storage Sources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w:t>
      </w:r>
    </w:p>
    <w:p w14:paraId="3547E5E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2.4.6 Environmental Pollution Sources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w:t>
      </w:r>
    </w:p>
    <w:p w14:paraId="224CDE4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2.5 Heavy Metals in Staple Foods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w:t>
      </w:r>
    </w:p>
    <w:p w14:paraId="79F875E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2.5.1 Cereals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w:t>
      </w:r>
    </w:p>
    <w:p w14:paraId="4BD0018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2.5.2 Root and Tuber Crops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14:paraId="05D74D0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2.5.3 Legumes and Pulses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14:paraId="2FB27C6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2.5.4 Processed Staple Foods (Pasta, Noodles, and Bread)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14:paraId="6D5B4F1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2.5.5 Public Health Concerns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14:paraId="62F6E14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2.6 Pasta Products: Global and Nigerian context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14:paraId="342C4CA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2.6.1 Global Context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14:paraId="2285C54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2.6.2 Nigerian Context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14:paraId="00ED7B5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2.7 Analytical Techniques for Determination of Heavy Metals in Food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w:t>
      </w:r>
    </w:p>
    <w:p w14:paraId="31A0ECC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2.7.1 Quality Control and Standards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w:t>
      </w:r>
    </w:p>
    <w:p w14:paraId="05A86F0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2.8 Health Impacts of Heavy Metal Exposure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14:paraId="29B831A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2.8.1 Lead (Pb)</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14:paraId="1A54B3A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2.8.2 Cadmium (Cd)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14:paraId="3E7D252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2.8.3 Mercury (Hg)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14:paraId="62067D8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2.8.4 Arsenic (As)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21</w:t>
      </w:r>
    </w:p>
    <w:p w14:paraId="2E0A830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2.8.5 Chromium (Cr)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21</w:t>
      </w:r>
    </w:p>
    <w:p w14:paraId="64526FD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2.8.6 Nickel (Ni)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21</w:t>
      </w:r>
    </w:p>
    <w:p w14:paraId="4999C7C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2.9 Regulatory Standards for Heavy Metals in Foods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22</w:t>
      </w:r>
    </w:p>
    <w:p w14:paraId="2B91DF0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2.9.1 International Standards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22</w:t>
      </w:r>
    </w:p>
    <w:p w14:paraId="16250EA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2.9.2 Nigerian Standards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23</w:t>
      </w:r>
    </w:p>
    <w:p w14:paraId="26B07FC7" w14:textId="77777777" w:rsidR="00337B86" w:rsidRDefault="00000000">
      <w:pPr>
        <w:spacing w:line="360" w:lineRule="auto"/>
        <w:rPr>
          <w:rFonts w:ascii="Times New Roman" w:hAnsi="Times New Roman"/>
          <w:sz w:val="24"/>
          <w:szCs w:val="24"/>
        </w:rPr>
      </w:pPr>
      <w:r>
        <w:rPr>
          <w:rFonts w:ascii="Times New Roman" w:hAnsi="Times New Roman"/>
          <w:sz w:val="24"/>
          <w:szCs w:val="24"/>
        </w:rPr>
        <w:t>CHAPTER THREE: MATERIALS AND METHODS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24</w:t>
      </w:r>
    </w:p>
    <w:p w14:paraId="5C22BDF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3.1 Materials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24</w:t>
      </w:r>
    </w:p>
    <w:p w14:paraId="3BDEDAA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3.2 Methods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14:paraId="6F768F9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3.2.1 Sample Collection and Preparation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14:paraId="327018D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3.2.2 Sample Digestion Process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14:paraId="1175700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3.2.3 Atomic Absorption Spectrophotometry (AAS)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14:paraId="6157B5C6" w14:textId="77777777" w:rsidR="00337B86" w:rsidRDefault="00000000">
      <w:pPr>
        <w:spacing w:line="360" w:lineRule="auto"/>
        <w:rPr>
          <w:rFonts w:ascii="Times New Roman" w:hAnsi="Times New Roman"/>
          <w:sz w:val="24"/>
          <w:szCs w:val="24"/>
        </w:rPr>
      </w:pPr>
      <w:r>
        <w:rPr>
          <w:rFonts w:ascii="Times New Roman" w:hAnsi="Times New Roman"/>
          <w:sz w:val="24"/>
          <w:szCs w:val="24"/>
        </w:rPr>
        <w:t>CHAPTER FOUR: RESULTS AND DISCUSSION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28</w:t>
      </w:r>
    </w:p>
    <w:p w14:paraId="7CE5691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4.1 Results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28</w:t>
      </w:r>
    </w:p>
    <w:p w14:paraId="07FD4A0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4.2 Comparison with Regulatory Standards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29</w:t>
      </w:r>
    </w:p>
    <w:p w14:paraId="1B0D007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4.3.1 Cadmium (Cd)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30</w:t>
      </w:r>
    </w:p>
    <w:p w14:paraId="5CD8025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4.3.2 Copper (Cu)</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30</w:t>
      </w:r>
    </w:p>
    <w:p w14:paraId="65DDA78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4.3.3 Lead (Pb)</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30</w:t>
      </w:r>
    </w:p>
    <w:p w14:paraId="0370D88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4.3.4 Cobalt (Co)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31</w:t>
      </w:r>
    </w:p>
    <w:p w14:paraId="1B2FC83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4.4 Comparative Analysis of Pasta Products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31</w:t>
      </w:r>
    </w:p>
    <w:p w14:paraId="1321255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4.5 Implications for Food Safety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31</w:t>
      </w:r>
    </w:p>
    <w:p w14:paraId="79A29DB9" w14:textId="77777777" w:rsidR="00337B86" w:rsidRDefault="00000000">
      <w:pPr>
        <w:spacing w:line="360" w:lineRule="auto"/>
        <w:rPr>
          <w:rFonts w:ascii="Times New Roman" w:hAnsi="Times New Roman"/>
          <w:sz w:val="24"/>
          <w:szCs w:val="24"/>
        </w:rPr>
      </w:pPr>
      <w:r>
        <w:rPr>
          <w:rFonts w:ascii="Times New Roman" w:hAnsi="Times New Roman"/>
          <w:sz w:val="24"/>
          <w:szCs w:val="24"/>
        </w:rPr>
        <w:t>CHAPTER FIVE: SUMMARY, CONCLUSION, AND RECOMMENDATIONS</w:t>
      </w:r>
      <w:r>
        <w:rPr>
          <w:rFonts w:ascii="Times New Roman" w:hAnsi="Times New Roman"/>
          <w:sz w:val="24"/>
          <w:szCs w:val="24"/>
        </w:rPr>
        <w:tab/>
      </w:r>
      <w:r>
        <w:rPr>
          <w:rFonts w:ascii="Times New Roman" w:hAnsi="Times New Roman"/>
          <w:sz w:val="24"/>
          <w:szCs w:val="24"/>
        </w:rPr>
        <w:tab/>
        <w:t>33</w:t>
      </w:r>
    </w:p>
    <w:p w14:paraId="6E89AC9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5.1 Summary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33</w:t>
      </w:r>
    </w:p>
    <w:p w14:paraId="32AF8D7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5.2 Conclusion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33</w:t>
      </w:r>
    </w:p>
    <w:p w14:paraId="13D2583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5.3 Recommendations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34</w:t>
      </w:r>
    </w:p>
    <w:p w14:paraId="078EC485" w14:textId="61542487" w:rsidR="00337B86" w:rsidRDefault="00000000" w:rsidP="00E83713">
      <w:pPr>
        <w:spacing w:line="360" w:lineRule="auto"/>
        <w:jc w:val="both"/>
        <w:rPr>
          <w:rFonts w:ascii="Times New Roman" w:hAnsi="Times New Roman"/>
          <w:sz w:val="24"/>
          <w:szCs w:val="24"/>
        </w:rPr>
      </w:pPr>
      <w:r>
        <w:rPr>
          <w:rFonts w:ascii="Times New Roman" w:hAnsi="Times New Roman"/>
          <w:sz w:val="24"/>
          <w:szCs w:val="24"/>
        </w:rPr>
        <w:t>Reference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E83713">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37</w:t>
      </w:r>
    </w:p>
    <w:p w14:paraId="49B47F63" w14:textId="77777777" w:rsidR="00E83713" w:rsidRDefault="00E83713">
      <w:pPr>
        <w:jc w:val="center"/>
        <w:rPr>
          <w:rFonts w:ascii="Times New Roman" w:hAnsi="Times New Roman"/>
          <w:b/>
          <w:sz w:val="24"/>
          <w:szCs w:val="24"/>
        </w:rPr>
      </w:pPr>
    </w:p>
    <w:p w14:paraId="0B15DEF0" w14:textId="740A498C" w:rsidR="00337B86" w:rsidRDefault="00000000">
      <w:pPr>
        <w:jc w:val="center"/>
        <w:rPr>
          <w:rFonts w:ascii="Times New Roman" w:hAnsi="Times New Roman"/>
          <w:b/>
          <w:sz w:val="24"/>
          <w:szCs w:val="24"/>
        </w:rPr>
      </w:pPr>
      <w:r>
        <w:rPr>
          <w:rFonts w:ascii="Times New Roman" w:hAnsi="Times New Roman"/>
          <w:b/>
          <w:sz w:val="24"/>
          <w:szCs w:val="24"/>
        </w:rPr>
        <w:t xml:space="preserve">LIST OF </w:t>
      </w:r>
      <w:proofErr w:type="gramStart"/>
      <w:r>
        <w:rPr>
          <w:rFonts w:ascii="Times New Roman" w:hAnsi="Times New Roman"/>
          <w:b/>
          <w:sz w:val="24"/>
          <w:szCs w:val="24"/>
        </w:rPr>
        <w:t>TABLE</w:t>
      </w:r>
      <w:proofErr w:type="gramEnd"/>
    </w:p>
    <w:p w14:paraId="61164EA3" w14:textId="737F3C7D" w:rsidR="00337B86" w:rsidRDefault="00000000">
      <w:pPr>
        <w:rPr>
          <w:rFonts w:ascii="Times New Roman" w:hAnsi="Times New Roman"/>
          <w:sz w:val="24"/>
          <w:szCs w:val="24"/>
        </w:rPr>
      </w:pPr>
      <w:r>
        <w:rPr>
          <w:rFonts w:ascii="Times New Roman" w:hAnsi="Times New Roman"/>
          <w:sz w:val="24"/>
          <w:szCs w:val="24"/>
        </w:rPr>
        <w:t>Table 2.7: Comparison of Analytical Techniques for Heavy Metal Determination in Foods 19</w:t>
      </w:r>
    </w:p>
    <w:p w14:paraId="2FD3BEEC" w14:textId="77777777" w:rsidR="00337B86" w:rsidRDefault="00000000">
      <w:pPr>
        <w:rPr>
          <w:rFonts w:ascii="Times New Roman" w:hAnsi="Times New Roman"/>
          <w:sz w:val="24"/>
          <w:szCs w:val="24"/>
        </w:rPr>
      </w:pPr>
      <w:r>
        <w:rPr>
          <w:rFonts w:ascii="Times New Roman" w:hAnsi="Times New Roman"/>
          <w:sz w:val="24"/>
          <w:szCs w:val="24"/>
        </w:rPr>
        <w:t>Table 3.1.1: Lists of Chemicals Used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24</w:t>
      </w:r>
    </w:p>
    <w:p w14:paraId="6950394D" w14:textId="77777777" w:rsidR="00337B86" w:rsidRDefault="00000000">
      <w:pPr>
        <w:rPr>
          <w:rFonts w:ascii="Times New Roman" w:hAnsi="Times New Roman"/>
          <w:sz w:val="24"/>
          <w:szCs w:val="24"/>
        </w:rPr>
      </w:pPr>
      <w:r>
        <w:rPr>
          <w:rFonts w:ascii="Times New Roman" w:hAnsi="Times New Roman"/>
          <w:sz w:val="24"/>
          <w:szCs w:val="24"/>
        </w:rPr>
        <w:t>Table 3.1.2: Lists of Apparatus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25</w:t>
      </w:r>
    </w:p>
    <w:p w14:paraId="45B32972" w14:textId="77777777" w:rsidR="00337B86" w:rsidRDefault="00000000">
      <w:pPr>
        <w:rPr>
          <w:rFonts w:ascii="Times New Roman" w:hAnsi="Times New Roman"/>
          <w:sz w:val="24"/>
          <w:szCs w:val="24"/>
        </w:rPr>
      </w:pPr>
      <w:r>
        <w:rPr>
          <w:rFonts w:ascii="Times New Roman" w:hAnsi="Times New Roman"/>
          <w:sz w:val="24"/>
          <w:szCs w:val="24"/>
        </w:rPr>
        <w:t>Table 3.2.4: Elements and Wavelength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27</w:t>
      </w:r>
    </w:p>
    <w:p w14:paraId="0549D887" w14:textId="77777777" w:rsidR="00337B86" w:rsidRDefault="00000000">
      <w:pPr>
        <w:rPr>
          <w:rFonts w:ascii="Times New Roman" w:hAnsi="Times New Roman"/>
          <w:sz w:val="24"/>
          <w:szCs w:val="24"/>
        </w:rPr>
      </w:pPr>
      <w:r>
        <w:rPr>
          <w:rFonts w:ascii="Times New Roman" w:hAnsi="Times New Roman"/>
          <w:sz w:val="24"/>
          <w:szCs w:val="24"/>
        </w:rPr>
        <w:t>Table 4.1.1: AAS Results on Macaroni, Spaghetti and Instant Noodles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28</w:t>
      </w:r>
    </w:p>
    <w:p w14:paraId="7D046BE9" w14:textId="77777777" w:rsidR="00337B86" w:rsidRDefault="00000000">
      <w:pPr>
        <w:rPr>
          <w:rFonts w:ascii="Times New Roman" w:hAnsi="Times New Roman"/>
          <w:sz w:val="24"/>
          <w:szCs w:val="24"/>
        </w:rPr>
      </w:pPr>
      <w:r>
        <w:rPr>
          <w:rFonts w:ascii="Times New Roman" w:hAnsi="Times New Roman"/>
          <w:sz w:val="24"/>
          <w:szCs w:val="24"/>
        </w:rPr>
        <w:t>Table 4.3.1: Statistical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29</w:t>
      </w:r>
    </w:p>
    <w:p w14:paraId="2DACC4AE" w14:textId="77777777" w:rsidR="00337B86" w:rsidRDefault="00337B86">
      <w:pPr>
        <w:rPr>
          <w:rFonts w:ascii="Times New Roman" w:hAnsi="Times New Roman"/>
          <w:b/>
          <w:sz w:val="24"/>
          <w:szCs w:val="24"/>
        </w:rPr>
      </w:pPr>
    </w:p>
    <w:p w14:paraId="58020493" w14:textId="77777777" w:rsidR="00337B86" w:rsidRDefault="00337B86">
      <w:pPr>
        <w:rPr>
          <w:rFonts w:ascii="Times New Roman" w:hAnsi="Times New Roman"/>
          <w:b/>
          <w:sz w:val="24"/>
          <w:szCs w:val="24"/>
        </w:rPr>
      </w:pPr>
    </w:p>
    <w:p w14:paraId="60767289" w14:textId="77777777" w:rsidR="00337B86" w:rsidRDefault="00337B86">
      <w:pPr>
        <w:rPr>
          <w:rFonts w:ascii="Times New Roman" w:hAnsi="Times New Roman"/>
          <w:b/>
          <w:sz w:val="24"/>
          <w:szCs w:val="24"/>
        </w:rPr>
      </w:pPr>
    </w:p>
    <w:p w14:paraId="3B14EAA1" w14:textId="77777777" w:rsidR="00337B86" w:rsidRDefault="00337B86">
      <w:pPr>
        <w:rPr>
          <w:rFonts w:ascii="Times New Roman" w:hAnsi="Times New Roman"/>
          <w:b/>
          <w:sz w:val="24"/>
          <w:szCs w:val="24"/>
        </w:rPr>
      </w:pPr>
    </w:p>
    <w:p w14:paraId="2C79FBCE" w14:textId="77777777" w:rsidR="00337B86" w:rsidRDefault="00337B86">
      <w:pPr>
        <w:rPr>
          <w:rFonts w:ascii="Times New Roman" w:hAnsi="Times New Roman"/>
          <w:b/>
          <w:sz w:val="24"/>
          <w:szCs w:val="24"/>
        </w:rPr>
      </w:pPr>
    </w:p>
    <w:p w14:paraId="5EBDD517" w14:textId="77777777" w:rsidR="00337B86" w:rsidRDefault="00337B86">
      <w:pPr>
        <w:rPr>
          <w:rFonts w:ascii="Times New Roman" w:hAnsi="Times New Roman"/>
          <w:b/>
          <w:sz w:val="24"/>
          <w:szCs w:val="24"/>
        </w:rPr>
      </w:pPr>
    </w:p>
    <w:p w14:paraId="33A4C998" w14:textId="77777777" w:rsidR="00337B86" w:rsidRDefault="00337B86">
      <w:pPr>
        <w:rPr>
          <w:b/>
        </w:rPr>
      </w:pPr>
    </w:p>
    <w:p w14:paraId="53D697D2" w14:textId="77777777" w:rsidR="00337B86" w:rsidRDefault="00337B86">
      <w:pPr>
        <w:rPr>
          <w:b/>
        </w:rPr>
      </w:pPr>
    </w:p>
    <w:p w14:paraId="6A8B37B1" w14:textId="77777777" w:rsidR="00337B86" w:rsidRDefault="00337B86">
      <w:pPr>
        <w:rPr>
          <w:b/>
        </w:rPr>
      </w:pPr>
    </w:p>
    <w:p w14:paraId="79E46A6C" w14:textId="77777777" w:rsidR="00337B86" w:rsidRDefault="00337B86">
      <w:pPr>
        <w:rPr>
          <w:b/>
        </w:rPr>
      </w:pPr>
    </w:p>
    <w:p w14:paraId="4AD3AB5E" w14:textId="77777777" w:rsidR="00337B86" w:rsidRDefault="00337B86">
      <w:pPr>
        <w:rPr>
          <w:b/>
        </w:rPr>
      </w:pPr>
    </w:p>
    <w:p w14:paraId="356211FC" w14:textId="77777777" w:rsidR="00337B86" w:rsidRDefault="00337B86">
      <w:pPr>
        <w:rPr>
          <w:b/>
        </w:rPr>
      </w:pPr>
    </w:p>
    <w:p w14:paraId="0E58CC6A" w14:textId="77777777" w:rsidR="00337B86" w:rsidRDefault="00337B86">
      <w:pPr>
        <w:rPr>
          <w:b/>
        </w:rPr>
      </w:pPr>
    </w:p>
    <w:p w14:paraId="7FA6A624" w14:textId="77777777" w:rsidR="00337B86" w:rsidRDefault="00337B86">
      <w:pPr>
        <w:rPr>
          <w:b/>
        </w:rPr>
      </w:pPr>
    </w:p>
    <w:p w14:paraId="3740B6A7" w14:textId="77777777" w:rsidR="00337B86" w:rsidRDefault="00337B86">
      <w:pPr>
        <w:rPr>
          <w:b/>
        </w:rPr>
      </w:pPr>
    </w:p>
    <w:p w14:paraId="48ABFD02" w14:textId="77777777" w:rsidR="00337B86" w:rsidRDefault="00337B86">
      <w:pPr>
        <w:rPr>
          <w:b/>
        </w:rPr>
      </w:pPr>
    </w:p>
    <w:p w14:paraId="0916157D" w14:textId="77777777" w:rsidR="00337B86" w:rsidRDefault="00337B86">
      <w:pPr>
        <w:rPr>
          <w:b/>
        </w:rPr>
      </w:pPr>
    </w:p>
    <w:p w14:paraId="2F431522" w14:textId="77777777" w:rsidR="00337B86" w:rsidRDefault="00337B86">
      <w:pPr>
        <w:rPr>
          <w:b/>
        </w:rPr>
      </w:pPr>
    </w:p>
    <w:p w14:paraId="3B8E8016" w14:textId="77777777" w:rsidR="00337B86" w:rsidRDefault="00000000">
      <w:pPr>
        <w:jc w:val="center"/>
        <w:rPr>
          <w:rFonts w:ascii="Times New Roman" w:hAnsi="Times New Roman"/>
          <w:b/>
          <w:sz w:val="24"/>
          <w:szCs w:val="24"/>
        </w:rPr>
      </w:pPr>
      <w:r>
        <w:rPr>
          <w:rFonts w:ascii="Times New Roman" w:hAnsi="Times New Roman"/>
          <w:b/>
          <w:sz w:val="24"/>
          <w:szCs w:val="24"/>
        </w:rPr>
        <w:t>LIST OF ABBREVIATION</w:t>
      </w:r>
    </w:p>
    <w:p w14:paraId="64D49173" w14:textId="77777777" w:rsidR="00337B86" w:rsidRDefault="00000000">
      <w:pPr>
        <w:rPr>
          <w:rFonts w:ascii="Times New Roman" w:hAnsi="Times New Roman"/>
          <w:sz w:val="24"/>
          <w:szCs w:val="24"/>
        </w:rPr>
      </w:pPr>
      <w:r>
        <w:rPr>
          <w:rFonts w:ascii="Times New Roman" w:hAnsi="Times New Roman"/>
          <w:sz w:val="24"/>
          <w:szCs w:val="24"/>
        </w:rPr>
        <w:t>FAO:</w:t>
      </w:r>
      <w:r>
        <w:rPr>
          <w:rFonts w:ascii="Times New Roman" w:hAnsi="Times New Roman"/>
          <w:sz w:val="24"/>
          <w:szCs w:val="24"/>
        </w:rPr>
        <w:tab/>
      </w:r>
      <w:r>
        <w:rPr>
          <w:rFonts w:ascii="Times New Roman" w:hAnsi="Times New Roman"/>
          <w:sz w:val="24"/>
          <w:szCs w:val="24"/>
        </w:rPr>
        <w:tab/>
        <w:t xml:space="preserve">Food and Agriculture Organization of the United Nations. </w:t>
      </w:r>
    </w:p>
    <w:p w14:paraId="49DCD13A" w14:textId="77777777" w:rsidR="00337B86" w:rsidRDefault="00000000">
      <w:pPr>
        <w:rPr>
          <w:rFonts w:ascii="Times New Roman" w:hAnsi="Times New Roman"/>
          <w:sz w:val="24"/>
          <w:szCs w:val="24"/>
        </w:rPr>
      </w:pPr>
      <w:r>
        <w:rPr>
          <w:rFonts w:ascii="Times New Roman" w:hAnsi="Times New Roman"/>
          <w:sz w:val="24"/>
          <w:szCs w:val="24"/>
        </w:rPr>
        <w:t xml:space="preserve">NAFDAC: </w:t>
      </w:r>
      <w:r>
        <w:rPr>
          <w:rFonts w:ascii="Times New Roman" w:hAnsi="Times New Roman"/>
          <w:sz w:val="24"/>
          <w:szCs w:val="24"/>
        </w:rPr>
        <w:tab/>
        <w:t xml:space="preserve">National Agency </w:t>
      </w:r>
      <w:proofErr w:type="gramStart"/>
      <w:r>
        <w:rPr>
          <w:rFonts w:ascii="Times New Roman" w:hAnsi="Times New Roman"/>
          <w:sz w:val="24"/>
          <w:szCs w:val="24"/>
        </w:rPr>
        <w:t>For</w:t>
      </w:r>
      <w:proofErr w:type="gramEnd"/>
      <w:r>
        <w:rPr>
          <w:rFonts w:ascii="Times New Roman" w:hAnsi="Times New Roman"/>
          <w:sz w:val="24"/>
          <w:szCs w:val="24"/>
        </w:rPr>
        <w:t xml:space="preserve"> Food and Drugs Administration and Control </w:t>
      </w:r>
    </w:p>
    <w:p w14:paraId="37537FDA" w14:textId="77777777" w:rsidR="00337B86" w:rsidRDefault="00000000">
      <w:pPr>
        <w:rPr>
          <w:rFonts w:ascii="Times New Roman" w:hAnsi="Times New Roman"/>
          <w:sz w:val="24"/>
          <w:szCs w:val="24"/>
        </w:rPr>
      </w:pPr>
      <w:r>
        <w:rPr>
          <w:rFonts w:ascii="Times New Roman" w:hAnsi="Times New Roman"/>
          <w:sz w:val="24"/>
          <w:szCs w:val="24"/>
        </w:rPr>
        <w:t xml:space="preserve">SON: </w:t>
      </w:r>
      <w:r>
        <w:rPr>
          <w:rFonts w:ascii="Times New Roman" w:hAnsi="Times New Roman"/>
          <w:sz w:val="24"/>
          <w:szCs w:val="24"/>
        </w:rPr>
        <w:tab/>
      </w:r>
      <w:r>
        <w:rPr>
          <w:rFonts w:ascii="Times New Roman" w:hAnsi="Times New Roman"/>
          <w:sz w:val="24"/>
          <w:szCs w:val="24"/>
        </w:rPr>
        <w:tab/>
        <w:t xml:space="preserve">Standard Organization of Nigeria </w:t>
      </w:r>
    </w:p>
    <w:p w14:paraId="195CA99C" w14:textId="77777777" w:rsidR="00337B86" w:rsidRDefault="00000000">
      <w:pPr>
        <w:rPr>
          <w:rFonts w:ascii="Times New Roman" w:hAnsi="Times New Roman"/>
          <w:sz w:val="24"/>
          <w:szCs w:val="24"/>
        </w:rPr>
      </w:pPr>
      <w:r>
        <w:rPr>
          <w:rFonts w:ascii="Times New Roman" w:hAnsi="Times New Roman"/>
          <w:sz w:val="24"/>
          <w:szCs w:val="24"/>
        </w:rPr>
        <w:t xml:space="preserve">AAS: </w:t>
      </w:r>
      <w:r>
        <w:rPr>
          <w:rFonts w:ascii="Times New Roman" w:hAnsi="Times New Roman"/>
          <w:sz w:val="24"/>
          <w:szCs w:val="24"/>
        </w:rPr>
        <w:tab/>
      </w:r>
      <w:r>
        <w:rPr>
          <w:rFonts w:ascii="Times New Roman" w:hAnsi="Times New Roman"/>
          <w:sz w:val="24"/>
          <w:szCs w:val="24"/>
        </w:rPr>
        <w:tab/>
        <w:t>Atomic Absorption Spectroscopy</w:t>
      </w:r>
    </w:p>
    <w:p w14:paraId="12E3903B" w14:textId="77777777" w:rsidR="00337B86" w:rsidRDefault="00337B86">
      <w:pPr>
        <w:rPr>
          <w:rFonts w:ascii="Times New Roman" w:hAnsi="Times New Roman"/>
          <w:sz w:val="24"/>
          <w:szCs w:val="24"/>
        </w:rPr>
      </w:pPr>
    </w:p>
    <w:p w14:paraId="3F20D0A5" w14:textId="77777777" w:rsidR="00337B86" w:rsidRDefault="00337B86">
      <w:pPr>
        <w:rPr>
          <w:b/>
        </w:rPr>
      </w:pPr>
    </w:p>
    <w:p w14:paraId="68F12008" w14:textId="77777777" w:rsidR="00337B86" w:rsidRDefault="00337B86">
      <w:pPr>
        <w:rPr>
          <w:b/>
        </w:rPr>
      </w:pPr>
    </w:p>
    <w:p w14:paraId="0566C7CC" w14:textId="77777777" w:rsidR="00337B86" w:rsidRDefault="00337B86">
      <w:pPr>
        <w:rPr>
          <w:b/>
        </w:rPr>
      </w:pPr>
    </w:p>
    <w:p w14:paraId="530B9E5F" w14:textId="77777777" w:rsidR="00337B86" w:rsidRDefault="00337B86">
      <w:pPr>
        <w:rPr>
          <w:b/>
        </w:rPr>
      </w:pPr>
    </w:p>
    <w:p w14:paraId="7FC7845D" w14:textId="77777777" w:rsidR="00337B86" w:rsidRDefault="00337B86">
      <w:pPr>
        <w:rPr>
          <w:b/>
        </w:rPr>
      </w:pPr>
    </w:p>
    <w:p w14:paraId="242DEC88" w14:textId="77777777" w:rsidR="00337B86" w:rsidRDefault="00337B86">
      <w:pPr>
        <w:rPr>
          <w:b/>
        </w:rPr>
      </w:pPr>
    </w:p>
    <w:p w14:paraId="10D7E3EB" w14:textId="77777777" w:rsidR="00337B86" w:rsidRDefault="00337B86">
      <w:pPr>
        <w:rPr>
          <w:b/>
        </w:rPr>
      </w:pPr>
    </w:p>
    <w:p w14:paraId="454F5EED" w14:textId="77777777" w:rsidR="00337B86" w:rsidRDefault="00337B86">
      <w:pPr>
        <w:rPr>
          <w:b/>
        </w:rPr>
      </w:pPr>
    </w:p>
    <w:p w14:paraId="10F9788D" w14:textId="77777777" w:rsidR="00337B86" w:rsidRDefault="00337B86">
      <w:pPr>
        <w:rPr>
          <w:b/>
        </w:rPr>
      </w:pPr>
    </w:p>
    <w:p w14:paraId="4D927384" w14:textId="77777777" w:rsidR="00337B86" w:rsidRDefault="00337B86">
      <w:pPr>
        <w:rPr>
          <w:b/>
        </w:rPr>
      </w:pPr>
    </w:p>
    <w:p w14:paraId="066674EF" w14:textId="77777777" w:rsidR="00337B86" w:rsidRDefault="00337B86">
      <w:pPr>
        <w:rPr>
          <w:b/>
        </w:rPr>
      </w:pPr>
    </w:p>
    <w:p w14:paraId="23A0B078" w14:textId="77777777" w:rsidR="00337B86" w:rsidRDefault="00337B86">
      <w:pPr>
        <w:rPr>
          <w:b/>
        </w:rPr>
      </w:pPr>
    </w:p>
    <w:p w14:paraId="669EB58C" w14:textId="77777777" w:rsidR="00337B86" w:rsidRDefault="00337B86">
      <w:pPr>
        <w:rPr>
          <w:b/>
        </w:rPr>
      </w:pPr>
    </w:p>
    <w:p w14:paraId="71A7A069" w14:textId="77777777" w:rsidR="00337B86" w:rsidRDefault="00337B86">
      <w:pPr>
        <w:rPr>
          <w:b/>
        </w:rPr>
      </w:pPr>
    </w:p>
    <w:p w14:paraId="46C1D335" w14:textId="77777777" w:rsidR="00337B86" w:rsidRDefault="00337B86">
      <w:pPr>
        <w:rPr>
          <w:b/>
        </w:rPr>
      </w:pPr>
    </w:p>
    <w:p w14:paraId="14D063DC" w14:textId="77777777" w:rsidR="00337B86" w:rsidRDefault="00337B86">
      <w:pPr>
        <w:rPr>
          <w:b/>
        </w:rPr>
      </w:pPr>
    </w:p>
    <w:p w14:paraId="1993ACF7" w14:textId="77777777" w:rsidR="00337B86" w:rsidRDefault="00337B86">
      <w:pPr>
        <w:rPr>
          <w:b/>
        </w:rPr>
      </w:pPr>
    </w:p>
    <w:p w14:paraId="515F427E" w14:textId="77777777" w:rsidR="00337B86" w:rsidRDefault="00337B86">
      <w:pPr>
        <w:rPr>
          <w:b/>
        </w:rPr>
      </w:pPr>
    </w:p>
    <w:p w14:paraId="4E86AF8B" w14:textId="77777777" w:rsidR="00337B86" w:rsidRDefault="00337B86">
      <w:pPr>
        <w:rPr>
          <w:b/>
        </w:rPr>
      </w:pPr>
    </w:p>
    <w:p w14:paraId="62CC37EE" w14:textId="77777777" w:rsidR="00337B86" w:rsidRPr="00EA14A2" w:rsidRDefault="00000000" w:rsidP="00EA14A2">
      <w:pPr>
        <w:spacing w:line="240" w:lineRule="auto"/>
        <w:jc w:val="center"/>
        <w:rPr>
          <w:rFonts w:ascii="Times New Roman" w:hAnsi="Times New Roman"/>
          <w:bCs/>
          <w:sz w:val="24"/>
          <w:szCs w:val="24"/>
        </w:rPr>
      </w:pPr>
      <w:r>
        <w:rPr>
          <w:rFonts w:ascii="Times New Roman" w:hAnsi="Times New Roman"/>
          <w:b/>
          <w:sz w:val="24"/>
          <w:szCs w:val="24"/>
        </w:rPr>
        <w:t>ABSTRACT</w:t>
      </w:r>
    </w:p>
    <w:p w14:paraId="4F8A8811" w14:textId="13E6C113" w:rsidR="00337B86" w:rsidRPr="00EA14A2" w:rsidRDefault="00000000" w:rsidP="00EA14A2">
      <w:pPr>
        <w:spacing w:line="240" w:lineRule="auto"/>
        <w:jc w:val="both"/>
        <w:rPr>
          <w:rFonts w:ascii="Times New Roman" w:hAnsi="Times New Roman"/>
          <w:bCs/>
          <w:sz w:val="24"/>
          <w:szCs w:val="24"/>
        </w:rPr>
      </w:pPr>
      <w:r w:rsidRPr="00EA14A2">
        <w:rPr>
          <w:rFonts w:ascii="Times New Roman" w:hAnsi="Times New Roman"/>
          <w:bCs/>
          <w:sz w:val="24"/>
          <w:szCs w:val="24"/>
        </w:rPr>
        <w:t xml:space="preserve">This study determined the concentrations of Cadmium (Cd), Copper (Cu), Lead (Pb), and Cobalt (Co) in selected brands of spaghetti, macaroni, and noodles sold in Sokoto, Nigeria. </w:t>
      </w:r>
      <w:r w:rsidR="00F02A8F">
        <w:rPr>
          <w:rFonts w:ascii="Times New Roman" w:hAnsi="Times New Roman"/>
          <w:bCs/>
          <w:sz w:val="24"/>
          <w:szCs w:val="24"/>
        </w:rPr>
        <w:t>The s</w:t>
      </w:r>
      <w:r w:rsidRPr="00EA14A2">
        <w:rPr>
          <w:rFonts w:ascii="Times New Roman" w:hAnsi="Times New Roman"/>
          <w:bCs/>
          <w:sz w:val="24"/>
          <w:szCs w:val="24"/>
        </w:rPr>
        <w:t>amples were analyzed using Atomic Absorption Spectrophotometry (AAS)</w:t>
      </w:r>
      <w:r w:rsidR="00F02A8F">
        <w:rPr>
          <w:rFonts w:ascii="Times New Roman" w:hAnsi="Times New Roman"/>
          <w:bCs/>
          <w:sz w:val="24"/>
          <w:szCs w:val="24"/>
        </w:rPr>
        <w:t>.</w:t>
      </w:r>
      <w:r w:rsidRPr="00EA14A2">
        <w:rPr>
          <w:rFonts w:ascii="Times New Roman" w:hAnsi="Times New Roman"/>
          <w:bCs/>
          <w:sz w:val="24"/>
          <w:szCs w:val="24"/>
        </w:rPr>
        <w:t xml:space="preserve"> The results showed that the mean concentrations of the metals in the pasta samples were 0.0215 mg/kg for Cd, 0.208 mg/kg for Cu, 0.327 mg/kg for Pb, and 0.078 mg/kg for Co. Cadmium and Cobalt levels were within permissible limits, Copper levels were also below the recommended standard, while Lead concentrations in some samples were slightly above the Codex/NAFDAC limit of 0.3 mg/kg. The findings indicate</w:t>
      </w:r>
      <w:r w:rsidR="00F02A8F">
        <w:rPr>
          <w:rFonts w:ascii="Times New Roman" w:hAnsi="Times New Roman"/>
          <w:bCs/>
          <w:sz w:val="24"/>
          <w:szCs w:val="24"/>
        </w:rPr>
        <w:t>d</w:t>
      </w:r>
      <w:r w:rsidRPr="00EA14A2">
        <w:rPr>
          <w:rFonts w:ascii="Times New Roman" w:hAnsi="Times New Roman"/>
          <w:bCs/>
          <w:sz w:val="24"/>
          <w:szCs w:val="24"/>
        </w:rPr>
        <w:t xml:space="preserve"> that pasta products in Sokoto are generally safe for consumption; however, continuous monitoring is essential to prevent potential health risks associated with Lead accumulation.</w:t>
      </w:r>
    </w:p>
    <w:p w14:paraId="1092CF84" w14:textId="77777777" w:rsidR="00337B86" w:rsidRDefault="00337B86">
      <w:pPr>
        <w:spacing w:line="360" w:lineRule="auto"/>
        <w:rPr>
          <w:rFonts w:ascii="Times New Roman" w:hAnsi="Times New Roman"/>
          <w:b/>
          <w:sz w:val="24"/>
          <w:szCs w:val="24"/>
        </w:rPr>
      </w:pPr>
    </w:p>
    <w:p w14:paraId="6B2FBE89" w14:textId="77777777" w:rsidR="00337B86" w:rsidRDefault="00337B86">
      <w:pPr>
        <w:spacing w:line="360" w:lineRule="auto"/>
        <w:rPr>
          <w:rFonts w:ascii="Times New Roman" w:hAnsi="Times New Roman"/>
          <w:b/>
          <w:sz w:val="24"/>
          <w:szCs w:val="24"/>
        </w:rPr>
      </w:pPr>
    </w:p>
    <w:p w14:paraId="7DB6EB58" w14:textId="77777777" w:rsidR="00EA14A2" w:rsidRDefault="00EA14A2">
      <w:pPr>
        <w:spacing w:line="360" w:lineRule="auto"/>
        <w:rPr>
          <w:rFonts w:ascii="Times New Roman" w:hAnsi="Times New Roman"/>
          <w:b/>
          <w:sz w:val="24"/>
          <w:szCs w:val="24"/>
        </w:rPr>
      </w:pPr>
    </w:p>
    <w:p w14:paraId="6B8F5FD5" w14:textId="77777777" w:rsidR="00EA14A2" w:rsidRDefault="00EA14A2">
      <w:pPr>
        <w:spacing w:line="360" w:lineRule="auto"/>
        <w:rPr>
          <w:rFonts w:ascii="Times New Roman" w:hAnsi="Times New Roman"/>
          <w:b/>
          <w:sz w:val="24"/>
          <w:szCs w:val="24"/>
        </w:rPr>
      </w:pPr>
    </w:p>
    <w:p w14:paraId="519B2C6E" w14:textId="77777777" w:rsidR="00EA14A2" w:rsidRDefault="00EA14A2">
      <w:pPr>
        <w:spacing w:line="360" w:lineRule="auto"/>
        <w:rPr>
          <w:rFonts w:ascii="Times New Roman" w:hAnsi="Times New Roman"/>
          <w:b/>
          <w:sz w:val="24"/>
          <w:szCs w:val="24"/>
        </w:rPr>
      </w:pPr>
    </w:p>
    <w:p w14:paraId="454FFC51" w14:textId="77777777" w:rsidR="00EA14A2" w:rsidRDefault="00EA14A2">
      <w:pPr>
        <w:spacing w:line="360" w:lineRule="auto"/>
        <w:rPr>
          <w:rFonts w:ascii="Times New Roman" w:hAnsi="Times New Roman"/>
          <w:b/>
          <w:sz w:val="24"/>
          <w:szCs w:val="24"/>
        </w:rPr>
      </w:pPr>
    </w:p>
    <w:p w14:paraId="2735747F" w14:textId="77777777" w:rsidR="00EA14A2" w:rsidRDefault="00EA14A2">
      <w:pPr>
        <w:spacing w:line="360" w:lineRule="auto"/>
        <w:rPr>
          <w:rFonts w:ascii="Times New Roman" w:hAnsi="Times New Roman"/>
          <w:b/>
          <w:sz w:val="24"/>
          <w:szCs w:val="24"/>
        </w:rPr>
      </w:pPr>
    </w:p>
    <w:p w14:paraId="78C9C787" w14:textId="77777777" w:rsidR="00EA14A2" w:rsidRDefault="00EA14A2">
      <w:pPr>
        <w:spacing w:line="360" w:lineRule="auto"/>
        <w:rPr>
          <w:rFonts w:ascii="Times New Roman" w:hAnsi="Times New Roman"/>
          <w:b/>
          <w:sz w:val="24"/>
          <w:szCs w:val="24"/>
        </w:rPr>
      </w:pPr>
    </w:p>
    <w:p w14:paraId="2D962160" w14:textId="77777777" w:rsidR="00EA14A2" w:rsidRDefault="00EA14A2">
      <w:pPr>
        <w:spacing w:line="360" w:lineRule="auto"/>
        <w:rPr>
          <w:rFonts w:ascii="Times New Roman" w:hAnsi="Times New Roman"/>
          <w:b/>
          <w:sz w:val="24"/>
          <w:szCs w:val="24"/>
        </w:rPr>
      </w:pPr>
    </w:p>
    <w:p w14:paraId="3C4C5485" w14:textId="77777777" w:rsidR="00EA14A2" w:rsidRDefault="00EA14A2">
      <w:pPr>
        <w:spacing w:line="360" w:lineRule="auto"/>
        <w:rPr>
          <w:rFonts w:ascii="Times New Roman" w:hAnsi="Times New Roman"/>
          <w:b/>
          <w:sz w:val="24"/>
          <w:szCs w:val="24"/>
        </w:rPr>
      </w:pPr>
    </w:p>
    <w:p w14:paraId="2FE87FDD" w14:textId="77777777" w:rsidR="00EA14A2" w:rsidRDefault="00EA14A2">
      <w:pPr>
        <w:spacing w:line="360" w:lineRule="auto"/>
        <w:rPr>
          <w:rFonts w:ascii="Times New Roman" w:hAnsi="Times New Roman"/>
          <w:b/>
          <w:sz w:val="24"/>
          <w:szCs w:val="24"/>
        </w:rPr>
      </w:pPr>
    </w:p>
    <w:p w14:paraId="4DF5598F" w14:textId="77777777" w:rsidR="00EA14A2" w:rsidRDefault="00EA14A2">
      <w:pPr>
        <w:spacing w:line="360" w:lineRule="auto"/>
        <w:rPr>
          <w:rFonts w:ascii="Times New Roman" w:hAnsi="Times New Roman"/>
          <w:b/>
          <w:sz w:val="24"/>
          <w:szCs w:val="24"/>
        </w:rPr>
      </w:pPr>
    </w:p>
    <w:p w14:paraId="4FDF1C42" w14:textId="77777777" w:rsidR="00EA14A2" w:rsidRDefault="00EA14A2">
      <w:pPr>
        <w:spacing w:line="360" w:lineRule="auto"/>
        <w:rPr>
          <w:rFonts w:ascii="Times New Roman" w:hAnsi="Times New Roman"/>
          <w:b/>
          <w:sz w:val="24"/>
          <w:szCs w:val="24"/>
        </w:rPr>
      </w:pPr>
    </w:p>
    <w:p w14:paraId="22F71861" w14:textId="77777777" w:rsidR="00EA14A2" w:rsidRDefault="00EA14A2">
      <w:pPr>
        <w:spacing w:line="360" w:lineRule="auto"/>
        <w:rPr>
          <w:rFonts w:ascii="Times New Roman" w:hAnsi="Times New Roman"/>
          <w:b/>
          <w:sz w:val="24"/>
          <w:szCs w:val="24"/>
        </w:rPr>
      </w:pPr>
    </w:p>
    <w:p w14:paraId="4838DBF2" w14:textId="77777777" w:rsidR="00EA14A2" w:rsidRDefault="00EA14A2">
      <w:pPr>
        <w:spacing w:line="360" w:lineRule="auto"/>
        <w:rPr>
          <w:rFonts w:ascii="Times New Roman" w:hAnsi="Times New Roman"/>
          <w:b/>
          <w:sz w:val="24"/>
          <w:szCs w:val="24"/>
        </w:rPr>
      </w:pPr>
    </w:p>
    <w:p w14:paraId="58B0C4A6" w14:textId="77777777" w:rsidR="00EA14A2" w:rsidRDefault="00EA14A2">
      <w:pPr>
        <w:spacing w:line="360" w:lineRule="auto"/>
        <w:rPr>
          <w:rFonts w:ascii="Times New Roman" w:hAnsi="Times New Roman"/>
          <w:b/>
          <w:sz w:val="24"/>
          <w:szCs w:val="24"/>
        </w:rPr>
      </w:pPr>
    </w:p>
    <w:p w14:paraId="6F38C2EF" w14:textId="77777777" w:rsidR="00E83713" w:rsidRDefault="00E83713">
      <w:pPr>
        <w:spacing w:line="360" w:lineRule="auto"/>
        <w:jc w:val="center"/>
        <w:rPr>
          <w:rFonts w:ascii="Times New Roman" w:hAnsi="Times New Roman"/>
          <w:b/>
          <w:bCs/>
          <w:sz w:val="24"/>
          <w:szCs w:val="24"/>
        </w:rPr>
      </w:pPr>
      <w:r>
        <w:rPr>
          <w:rFonts w:ascii="Times New Roman" w:hAnsi="Times New Roman"/>
          <w:b/>
          <w:bCs/>
          <w:sz w:val="24"/>
          <w:szCs w:val="24"/>
        </w:rPr>
        <w:br w:type="page"/>
      </w:r>
    </w:p>
    <w:p w14:paraId="6F9B2C9A" w14:textId="77777777" w:rsidR="00E83713" w:rsidRDefault="00E83713">
      <w:pPr>
        <w:spacing w:line="360" w:lineRule="auto"/>
        <w:jc w:val="center"/>
        <w:rPr>
          <w:rFonts w:ascii="Times New Roman" w:hAnsi="Times New Roman"/>
          <w:b/>
          <w:bCs/>
          <w:sz w:val="24"/>
          <w:szCs w:val="24"/>
        </w:rPr>
        <w:sectPr w:rsidR="00E83713" w:rsidSect="00E83713">
          <w:footerReference w:type="default" r:id="rId7"/>
          <w:pgSz w:w="12240" w:h="15840"/>
          <w:pgMar w:top="1440" w:right="1440" w:bottom="1440" w:left="1440" w:header="720" w:footer="720" w:gutter="0"/>
          <w:pgNumType w:fmt="lowerRoman"/>
          <w:cols w:space="720"/>
          <w:docGrid w:linePitch="360"/>
        </w:sectPr>
      </w:pPr>
    </w:p>
    <w:p w14:paraId="21AD87D4" w14:textId="249124AD" w:rsidR="00337B86" w:rsidRDefault="00000000">
      <w:pPr>
        <w:spacing w:line="360" w:lineRule="auto"/>
        <w:jc w:val="center"/>
        <w:rPr>
          <w:rFonts w:ascii="Times New Roman" w:hAnsi="Times New Roman"/>
          <w:b/>
          <w:bCs/>
          <w:sz w:val="24"/>
          <w:szCs w:val="24"/>
        </w:rPr>
      </w:pPr>
      <w:r>
        <w:rPr>
          <w:rFonts w:ascii="Times New Roman" w:hAnsi="Times New Roman"/>
          <w:b/>
          <w:bCs/>
          <w:sz w:val="24"/>
          <w:szCs w:val="24"/>
        </w:rPr>
        <w:lastRenderedPageBreak/>
        <w:t>CHAPTER ONE</w:t>
      </w:r>
    </w:p>
    <w:p w14:paraId="1940A5D0" w14:textId="77777777" w:rsidR="00337B86" w:rsidRDefault="00000000">
      <w:pPr>
        <w:spacing w:line="360" w:lineRule="auto"/>
        <w:jc w:val="both"/>
        <w:rPr>
          <w:rFonts w:ascii="Times New Roman" w:hAnsi="Times New Roman"/>
          <w:b/>
          <w:bCs/>
          <w:sz w:val="24"/>
          <w:szCs w:val="24"/>
        </w:rPr>
      </w:pPr>
      <w:proofErr w:type="gramStart"/>
      <w:r>
        <w:rPr>
          <w:rFonts w:ascii="Times New Roman" w:hAnsi="Times New Roman"/>
          <w:b/>
          <w:bCs/>
          <w:sz w:val="24"/>
          <w:szCs w:val="24"/>
        </w:rPr>
        <w:t>1.0  Introduction</w:t>
      </w:r>
      <w:proofErr w:type="gramEnd"/>
    </w:p>
    <w:p w14:paraId="6025CF36"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1.1 Background of the Study</w:t>
      </w:r>
    </w:p>
    <w:bookmarkEnd w:id="0"/>
    <w:p w14:paraId="258B42B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Food safety remains a major global public health concern because of rising contamination of food products by physical, chemical, and biological hazards. Among chemical hazards, heavy metals are particularly problematic: they are non-biodegradable, tend to accumulate in the food chain, and have toxic effects on both humans and animals (Frontiers in Pharmacology, 2024). Heavy metals are generally defined as metallic elements with relatively high atomic weight and densities often above 5 g/cm³. Examples of toxic heavy metals include lead (Pb), cadmium (Cd), mercury (Hg), and arsenic (As), whereas metals like iron (Fe), copper (Cu), and zinc (Zn) are essential in small amounts but become harmful in excess (Sustainability, 2022). </w:t>
      </w:r>
      <w:proofErr w:type="spellStart"/>
      <w:r>
        <w:rPr>
          <w:rFonts w:ascii="Times New Roman" w:hAnsi="Times New Roman"/>
          <w:sz w:val="24"/>
          <w:szCs w:val="24"/>
        </w:rPr>
        <w:t>Industrialisation</w:t>
      </w:r>
      <w:proofErr w:type="spellEnd"/>
      <w:r>
        <w:rPr>
          <w:rFonts w:ascii="Times New Roman" w:hAnsi="Times New Roman"/>
          <w:sz w:val="24"/>
          <w:szCs w:val="24"/>
        </w:rPr>
        <w:t xml:space="preserve"> and rapid urban growth have accelerated the release of heavy metals into the environment, increasing contamination of soils, water, and air (Toxic Metals and Human Health: Possible Exposure Pathways…, 2024). These pollutants enter the food chain through contaminated irrigation water, polluted soils, atmospheric deposition and subsequently accumulate in agricultural produce and processed foods (Heavy Metal Contamination and Its Impact on the Food Chain, 2024). For many populations, dietary intake is the primary exposure route. Long‐term consumption of contaminated foods may lead to adverse health outcomes such as kidney dysfunction, liver damage, cancers, </w:t>
      </w:r>
      <w:proofErr w:type="spellStart"/>
      <w:r>
        <w:rPr>
          <w:rFonts w:ascii="Times New Roman" w:hAnsi="Times New Roman"/>
          <w:sz w:val="24"/>
          <w:szCs w:val="24"/>
        </w:rPr>
        <w:t>anaemia</w:t>
      </w:r>
      <w:proofErr w:type="spellEnd"/>
      <w:r>
        <w:rPr>
          <w:rFonts w:ascii="Times New Roman" w:hAnsi="Times New Roman"/>
          <w:sz w:val="24"/>
          <w:szCs w:val="24"/>
        </w:rPr>
        <w:t>, neurological disorders, and developmental issues in children (Heavy Metals: Toxicity and Human Health Effects, 2024).</w:t>
      </w:r>
    </w:p>
    <w:p w14:paraId="6A8BB9E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Pasta </w:t>
      </w:r>
      <w:proofErr w:type="gramStart"/>
      <w:r>
        <w:rPr>
          <w:rFonts w:ascii="Times New Roman" w:hAnsi="Times New Roman"/>
          <w:sz w:val="24"/>
          <w:szCs w:val="24"/>
        </w:rPr>
        <w:t>products  including</w:t>
      </w:r>
      <w:proofErr w:type="gramEnd"/>
      <w:r>
        <w:rPr>
          <w:rFonts w:ascii="Times New Roman" w:hAnsi="Times New Roman"/>
          <w:sz w:val="24"/>
          <w:szCs w:val="24"/>
        </w:rPr>
        <w:t xml:space="preserve"> macaroni, spaghetti, and instant noodles — are among the most widely consumed foods globally due to their ease of preparation, versatility, and convenience. In Nigeria, the pasta and instant noodle industry has experienced significant growth over the past two decades, driven by increased urbanization, changing dietary patterns, and expansion of local manufacturing. Major producers such as Dangote Pasta, Golden Penny Foods (Flour Mills of Nigeria Plc), Honeywell Flour Mills Plc, and </w:t>
      </w:r>
      <w:proofErr w:type="spellStart"/>
      <w:r>
        <w:rPr>
          <w:rFonts w:ascii="Times New Roman" w:hAnsi="Times New Roman"/>
          <w:sz w:val="24"/>
          <w:szCs w:val="24"/>
        </w:rPr>
        <w:t>Dufil</w:t>
      </w:r>
      <w:proofErr w:type="spellEnd"/>
      <w:r>
        <w:rPr>
          <w:rFonts w:ascii="Times New Roman" w:hAnsi="Times New Roman"/>
          <w:sz w:val="24"/>
          <w:szCs w:val="24"/>
        </w:rPr>
        <w:t xml:space="preserve"> Prima Foods Ltd. (producers of </w:t>
      </w:r>
      <w:proofErr w:type="spellStart"/>
      <w:r>
        <w:rPr>
          <w:rFonts w:ascii="Times New Roman" w:hAnsi="Times New Roman"/>
          <w:sz w:val="24"/>
          <w:szCs w:val="24"/>
        </w:rPr>
        <w:t>Indomie</w:t>
      </w:r>
      <w:proofErr w:type="spellEnd"/>
      <w:r>
        <w:rPr>
          <w:rFonts w:ascii="Times New Roman" w:hAnsi="Times New Roman"/>
          <w:sz w:val="24"/>
          <w:szCs w:val="24"/>
        </w:rPr>
        <w:t xml:space="preserve">, </w:t>
      </w:r>
      <w:proofErr w:type="spellStart"/>
      <w:r>
        <w:rPr>
          <w:rFonts w:ascii="Times New Roman" w:hAnsi="Times New Roman"/>
          <w:sz w:val="24"/>
          <w:szCs w:val="24"/>
        </w:rPr>
        <w:t>Mimee</w:t>
      </w:r>
      <w:proofErr w:type="spellEnd"/>
      <w:r>
        <w:rPr>
          <w:rFonts w:ascii="Times New Roman" w:hAnsi="Times New Roman"/>
          <w:sz w:val="24"/>
          <w:szCs w:val="24"/>
        </w:rPr>
        <w:t xml:space="preserve">, and Chikki) dominate the market. These companies operate large-scale wheat processing plants in Lagos, Kano, and Port Harcourt, supplying both domestic and regional markets (Ayo and Sule, 2024; Okorie </w:t>
      </w:r>
      <w:r>
        <w:rPr>
          <w:rFonts w:ascii="Times New Roman" w:hAnsi="Times New Roman"/>
          <w:i/>
          <w:iCs/>
          <w:sz w:val="24"/>
          <w:szCs w:val="24"/>
        </w:rPr>
        <w:t>et al</w:t>
      </w:r>
      <w:r>
        <w:rPr>
          <w:rFonts w:ascii="Times New Roman" w:hAnsi="Times New Roman"/>
          <w:sz w:val="24"/>
          <w:szCs w:val="24"/>
        </w:rPr>
        <w:t xml:space="preserve">., 2023). According to the World Instant Noodles Association (WINA, 2023), Nigeria ranks </w:t>
      </w:r>
      <w:r>
        <w:rPr>
          <w:rFonts w:ascii="Times New Roman" w:hAnsi="Times New Roman"/>
          <w:sz w:val="24"/>
          <w:szCs w:val="24"/>
        </w:rPr>
        <w:lastRenderedPageBreak/>
        <w:t>among Africa’s largest consumers of pasta and instant noodles, with more than 1.8 billion servings consumed annually. Despite recent price increases linked to inflation and rising wheat import costs, pasta products remain widely accessible and preferred for their convenience and quick preparation. In Sokoto metropolis, they are common among students, households, and working-class individuals, reflecting their cultural integration into modern Nigerian diets. The growing consumption of these products underscores the need to monitor their safety, particularly regarding potential heavy-metal contamination.</w:t>
      </w:r>
    </w:p>
    <w:p w14:paraId="0D68A99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Despite their nutritional value, pasta products may act as vehicles for heavy-metal exposure over multiple pathways (Abdel-Rahman </w:t>
      </w:r>
      <w:r>
        <w:rPr>
          <w:rFonts w:ascii="Times New Roman" w:hAnsi="Times New Roman"/>
          <w:i/>
          <w:iCs/>
          <w:sz w:val="24"/>
          <w:szCs w:val="24"/>
        </w:rPr>
        <w:t>et al.,</w:t>
      </w:r>
      <w:r>
        <w:rPr>
          <w:rFonts w:ascii="Times New Roman" w:hAnsi="Times New Roman"/>
          <w:sz w:val="24"/>
          <w:szCs w:val="24"/>
        </w:rPr>
        <w:t xml:space="preserve"> 2023; Kabir </w:t>
      </w:r>
      <w:r>
        <w:rPr>
          <w:rFonts w:ascii="Times New Roman" w:hAnsi="Times New Roman"/>
          <w:i/>
          <w:iCs/>
          <w:sz w:val="24"/>
          <w:szCs w:val="24"/>
        </w:rPr>
        <w:t>et al.,</w:t>
      </w:r>
      <w:r>
        <w:rPr>
          <w:rFonts w:ascii="Times New Roman" w:hAnsi="Times New Roman"/>
          <w:sz w:val="24"/>
          <w:szCs w:val="24"/>
        </w:rPr>
        <w:t xml:space="preserve"> 2025).</w:t>
      </w:r>
    </w:p>
    <w:p w14:paraId="033DEBCF" w14:textId="77777777" w:rsidR="00337B86" w:rsidRDefault="00000000">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Agricultural sources: Wheat or other cereal ingredients grown on polluted soils or irrigated with contaminated water may absorb metals such as Cd and Pb (Zhang </w:t>
      </w:r>
      <w:r>
        <w:rPr>
          <w:rFonts w:ascii="Times New Roman" w:hAnsi="Times New Roman"/>
          <w:i/>
          <w:iCs/>
          <w:sz w:val="24"/>
          <w:szCs w:val="24"/>
        </w:rPr>
        <w:t>et al.,</w:t>
      </w:r>
      <w:r>
        <w:rPr>
          <w:rFonts w:ascii="Times New Roman" w:hAnsi="Times New Roman"/>
          <w:sz w:val="24"/>
          <w:szCs w:val="24"/>
        </w:rPr>
        <w:t xml:space="preserve"> 2022; Mititelu </w:t>
      </w:r>
      <w:r>
        <w:rPr>
          <w:rFonts w:ascii="Times New Roman" w:hAnsi="Times New Roman"/>
          <w:i/>
          <w:iCs/>
          <w:sz w:val="24"/>
          <w:szCs w:val="24"/>
        </w:rPr>
        <w:t>et al.,</w:t>
      </w:r>
      <w:r>
        <w:rPr>
          <w:rFonts w:ascii="Times New Roman" w:hAnsi="Times New Roman"/>
          <w:sz w:val="24"/>
          <w:szCs w:val="24"/>
        </w:rPr>
        <w:t xml:space="preserve"> 2025).</w:t>
      </w:r>
    </w:p>
    <w:p w14:paraId="798C064A" w14:textId="77777777" w:rsidR="00337B86" w:rsidRDefault="00000000">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Processing and manufacturing: During milling, extrusion, drying or packaging, metals may leach from processing equipment or contact surfaces (Kabir </w:t>
      </w:r>
      <w:r>
        <w:rPr>
          <w:rFonts w:ascii="Times New Roman" w:hAnsi="Times New Roman"/>
          <w:i/>
          <w:iCs/>
          <w:sz w:val="24"/>
          <w:szCs w:val="24"/>
        </w:rPr>
        <w:t>et al.,</w:t>
      </w:r>
      <w:r>
        <w:rPr>
          <w:rFonts w:ascii="Times New Roman" w:hAnsi="Times New Roman"/>
          <w:sz w:val="24"/>
          <w:szCs w:val="24"/>
        </w:rPr>
        <w:t xml:space="preserve"> 2025).</w:t>
      </w:r>
    </w:p>
    <w:p w14:paraId="0BDA3787" w14:textId="77777777" w:rsidR="00337B86" w:rsidRDefault="00000000">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Packaging and storage: Low-quality packaging materials may release metallic contaminants into food during storage or transport (</w:t>
      </w:r>
      <w:proofErr w:type="spellStart"/>
      <w:r>
        <w:rPr>
          <w:rFonts w:ascii="Times New Roman" w:hAnsi="Times New Roman"/>
          <w:sz w:val="24"/>
          <w:szCs w:val="24"/>
        </w:rPr>
        <w:t>Shavali</w:t>
      </w:r>
      <w:proofErr w:type="spellEnd"/>
      <w:r>
        <w:rPr>
          <w:rFonts w:ascii="Times New Roman" w:hAnsi="Times New Roman"/>
          <w:sz w:val="24"/>
          <w:szCs w:val="24"/>
        </w:rPr>
        <w:t xml:space="preserve">-Gilani </w:t>
      </w:r>
      <w:r>
        <w:rPr>
          <w:rFonts w:ascii="Times New Roman" w:hAnsi="Times New Roman"/>
          <w:i/>
          <w:iCs/>
          <w:sz w:val="24"/>
          <w:szCs w:val="24"/>
        </w:rPr>
        <w:t>et al.,</w:t>
      </w:r>
      <w:r>
        <w:rPr>
          <w:rFonts w:ascii="Times New Roman" w:hAnsi="Times New Roman"/>
          <w:sz w:val="24"/>
          <w:szCs w:val="24"/>
        </w:rPr>
        <w:t xml:space="preserve"> 2025).</w:t>
      </w:r>
    </w:p>
    <w:p w14:paraId="4D90FD26" w14:textId="77777777" w:rsidR="00337B86" w:rsidRDefault="00000000">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Distribution and handling: Storage in metal containers, exposure to contaminated transport environments or unhygienic handling may increase contamination (Zahir </w:t>
      </w:r>
      <w:r>
        <w:rPr>
          <w:rFonts w:ascii="Times New Roman" w:hAnsi="Times New Roman"/>
          <w:i/>
          <w:iCs/>
          <w:sz w:val="24"/>
          <w:szCs w:val="24"/>
        </w:rPr>
        <w:t>et al.,</w:t>
      </w:r>
      <w:r>
        <w:rPr>
          <w:rFonts w:ascii="Times New Roman" w:hAnsi="Times New Roman"/>
          <w:sz w:val="24"/>
          <w:szCs w:val="24"/>
        </w:rPr>
        <w:t xml:space="preserve"> 2024).</w:t>
      </w:r>
    </w:p>
    <w:p w14:paraId="4E4C831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health implications of heavy metal exposure via food are serious: lead has been linked to cognitive impairment and reduced IQ in children; cadmium causes kidney damage and skeletal issues; mercury is neurotoxic; and while zinc and iron are essential micronutrients, excessive intake may cause oxidative stress and gastrointestinal problems (Emerging insights into the impacts of heavy metals exposure on plants and animals, 2024). To protect public health, global agencies such as the World Health Organization (WHO) and the Food and Agriculture Organization (FAO) have established maximum permissible limits for heavy metals in food products. Yet, in many developing countries, including Nigeria, monitoring and enforcement are weak. This highlights the importance of periodic evaluation of widely consumed food products.</w:t>
      </w:r>
    </w:p>
    <w:p w14:paraId="684E76A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Therefore, this study focuses on determining the heavy-metal content of selected brands of macaroni, spaghetti, and instant noodles sold in Sokoto metropolis. The products analyzed were </w:t>
      </w:r>
      <w:r>
        <w:rPr>
          <w:rFonts w:ascii="Times New Roman" w:hAnsi="Times New Roman"/>
          <w:sz w:val="24"/>
          <w:szCs w:val="24"/>
        </w:rPr>
        <w:lastRenderedPageBreak/>
        <w:t xml:space="preserve">obtained from both locally manufactured brands (such as those produced by Dangote Pasta, Honeywell Flour Mills, and Golden Penny Foods) and registered imported brands (including </w:t>
      </w:r>
      <w:proofErr w:type="spellStart"/>
      <w:r>
        <w:rPr>
          <w:rFonts w:ascii="Times New Roman" w:hAnsi="Times New Roman"/>
          <w:sz w:val="24"/>
          <w:szCs w:val="24"/>
        </w:rPr>
        <w:t>Indomie</w:t>
      </w:r>
      <w:proofErr w:type="spellEnd"/>
      <w:r>
        <w:rPr>
          <w:rFonts w:ascii="Times New Roman" w:hAnsi="Times New Roman"/>
          <w:sz w:val="24"/>
          <w:szCs w:val="24"/>
        </w:rPr>
        <w:t xml:space="preserve">, Chikki, and </w:t>
      </w:r>
      <w:proofErr w:type="spellStart"/>
      <w:r>
        <w:rPr>
          <w:rFonts w:ascii="Times New Roman" w:hAnsi="Times New Roman"/>
          <w:sz w:val="24"/>
          <w:szCs w:val="24"/>
        </w:rPr>
        <w:t>Mimee</w:t>
      </w:r>
      <w:proofErr w:type="spellEnd"/>
      <w:r>
        <w:rPr>
          <w:rFonts w:ascii="Times New Roman" w:hAnsi="Times New Roman"/>
          <w:sz w:val="24"/>
          <w:szCs w:val="24"/>
        </w:rPr>
        <w:t xml:space="preserve">) that are approved by the National Agency for Food and Drug Administration and Control (NAFDAC). Analysis was carried out using Atomic Absorption Spectrophotometry (AAS) to provide up-to-date baseline data on heavy-metal levels and to support food-safety monitoring in Sokoto and similar urban </w:t>
      </w:r>
      <w:proofErr w:type="spellStart"/>
      <w:r>
        <w:rPr>
          <w:rFonts w:ascii="Times New Roman" w:hAnsi="Times New Roman"/>
          <w:sz w:val="24"/>
          <w:szCs w:val="24"/>
        </w:rPr>
        <w:t>centres</w:t>
      </w:r>
      <w:proofErr w:type="spellEnd"/>
      <w:r>
        <w:rPr>
          <w:rFonts w:ascii="Times New Roman" w:hAnsi="Times New Roman"/>
          <w:sz w:val="24"/>
          <w:szCs w:val="24"/>
        </w:rPr>
        <w:t xml:space="preserve"> in Nigeria (Ayo and Sule, 2024; NAFDAC, 2023).</w:t>
      </w:r>
    </w:p>
    <w:p w14:paraId="252AC853" w14:textId="77777777" w:rsidR="00337B86" w:rsidRDefault="00000000">
      <w:pPr>
        <w:spacing w:line="360" w:lineRule="auto"/>
        <w:jc w:val="both"/>
        <w:rPr>
          <w:rFonts w:ascii="Times New Roman" w:hAnsi="Times New Roman"/>
          <w:b/>
          <w:bCs/>
          <w:sz w:val="24"/>
          <w:szCs w:val="24"/>
        </w:rPr>
      </w:pPr>
      <w:bookmarkStart w:id="1" w:name="_Hlk213066352"/>
      <w:r>
        <w:rPr>
          <w:rFonts w:ascii="Times New Roman" w:hAnsi="Times New Roman"/>
          <w:b/>
          <w:bCs/>
          <w:sz w:val="24"/>
          <w:szCs w:val="24"/>
        </w:rPr>
        <w:t>1.2 Statement of the Problem</w:t>
      </w:r>
    </w:p>
    <w:bookmarkEnd w:id="1"/>
    <w:p w14:paraId="7553E1F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lack of systematic monitoring and published data on heavy metals in pasta products sold in Sokoto highlights the urgency of this research. The high consumption of pasta products in Sokoto raises serious food safety concerns. Although these foods are cheap and convenient, the risk of contamination with harmful heavy metals cannot be overlooked.</w:t>
      </w:r>
    </w:p>
    <w:p w14:paraId="2E104A9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In Nigeria, most studies on food contamination have concentrated on vegetables, rice, fish, and water (Adepoju-Bello </w:t>
      </w:r>
      <w:r>
        <w:rPr>
          <w:rFonts w:ascii="Times New Roman" w:hAnsi="Times New Roman"/>
          <w:i/>
          <w:iCs/>
          <w:sz w:val="24"/>
          <w:szCs w:val="24"/>
        </w:rPr>
        <w:t>et al.,</w:t>
      </w:r>
      <w:r>
        <w:rPr>
          <w:rFonts w:ascii="Times New Roman" w:hAnsi="Times New Roman"/>
          <w:sz w:val="24"/>
          <w:szCs w:val="24"/>
        </w:rPr>
        <w:t xml:space="preserve"> 2012). Very few have examined pasta products, despite their growing role as a staple food. Industrial waste disposal, use of agrochemicals, poor packaging practices, and unhygienic storage all increase the likelihood of contamination. If unsafe levels of heavy metals are present in these products, long-term health risks, particularly for children, pregnant women, and the elderly may be significant.</w:t>
      </w:r>
    </w:p>
    <w:p w14:paraId="420B8EB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Although there is limited published data on pasta contamination in Sokoto, reports from local health authorities and previous studies in Nigeria have raised concerns about the presence of heavy metals such as lead, cadmium, and copper in pasta and noodle products. Consumers in Sokoto have occasionally reported gastrointestinal discomfort after eating low-cost pasta sold in open markets, which may be linked to poor food handling or possible chemical contamination. Similar studies in Lagos and Kano confirmed heavy metal levels above WHO limits, suggesting that Sokoto products may face the same risk due to shared distribution systems. This highlights the need for scientific monitoring of pasta products sold in Sokoto metropolis.</w:t>
      </w:r>
    </w:p>
    <w:p w14:paraId="506E5A2B" w14:textId="77777777" w:rsidR="00337B86" w:rsidRDefault="00337B86">
      <w:pPr>
        <w:spacing w:line="360" w:lineRule="auto"/>
        <w:jc w:val="both"/>
        <w:rPr>
          <w:rFonts w:ascii="Times New Roman" w:hAnsi="Times New Roman"/>
          <w:sz w:val="24"/>
          <w:szCs w:val="24"/>
        </w:rPr>
      </w:pPr>
    </w:p>
    <w:p w14:paraId="3486081A" w14:textId="77777777" w:rsidR="00337B86" w:rsidRDefault="00337B86">
      <w:pPr>
        <w:spacing w:line="360" w:lineRule="auto"/>
        <w:jc w:val="both"/>
        <w:rPr>
          <w:rFonts w:ascii="Times New Roman" w:hAnsi="Times New Roman"/>
          <w:sz w:val="24"/>
          <w:szCs w:val="24"/>
        </w:rPr>
      </w:pPr>
    </w:p>
    <w:p w14:paraId="14F1972D" w14:textId="77777777" w:rsidR="00337B86" w:rsidRDefault="00000000">
      <w:pPr>
        <w:spacing w:line="360" w:lineRule="auto"/>
        <w:jc w:val="both"/>
        <w:rPr>
          <w:rFonts w:ascii="Times New Roman" w:hAnsi="Times New Roman"/>
          <w:b/>
          <w:bCs/>
          <w:sz w:val="24"/>
          <w:szCs w:val="24"/>
        </w:rPr>
      </w:pPr>
      <w:bookmarkStart w:id="2" w:name="_Hlk213066396"/>
      <w:r>
        <w:rPr>
          <w:rFonts w:ascii="Times New Roman" w:hAnsi="Times New Roman"/>
          <w:b/>
          <w:bCs/>
          <w:sz w:val="24"/>
          <w:szCs w:val="24"/>
        </w:rPr>
        <w:lastRenderedPageBreak/>
        <w:t>1.3 Justification of the Study</w:t>
      </w:r>
    </w:p>
    <w:bookmarkEnd w:id="2"/>
    <w:p w14:paraId="1341690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The absence of systematic monitoring and published data on heavy metals in pasta products sold in Sokoto metropolis highlights the urgency of this research. Pasta such as macaroni, spaghetti, and instant noodles are widely consumed across all age groups, particularly among students and low-income earners, due to their affordability and ease of preparation. This high consumption raises concern about potential exposure to toxic heavy metals like lead (Pb), cadmium (Cd), and chromium (Cr), which can accumulate in food during processing, packaging, or storage. Recent studies in Nigeria have reported the presence of these metals in food items and pasta products above permissible limits (Ayanda </w:t>
      </w:r>
      <w:r>
        <w:rPr>
          <w:rFonts w:ascii="Times New Roman" w:hAnsi="Times New Roman"/>
          <w:i/>
          <w:iCs/>
          <w:sz w:val="24"/>
          <w:szCs w:val="24"/>
        </w:rPr>
        <w:t>et al.,</w:t>
      </w:r>
      <w:r>
        <w:rPr>
          <w:rFonts w:ascii="Times New Roman" w:hAnsi="Times New Roman"/>
          <w:sz w:val="24"/>
          <w:szCs w:val="24"/>
        </w:rPr>
        <w:t xml:space="preserve"> 2020; Magaji </w:t>
      </w:r>
      <w:r>
        <w:rPr>
          <w:rFonts w:ascii="Times New Roman" w:hAnsi="Times New Roman"/>
          <w:i/>
          <w:iCs/>
          <w:sz w:val="24"/>
          <w:szCs w:val="24"/>
        </w:rPr>
        <w:t>et al.,</w:t>
      </w:r>
      <w:r>
        <w:rPr>
          <w:rFonts w:ascii="Times New Roman" w:hAnsi="Times New Roman"/>
          <w:sz w:val="24"/>
          <w:szCs w:val="24"/>
        </w:rPr>
        <w:t xml:space="preserve"> 2023; </w:t>
      </w:r>
      <w:proofErr w:type="spellStart"/>
      <w:r>
        <w:rPr>
          <w:rFonts w:ascii="Times New Roman" w:hAnsi="Times New Roman"/>
          <w:sz w:val="24"/>
          <w:szCs w:val="24"/>
        </w:rPr>
        <w:t>Agbendeh</w:t>
      </w:r>
      <w:proofErr w:type="spellEnd"/>
      <w:r>
        <w:rPr>
          <w:rFonts w:ascii="Times New Roman" w:hAnsi="Times New Roman"/>
          <w:sz w:val="24"/>
          <w:szCs w:val="24"/>
        </w:rPr>
        <w:t xml:space="preserve"> </w:t>
      </w:r>
      <w:r>
        <w:rPr>
          <w:rFonts w:ascii="Times New Roman" w:hAnsi="Times New Roman"/>
          <w:i/>
          <w:iCs/>
          <w:sz w:val="24"/>
          <w:szCs w:val="24"/>
        </w:rPr>
        <w:t>et al.,</w:t>
      </w:r>
      <w:r>
        <w:rPr>
          <w:rFonts w:ascii="Times New Roman" w:hAnsi="Times New Roman"/>
          <w:sz w:val="24"/>
          <w:szCs w:val="24"/>
        </w:rPr>
        <w:t xml:space="preserve"> 2025). However, there is currently no documented evidence on the contamination status of pasta sold in Sokoto metropolis, leaving a critical data gap in food-safety surveillance. This study is therefore necessary to generate baseline information on the levels of heavy metals in pasta products available in Sokoto and to evaluate their compliance with FAO/WHO standards for food safety.</w:t>
      </w:r>
    </w:p>
    <w:p w14:paraId="4F65DBB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The results of this research will provide essential data for regulatory bodies such as the National Agency for Food and Drug Administration and Control (NAFDAC) and the Standards </w:t>
      </w:r>
      <w:proofErr w:type="spellStart"/>
      <w:r>
        <w:rPr>
          <w:rFonts w:ascii="Times New Roman" w:hAnsi="Times New Roman"/>
          <w:sz w:val="24"/>
          <w:szCs w:val="24"/>
        </w:rPr>
        <w:t>Organisation</w:t>
      </w:r>
      <w:proofErr w:type="spellEnd"/>
      <w:r>
        <w:rPr>
          <w:rFonts w:ascii="Times New Roman" w:hAnsi="Times New Roman"/>
          <w:sz w:val="24"/>
          <w:szCs w:val="24"/>
        </w:rPr>
        <w:t xml:space="preserve"> of Nigeria (SON) to strengthen food-quality monitoring and ensure consumer protection. Data obtained through Atomic Absorption Spectrophotometry (AAS) will enable accurate assessment of heavy-metal concentrations and guide public-health policies. Considering the health risks associated with chronic exposure to toxic metals such as kidney and liver dysfunction, neurotoxicity, and developmental problems in children this study is timely and relevant to public health and environmental management (</w:t>
      </w:r>
      <w:proofErr w:type="spellStart"/>
      <w:r>
        <w:rPr>
          <w:rFonts w:ascii="Times New Roman" w:hAnsi="Times New Roman"/>
          <w:sz w:val="24"/>
          <w:szCs w:val="24"/>
        </w:rPr>
        <w:t>Omeje</w:t>
      </w:r>
      <w:proofErr w:type="spellEnd"/>
      <w:r>
        <w:rPr>
          <w:rFonts w:ascii="Times New Roman" w:hAnsi="Times New Roman"/>
          <w:sz w:val="24"/>
          <w:szCs w:val="24"/>
        </w:rPr>
        <w:t xml:space="preserve"> </w:t>
      </w:r>
      <w:r>
        <w:rPr>
          <w:rFonts w:ascii="Times New Roman" w:hAnsi="Times New Roman"/>
          <w:i/>
          <w:iCs/>
          <w:sz w:val="24"/>
          <w:szCs w:val="24"/>
        </w:rPr>
        <w:t>et al.,</w:t>
      </w:r>
      <w:r>
        <w:rPr>
          <w:rFonts w:ascii="Times New Roman" w:hAnsi="Times New Roman"/>
          <w:sz w:val="24"/>
          <w:szCs w:val="24"/>
        </w:rPr>
        <w:t xml:space="preserve"> 2021). Beyond safeguarding community wellbeing, the findings will also support sustainable food-safety policies, promote public awareness, and contribute to the existing body of knowledge on food toxicology in Nigeria.</w:t>
      </w:r>
    </w:p>
    <w:p w14:paraId="11AA2C6F" w14:textId="77777777" w:rsidR="00337B86" w:rsidRDefault="00000000">
      <w:pPr>
        <w:spacing w:line="360" w:lineRule="auto"/>
        <w:jc w:val="both"/>
        <w:rPr>
          <w:rFonts w:ascii="Times New Roman" w:hAnsi="Times New Roman"/>
          <w:b/>
          <w:bCs/>
          <w:sz w:val="24"/>
          <w:szCs w:val="24"/>
        </w:rPr>
      </w:pPr>
      <w:bookmarkStart w:id="3" w:name="_Hlk213066450"/>
      <w:r>
        <w:rPr>
          <w:rFonts w:ascii="Times New Roman" w:hAnsi="Times New Roman"/>
          <w:b/>
          <w:bCs/>
          <w:sz w:val="24"/>
          <w:szCs w:val="24"/>
        </w:rPr>
        <w:t xml:space="preserve">1.4 Aims and objectives of the research </w:t>
      </w:r>
    </w:p>
    <w:bookmarkEnd w:id="3"/>
    <w:p w14:paraId="48775FF6"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Aim:</w:t>
      </w:r>
    </w:p>
    <w:p w14:paraId="26A93EB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To evaluate the levels of selected heavy metals (Cd, Cu, Hg, and Pb) in locally produced and imported brands of macaroni, spaghetti, and instant noodles specifically those manufactured or distributed by Dangote Pasta, Honeywell Flour Mills, Golden Penny Foods, </w:t>
      </w:r>
      <w:proofErr w:type="spellStart"/>
      <w:r>
        <w:rPr>
          <w:rFonts w:ascii="Times New Roman" w:hAnsi="Times New Roman"/>
          <w:sz w:val="24"/>
          <w:szCs w:val="24"/>
        </w:rPr>
        <w:t>Indomie</w:t>
      </w:r>
      <w:proofErr w:type="spellEnd"/>
      <w:r>
        <w:rPr>
          <w:rFonts w:ascii="Times New Roman" w:hAnsi="Times New Roman"/>
          <w:sz w:val="24"/>
          <w:szCs w:val="24"/>
        </w:rPr>
        <w:t xml:space="preserve">, Chikki, and </w:t>
      </w:r>
      <w:proofErr w:type="spellStart"/>
      <w:r>
        <w:rPr>
          <w:rFonts w:ascii="Times New Roman" w:hAnsi="Times New Roman"/>
          <w:sz w:val="24"/>
          <w:szCs w:val="24"/>
        </w:rPr>
        <w:lastRenderedPageBreak/>
        <w:t>Mimee</w:t>
      </w:r>
      <w:proofErr w:type="spellEnd"/>
      <w:r>
        <w:rPr>
          <w:rFonts w:ascii="Times New Roman" w:hAnsi="Times New Roman"/>
          <w:sz w:val="24"/>
          <w:szCs w:val="24"/>
        </w:rPr>
        <w:t xml:space="preserve">  sold in Sokoto metropolis, and to assess their safety in relation to international (FAO/WHO) permissible standards.(Ayo &amp; Sule, 2024; NAFDAC, 2023; WHO/FAO, 2023; Okorie </w:t>
      </w:r>
      <w:r>
        <w:rPr>
          <w:rFonts w:ascii="Times New Roman" w:hAnsi="Times New Roman"/>
          <w:i/>
          <w:iCs/>
          <w:sz w:val="24"/>
          <w:szCs w:val="24"/>
        </w:rPr>
        <w:t>et al.,</w:t>
      </w:r>
      <w:r>
        <w:rPr>
          <w:rFonts w:ascii="Times New Roman" w:hAnsi="Times New Roman"/>
          <w:sz w:val="24"/>
          <w:szCs w:val="24"/>
        </w:rPr>
        <w:t xml:space="preserve"> 2023).</w:t>
      </w:r>
    </w:p>
    <w:p w14:paraId="45D74D2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Objectives</w:t>
      </w:r>
    </w:p>
    <w:p w14:paraId="6FB832ED" w14:textId="77777777" w:rsidR="00337B86" w:rsidRDefault="00000000">
      <w:pPr>
        <w:pStyle w:val="ListParagraph"/>
        <w:numPr>
          <w:ilvl w:val="0"/>
          <w:numId w:val="2"/>
        </w:numPr>
        <w:spacing w:line="360" w:lineRule="auto"/>
        <w:jc w:val="both"/>
        <w:rPr>
          <w:rFonts w:ascii="Times New Roman" w:hAnsi="Times New Roman"/>
          <w:sz w:val="24"/>
          <w:szCs w:val="24"/>
        </w:rPr>
      </w:pPr>
      <w:r>
        <w:rPr>
          <w:rFonts w:ascii="Times New Roman" w:hAnsi="Times New Roman"/>
          <w:sz w:val="24"/>
          <w:szCs w:val="24"/>
        </w:rPr>
        <w:t>To digest and prepare the samples using standard wet digestion methods.</w:t>
      </w:r>
    </w:p>
    <w:p w14:paraId="088692CE" w14:textId="77777777" w:rsidR="00337B86" w:rsidRDefault="00000000">
      <w:pPr>
        <w:pStyle w:val="ListParagraph"/>
        <w:numPr>
          <w:ilvl w:val="0"/>
          <w:numId w:val="2"/>
        </w:numPr>
        <w:spacing w:line="360" w:lineRule="auto"/>
        <w:jc w:val="both"/>
        <w:rPr>
          <w:rFonts w:ascii="Times New Roman" w:hAnsi="Times New Roman"/>
          <w:sz w:val="24"/>
          <w:szCs w:val="24"/>
        </w:rPr>
      </w:pPr>
      <w:r>
        <w:rPr>
          <w:rFonts w:ascii="Times New Roman" w:hAnsi="Times New Roman"/>
          <w:sz w:val="24"/>
          <w:szCs w:val="24"/>
        </w:rPr>
        <w:t>To analyze the concentrations of Pb, Cd, Cr, Zn, and Fe using Atomic Absorption Spectrophotometry (AAS).</w:t>
      </w:r>
    </w:p>
    <w:p w14:paraId="2DBAA11C" w14:textId="77777777" w:rsidR="00337B86" w:rsidRDefault="00000000">
      <w:pPr>
        <w:pStyle w:val="ListParagraph"/>
        <w:numPr>
          <w:ilvl w:val="0"/>
          <w:numId w:val="2"/>
        </w:numPr>
        <w:spacing w:line="360" w:lineRule="auto"/>
        <w:jc w:val="both"/>
        <w:rPr>
          <w:rFonts w:ascii="Times New Roman" w:hAnsi="Times New Roman"/>
          <w:sz w:val="24"/>
          <w:szCs w:val="24"/>
        </w:rPr>
      </w:pPr>
      <w:r>
        <w:rPr>
          <w:rFonts w:ascii="Times New Roman" w:hAnsi="Times New Roman"/>
          <w:sz w:val="24"/>
          <w:szCs w:val="24"/>
        </w:rPr>
        <w:t>To compare the results with FAO/WHO permissible limits for heavy metals in food.</w:t>
      </w:r>
    </w:p>
    <w:p w14:paraId="6BC37275" w14:textId="77777777" w:rsidR="00337B86" w:rsidRDefault="00000000">
      <w:pPr>
        <w:pStyle w:val="ListParagraph"/>
        <w:numPr>
          <w:ilvl w:val="0"/>
          <w:numId w:val="2"/>
        </w:numPr>
        <w:spacing w:line="360" w:lineRule="auto"/>
        <w:jc w:val="both"/>
        <w:rPr>
          <w:rFonts w:ascii="Times New Roman" w:hAnsi="Times New Roman"/>
          <w:sz w:val="24"/>
          <w:szCs w:val="24"/>
        </w:rPr>
      </w:pPr>
      <w:r>
        <w:rPr>
          <w:rFonts w:ascii="Times New Roman" w:hAnsi="Times New Roman"/>
          <w:sz w:val="24"/>
          <w:szCs w:val="24"/>
        </w:rPr>
        <w:t xml:space="preserve">To evaluate potential health risks associated with consuming </w:t>
      </w:r>
      <w:proofErr w:type="spellStart"/>
      <w:r>
        <w:rPr>
          <w:rFonts w:ascii="Times New Roman" w:hAnsi="Times New Roman"/>
          <w:sz w:val="24"/>
          <w:szCs w:val="24"/>
        </w:rPr>
        <w:t>analysed</w:t>
      </w:r>
      <w:proofErr w:type="spellEnd"/>
      <w:r>
        <w:rPr>
          <w:rFonts w:ascii="Times New Roman" w:hAnsi="Times New Roman"/>
          <w:sz w:val="24"/>
          <w:szCs w:val="24"/>
        </w:rPr>
        <w:t xml:space="preserve"> products.</w:t>
      </w:r>
    </w:p>
    <w:p w14:paraId="440AD0B0" w14:textId="77777777" w:rsidR="00337B86" w:rsidRDefault="00337B86">
      <w:pPr>
        <w:spacing w:line="360" w:lineRule="auto"/>
        <w:jc w:val="both"/>
        <w:rPr>
          <w:rFonts w:ascii="Times New Roman" w:hAnsi="Times New Roman"/>
          <w:b/>
          <w:bCs/>
          <w:sz w:val="24"/>
          <w:szCs w:val="24"/>
        </w:rPr>
      </w:pPr>
    </w:p>
    <w:p w14:paraId="6DF4D636" w14:textId="77777777" w:rsidR="00337B86" w:rsidRDefault="00337B86">
      <w:pPr>
        <w:spacing w:line="360" w:lineRule="auto"/>
        <w:jc w:val="both"/>
        <w:rPr>
          <w:rFonts w:ascii="Times New Roman" w:hAnsi="Times New Roman"/>
          <w:b/>
          <w:bCs/>
          <w:sz w:val="24"/>
          <w:szCs w:val="24"/>
        </w:rPr>
      </w:pPr>
    </w:p>
    <w:p w14:paraId="64CAD37F" w14:textId="77777777" w:rsidR="00337B86" w:rsidRDefault="00337B86">
      <w:pPr>
        <w:spacing w:line="360" w:lineRule="auto"/>
        <w:jc w:val="both"/>
        <w:rPr>
          <w:rFonts w:ascii="Times New Roman" w:hAnsi="Times New Roman"/>
          <w:sz w:val="24"/>
          <w:szCs w:val="24"/>
        </w:rPr>
      </w:pPr>
    </w:p>
    <w:p w14:paraId="54208EF8" w14:textId="77777777" w:rsidR="00337B86" w:rsidRDefault="00337B86">
      <w:pPr>
        <w:spacing w:line="360" w:lineRule="auto"/>
        <w:jc w:val="both"/>
        <w:rPr>
          <w:rFonts w:ascii="Times New Roman" w:hAnsi="Times New Roman"/>
          <w:sz w:val="24"/>
          <w:szCs w:val="24"/>
        </w:rPr>
      </w:pPr>
    </w:p>
    <w:p w14:paraId="0019A626" w14:textId="77777777" w:rsidR="00337B86" w:rsidRDefault="00337B86">
      <w:pPr>
        <w:spacing w:line="360" w:lineRule="auto"/>
        <w:jc w:val="both"/>
        <w:rPr>
          <w:rFonts w:ascii="Times New Roman" w:hAnsi="Times New Roman"/>
          <w:sz w:val="24"/>
          <w:szCs w:val="24"/>
        </w:rPr>
      </w:pPr>
    </w:p>
    <w:p w14:paraId="7307C26A" w14:textId="77777777" w:rsidR="00337B86" w:rsidRDefault="00337B86">
      <w:pPr>
        <w:spacing w:line="360" w:lineRule="auto"/>
        <w:jc w:val="both"/>
        <w:rPr>
          <w:rFonts w:ascii="Times New Roman" w:hAnsi="Times New Roman"/>
          <w:sz w:val="24"/>
          <w:szCs w:val="24"/>
        </w:rPr>
      </w:pPr>
    </w:p>
    <w:p w14:paraId="0BBA48B6" w14:textId="77777777" w:rsidR="00337B86" w:rsidRDefault="00337B86">
      <w:pPr>
        <w:spacing w:line="360" w:lineRule="auto"/>
        <w:jc w:val="both"/>
        <w:rPr>
          <w:rFonts w:ascii="Times New Roman" w:hAnsi="Times New Roman"/>
          <w:sz w:val="24"/>
          <w:szCs w:val="24"/>
        </w:rPr>
      </w:pPr>
    </w:p>
    <w:p w14:paraId="0484141C" w14:textId="77777777" w:rsidR="00337B86" w:rsidRDefault="00337B86">
      <w:pPr>
        <w:spacing w:line="360" w:lineRule="auto"/>
        <w:jc w:val="both"/>
        <w:rPr>
          <w:rFonts w:ascii="Times New Roman" w:hAnsi="Times New Roman"/>
          <w:sz w:val="24"/>
          <w:szCs w:val="24"/>
        </w:rPr>
      </w:pPr>
    </w:p>
    <w:p w14:paraId="5A042D2B" w14:textId="77777777" w:rsidR="00337B86" w:rsidRDefault="00337B86">
      <w:pPr>
        <w:spacing w:line="360" w:lineRule="auto"/>
        <w:jc w:val="both"/>
        <w:rPr>
          <w:rFonts w:ascii="Times New Roman" w:hAnsi="Times New Roman"/>
          <w:sz w:val="24"/>
          <w:szCs w:val="24"/>
        </w:rPr>
      </w:pPr>
    </w:p>
    <w:p w14:paraId="6D45B0E5" w14:textId="77777777" w:rsidR="00337B86" w:rsidRDefault="00337B86">
      <w:pPr>
        <w:spacing w:line="360" w:lineRule="auto"/>
        <w:jc w:val="both"/>
        <w:rPr>
          <w:rFonts w:ascii="Times New Roman" w:hAnsi="Times New Roman"/>
          <w:sz w:val="24"/>
          <w:szCs w:val="24"/>
        </w:rPr>
      </w:pPr>
    </w:p>
    <w:p w14:paraId="25A03F13" w14:textId="77777777" w:rsidR="00337B86" w:rsidRDefault="00337B86">
      <w:pPr>
        <w:spacing w:line="360" w:lineRule="auto"/>
        <w:jc w:val="both"/>
        <w:rPr>
          <w:rFonts w:ascii="Times New Roman" w:hAnsi="Times New Roman"/>
          <w:sz w:val="24"/>
          <w:szCs w:val="24"/>
        </w:rPr>
      </w:pPr>
    </w:p>
    <w:p w14:paraId="0FA07560" w14:textId="77777777" w:rsidR="00337B86" w:rsidRDefault="00337B86">
      <w:pPr>
        <w:spacing w:line="360" w:lineRule="auto"/>
        <w:jc w:val="both"/>
        <w:rPr>
          <w:rFonts w:ascii="Times New Roman" w:hAnsi="Times New Roman"/>
          <w:sz w:val="24"/>
          <w:szCs w:val="24"/>
        </w:rPr>
      </w:pPr>
    </w:p>
    <w:p w14:paraId="19C3A391" w14:textId="77777777" w:rsidR="00337B86" w:rsidRDefault="00337B86">
      <w:pPr>
        <w:spacing w:line="360" w:lineRule="auto"/>
        <w:jc w:val="both"/>
        <w:rPr>
          <w:rFonts w:ascii="Times New Roman" w:hAnsi="Times New Roman"/>
          <w:sz w:val="24"/>
          <w:szCs w:val="24"/>
        </w:rPr>
      </w:pPr>
    </w:p>
    <w:p w14:paraId="0166B44B" w14:textId="77777777" w:rsidR="00337B86" w:rsidRDefault="00337B86">
      <w:pPr>
        <w:spacing w:line="360" w:lineRule="auto"/>
        <w:jc w:val="both"/>
        <w:rPr>
          <w:rFonts w:ascii="Times New Roman" w:hAnsi="Times New Roman"/>
          <w:sz w:val="24"/>
          <w:szCs w:val="24"/>
        </w:rPr>
      </w:pPr>
    </w:p>
    <w:p w14:paraId="5C1F40B7" w14:textId="77777777" w:rsidR="00337B86" w:rsidRDefault="00000000">
      <w:pPr>
        <w:spacing w:line="360" w:lineRule="auto"/>
        <w:jc w:val="center"/>
        <w:rPr>
          <w:rFonts w:ascii="Times New Roman" w:hAnsi="Times New Roman"/>
          <w:b/>
          <w:bCs/>
          <w:sz w:val="24"/>
          <w:szCs w:val="24"/>
        </w:rPr>
      </w:pPr>
      <w:bookmarkStart w:id="4" w:name="_Hlk213066570"/>
      <w:r>
        <w:rPr>
          <w:rFonts w:ascii="Times New Roman" w:hAnsi="Times New Roman"/>
          <w:b/>
          <w:bCs/>
          <w:sz w:val="24"/>
          <w:szCs w:val="24"/>
        </w:rPr>
        <w:lastRenderedPageBreak/>
        <w:t>CHAPTER TWO</w:t>
      </w:r>
    </w:p>
    <w:p w14:paraId="36029169" w14:textId="77777777" w:rsidR="00337B86" w:rsidRDefault="00000000">
      <w:pPr>
        <w:spacing w:line="360" w:lineRule="auto"/>
        <w:jc w:val="center"/>
        <w:rPr>
          <w:rFonts w:ascii="Times New Roman" w:hAnsi="Times New Roman"/>
          <w:b/>
          <w:bCs/>
          <w:sz w:val="24"/>
          <w:szCs w:val="24"/>
        </w:rPr>
      </w:pPr>
      <w:r>
        <w:rPr>
          <w:rFonts w:ascii="Times New Roman" w:hAnsi="Times New Roman"/>
          <w:b/>
          <w:bCs/>
          <w:sz w:val="24"/>
          <w:szCs w:val="24"/>
        </w:rPr>
        <w:t>LITERATURE REVIEW</w:t>
      </w:r>
    </w:p>
    <w:p w14:paraId="1B9141CA"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2.1 Concept of Food Safety</w:t>
      </w:r>
    </w:p>
    <w:bookmarkEnd w:id="4"/>
    <w:p w14:paraId="2E95914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Food safety refers to the conditions and practices that preserve the quality of food to prevent contamination and foodborne illnesses. It is a multidisciplinary concept that covers microbiological, chemical, and physical hazards that may arise during food production, processing, distribution, and consumption (WHO, 2020). It ensures that food, when ingested according to its intended use, does not pose a risk to consumer health.</w:t>
      </w:r>
    </w:p>
    <w:p w14:paraId="3AF3927C"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2.1.1 Dimensions of Food Safety</w:t>
      </w:r>
    </w:p>
    <w:p w14:paraId="2D47674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Food safety is a critical aspect of public health and is often discussed in relation to food security. However, while food security focuses on ensuring that people have access to sufficient and nutritious food, food safety emphasizes that such food must also be wholesome and free from harmful contaminants. The main dimensions of food safety include biological, chemical, and physical hazards. Biological hazards involve microorganisms such as Salmonella spp., Escherichia coli, viruses, parasites, and fungi that can cause foodborne diseases. Chemical hazards encompass toxic substances like pesticides, heavy metals, additives, and mycotoxins that may enter food during cultivation, processing, packaging, or storage. Physical hazards include foreign objects such as glass fragments, metal shavings, stones, and plastics that can cause injury or harm when ingested. Among these, chemical contaminants particularly heavy metals are of major concern because their effects are usually chronic, cumulative, and irreversible, unlike microbial hazards that can often be eliminated through cooking or proper food handling (FAO/WHO, 2023; Nwachukwu </w:t>
      </w:r>
      <w:r>
        <w:rPr>
          <w:rFonts w:ascii="Times New Roman" w:hAnsi="Times New Roman"/>
          <w:i/>
          <w:iCs/>
          <w:sz w:val="24"/>
          <w:szCs w:val="24"/>
        </w:rPr>
        <w:t xml:space="preserve">et al., </w:t>
      </w:r>
      <w:r>
        <w:rPr>
          <w:rFonts w:ascii="Times New Roman" w:hAnsi="Times New Roman"/>
          <w:sz w:val="24"/>
          <w:szCs w:val="24"/>
        </w:rPr>
        <w:t xml:space="preserve">2024; Adediran </w:t>
      </w:r>
      <w:r>
        <w:rPr>
          <w:rFonts w:ascii="Times New Roman" w:hAnsi="Times New Roman"/>
          <w:i/>
          <w:iCs/>
          <w:sz w:val="24"/>
          <w:szCs w:val="24"/>
        </w:rPr>
        <w:t>et al.,</w:t>
      </w:r>
      <w:r>
        <w:rPr>
          <w:rFonts w:ascii="Times New Roman" w:hAnsi="Times New Roman"/>
          <w:sz w:val="24"/>
          <w:szCs w:val="24"/>
        </w:rPr>
        <w:t xml:space="preserve"> 2022).</w:t>
      </w:r>
    </w:p>
    <w:p w14:paraId="2751EC88" w14:textId="77777777" w:rsidR="00337B86" w:rsidRDefault="00000000">
      <w:pPr>
        <w:spacing w:line="360" w:lineRule="auto"/>
        <w:jc w:val="both"/>
        <w:rPr>
          <w:rFonts w:ascii="Times New Roman" w:hAnsi="Times New Roman"/>
          <w:b/>
          <w:bCs/>
          <w:sz w:val="24"/>
          <w:szCs w:val="24"/>
        </w:rPr>
      </w:pPr>
      <w:bookmarkStart w:id="5" w:name="_Hlk213066610"/>
      <w:r>
        <w:rPr>
          <w:rFonts w:ascii="Times New Roman" w:hAnsi="Times New Roman"/>
          <w:b/>
          <w:bCs/>
          <w:sz w:val="24"/>
          <w:szCs w:val="24"/>
        </w:rPr>
        <w:t>2.1.2 Importance of Food Safety in Public Health</w:t>
      </w:r>
    </w:p>
    <w:bookmarkEnd w:id="5"/>
    <w:p w14:paraId="0CEBD9C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Food safety is essential for protecting public health, promoting nutrition, and maintaining consumer confidence. Unsafe food contributes to a continuous cycle of disease, malnutrition, and economic loss, particularly affecting vulnerable populations such as children, pregnant women, and the elderly. According to recent global estimates, about 600 million people almost one in ten worldwide suffer from foodborne illnesses each year, resulting in over 420,000 deaths annually, </w:t>
      </w:r>
      <w:r>
        <w:rPr>
          <w:rFonts w:ascii="Times New Roman" w:hAnsi="Times New Roman"/>
          <w:sz w:val="24"/>
          <w:szCs w:val="24"/>
        </w:rPr>
        <w:lastRenderedPageBreak/>
        <w:t xml:space="preserve">with the highest burden in developing regions (World Health Organization [WHO], 2022). Contamination from chemical agents, including heavy metals, significantly contributes to these figures, posing chronic risks that accumulate over time (FAO/WHO, 2023; Nwachukwu </w:t>
      </w:r>
      <w:r>
        <w:rPr>
          <w:rFonts w:ascii="Times New Roman" w:hAnsi="Times New Roman"/>
          <w:i/>
          <w:iCs/>
          <w:sz w:val="24"/>
          <w:szCs w:val="24"/>
        </w:rPr>
        <w:t>et al.,</w:t>
      </w:r>
      <w:r>
        <w:rPr>
          <w:rFonts w:ascii="Times New Roman" w:hAnsi="Times New Roman"/>
          <w:sz w:val="24"/>
          <w:szCs w:val="24"/>
        </w:rPr>
        <w:t xml:space="preserve"> 2024).</w:t>
      </w:r>
    </w:p>
    <w:p w14:paraId="4F0F506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Food safety is also a cornerstone of economic and social development. Frequent outbreaks of foodborne diseases can undermine public confidence, disrupt tourism, and damage national and international trade. Agricultural and processed food exports from developing countries are often rejected in global markets when contamination levels exceed the Codex Alimentarius standards (Oladipo </w:t>
      </w:r>
      <w:r>
        <w:rPr>
          <w:rFonts w:ascii="Times New Roman" w:hAnsi="Times New Roman"/>
          <w:i/>
          <w:iCs/>
          <w:sz w:val="24"/>
          <w:szCs w:val="24"/>
        </w:rPr>
        <w:t>et al.,</w:t>
      </w:r>
      <w:r>
        <w:rPr>
          <w:rFonts w:ascii="Times New Roman" w:hAnsi="Times New Roman"/>
          <w:sz w:val="24"/>
          <w:szCs w:val="24"/>
        </w:rPr>
        <w:t xml:space="preserve"> 2023; FAO, 2023). Thus, effective food safety systems not only protect health but also enhance trade competitiveness and support sustainable development.</w:t>
      </w:r>
    </w:p>
    <w:p w14:paraId="198BA150" w14:textId="77777777" w:rsidR="00337B86" w:rsidRDefault="00000000">
      <w:pPr>
        <w:spacing w:line="360" w:lineRule="auto"/>
        <w:jc w:val="both"/>
        <w:rPr>
          <w:rFonts w:ascii="Times New Roman" w:hAnsi="Times New Roman"/>
          <w:b/>
          <w:bCs/>
          <w:sz w:val="24"/>
          <w:szCs w:val="24"/>
        </w:rPr>
      </w:pPr>
      <w:bookmarkStart w:id="6" w:name="_Hlk213066646"/>
      <w:r>
        <w:rPr>
          <w:rFonts w:ascii="Times New Roman" w:hAnsi="Times New Roman"/>
          <w:b/>
          <w:bCs/>
          <w:sz w:val="24"/>
          <w:szCs w:val="24"/>
        </w:rPr>
        <w:t>2.1.3 Evolution of Food Safety Concerns</w:t>
      </w:r>
    </w:p>
    <w:bookmarkEnd w:id="6"/>
    <w:p w14:paraId="1CB8282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Historically, food safety concerns were centered primarily on microbial contamination, such as foodborne pathogens (Salmonella, Listeria, and E. coli) responsible for acute infections. However, with advances in agricultural practices, industrialization, and global food trade, attention has increasingly shifted toward chemical hazards, including pesticide residues, environmental pollutants, packaging contaminants, and heavy metals (Bhat and Rao, 2020; Nwachukwu </w:t>
      </w:r>
      <w:r>
        <w:rPr>
          <w:rFonts w:ascii="Times New Roman" w:hAnsi="Times New Roman"/>
          <w:i/>
          <w:iCs/>
          <w:sz w:val="24"/>
          <w:szCs w:val="24"/>
        </w:rPr>
        <w:t>et al.,</w:t>
      </w:r>
      <w:r>
        <w:rPr>
          <w:rFonts w:ascii="Times New Roman" w:hAnsi="Times New Roman"/>
          <w:sz w:val="24"/>
          <w:szCs w:val="24"/>
        </w:rPr>
        <w:t xml:space="preserve"> 2024). Modern processing and storage systems have introduced new risks linked to industrial waste, machinery corrosion, and chemical additives used in food preservation. In urban centers like Sokoto, where pasta and other processed foods are widely consumed, contamination can arise from polluted raw materials, industrial emissions, poor manufacturing hygiene, or packaging materials (Oladipo </w:t>
      </w:r>
      <w:r>
        <w:rPr>
          <w:rFonts w:ascii="Times New Roman" w:hAnsi="Times New Roman"/>
          <w:i/>
          <w:iCs/>
          <w:sz w:val="24"/>
          <w:szCs w:val="24"/>
        </w:rPr>
        <w:t>et al.,</w:t>
      </w:r>
      <w:r>
        <w:rPr>
          <w:rFonts w:ascii="Times New Roman" w:hAnsi="Times New Roman"/>
          <w:sz w:val="24"/>
          <w:szCs w:val="24"/>
        </w:rPr>
        <w:t xml:space="preserve"> 2023; FAO/WHO, 2023).</w:t>
      </w:r>
    </w:p>
    <w:p w14:paraId="5FE8E21D" w14:textId="77777777" w:rsidR="00337B86" w:rsidRDefault="00000000">
      <w:pPr>
        <w:spacing w:line="360" w:lineRule="auto"/>
        <w:jc w:val="both"/>
        <w:rPr>
          <w:rFonts w:ascii="Times New Roman" w:hAnsi="Times New Roman"/>
          <w:b/>
          <w:bCs/>
          <w:sz w:val="24"/>
          <w:szCs w:val="24"/>
        </w:rPr>
      </w:pPr>
      <w:bookmarkStart w:id="7" w:name="_Hlk213066667"/>
      <w:r>
        <w:rPr>
          <w:rFonts w:ascii="Times New Roman" w:hAnsi="Times New Roman"/>
          <w:b/>
          <w:bCs/>
          <w:sz w:val="24"/>
          <w:szCs w:val="24"/>
        </w:rPr>
        <w:t>2.1.4 Food Safety in Developing Countries</w:t>
      </w:r>
    </w:p>
    <w:bookmarkEnd w:id="7"/>
    <w:p w14:paraId="0437681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Food safety challenges are generally more critical in developing countries due to several structural and institutional limitations. These include poor infrastructure, such as inadequate storage and transportation facilities; weak regulatory frameworks; limited public awareness of foodborne hazards; and a high reliance on imported or processed foods such as noodles, macaroni, and spaghetti (Oladipo </w:t>
      </w:r>
      <w:r>
        <w:rPr>
          <w:rFonts w:ascii="Times New Roman" w:hAnsi="Times New Roman"/>
          <w:i/>
          <w:iCs/>
          <w:sz w:val="24"/>
          <w:szCs w:val="24"/>
        </w:rPr>
        <w:t>et al.,</w:t>
      </w:r>
      <w:r>
        <w:rPr>
          <w:rFonts w:ascii="Times New Roman" w:hAnsi="Times New Roman"/>
          <w:sz w:val="24"/>
          <w:szCs w:val="24"/>
        </w:rPr>
        <w:t xml:space="preserve"> 2023; Nwachukwu </w:t>
      </w:r>
      <w:r>
        <w:rPr>
          <w:rFonts w:ascii="Times New Roman" w:hAnsi="Times New Roman"/>
          <w:i/>
          <w:iCs/>
          <w:sz w:val="24"/>
          <w:szCs w:val="24"/>
        </w:rPr>
        <w:t>et al.,</w:t>
      </w:r>
      <w:r>
        <w:rPr>
          <w:rFonts w:ascii="Times New Roman" w:hAnsi="Times New Roman"/>
          <w:sz w:val="24"/>
          <w:szCs w:val="24"/>
        </w:rPr>
        <w:t xml:space="preserve"> 2024). In many low- and middle-income nations, the rapid expansion of urban food markets and informal street-vending systems further increases the risk of contamination by biological and chemical agents, including heavy metals and pesticide </w:t>
      </w:r>
      <w:r>
        <w:rPr>
          <w:rFonts w:ascii="Times New Roman" w:hAnsi="Times New Roman"/>
          <w:sz w:val="24"/>
          <w:szCs w:val="24"/>
        </w:rPr>
        <w:lastRenderedPageBreak/>
        <w:t xml:space="preserve">residues (FAO/WHO, 2023). Although Nigeria has adopted several food-safety regulations through agencies such as the National Agency for Food and Drug Administration and Control (NAFDAC) and the Standards </w:t>
      </w:r>
      <w:proofErr w:type="spellStart"/>
      <w:r>
        <w:rPr>
          <w:rFonts w:ascii="Times New Roman" w:hAnsi="Times New Roman"/>
          <w:sz w:val="24"/>
          <w:szCs w:val="24"/>
        </w:rPr>
        <w:t>Organisation</w:t>
      </w:r>
      <w:proofErr w:type="spellEnd"/>
      <w:r>
        <w:rPr>
          <w:rFonts w:ascii="Times New Roman" w:hAnsi="Times New Roman"/>
          <w:sz w:val="24"/>
          <w:szCs w:val="24"/>
        </w:rPr>
        <w:t xml:space="preserve"> of Nigeria (SON), enforcement remains inconsistent due to limited laboratory capacity, inadequate funding, and shortage of trained personnel (Ayo and Sule, 2024; NAFDAC, 2023). Strengthening institutional frameworks, improving surveillance systems, and promoting consumer education are therefore crucial steps toward achieving safer food systems in developing economies.</w:t>
      </w:r>
    </w:p>
    <w:p w14:paraId="5CA160B2" w14:textId="77777777" w:rsidR="00337B86" w:rsidRDefault="00000000">
      <w:pPr>
        <w:spacing w:line="360" w:lineRule="auto"/>
        <w:jc w:val="both"/>
        <w:rPr>
          <w:rFonts w:ascii="Times New Roman" w:hAnsi="Times New Roman"/>
          <w:b/>
          <w:bCs/>
          <w:sz w:val="24"/>
          <w:szCs w:val="24"/>
        </w:rPr>
      </w:pPr>
      <w:bookmarkStart w:id="8" w:name="_Hlk213066689"/>
      <w:r>
        <w:rPr>
          <w:rFonts w:ascii="Times New Roman" w:hAnsi="Times New Roman"/>
          <w:b/>
          <w:bCs/>
          <w:sz w:val="24"/>
          <w:szCs w:val="24"/>
        </w:rPr>
        <w:t>2.1.5 Relationship between Food Safety and Sustainable Development</w:t>
      </w:r>
    </w:p>
    <w:bookmarkEnd w:id="8"/>
    <w:p w14:paraId="36076FC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Food safety is closely linked to the United Nations Sustainable Development Goals (SDGs) and plays a vital role in achieving sustainable development. Specifically, </w:t>
      </w:r>
    </w:p>
    <w:p w14:paraId="5658A47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SDG 2 (Zero Hunger) emphasizes ensuring access to safe, nutritious, and sufficient food for all; SDG 3 (Good Health and Well-being) focuses on reducing diseases associated with unsafe food consumption. </w:t>
      </w:r>
    </w:p>
    <w:p w14:paraId="21AB8F9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SDG 12 (Responsible Consumption and Production) promotes sustainable food production and handling practices that prevent contamination and waste (United Nations, 2023; FAO/WHO, 2023). Addressing food-safety challenges such as heavy-metal contamination in processed products like pasta, macaroni, and noodles not only protects national health but also contributes to global efforts toward sustainable development, trade equity, and environmental preservation (Oladipo </w:t>
      </w:r>
      <w:r>
        <w:rPr>
          <w:rFonts w:ascii="Times New Roman" w:hAnsi="Times New Roman"/>
          <w:i/>
          <w:iCs/>
          <w:sz w:val="24"/>
          <w:szCs w:val="24"/>
        </w:rPr>
        <w:t>et al</w:t>
      </w:r>
      <w:r>
        <w:rPr>
          <w:rFonts w:ascii="Times New Roman" w:hAnsi="Times New Roman"/>
          <w:sz w:val="24"/>
          <w:szCs w:val="24"/>
        </w:rPr>
        <w:t xml:space="preserve">., 2023; Nwachukwu </w:t>
      </w:r>
      <w:r>
        <w:rPr>
          <w:rFonts w:ascii="Times New Roman" w:hAnsi="Times New Roman"/>
          <w:i/>
          <w:iCs/>
          <w:sz w:val="24"/>
          <w:szCs w:val="24"/>
        </w:rPr>
        <w:t>et al.,</w:t>
      </w:r>
      <w:r>
        <w:rPr>
          <w:rFonts w:ascii="Times New Roman" w:hAnsi="Times New Roman"/>
          <w:sz w:val="24"/>
          <w:szCs w:val="24"/>
        </w:rPr>
        <w:t xml:space="preserve"> 2024).</w:t>
      </w:r>
    </w:p>
    <w:p w14:paraId="4DB0DD43" w14:textId="77777777" w:rsidR="00337B86" w:rsidRDefault="00000000">
      <w:pPr>
        <w:spacing w:line="360" w:lineRule="auto"/>
        <w:jc w:val="both"/>
        <w:rPr>
          <w:rFonts w:ascii="Times New Roman" w:hAnsi="Times New Roman"/>
          <w:b/>
          <w:bCs/>
          <w:sz w:val="24"/>
          <w:szCs w:val="24"/>
        </w:rPr>
      </w:pPr>
      <w:bookmarkStart w:id="9" w:name="_Hlk213066723"/>
      <w:r>
        <w:rPr>
          <w:rFonts w:ascii="Times New Roman" w:hAnsi="Times New Roman"/>
          <w:b/>
          <w:bCs/>
          <w:sz w:val="24"/>
          <w:szCs w:val="24"/>
        </w:rPr>
        <w:t>2.2 Heavy Metals: Nature and Characteristics</w:t>
      </w:r>
    </w:p>
    <w:p w14:paraId="152536C6"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2.2.1 Definition and General Features</w:t>
      </w:r>
    </w:p>
    <w:bookmarkEnd w:id="9"/>
    <w:p w14:paraId="4FB2FED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Heavy metals refer to metallic elements characterized by high atomic weight and densities exceeding 5 g/cm³, many of which exert toxic effects even at trace levels. They are of particular concern because, unlike organic contaminants, they are non-biodegradable and persist in the environment for long periods. As a result, heavy metals can accumulate in soils, water, sediments, and the food chain, posing chronic risks to human and animal health (Mengistu, 2021; Ibrahim </w:t>
      </w:r>
      <w:r>
        <w:rPr>
          <w:rFonts w:ascii="Times New Roman" w:hAnsi="Times New Roman"/>
          <w:i/>
          <w:iCs/>
          <w:sz w:val="24"/>
          <w:szCs w:val="24"/>
        </w:rPr>
        <w:t xml:space="preserve">et al., </w:t>
      </w:r>
      <w:r>
        <w:rPr>
          <w:rFonts w:ascii="Times New Roman" w:hAnsi="Times New Roman"/>
          <w:sz w:val="24"/>
          <w:szCs w:val="24"/>
        </w:rPr>
        <w:t xml:space="preserve">2024). Their persistence and </w:t>
      </w:r>
      <w:proofErr w:type="spellStart"/>
      <w:r>
        <w:rPr>
          <w:rFonts w:ascii="Times New Roman" w:hAnsi="Times New Roman"/>
          <w:sz w:val="24"/>
          <w:szCs w:val="24"/>
        </w:rPr>
        <w:t>bioaccumulative</w:t>
      </w:r>
      <w:proofErr w:type="spellEnd"/>
      <w:r>
        <w:rPr>
          <w:rFonts w:ascii="Times New Roman" w:hAnsi="Times New Roman"/>
          <w:sz w:val="24"/>
          <w:szCs w:val="24"/>
        </w:rPr>
        <w:t xml:space="preserve"> nature make them one of the most critical environmental and food-safety concerns globally (Toxic Metals and Human Health, 2024).</w:t>
      </w:r>
    </w:p>
    <w:p w14:paraId="20E6EE00" w14:textId="77777777" w:rsidR="00337B86" w:rsidRDefault="00000000">
      <w:pPr>
        <w:spacing w:line="360" w:lineRule="auto"/>
        <w:jc w:val="both"/>
        <w:rPr>
          <w:rFonts w:ascii="Times New Roman" w:hAnsi="Times New Roman"/>
          <w:b/>
          <w:bCs/>
          <w:sz w:val="24"/>
          <w:szCs w:val="24"/>
        </w:rPr>
      </w:pPr>
      <w:bookmarkStart w:id="10" w:name="_Hlk213066756"/>
      <w:r>
        <w:rPr>
          <w:rFonts w:ascii="Times New Roman" w:hAnsi="Times New Roman"/>
          <w:b/>
          <w:bCs/>
          <w:sz w:val="24"/>
          <w:szCs w:val="24"/>
        </w:rPr>
        <w:lastRenderedPageBreak/>
        <w:t>2.2.2 Sources of Heavy Metals</w:t>
      </w:r>
    </w:p>
    <w:bookmarkEnd w:id="10"/>
    <w:p w14:paraId="5645277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Heavy metals enter food systems through both natural and anthropogenic (human) activities. Natural sources include weathering of rocks, volcanic eruptions, and soil erosion, which release elements such as arsenic (As), cadmium (Cd), and lead (Pb) into the environment (Zhang </w:t>
      </w:r>
      <w:r>
        <w:rPr>
          <w:rFonts w:ascii="Times New Roman" w:hAnsi="Times New Roman"/>
          <w:i/>
          <w:iCs/>
          <w:sz w:val="24"/>
          <w:szCs w:val="24"/>
        </w:rPr>
        <w:t>et al.,</w:t>
      </w:r>
      <w:r>
        <w:rPr>
          <w:rFonts w:ascii="Times New Roman" w:hAnsi="Times New Roman"/>
          <w:sz w:val="24"/>
          <w:szCs w:val="24"/>
        </w:rPr>
        <w:t xml:space="preserve"> 2022). Anthropogenic sources are more widespread and arise from industrialization, mining, smelting, urban runoff, agricultural inputs like fertilizers and metal-based pesticides, and waste disposal (Mititelu </w:t>
      </w:r>
      <w:r>
        <w:rPr>
          <w:rFonts w:ascii="Times New Roman" w:hAnsi="Times New Roman"/>
          <w:i/>
          <w:iCs/>
          <w:sz w:val="24"/>
          <w:szCs w:val="24"/>
        </w:rPr>
        <w:t>et al.,</w:t>
      </w:r>
      <w:r>
        <w:rPr>
          <w:rFonts w:ascii="Times New Roman" w:hAnsi="Times New Roman"/>
          <w:sz w:val="24"/>
          <w:szCs w:val="24"/>
        </w:rPr>
        <w:t xml:space="preserve"> 2025; </w:t>
      </w:r>
      <w:proofErr w:type="spellStart"/>
      <w:r>
        <w:rPr>
          <w:rFonts w:ascii="Times New Roman" w:hAnsi="Times New Roman"/>
          <w:sz w:val="24"/>
          <w:szCs w:val="24"/>
        </w:rPr>
        <w:t>Shavali</w:t>
      </w:r>
      <w:proofErr w:type="spellEnd"/>
      <w:r>
        <w:rPr>
          <w:rFonts w:ascii="Times New Roman" w:hAnsi="Times New Roman"/>
          <w:sz w:val="24"/>
          <w:szCs w:val="24"/>
        </w:rPr>
        <w:t xml:space="preserve">-Gilani </w:t>
      </w:r>
      <w:r>
        <w:rPr>
          <w:rFonts w:ascii="Times New Roman" w:hAnsi="Times New Roman"/>
          <w:i/>
          <w:iCs/>
          <w:sz w:val="24"/>
          <w:szCs w:val="24"/>
        </w:rPr>
        <w:t>et al.,</w:t>
      </w:r>
      <w:r>
        <w:rPr>
          <w:rFonts w:ascii="Times New Roman" w:hAnsi="Times New Roman"/>
          <w:sz w:val="24"/>
          <w:szCs w:val="24"/>
        </w:rPr>
        <w:t xml:space="preserve"> 2025). In addition, food-processing activities—including milling, extrusion, packaging, and storage can introduce metals into foods through machinery corrosion, contaminated water, or poor-quality packaging materials (Kabir </w:t>
      </w:r>
      <w:r>
        <w:rPr>
          <w:rFonts w:ascii="Times New Roman" w:hAnsi="Times New Roman"/>
          <w:i/>
          <w:iCs/>
          <w:sz w:val="24"/>
          <w:szCs w:val="24"/>
        </w:rPr>
        <w:t>et al.,</w:t>
      </w:r>
      <w:r>
        <w:rPr>
          <w:rFonts w:ascii="Times New Roman" w:hAnsi="Times New Roman"/>
          <w:sz w:val="24"/>
          <w:szCs w:val="24"/>
        </w:rPr>
        <w:t xml:space="preserve"> 2025). In Nigeria, several recent studies have reported elevated levels of lead, cadmium, and chromium in processed foods, raising significant public-health concerns (Oladipo</w:t>
      </w:r>
      <w:r>
        <w:rPr>
          <w:rFonts w:ascii="Times New Roman" w:hAnsi="Times New Roman"/>
          <w:i/>
          <w:iCs/>
          <w:sz w:val="24"/>
          <w:szCs w:val="24"/>
        </w:rPr>
        <w:t xml:space="preserve"> et al.,</w:t>
      </w:r>
      <w:r>
        <w:rPr>
          <w:rFonts w:ascii="Times New Roman" w:hAnsi="Times New Roman"/>
          <w:sz w:val="24"/>
          <w:szCs w:val="24"/>
        </w:rPr>
        <w:t xml:space="preserve"> 2023; Ayo and Sule, 2024).</w:t>
      </w:r>
    </w:p>
    <w:p w14:paraId="3607627C" w14:textId="77777777" w:rsidR="00337B86" w:rsidRDefault="00000000">
      <w:pPr>
        <w:spacing w:line="360" w:lineRule="auto"/>
        <w:jc w:val="both"/>
        <w:rPr>
          <w:rFonts w:ascii="Times New Roman" w:hAnsi="Times New Roman"/>
          <w:b/>
          <w:bCs/>
          <w:sz w:val="24"/>
          <w:szCs w:val="24"/>
        </w:rPr>
      </w:pPr>
      <w:bookmarkStart w:id="11" w:name="_Hlk213066796"/>
      <w:r>
        <w:rPr>
          <w:rFonts w:ascii="Times New Roman" w:hAnsi="Times New Roman"/>
          <w:b/>
          <w:bCs/>
          <w:sz w:val="24"/>
          <w:szCs w:val="24"/>
        </w:rPr>
        <w:t>2.2.3 Chemical Characteristics of Heavy Metals</w:t>
      </w:r>
    </w:p>
    <w:bookmarkEnd w:id="11"/>
    <w:p w14:paraId="545A049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Heavy metals are chemically diverse but share several defining features that explain their biological toxicity. Firstly, they exhibit a strong affinity for biological ligands, allowing them to bind with proteins, enzymes, and nucleic acids, thereby disrupting normal metabolic functions. For example, lead (Pb) can compete with calcium ions in neural pathways, impairing neurotransmission (Zahir </w:t>
      </w:r>
      <w:r>
        <w:rPr>
          <w:rFonts w:ascii="Times New Roman" w:hAnsi="Times New Roman"/>
          <w:i/>
          <w:iCs/>
          <w:sz w:val="24"/>
          <w:szCs w:val="24"/>
        </w:rPr>
        <w:t>et al.,</w:t>
      </w:r>
      <w:r>
        <w:rPr>
          <w:rFonts w:ascii="Times New Roman" w:hAnsi="Times New Roman"/>
          <w:sz w:val="24"/>
          <w:szCs w:val="24"/>
        </w:rPr>
        <w:t xml:space="preserve"> 2024). Secondly, certain metals such as iron (Fe), copper (Cu), and chromium (Cr) show redox activity, existing in multiple </w:t>
      </w:r>
      <w:proofErr w:type="gramStart"/>
      <w:r>
        <w:rPr>
          <w:rFonts w:ascii="Times New Roman" w:hAnsi="Times New Roman"/>
          <w:sz w:val="24"/>
          <w:szCs w:val="24"/>
        </w:rPr>
        <w:t>oxidation</w:t>
      </w:r>
      <w:proofErr w:type="gramEnd"/>
      <w:r>
        <w:rPr>
          <w:rFonts w:ascii="Times New Roman" w:hAnsi="Times New Roman"/>
          <w:sz w:val="24"/>
          <w:szCs w:val="24"/>
        </w:rPr>
        <w:t xml:space="preserve"> states capable of generating reactive oxygen species (ROS) that cause oxidative stress and cell damage (Ibrahim </w:t>
      </w:r>
      <w:r>
        <w:rPr>
          <w:rFonts w:ascii="Times New Roman" w:hAnsi="Times New Roman"/>
          <w:i/>
          <w:iCs/>
          <w:sz w:val="24"/>
          <w:szCs w:val="24"/>
        </w:rPr>
        <w:t>et al.,</w:t>
      </w:r>
      <w:r>
        <w:rPr>
          <w:rFonts w:ascii="Times New Roman" w:hAnsi="Times New Roman"/>
          <w:sz w:val="24"/>
          <w:szCs w:val="24"/>
        </w:rPr>
        <w:t xml:space="preserve"> 2024). Thirdly, their non-biodegradability means they cannot be broken down into harmless compounds, leading to environmental persistence. Finally, heavy metals exhibit cumulative toxicity, as long-term exposure results in bioaccumulation in vital organs such as the liver, kidneys, and brain, which can trigger chronic diseases and organ dysfunction (Mititelu </w:t>
      </w:r>
      <w:r>
        <w:rPr>
          <w:rFonts w:ascii="Times New Roman" w:hAnsi="Times New Roman"/>
          <w:i/>
          <w:iCs/>
          <w:sz w:val="24"/>
          <w:szCs w:val="24"/>
        </w:rPr>
        <w:t>et al.,</w:t>
      </w:r>
      <w:r>
        <w:rPr>
          <w:rFonts w:ascii="Times New Roman" w:hAnsi="Times New Roman"/>
          <w:sz w:val="24"/>
          <w:szCs w:val="24"/>
        </w:rPr>
        <w:t xml:space="preserve"> 2025; Toxic Metals and Human Health, 2024).</w:t>
      </w:r>
    </w:p>
    <w:p w14:paraId="1C6FE583" w14:textId="77777777" w:rsidR="00337B86" w:rsidRDefault="00000000">
      <w:pPr>
        <w:spacing w:line="360" w:lineRule="auto"/>
        <w:jc w:val="both"/>
        <w:rPr>
          <w:rFonts w:ascii="Times New Roman" w:hAnsi="Times New Roman"/>
          <w:b/>
          <w:bCs/>
          <w:sz w:val="24"/>
          <w:szCs w:val="24"/>
        </w:rPr>
      </w:pPr>
      <w:bookmarkStart w:id="12" w:name="_Hlk213066816"/>
      <w:r>
        <w:rPr>
          <w:rFonts w:ascii="Times New Roman" w:hAnsi="Times New Roman"/>
          <w:b/>
          <w:bCs/>
          <w:sz w:val="24"/>
          <w:szCs w:val="24"/>
        </w:rPr>
        <w:t>2.2.4 Classification of Heavy Metals</w:t>
      </w:r>
    </w:p>
    <w:bookmarkEnd w:id="12"/>
    <w:p w14:paraId="0BC48A5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Heavy metals can be broadly classified into two groups: essential and non-essential elements. Essential heavy metals include iron (Fe), zinc (Zn), copper (Cu), manganese (Mn), and chromium (Cr), which are required in trace amounts for important physiological functions such as enzyme </w:t>
      </w:r>
      <w:r>
        <w:rPr>
          <w:rFonts w:ascii="Times New Roman" w:hAnsi="Times New Roman"/>
          <w:sz w:val="24"/>
          <w:szCs w:val="24"/>
        </w:rPr>
        <w:lastRenderedPageBreak/>
        <w:t xml:space="preserve">activation, oxygen transport, and hormone synthesis. However, when their levels exceed biological needs, they become toxic and may cause oxidative stress or metabolic imbalances. On the other hand, non-essential heavy metals such as lead (Pb), cadmium (Cd), mercury (Hg), and arsenic (As) have no known biological role and are harmful even at very low concentrations (Abdel-Rahman </w:t>
      </w:r>
      <w:r>
        <w:rPr>
          <w:rFonts w:ascii="Times New Roman" w:hAnsi="Times New Roman"/>
          <w:i/>
          <w:iCs/>
          <w:sz w:val="24"/>
          <w:szCs w:val="24"/>
        </w:rPr>
        <w:t>et al.,</w:t>
      </w:r>
      <w:r>
        <w:rPr>
          <w:rFonts w:ascii="Times New Roman" w:hAnsi="Times New Roman"/>
          <w:sz w:val="24"/>
          <w:szCs w:val="24"/>
        </w:rPr>
        <w:t xml:space="preserve"> 2023; Mengistu, 2021). This classification highlights the dose-dependent nature of metals, where some elements are beneficial in trace amounts but toxic when concentrations exceed permissible thresholds (FAO/WHO, 2023).</w:t>
      </w:r>
    </w:p>
    <w:p w14:paraId="0DFBE47B" w14:textId="77777777" w:rsidR="00337B86" w:rsidRDefault="00000000">
      <w:pPr>
        <w:spacing w:line="360" w:lineRule="auto"/>
        <w:jc w:val="both"/>
        <w:rPr>
          <w:rFonts w:ascii="Times New Roman" w:hAnsi="Times New Roman"/>
          <w:b/>
          <w:bCs/>
          <w:sz w:val="24"/>
          <w:szCs w:val="24"/>
        </w:rPr>
      </w:pPr>
      <w:bookmarkStart w:id="13" w:name="_Hlk213066834"/>
      <w:r>
        <w:rPr>
          <w:rFonts w:ascii="Times New Roman" w:hAnsi="Times New Roman"/>
          <w:b/>
          <w:bCs/>
          <w:sz w:val="24"/>
          <w:szCs w:val="24"/>
        </w:rPr>
        <w:t xml:space="preserve">2.2.5 </w:t>
      </w:r>
      <w:proofErr w:type="spellStart"/>
      <w:r>
        <w:rPr>
          <w:rFonts w:ascii="Times New Roman" w:hAnsi="Times New Roman"/>
          <w:b/>
          <w:bCs/>
          <w:sz w:val="24"/>
          <w:szCs w:val="24"/>
        </w:rPr>
        <w:t>Toxicokinetics</w:t>
      </w:r>
      <w:proofErr w:type="spellEnd"/>
      <w:r>
        <w:rPr>
          <w:rFonts w:ascii="Times New Roman" w:hAnsi="Times New Roman"/>
          <w:b/>
          <w:bCs/>
          <w:sz w:val="24"/>
          <w:szCs w:val="24"/>
        </w:rPr>
        <w:t xml:space="preserve"> of Heavy Metals</w:t>
      </w:r>
    </w:p>
    <w:bookmarkEnd w:id="13"/>
    <w:p w14:paraId="1378F0F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The fate of heavy metals in the human body is governed by four key processes: absorption, distribution, metabolism, and excretion. Heavy metals are absorbed primarily through ingestion of contaminated food and water, inhalation of industrial fumes or dust, and occasionally through dermal contact with contaminated materials (Ibrahim </w:t>
      </w:r>
      <w:r>
        <w:rPr>
          <w:rFonts w:ascii="Times New Roman" w:hAnsi="Times New Roman"/>
          <w:i/>
          <w:iCs/>
          <w:sz w:val="24"/>
          <w:szCs w:val="24"/>
        </w:rPr>
        <w:t>et al.,</w:t>
      </w:r>
      <w:r>
        <w:rPr>
          <w:rFonts w:ascii="Times New Roman" w:hAnsi="Times New Roman"/>
          <w:sz w:val="24"/>
          <w:szCs w:val="24"/>
        </w:rPr>
        <w:t xml:space="preserve"> 2024). Once absorbed, these metals bind to blood proteins such as albumin and are distributed to specific target organs. For instance, lead (Pb) tends to accumulate in bones and teeth, whereas cadmium (Cd) concentrates in the kidneys and liver (Mititelu </w:t>
      </w:r>
      <w:r>
        <w:rPr>
          <w:rFonts w:ascii="Times New Roman" w:hAnsi="Times New Roman"/>
          <w:i/>
          <w:iCs/>
          <w:sz w:val="24"/>
          <w:szCs w:val="24"/>
        </w:rPr>
        <w:t>et al.,</w:t>
      </w:r>
      <w:r>
        <w:rPr>
          <w:rFonts w:ascii="Times New Roman" w:hAnsi="Times New Roman"/>
          <w:sz w:val="24"/>
          <w:szCs w:val="24"/>
        </w:rPr>
        <w:t xml:space="preserve"> 2025). In contrast to organic contaminants, heavy metals are not metabolized into simpler forms; instead, they form stable complexes with proteins or biomolecules, thereby extending their biological half-lives (Zahir </w:t>
      </w:r>
      <w:r>
        <w:rPr>
          <w:rFonts w:ascii="Times New Roman" w:hAnsi="Times New Roman"/>
          <w:i/>
          <w:iCs/>
          <w:sz w:val="24"/>
          <w:szCs w:val="24"/>
        </w:rPr>
        <w:t>et al.,</w:t>
      </w:r>
      <w:r>
        <w:rPr>
          <w:rFonts w:ascii="Times New Roman" w:hAnsi="Times New Roman"/>
          <w:sz w:val="24"/>
          <w:szCs w:val="24"/>
        </w:rPr>
        <w:t xml:space="preserve"> 2024). Excretion occurs mainly via urine and feces, although elimination rates are slow, resulting in persistence within body tissues. Notably, cadmium has a biological half-life of approximately 10–30 years, making chronic exposure particularly hazardous (Mengistu, 2021).</w:t>
      </w:r>
    </w:p>
    <w:p w14:paraId="21C1FD7E" w14:textId="77777777" w:rsidR="00337B86" w:rsidRDefault="00000000">
      <w:pPr>
        <w:spacing w:line="360" w:lineRule="auto"/>
        <w:jc w:val="both"/>
        <w:rPr>
          <w:rFonts w:ascii="Times New Roman" w:hAnsi="Times New Roman"/>
          <w:b/>
          <w:bCs/>
          <w:sz w:val="24"/>
          <w:szCs w:val="24"/>
        </w:rPr>
      </w:pPr>
      <w:bookmarkStart w:id="14" w:name="_Hlk213066849"/>
      <w:r>
        <w:rPr>
          <w:rFonts w:ascii="Times New Roman" w:hAnsi="Times New Roman"/>
          <w:b/>
          <w:bCs/>
          <w:sz w:val="24"/>
          <w:szCs w:val="24"/>
        </w:rPr>
        <w:t>2.2.6 Bioaccumulation and Biomagnification</w:t>
      </w:r>
    </w:p>
    <w:bookmarkEnd w:id="14"/>
    <w:p w14:paraId="2A268D9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A distinctive property of heavy metals is their ability to bioaccumulate within living organisms and </w:t>
      </w:r>
      <w:proofErr w:type="spellStart"/>
      <w:r>
        <w:rPr>
          <w:rFonts w:ascii="Times New Roman" w:hAnsi="Times New Roman"/>
          <w:sz w:val="24"/>
          <w:szCs w:val="24"/>
        </w:rPr>
        <w:t>biomagnify</w:t>
      </w:r>
      <w:proofErr w:type="spellEnd"/>
      <w:r>
        <w:rPr>
          <w:rFonts w:ascii="Times New Roman" w:hAnsi="Times New Roman"/>
          <w:sz w:val="24"/>
          <w:szCs w:val="24"/>
        </w:rPr>
        <w:t xml:space="preserve"> across trophic levels of the food chain. Bioaccumulation refers to the gradual build-up of metals within tissues over time, while biomagnification occurs when their concentration increases progressively at higher trophic levels (Toxic Metals and Human Health, 2024). For instance, mercury (Hg) released from industrial discharges or volcanic activity enters aquatic ecosystems, accumulates in fish muscle, and ultimately reaches elevated concentrations in humans who frequently consume fish. Likewise, cadmium present in contaminated soils may be absorbed by wheat and maize, which subsequently serve as raw materials for pasta and noodle </w:t>
      </w:r>
      <w:r>
        <w:rPr>
          <w:rFonts w:ascii="Times New Roman" w:hAnsi="Times New Roman"/>
          <w:sz w:val="24"/>
          <w:szCs w:val="24"/>
        </w:rPr>
        <w:lastRenderedPageBreak/>
        <w:t xml:space="preserve">production, posing a direct dietary exposure route for consumers (Abdel-Rahman </w:t>
      </w:r>
      <w:r>
        <w:rPr>
          <w:rFonts w:ascii="Times New Roman" w:hAnsi="Times New Roman"/>
          <w:i/>
          <w:iCs/>
          <w:sz w:val="24"/>
          <w:szCs w:val="24"/>
        </w:rPr>
        <w:t>et al.,</w:t>
      </w:r>
      <w:r>
        <w:rPr>
          <w:rFonts w:ascii="Times New Roman" w:hAnsi="Times New Roman"/>
          <w:sz w:val="24"/>
          <w:szCs w:val="24"/>
        </w:rPr>
        <w:t xml:space="preserve"> 2023; Zhang </w:t>
      </w:r>
      <w:r>
        <w:rPr>
          <w:rFonts w:ascii="Times New Roman" w:hAnsi="Times New Roman"/>
          <w:i/>
          <w:iCs/>
          <w:sz w:val="24"/>
          <w:szCs w:val="24"/>
        </w:rPr>
        <w:t>et al.,</w:t>
      </w:r>
      <w:r>
        <w:rPr>
          <w:rFonts w:ascii="Times New Roman" w:hAnsi="Times New Roman"/>
          <w:sz w:val="24"/>
          <w:szCs w:val="24"/>
        </w:rPr>
        <w:t xml:space="preserve"> 2022).</w:t>
      </w:r>
    </w:p>
    <w:p w14:paraId="24137469" w14:textId="77777777" w:rsidR="00337B86" w:rsidRDefault="00000000">
      <w:pPr>
        <w:spacing w:line="360" w:lineRule="auto"/>
        <w:jc w:val="both"/>
        <w:rPr>
          <w:rFonts w:ascii="Times New Roman" w:hAnsi="Times New Roman"/>
          <w:b/>
          <w:bCs/>
          <w:sz w:val="24"/>
          <w:szCs w:val="24"/>
        </w:rPr>
      </w:pPr>
      <w:bookmarkStart w:id="15" w:name="_Hlk213066870"/>
      <w:r>
        <w:rPr>
          <w:rFonts w:ascii="Times New Roman" w:hAnsi="Times New Roman"/>
          <w:b/>
          <w:bCs/>
          <w:sz w:val="24"/>
          <w:szCs w:val="24"/>
        </w:rPr>
        <w:t>2.2.7 Physicochemical Properties of Selected Heavy Metals</w:t>
      </w:r>
    </w:p>
    <w:bookmarkEnd w:id="15"/>
    <w:p w14:paraId="1965B8B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Lead (Pb) is a soft, bluish-gray metal (atomic number 82; atomic mass 207.2 g/mol) with a melting point of 327.5 °C. It is relatively dense, poorly conductive, and primarily exists in the </w:t>
      </w:r>
      <w:proofErr w:type="gramStart"/>
      <w:r>
        <w:rPr>
          <w:rFonts w:ascii="Times New Roman" w:hAnsi="Times New Roman"/>
          <w:sz w:val="24"/>
          <w:szCs w:val="24"/>
        </w:rPr>
        <w:t>+2 oxidation</w:t>
      </w:r>
      <w:proofErr w:type="gramEnd"/>
      <w:r>
        <w:rPr>
          <w:rFonts w:ascii="Times New Roman" w:hAnsi="Times New Roman"/>
          <w:sz w:val="24"/>
          <w:szCs w:val="24"/>
        </w:rPr>
        <w:t xml:space="preserve"> state. Cadmium (Cd) is a silvery-white, soft metal (atomic number 48; 112.4 g/mol) that melts at 321 °C and occurs mostly as Cd²⁺, forming soluble salts in acids. Cobalt (Co) is a hard, silver-gray magnetic metal (atomic number 27; 58.9 g/mol) with a high melting point of 1,495 °C and commonly exists as Co²⁺ in aqueous systems. Copper (Cu) is a reddish-brown, malleable, and highly conductive metal (atomic number 29; 63.55 g/mol) that melts at 1,085 °C and occurs in +1 and +2 oxidation states. These physicochemical properties influence each element’s environmental mobility and bioavailability, determining its toxicity and persistence in foods (Kabir </w:t>
      </w:r>
      <w:r>
        <w:rPr>
          <w:rFonts w:ascii="Times New Roman" w:hAnsi="Times New Roman"/>
          <w:i/>
          <w:iCs/>
          <w:sz w:val="24"/>
          <w:szCs w:val="24"/>
        </w:rPr>
        <w:t>et al.,</w:t>
      </w:r>
      <w:r>
        <w:rPr>
          <w:rFonts w:ascii="Times New Roman" w:hAnsi="Times New Roman"/>
          <w:sz w:val="24"/>
          <w:szCs w:val="24"/>
        </w:rPr>
        <w:t xml:space="preserve"> 2025; Ibrahim </w:t>
      </w:r>
      <w:r>
        <w:rPr>
          <w:rFonts w:ascii="Times New Roman" w:hAnsi="Times New Roman"/>
          <w:i/>
          <w:iCs/>
          <w:sz w:val="24"/>
          <w:szCs w:val="24"/>
        </w:rPr>
        <w:t>et al.,</w:t>
      </w:r>
      <w:r>
        <w:rPr>
          <w:rFonts w:ascii="Times New Roman" w:hAnsi="Times New Roman"/>
          <w:sz w:val="24"/>
          <w:szCs w:val="24"/>
        </w:rPr>
        <w:t xml:space="preserve"> 2024).</w:t>
      </w:r>
    </w:p>
    <w:p w14:paraId="6E6BEC6A" w14:textId="77777777" w:rsidR="00337B86" w:rsidRDefault="00000000">
      <w:pPr>
        <w:spacing w:line="360" w:lineRule="auto"/>
        <w:jc w:val="both"/>
        <w:rPr>
          <w:rFonts w:ascii="Times New Roman" w:hAnsi="Times New Roman"/>
          <w:b/>
          <w:bCs/>
          <w:sz w:val="24"/>
          <w:szCs w:val="24"/>
        </w:rPr>
      </w:pPr>
      <w:bookmarkStart w:id="16" w:name="_Hlk213066928"/>
      <w:r>
        <w:rPr>
          <w:rFonts w:ascii="Times New Roman" w:hAnsi="Times New Roman"/>
          <w:b/>
          <w:bCs/>
          <w:sz w:val="24"/>
          <w:szCs w:val="24"/>
        </w:rPr>
        <w:t>2.2.8 Regulatory Perspectives</w:t>
      </w:r>
    </w:p>
    <w:bookmarkEnd w:id="16"/>
    <w:p w14:paraId="3D59979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Global agencies such as the World Health Organization (WHO), Food and Agriculture Organization (FAO), and Codex Alimentarius Commission have established maximum permissible limits (MPLs) for heavy metals in food to safeguard public health. For instance, allowable levels include lead (Pb): 0.1–0.2 mg/kg, cadmium (Cd): 0.1 mg/kg, copper (Cu): 10 mg/kg, and cobalt (Co): 0.1 mg/kg in cereals and pasta products (WHO/FAO, 2023). Nigeria’s regulatory agencies NAFDAC and the Standards </w:t>
      </w:r>
      <w:proofErr w:type="spellStart"/>
      <w:r>
        <w:rPr>
          <w:rFonts w:ascii="Times New Roman" w:hAnsi="Times New Roman"/>
          <w:sz w:val="24"/>
          <w:szCs w:val="24"/>
        </w:rPr>
        <w:t>Organisation</w:t>
      </w:r>
      <w:proofErr w:type="spellEnd"/>
      <w:r>
        <w:rPr>
          <w:rFonts w:ascii="Times New Roman" w:hAnsi="Times New Roman"/>
          <w:sz w:val="24"/>
          <w:szCs w:val="24"/>
        </w:rPr>
        <w:t xml:space="preserve"> of Nigeria (SON) have incorporated these guidelines into national policy frameworks, although enforcement remains inconsistent due to inadequate laboratory capacity and limited monitoring infrastructure (NAFDAC, 2023; Ayo and Sule, 2024).</w:t>
      </w:r>
    </w:p>
    <w:p w14:paraId="31196A14" w14:textId="77777777" w:rsidR="00337B86" w:rsidRDefault="00000000">
      <w:pPr>
        <w:spacing w:line="360" w:lineRule="auto"/>
        <w:jc w:val="both"/>
        <w:rPr>
          <w:rFonts w:ascii="Times New Roman" w:hAnsi="Times New Roman"/>
          <w:b/>
          <w:bCs/>
          <w:sz w:val="24"/>
          <w:szCs w:val="24"/>
        </w:rPr>
      </w:pPr>
      <w:bookmarkStart w:id="17" w:name="_Hlk213066909"/>
      <w:r>
        <w:rPr>
          <w:rFonts w:ascii="Times New Roman" w:hAnsi="Times New Roman"/>
          <w:b/>
          <w:bCs/>
          <w:sz w:val="24"/>
          <w:szCs w:val="24"/>
        </w:rPr>
        <w:t>2.3 Common Heavy Metals in Food</w:t>
      </w:r>
    </w:p>
    <w:bookmarkEnd w:id="17"/>
    <w:p w14:paraId="37073C2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Heavy metals of greatest public-health concern in food safety include lead (Pb), cadmium (Cd), mercury (Hg), arsenic (As), and chromium (Cr). These elements differ in chemical behavior, environmental source, and toxicological impact on human health (FAO/WHO, 2023; Oladipo </w:t>
      </w:r>
      <w:r>
        <w:rPr>
          <w:rFonts w:ascii="Times New Roman" w:hAnsi="Times New Roman"/>
          <w:i/>
          <w:iCs/>
          <w:sz w:val="24"/>
          <w:szCs w:val="24"/>
        </w:rPr>
        <w:t xml:space="preserve">et al., </w:t>
      </w:r>
      <w:r>
        <w:rPr>
          <w:rFonts w:ascii="Times New Roman" w:hAnsi="Times New Roman"/>
          <w:sz w:val="24"/>
          <w:szCs w:val="24"/>
        </w:rPr>
        <w:t>2023).</w:t>
      </w:r>
    </w:p>
    <w:p w14:paraId="2B9BC1E5" w14:textId="77777777" w:rsidR="00337B86" w:rsidRDefault="00000000">
      <w:pPr>
        <w:spacing w:line="360" w:lineRule="auto"/>
        <w:jc w:val="both"/>
        <w:rPr>
          <w:rFonts w:ascii="Times New Roman" w:hAnsi="Times New Roman"/>
          <w:b/>
          <w:bCs/>
          <w:sz w:val="24"/>
          <w:szCs w:val="24"/>
        </w:rPr>
      </w:pPr>
      <w:bookmarkStart w:id="18" w:name="_Hlk213066945"/>
      <w:r>
        <w:rPr>
          <w:rFonts w:ascii="Times New Roman" w:hAnsi="Times New Roman"/>
          <w:b/>
          <w:bCs/>
          <w:sz w:val="24"/>
          <w:szCs w:val="24"/>
        </w:rPr>
        <w:lastRenderedPageBreak/>
        <w:t>2.3.1 Lead (Pb)</w:t>
      </w:r>
    </w:p>
    <w:bookmarkEnd w:id="18"/>
    <w:p w14:paraId="116A2F3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Lead is a non-essential toxic element widely distributed in the environment. Contamination in food arises mainly from uptake by crops grown on polluted soils, irrigation with contaminated water, or contact with lead-based equipment and packaging during processing (Zhang </w:t>
      </w:r>
      <w:r>
        <w:rPr>
          <w:rFonts w:ascii="Times New Roman" w:hAnsi="Times New Roman"/>
          <w:i/>
          <w:iCs/>
          <w:sz w:val="24"/>
          <w:szCs w:val="24"/>
        </w:rPr>
        <w:t>et al</w:t>
      </w:r>
      <w:r>
        <w:rPr>
          <w:rFonts w:ascii="Times New Roman" w:hAnsi="Times New Roman"/>
          <w:sz w:val="24"/>
          <w:szCs w:val="24"/>
        </w:rPr>
        <w:t>., 2022). Lead interferes with heme biosynthesis and disrupts calcium-mediated neurotransmission, leading to neurological impairment, particularly in children (Toxic Metals and Human Health, 2024). Chronic exposure may result in anemia, renal dysfunction, and developmental delays. The Codex Alimentarius Commission stipulates a maximum level of 0.2 mg/kg in cereals and pasta products (WHO/FAO, 2023).</w:t>
      </w:r>
    </w:p>
    <w:p w14:paraId="31A2B763" w14:textId="77777777" w:rsidR="00337B86" w:rsidRDefault="00000000">
      <w:pPr>
        <w:spacing w:line="360" w:lineRule="auto"/>
        <w:jc w:val="both"/>
        <w:rPr>
          <w:rFonts w:ascii="Times New Roman" w:hAnsi="Times New Roman"/>
          <w:b/>
          <w:bCs/>
          <w:sz w:val="24"/>
          <w:szCs w:val="24"/>
        </w:rPr>
      </w:pPr>
      <w:bookmarkStart w:id="19" w:name="_Hlk213066958"/>
      <w:r>
        <w:rPr>
          <w:rFonts w:ascii="Times New Roman" w:hAnsi="Times New Roman"/>
          <w:b/>
          <w:bCs/>
          <w:sz w:val="24"/>
          <w:szCs w:val="24"/>
        </w:rPr>
        <w:t>2.3.2 Cadmium (Cd)</w:t>
      </w:r>
    </w:p>
    <w:bookmarkEnd w:id="19"/>
    <w:p w14:paraId="4A62195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Cadmium is often released as a by-product of zinc and lead mining and is a contaminant in phosphate fertilizers. It enters food chains through uptake by crops such as rice, wheat, and leafy vegetables grown in contaminated soils (Mititelu </w:t>
      </w:r>
      <w:r>
        <w:rPr>
          <w:rFonts w:ascii="Times New Roman" w:hAnsi="Times New Roman"/>
          <w:i/>
          <w:iCs/>
          <w:sz w:val="24"/>
          <w:szCs w:val="24"/>
        </w:rPr>
        <w:t>et al.,</w:t>
      </w:r>
      <w:r>
        <w:rPr>
          <w:rFonts w:ascii="Times New Roman" w:hAnsi="Times New Roman"/>
          <w:sz w:val="24"/>
          <w:szCs w:val="24"/>
        </w:rPr>
        <w:t xml:space="preserve"> 2025). Cadmium accumulates primarily in the kidneys and exhibits a biological half-life of 10–30 years, contributing to long-term toxicity (Mengistu, 2021). Health effects include renal dysfunction, skeletal demineralization, and carcinogenesis, with the European Food Safety Authority (EFSA) recommending a tolerable weekly intake of 2.5 µg/kg body weight (EFSA, 2022).</w:t>
      </w:r>
    </w:p>
    <w:p w14:paraId="307330A4" w14:textId="77777777" w:rsidR="00337B86" w:rsidRDefault="00000000">
      <w:pPr>
        <w:spacing w:line="360" w:lineRule="auto"/>
        <w:jc w:val="both"/>
        <w:rPr>
          <w:rFonts w:ascii="Times New Roman" w:hAnsi="Times New Roman"/>
          <w:b/>
          <w:bCs/>
          <w:sz w:val="24"/>
          <w:szCs w:val="24"/>
        </w:rPr>
      </w:pPr>
      <w:bookmarkStart w:id="20" w:name="_Hlk213066973"/>
      <w:r>
        <w:rPr>
          <w:rFonts w:ascii="Times New Roman" w:hAnsi="Times New Roman"/>
          <w:b/>
          <w:bCs/>
          <w:sz w:val="24"/>
          <w:szCs w:val="24"/>
        </w:rPr>
        <w:t>2.3.3 Copper (Cu)</w:t>
      </w:r>
    </w:p>
    <w:bookmarkEnd w:id="20"/>
    <w:p w14:paraId="4E1DDE1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Copper is an essential trace element required for enzyme and connective-tissue function but becomes toxic when ingested in excess. Overexposure can cause nausea, abdominal pain, diarrhea, and hepatic injury, while chronic exposure promotes oxidative stress and cellular damage (Abdel-Rahman </w:t>
      </w:r>
      <w:r>
        <w:rPr>
          <w:rFonts w:ascii="Times New Roman" w:hAnsi="Times New Roman"/>
          <w:i/>
          <w:iCs/>
          <w:sz w:val="24"/>
          <w:szCs w:val="24"/>
        </w:rPr>
        <w:t>et al.,</w:t>
      </w:r>
      <w:r>
        <w:rPr>
          <w:rFonts w:ascii="Times New Roman" w:hAnsi="Times New Roman"/>
          <w:sz w:val="24"/>
          <w:szCs w:val="24"/>
        </w:rPr>
        <w:t xml:space="preserve"> 2023). Genetic conditions such as Wilson’s disease </w:t>
      </w:r>
      <w:proofErr w:type="gramStart"/>
      <w:r>
        <w:rPr>
          <w:rFonts w:ascii="Times New Roman" w:hAnsi="Times New Roman"/>
          <w:sz w:val="24"/>
          <w:szCs w:val="24"/>
        </w:rPr>
        <w:t>lead</w:t>
      </w:r>
      <w:proofErr w:type="gramEnd"/>
      <w:r>
        <w:rPr>
          <w:rFonts w:ascii="Times New Roman" w:hAnsi="Times New Roman"/>
          <w:sz w:val="24"/>
          <w:szCs w:val="24"/>
        </w:rPr>
        <w:t xml:space="preserve"> to pathological accumulation of copper in the liver, brain, and cornea, resulting in severe neurological and hepatic disorders (ATSDR, 2020).</w:t>
      </w:r>
    </w:p>
    <w:p w14:paraId="6ADE0260" w14:textId="77777777" w:rsidR="00337B86" w:rsidRDefault="00000000">
      <w:pPr>
        <w:spacing w:line="360" w:lineRule="auto"/>
        <w:jc w:val="both"/>
        <w:rPr>
          <w:rFonts w:ascii="Times New Roman" w:hAnsi="Times New Roman"/>
          <w:b/>
          <w:bCs/>
          <w:sz w:val="24"/>
          <w:szCs w:val="24"/>
        </w:rPr>
      </w:pPr>
      <w:bookmarkStart w:id="21" w:name="_Hlk213066998"/>
      <w:r>
        <w:rPr>
          <w:rFonts w:ascii="Times New Roman" w:hAnsi="Times New Roman"/>
          <w:b/>
          <w:bCs/>
          <w:sz w:val="24"/>
          <w:szCs w:val="24"/>
        </w:rPr>
        <w:t>2.3.4 Cobalt (Co)</w:t>
      </w:r>
    </w:p>
    <w:bookmarkEnd w:id="21"/>
    <w:p w14:paraId="620E1DE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Cobalt plays an essential role in vitamin B₁₂ synthesis and red blood cell formation, but excessive exposure induces cardiomyopathy, thyroid dysfunction, and skin irritation. Occupational exposure, especially in mining and metal industries, has been linked to respiratory distress and pulmonary </w:t>
      </w:r>
      <w:r>
        <w:rPr>
          <w:rFonts w:ascii="Times New Roman" w:hAnsi="Times New Roman"/>
          <w:sz w:val="24"/>
          <w:szCs w:val="24"/>
        </w:rPr>
        <w:lastRenderedPageBreak/>
        <w:t>fibrosis, while chronic accumulation can impair hearing and vision due to oxidative stress (Toxic Metals and Human Health, 2024; ATSDR, 2020).</w:t>
      </w:r>
    </w:p>
    <w:p w14:paraId="529DF8AA" w14:textId="77777777" w:rsidR="00337B86" w:rsidRDefault="00000000">
      <w:pPr>
        <w:spacing w:line="360" w:lineRule="auto"/>
        <w:jc w:val="both"/>
        <w:rPr>
          <w:rFonts w:ascii="Times New Roman" w:hAnsi="Times New Roman"/>
          <w:b/>
          <w:bCs/>
          <w:sz w:val="24"/>
          <w:szCs w:val="24"/>
        </w:rPr>
      </w:pPr>
      <w:bookmarkStart w:id="22" w:name="_Hlk213067039"/>
      <w:r>
        <w:rPr>
          <w:rFonts w:ascii="Times New Roman" w:hAnsi="Times New Roman"/>
          <w:b/>
          <w:bCs/>
          <w:sz w:val="24"/>
          <w:szCs w:val="24"/>
        </w:rPr>
        <w:t>2.3.5 Chromium (Cr)</w:t>
      </w:r>
    </w:p>
    <w:bookmarkEnd w:id="22"/>
    <w:p w14:paraId="1159721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Chromium occurs mainly in two oxidation states: trivalent (Cr³⁺) and hexavalent (Cr⁶⁺). While Cr³⁺ is an essential micronutrient involved in glucose and lipid metabolism, Cr⁶⁺ is highly toxic and carcinogenic. Contamination of food occurs through industrial effluents, stainless-steel equipment, and polluted irrigation water. Cr⁶⁺ exposure causes oxidative stress, DNA damage, and gastrointestinal cancers (Costa and Klein, 2021). Despite global monitoring, surveillance in developing nations remains inadequate (Oladipo </w:t>
      </w:r>
      <w:r>
        <w:rPr>
          <w:rFonts w:ascii="Times New Roman" w:hAnsi="Times New Roman"/>
          <w:i/>
          <w:iCs/>
          <w:sz w:val="24"/>
          <w:szCs w:val="24"/>
        </w:rPr>
        <w:t>et al.,</w:t>
      </w:r>
      <w:r>
        <w:rPr>
          <w:rFonts w:ascii="Times New Roman" w:hAnsi="Times New Roman"/>
          <w:sz w:val="24"/>
          <w:szCs w:val="24"/>
        </w:rPr>
        <w:t xml:space="preserve"> 2023).</w:t>
      </w:r>
    </w:p>
    <w:p w14:paraId="2F7BB301" w14:textId="77777777" w:rsidR="00337B86" w:rsidRDefault="00000000">
      <w:pPr>
        <w:spacing w:line="360" w:lineRule="auto"/>
        <w:jc w:val="both"/>
        <w:rPr>
          <w:rFonts w:ascii="Times New Roman" w:hAnsi="Times New Roman"/>
          <w:b/>
          <w:bCs/>
          <w:sz w:val="24"/>
          <w:szCs w:val="24"/>
        </w:rPr>
      </w:pPr>
      <w:bookmarkStart w:id="23" w:name="_Hlk213067562"/>
      <w:r>
        <w:rPr>
          <w:rFonts w:ascii="Times New Roman" w:hAnsi="Times New Roman"/>
          <w:b/>
          <w:bCs/>
          <w:sz w:val="24"/>
          <w:szCs w:val="24"/>
        </w:rPr>
        <w:t>2.4 Sources of Heavy Metal Contamination in Foods</w:t>
      </w:r>
    </w:p>
    <w:bookmarkEnd w:id="23"/>
    <w:p w14:paraId="378EF97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Heavy metals enter food chains via natural, agricultural, industrial, processing, transportation, and environmental pathways. These routes contribute to contamination at different stages of production, handling, and storage (Nwachukwu </w:t>
      </w:r>
      <w:r>
        <w:rPr>
          <w:rFonts w:ascii="Times New Roman" w:hAnsi="Times New Roman"/>
          <w:i/>
          <w:iCs/>
          <w:sz w:val="24"/>
          <w:szCs w:val="24"/>
        </w:rPr>
        <w:t>et al.,</w:t>
      </w:r>
      <w:r>
        <w:rPr>
          <w:rFonts w:ascii="Times New Roman" w:hAnsi="Times New Roman"/>
          <w:sz w:val="24"/>
          <w:szCs w:val="24"/>
        </w:rPr>
        <w:t xml:space="preserve"> 2024).</w:t>
      </w:r>
    </w:p>
    <w:p w14:paraId="03061F3C" w14:textId="77777777" w:rsidR="00337B86" w:rsidRDefault="00000000">
      <w:pPr>
        <w:spacing w:line="360" w:lineRule="auto"/>
        <w:jc w:val="both"/>
        <w:rPr>
          <w:rFonts w:ascii="Times New Roman" w:hAnsi="Times New Roman"/>
          <w:b/>
          <w:bCs/>
          <w:sz w:val="24"/>
          <w:szCs w:val="24"/>
        </w:rPr>
      </w:pPr>
      <w:bookmarkStart w:id="24" w:name="_Hlk213067650"/>
      <w:r>
        <w:rPr>
          <w:rFonts w:ascii="Times New Roman" w:hAnsi="Times New Roman"/>
          <w:b/>
          <w:bCs/>
          <w:sz w:val="24"/>
          <w:szCs w:val="24"/>
        </w:rPr>
        <w:t>2.4.1 Natural Sources</w:t>
      </w:r>
    </w:p>
    <w:bookmarkEnd w:id="24"/>
    <w:p w14:paraId="1CE8E6B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Natural processes such as geological weathering, volcanic emissions, and soil mineral composition introduce heavy metals like arsenic, cadmium, and mercury into the environment. Regions with metal-rich bedrock or volcanic activity often exhibit elevated soil concentrations, predisposing local crops to contamination (Zhang </w:t>
      </w:r>
      <w:r>
        <w:rPr>
          <w:rFonts w:ascii="Times New Roman" w:hAnsi="Times New Roman"/>
          <w:i/>
          <w:iCs/>
          <w:sz w:val="24"/>
          <w:szCs w:val="24"/>
        </w:rPr>
        <w:t>et al.,</w:t>
      </w:r>
      <w:r>
        <w:rPr>
          <w:rFonts w:ascii="Times New Roman" w:hAnsi="Times New Roman"/>
          <w:sz w:val="24"/>
          <w:szCs w:val="24"/>
        </w:rPr>
        <w:t xml:space="preserve"> 2022; Mititelu </w:t>
      </w:r>
      <w:r>
        <w:rPr>
          <w:rFonts w:ascii="Times New Roman" w:hAnsi="Times New Roman"/>
          <w:i/>
          <w:iCs/>
          <w:sz w:val="24"/>
          <w:szCs w:val="24"/>
        </w:rPr>
        <w:t>et al.,</w:t>
      </w:r>
      <w:r>
        <w:rPr>
          <w:rFonts w:ascii="Times New Roman" w:hAnsi="Times New Roman"/>
          <w:sz w:val="24"/>
          <w:szCs w:val="24"/>
        </w:rPr>
        <w:t xml:space="preserve"> 2025).</w:t>
      </w:r>
    </w:p>
    <w:p w14:paraId="2DE7AA83" w14:textId="77777777" w:rsidR="00337B86" w:rsidRDefault="00000000">
      <w:pPr>
        <w:spacing w:line="360" w:lineRule="auto"/>
        <w:jc w:val="both"/>
        <w:rPr>
          <w:rFonts w:ascii="Times New Roman" w:hAnsi="Times New Roman"/>
          <w:b/>
          <w:bCs/>
          <w:sz w:val="24"/>
          <w:szCs w:val="24"/>
        </w:rPr>
      </w:pPr>
      <w:bookmarkStart w:id="25" w:name="_Hlk213067690"/>
      <w:r>
        <w:rPr>
          <w:rFonts w:ascii="Times New Roman" w:hAnsi="Times New Roman"/>
          <w:b/>
          <w:bCs/>
          <w:sz w:val="24"/>
          <w:szCs w:val="24"/>
        </w:rPr>
        <w:t>2.4.2 Agricultural Sources</w:t>
      </w:r>
    </w:p>
    <w:bookmarkEnd w:id="25"/>
    <w:p w14:paraId="2B853EA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Agricultural practices significantly influence contamination. Phosphate-based fertilizers commonly contain cadmium, while sewage-sludge manure introduces lead and chromium into soils. In addition, pesticide residues and irrigation with industrial wastewater serve as major entry points for arsenic and lead (Abdel-Rahman </w:t>
      </w:r>
      <w:r>
        <w:rPr>
          <w:rFonts w:ascii="Times New Roman" w:hAnsi="Times New Roman"/>
          <w:i/>
          <w:iCs/>
          <w:sz w:val="24"/>
          <w:szCs w:val="24"/>
        </w:rPr>
        <w:t>et al.,</w:t>
      </w:r>
      <w:r>
        <w:rPr>
          <w:rFonts w:ascii="Times New Roman" w:hAnsi="Times New Roman"/>
          <w:sz w:val="24"/>
          <w:szCs w:val="24"/>
        </w:rPr>
        <w:t xml:space="preserve"> 2023; Ibrahim </w:t>
      </w:r>
      <w:r>
        <w:rPr>
          <w:rFonts w:ascii="Times New Roman" w:hAnsi="Times New Roman"/>
          <w:i/>
          <w:iCs/>
          <w:sz w:val="24"/>
          <w:szCs w:val="24"/>
        </w:rPr>
        <w:t>et al.,</w:t>
      </w:r>
      <w:r>
        <w:rPr>
          <w:rFonts w:ascii="Times New Roman" w:hAnsi="Times New Roman"/>
          <w:sz w:val="24"/>
          <w:szCs w:val="24"/>
        </w:rPr>
        <w:t xml:space="preserve"> 2024).</w:t>
      </w:r>
    </w:p>
    <w:p w14:paraId="31C07491" w14:textId="77777777" w:rsidR="00337B86" w:rsidRDefault="00000000">
      <w:pPr>
        <w:spacing w:line="360" w:lineRule="auto"/>
        <w:jc w:val="both"/>
        <w:rPr>
          <w:rFonts w:ascii="Times New Roman" w:hAnsi="Times New Roman"/>
          <w:b/>
          <w:bCs/>
          <w:sz w:val="24"/>
          <w:szCs w:val="24"/>
        </w:rPr>
      </w:pPr>
      <w:bookmarkStart w:id="26" w:name="_Hlk213067709"/>
      <w:r>
        <w:rPr>
          <w:rFonts w:ascii="Times New Roman" w:hAnsi="Times New Roman"/>
          <w:b/>
          <w:bCs/>
          <w:sz w:val="24"/>
          <w:szCs w:val="24"/>
        </w:rPr>
        <w:t>2.4.3 Industrial Sources</w:t>
      </w:r>
    </w:p>
    <w:bookmarkEnd w:id="26"/>
    <w:p w14:paraId="3F449C7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Mining, smelting, and manufacturing activities release large quantities of heavy metals, contaminating surrounding soil and water. Industrial effluents from tanneries, textile plants, and </w:t>
      </w:r>
      <w:r>
        <w:rPr>
          <w:rFonts w:ascii="Times New Roman" w:hAnsi="Times New Roman"/>
          <w:sz w:val="24"/>
          <w:szCs w:val="24"/>
        </w:rPr>
        <w:lastRenderedPageBreak/>
        <w:t xml:space="preserve">paint factories contain chromium, lead, and mercury, which infiltrate agricultural systems through runoff or atmospheric deposition (Oladipo </w:t>
      </w:r>
      <w:r>
        <w:rPr>
          <w:rFonts w:ascii="Times New Roman" w:hAnsi="Times New Roman"/>
          <w:i/>
          <w:iCs/>
          <w:sz w:val="24"/>
          <w:szCs w:val="24"/>
        </w:rPr>
        <w:t>et al.,</w:t>
      </w:r>
      <w:r>
        <w:rPr>
          <w:rFonts w:ascii="Times New Roman" w:hAnsi="Times New Roman"/>
          <w:sz w:val="24"/>
          <w:szCs w:val="24"/>
        </w:rPr>
        <w:t xml:space="preserve"> 2023).</w:t>
      </w:r>
    </w:p>
    <w:p w14:paraId="463461FE" w14:textId="77777777" w:rsidR="00337B86" w:rsidRDefault="00000000">
      <w:pPr>
        <w:spacing w:line="360" w:lineRule="auto"/>
        <w:jc w:val="both"/>
        <w:rPr>
          <w:rFonts w:ascii="Times New Roman" w:hAnsi="Times New Roman"/>
          <w:b/>
          <w:bCs/>
          <w:sz w:val="24"/>
          <w:szCs w:val="24"/>
        </w:rPr>
      </w:pPr>
      <w:bookmarkStart w:id="27" w:name="_Hlk213067765"/>
      <w:r>
        <w:rPr>
          <w:rFonts w:ascii="Times New Roman" w:hAnsi="Times New Roman"/>
          <w:b/>
          <w:bCs/>
          <w:sz w:val="24"/>
          <w:szCs w:val="24"/>
        </w:rPr>
        <w:t>2.4.4 Food Processing and Packaging Sources</w:t>
      </w:r>
    </w:p>
    <w:bookmarkEnd w:id="27"/>
    <w:p w14:paraId="62A02D6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Food processing introduces contamination via metal-alloy equipment, untreated water, and poor-quality packaging materials. Metallic leaching may occur during extrusion, drying, or storage, particularly when using soldered or corroded surfaces (Kabir </w:t>
      </w:r>
      <w:r>
        <w:rPr>
          <w:rFonts w:ascii="Times New Roman" w:hAnsi="Times New Roman"/>
          <w:i/>
          <w:iCs/>
          <w:sz w:val="24"/>
          <w:szCs w:val="24"/>
        </w:rPr>
        <w:t>et al.,</w:t>
      </w:r>
      <w:r>
        <w:rPr>
          <w:rFonts w:ascii="Times New Roman" w:hAnsi="Times New Roman"/>
          <w:sz w:val="24"/>
          <w:szCs w:val="24"/>
        </w:rPr>
        <w:t xml:space="preserve"> 2025; </w:t>
      </w:r>
      <w:proofErr w:type="spellStart"/>
      <w:r>
        <w:rPr>
          <w:rFonts w:ascii="Times New Roman" w:hAnsi="Times New Roman"/>
          <w:sz w:val="24"/>
          <w:szCs w:val="24"/>
        </w:rPr>
        <w:t>Shavali</w:t>
      </w:r>
      <w:proofErr w:type="spellEnd"/>
      <w:r>
        <w:rPr>
          <w:rFonts w:ascii="Times New Roman" w:hAnsi="Times New Roman"/>
          <w:sz w:val="24"/>
          <w:szCs w:val="24"/>
        </w:rPr>
        <w:t xml:space="preserve">-Gilani </w:t>
      </w:r>
      <w:r>
        <w:rPr>
          <w:rFonts w:ascii="Times New Roman" w:hAnsi="Times New Roman"/>
          <w:i/>
          <w:iCs/>
          <w:sz w:val="24"/>
          <w:szCs w:val="24"/>
        </w:rPr>
        <w:t>et al.,</w:t>
      </w:r>
      <w:r>
        <w:rPr>
          <w:rFonts w:ascii="Times New Roman" w:hAnsi="Times New Roman"/>
          <w:sz w:val="24"/>
          <w:szCs w:val="24"/>
        </w:rPr>
        <w:t xml:space="preserve"> 2025).</w:t>
      </w:r>
    </w:p>
    <w:p w14:paraId="35FACA58" w14:textId="77777777" w:rsidR="00337B86" w:rsidRDefault="00000000">
      <w:pPr>
        <w:spacing w:line="360" w:lineRule="auto"/>
        <w:jc w:val="both"/>
        <w:rPr>
          <w:rFonts w:ascii="Times New Roman" w:hAnsi="Times New Roman"/>
          <w:b/>
          <w:bCs/>
          <w:sz w:val="24"/>
          <w:szCs w:val="24"/>
        </w:rPr>
      </w:pPr>
      <w:bookmarkStart w:id="28" w:name="_Hlk213067810"/>
      <w:r>
        <w:rPr>
          <w:rFonts w:ascii="Times New Roman" w:hAnsi="Times New Roman"/>
          <w:b/>
          <w:bCs/>
          <w:sz w:val="24"/>
          <w:szCs w:val="24"/>
        </w:rPr>
        <w:t>2.4.5 Transportation and Storage Sources</w:t>
      </w:r>
    </w:p>
    <w:bookmarkEnd w:id="28"/>
    <w:p w14:paraId="71316A7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Improper storage in metallic containers or transport alongside industrial materials can cause cross-contamination. Metallic dust from vehicles or containers can deposit onto food during transport, especially in regions with poor hygiene standards (Zahir </w:t>
      </w:r>
      <w:r>
        <w:rPr>
          <w:rFonts w:ascii="Times New Roman" w:hAnsi="Times New Roman"/>
          <w:i/>
          <w:iCs/>
          <w:sz w:val="24"/>
          <w:szCs w:val="24"/>
        </w:rPr>
        <w:t>et al.,</w:t>
      </w:r>
      <w:r>
        <w:rPr>
          <w:rFonts w:ascii="Times New Roman" w:hAnsi="Times New Roman"/>
          <w:sz w:val="24"/>
          <w:szCs w:val="24"/>
        </w:rPr>
        <w:t xml:space="preserve"> 2024).</w:t>
      </w:r>
    </w:p>
    <w:p w14:paraId="0FCDF834" w14:textId="77777777" w:rsidR="00337B86" w:rsidRDefault="00000000">
      <w:pPr>
        <w:spacing w:line="360" w:lineRule="auto"/>
        <w:jc w:val="both"/>
        <w:rPr>
          <w:rFonts w:ascii="Times New Roman" w:hAnsi="Times New Roman"/>
          <w:b/>
          <w:bCs/>
          <w:sz w:val="24"/>
          <w:szCs w:val="24"/>
        </w:rPr>
      </w:pPr>
      <w:bookmarkStart w:id="29" w:name="_Hlk213067836"/>
      <w:r>
        <w:rPr>
          <w:rFonts w:ascii="Times New Roman" w:hAnsi="Times New Roman"/>
          <w:b/>
          <w:bCs/>
          <w:sz w:val="24"/>
          <w:szCs w:val="24"/>
        </w:rPr>
        <w:t>2.4.6 Environmental Pollution Sources</w:t>
      </w:r>
    </w:p>
    <w:bookmarkEnd w:id="29"/>
    <w:p w14:paraId="6BB7935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Environmental pollution from vehicular emissions, open dumping of electronic waste, and urbanization contributes significantly to heavy-metal contamination. E-waste releases cadmium, lead, and mercury into surrounding soils, while roadside crops absorb metals from atmospheric fallout (Ibrahim </w:t>
      </w:r>
      <w:r>
        <w:rPr>
          <w:rFonts w:ascii="Times New Roman" w:hAnsi="Times New Roman"/>
          <w:i/>
          <w:iCs/>
          <w:sz w:val="24"/>
          <w:szCs w:val="24"/>
        </w:rPr>
        <w:t>et al.,</w:t>
      </w:r>
      <w:r>
        <w:rPr>
          <w:rFonts w:ascii="Times New Roman" w:hAnsi="Times New Roman"/>
          <w:sz w:val="24"/>
          <w:szCs w:val="24"/>
        </w:rPr>
        <w:t xml:space="preserve"> 2024; Nwachukwu </w:t>
      </w:r>
      <w:r>
        <w:rPr>
          <w:rFonts w:ascii="Times New Roman" w:hAnsi="Times New Roman"/>
          <w:i/>
          <w:iCs/>
          <w:sz w:val="24"/>
          <w:szCs w:val="24"/>
        </w:rPr>
        <w:t>et al.,</w:t>
      </w:r>
      <w:r>
        <w:rPr>
          <w:rFonts w:ascii="Times New Roman" w:hAnsi="Times New Roman"/>
          <w:sz w:val="24"/>
          <w:szCs w:val="24"/>
        </w:rPr>
        <w:t xml:space="preserve"> 2024).</w:t>
      </w:r>
    </w:p>
    <w:p w14:paraId="7C9D6AFD" w14:textId="77777777" w:rsidR="00337B86" w:rsidRDefault="00000000">
      <w:pPr>
        <w:spacing w:line="360" w:lineRule="auto"/>
        <w:jc w:val="both"/>
        <w:rPr>
          <w:rFonts w:ascii="Times New Roman" w:hAnsi="Times New Roman"/>
          <w:b/>
          <w:bCs/>
          <w:sz w:val="24"/>
          <w:szCs w:val="24"/>
        </w:rPr>
      </w:pPr>
      <w:bookmarkStart w:id="30" w:name="_Hlk213067857"/>
      <w:r>
        <w:rPr>
          <w:rFonts w:ascii="Times New Roman" w:hAnsi="Times New Roman"/>
          <w:b/>
          <w:bCs/>
          <w:sz w:val="24"/>
          <w:szCs w:val="24"/>
        </w:rPr>
        <w:t>2.5 Heavy Metals in Staple Foods</w:t>
      </w:r>
    </w:p>
    <w:bookmarkEnd w:id="30"/>
    <w:p w14:paraId="3E1E773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Staple foods including cereals, root and tuber crops, and legumes form the foundation of human diets. Because they are consumed in large quantities, even trace contamination can pose chronic health risks (FAO/WHO, 2023).</w:t>
      </w:r>
    </w:p>
    <w:p w14:paraId="31CFD325" w14:textId="77777777" w:rsidR="00337B86" w:rsidRDefault="00000000">
      <w:pPr>
        <w:spacing w:line="360" w:lineRule="auto"/>
        <w:jc w:val="both"/>
        <w:rPr>
          <w:rFonts w:ascii="Times New Roman" w:hAnsi="Times New Roman"/>
          <w:b/>
          <w:bCs/>
          <w:sz w:val="24"/>
          <w:szCs w:val="24"/>
        </w:rPr>
      </w:pPr>
      <w:bookmarkStart w:id="31" w:name="_Hlk213067968"/>
      <w:r>
        <w:rPr>
          <w:rFonts w:ascii="Times New Roman" w:hAnsi="Times New Roman"/>
          <w:b/>
          <w:bCs/>
          <w:sz w:val="24"/>
          <w:szCs w:val="24"/>
        </w:rPr>
        <w:t>2.5.1 Cereals</w:t>
      </w:r>
    </w:p>
    <w:bookmarkEnd w:id="31"/>
    <w:p w14:paraId="0CE3F05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Cereals such as rice, wheat, and maize are major dietary staples worldwide and are particularly prone to contamination through soil and irrigation water. Rice readily accumulates arsenic in flooded paddy soils, posing carcinogenic risks to humans (Costa and Klein, 2021). Wheat and maize tend to accumulate cadmium and lead, especially when cultivated with phosphate fertilizers </w:t>
      </w:r>
      <w:r>
        <w:rPr>
          <w:rFonts w:ascii="Times New Roman" w:hAnsi="Times New Roman"/>
          <w:sz w:val="24"/>
          <w:szCs w:val="24"/>
        </w:rPr>
        <w:lastRenderedPageBreak/>
        <w:t xml:space="preserve">or in industrial zones. Consequently, wheat-based foods such as pasta and noodles may retain these contaminants if raw grains are exposed (Abdel-Rahman </w:t>
      </w:r>
      <w:r>
        <w:rPr>
          <w:rFonts w:ascii="Times New Roman" w:hAnsi="Times New Roman"/>
          <w:i/>
          <w:iCs/>
          <w:sz w:val="24"/>
          <w:szCs w:val="24"/>
        </w:rPr>
        <w:t>et al.,</w:t>
      </w:r>
      <w:r>
        <w:rPr>
          <w:rFonts w:ascii="Times New Roman" w:hAnsi="Times New Roman"/>
          <w:sz w:val="24"/>
          <w:szCs w:val="24"/>
        </w:rPr>
        <w:t xml:space="preserve"> 2023; Mititelu </w:t>
      </w:r>
      <w:r>
        <w:rPr>
          <w:rFonts w:ascii="Times New Roman" w:hAnsi="Times New Roman"/>
          <w:i/>
          <w:iCs/>
          <w:sz w:val="24"/>
          <w:szCs w:val="24"/>
        </w:rPr>
        <w:t>et al.,</w:t>
      </w:r>
      <w:r>
        <w:rPr>
          <w:rFonts w:ascii="Times New Roman" w:hAnsi="Times New Roman"/>
          <w:sz w:val="24"/>
          <w:szCs w:val="24"/>
        </w:rPr>
        <w:t xml:space="preserve"> 2025).</w:t>
      </w:r>
    </w:p>
    <w:p w14:paraId="1F87C812" w14:textId="77777777" w:rsidR="00337B86" w:rsidRDefault="00000000">
      <w:pPr>
        <w:spacing w:line="360" w:lineRule="auto"/>
        <w:jc w:val="both"/>
        <w:rPr>
          <w:rFonts w:ascii="Times New Roman" w:hAnsi="Times New Roman"/>
          <w:b/>
          <w:bCs/>
          <w:sz w:val="24"/>
          <w:szCs w:val="24"/>
        </w:rPr>
      </w:pPr>
      <w:bookmarkStart w:id="32" w:name="_Hlk213067998"/>
      <w:r>
        <w:rPr>
          <w:rFonts w:ascii="Times New Roman" w:hAnsi="Times New Roman"/>
          <w:b/>
          <w:bCs/>
          <w:sz w:val="24"/>
          <w:szCs w:val="24"/>
        </w:rPr>
        <w:t>2.5.2 Root and Tuber Crops</w:t>
      </w:r>
    </w:p>
    <w:bookmarkEnd w:id="32"/>
    <w:p w14:paraId="3713103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Root and tuber staples cassava, yam, and potatoes absorb heavy metals directly from soil. Cassava has been shown to bioaccumulate lead and cadmium, particularly when grown near industrial or mining areas. Similarly, potatoes and yams cultivated in polluted soils may contain elevated levels of arsenic and mercury (Ibrahim </w:t>
      </w:r>
      <w:r>
        <w:rPr>
          <w:rFonts w:ascii="Times New Roman" w:hAnsi="Times New Roman"/>
          <w:i/>
          <w:iCs/>
          <w:sz w:val="24"/>
          <w:szCs w:val="24"/>
        </w:rPr>
        <w:t>et al.,</w:t>
      </w:r>
      <w:r>
        <w:rPr>
          <w:rFonts w:ascii="Times New Roman" w:hAnsi="Times New Roman"/>
          <w:sz w:val="24"/>
          <w:szCs w:val="24"/>
        </w:rPr>
        <w:t xml:space="preserve"> 2024).</w:t>
      </w:r>
    </w:p>
    <w:p w14:paraId="7160DD5F" w14:textId="77777777" w:rsidR="00337B86" w:rsidRDefault="00000000">
      <w:pPr>
        <w:spacing w:line="360" w:lineRule="auto"/>
        <w:jc w:val="both"/>
        <w:rPr>
          <w:rFonts w:ascii="Times New Roman" w:hAnsi="Times New Roman"/>
          <w:b/>
          <w:bCs/>
          <w:sz w:val="24"/>
          <w:szCs w:val="24"/>
        </w:rPr>
      </w:pPr>
      <w:bookmarkStart w:id="33" w:name="_Hlk213068350"/>
      <w:r>
        <w:rPr>
          <w:rFonts w:ascii="Times New Roman" w:hAnsi="Times New Roman"/>
          <w:b/>
          <w:bCs/>
          <w:sz w:val="24"/>
          <w:szCs w:val="24"/>
        </w:rPr>
        <w:t>2.5.3 Legumes and Pulses</w:t>
      </w:r>
    </w:p>
    <w:bookmarkEnd w:id="33"/>
    <w:p w14:paraId="2C1980D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Beans, lentils, and soybeans are important protein sources but can absorb heavy metals through root uptake from polluted soils or irrigation water. Beans often contain cadmium and lead near mining sites, while soybeans can bioaccumulate mercury and arsenic, transferring them into processed soy foods (Oladipo </w:t>
      </w:r>
      <w:r>
        <w:rPr>
          <w:rFonts w:ascii="Times New Roman" w:hAnsi="Times New Roman"/>
          <w:i/>
          <w:iCs/>
          <w:sz w:val="24"/>
          <w:szCs w:val="24"/>
        </w:rPr>
        <w:t>et al.,</w:t>
      </w:r>
      <w:r>
        <w:rPr>
          <w:rFonts w:ascii="Times New Roman" w:hAnsi="Times New Roman"/>
          <w:sz w:val="24"/>
          <w:szCs w:val="24"/>
        </w:rPr>
        <w:t xml:space="preserve"> 2023; Mengistu, 2021).</w:t>
      </w:r>
    </w:p>
    <w:p w14:paraId="6970B7B5" w14:textId="77777777" w:rsidR="00337B86" w:rsidRDefault="00000000">
      <w:pPr>
        <w:spacing w:line="360" w:lineRule="auto"/>
        <w:jc w:val="both"/>
        <w:rPr>
          <w:rFonts w:ascii="Times New Roman" w:hAnsi="Times New Roman"/>
          <w:b/>
          <w:bCs/>
          <w:sz w:val="24"/>
          <w:szCs w:val="24"/>
        </w:rPr>
      </w:pPr>
      <w:bookmarkStart w:id="34" w:name="_Hlk213068396"/>
      <w:r>
        <w:rPr>
          <w:rFonts w:ascii="Times New Roman" w:hAnsi="Times New Roman"/>
          <w:b/>
          <w:bCs/>
          <w:sz w:val="24"/>
          <w:szCs w:val="24"/>
        </w:rPr>
        <w:t>2.5.4 Processed Staple Foods (Pasta, Noodles, and Bread)</w:t>
      </w:r>
    </w:p>
    <w:bookmarkEnd w:id="34"/>
    <w:p w14:paraId="2444816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Processed foods derived from staples are susceptible to contamination at several stages from raw materials to water used in processing and metallic contact surfaces. For instance, if wheat used for pasta already contains lead or cadmium, these elements persist through production. Additional contamination may occur from industrial water and packaging materials (Kabir </w:t>
      </w:r>
      <w:r>
        <w:rPr>
          <w:rFonts w:ascii="Times New Roman" w:hAnsi="Times New Roman"/>
          <w:i/>
          <w:iCs/>
          <w:sz w:val="24"/>
          <w:szCs w:val="24"/>
        </w:rPr>
        <w:t>et al.,</w:t>
      </w:r>
      <w:r>
        <w:rPr>
          <w:rFonts w:ascii="Times New Roman" w:hAnsi="Times New Roman"/>
          <w:sz w:val="24"/>
          <w:szCs w:val="24"/>
        </w:rPr>
        <w:t xml:space="preserve"> 2025; </w:t>
      </w:r>
      <w:proofErr w:type="spellStart"/>
      <w:r>
        <w:rPr>
          <w:rFonts w:ascii="Times New Roman" w:hAnsi="Times New Roman"/>
          <w:sz w:val="24"/>
          <w:szCs w:val="24"/>
        </w:rPr>
        <w:t>Shavali</w:t>
      </w:r>
      <w:proofErr w:type="spellEnd"/>
      <w:r>
        <w:rPr>
          <w:rFonts w:ascii="Times New Roman" w:hAnsi="Times New Roman"/>
          <w:sz w:val="24"/>
          <w:szCs w:val="24"/>
        </w:rPr>
        <w:t xml:space="preserve">-Gilani </w:t>
      </w:r>
      <w:r>
        <w:rPr>
          <w:rFonts w:ascii="Times New Roman" w:hAnsi="Times New Roman"/>
          <w:i/>
          <w:iCs/>
          <w:sz w:val="24"/>
          <w:szCs w:val="24"/>
        </w:rPr>
        <w:t>et al.,</w:t>
      </w:r>
      <w:r>
        <w:rPr>
          <w:rFonts w:ascii="Times New Roman" w:hAnsi="Times New Roman"/>
          <w:sz w:val="24"/>
          <w:szCs w:val="24"/>
        </w:rPr>
        <w:t xml:space="preserve"> 2025).</w:t>
      </w:r>
    </w:p>
    <w:p w14:paraId="732546C6" w14:textId="77777777" w:rsidR="00337B86" w:rsidRDefault="00000000">
      <w:pPr>
        <w:spacing w:line="360" w:lineRule="auto"/>
        <w:jc w:val="both"/>
        <w:rPr>
          <w:rFonts w:ascii="Times New Roman" w:hAnsi="Times New Roman"/>
          <w:b/>
          <w:bCs/>
          <w:sz w:val="24"/>
          <w:szCs w:val="24"/>
        </w:rPr>
      </w:pPr>
      <w:bookmarkStart w:id="35" w:name="_Hlk213068413"/>
      <w:r>
        <w:rPr>
          <w:rFonts w:ascii="Times New Roman" w:hAnsi="Times New Roman"/>
          <w:b/>
          <w:bCs/>
          <w:sz w:val="24"/>
          <w:szCs w:val="24"/>
        </w:rPr>
        <w:t>2.5.5 Public Health Concerns</w:t>
      </w:r>
    </w:p>
    <w:bookmarkEnd w:id="35"/>
    <w:p w14:paraId="78190B8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Because staple foods are consumed daily, even low-level contamination results in cumulative exposure. Lead has been linked to neurodevelopmental impairment in children, while cadmium causes renal damage and bone demineralization. Arsenic exposure from rice consumption is associated with skin lesions and carcinogenesis (Toxic Metals and Human Health, 2024; FAO/WHO, 2023). Continuous monitoring of heavy-metal concentrations in staple foods is therefore vital to safeguard public health, particularly in countries with limited regulatory </w:t>
      </w:r>
      <w:proofErr w:type="gramStart"/>
      <w:r>
        <w:rPr>
          <w:rFonts w:ascii="Times New Roman" w:hAnsi="Times New Roman"/>
          <w:sz w:val="24"/>
          <w:szCs w:val="24"/>
        </w:rPr>
        <w:t>enforcement.(</w:t>
      </w:r>
      <w:proofErr w:type="gramEnd"/>
      <w:r>
        <w:rPr>
          <w:rFonts w:ascii="Times New Roman" w:hAnsi="Times New Roman"/>
          <w:sz w:val="24"/>
          <w:szCs w:val="24"/>
        </w:rPr>
        <w:t xml:space="preserve">Nwachukwu </w:t>
      </w:r>
      <w:r>
        <w:rPr>
          <w:rFonts w:ascii="Times New Roman" w:hAnsi="Times New Roman"/>
          <w:i/>
          <w:iCs/>
          <w:sz w:val="24"/>
          <w:szCs w:val="24"/>
        </w:rPr>
        <w:t>et al.,</w:t>
      </w:r>
      <w:r>
        <w:rPr>
          <w:rFonts w:ascii="Times New Roman" w:hAnsi="Times New Roman"/>
          <w:sz w:val="24"/>
          <w:szCs w:val="24"/>
        </w:rPr>
        <w:t xml:space="preserve"> 2024; FAO/WHO, 2023).</w:t>
      </w:r>
    </w:p>
    <w:p w14:paraId="73DBD53D" w14:textId="77777777" w:rsidR="00337B86" w:rsidRDefault="00337B86">
      <w:pPr>
        <w:spacing w:line="360" w:lineRule="auto"/>
        <w:jc w:val="both"/>
        <w:rPr>
          <w:rFonts w:ascii="Times New Roman" w:hAnsi="Times New Roman"/>
          <w:sz w:val="24"/>
          <w:szCs w:val="24"/>
        </w:rPr>
      </w:pPr>
    </w:p>
    <w:p w14:paraId="539082F7" w14:textId="77777777" w:rsidR="00337B86" w:rsidRDefault="00000000">
      <w:pPr>
        <w:spacing w:line="360" w:lineRule="auto"/>
        <w:jc w:val="both"/>
        <w:rPr>
          <w:rFonts w:ascii="Times New Roman" w:hAnsi="Times New Roman"/>
          <w:b/>
          <w:bCs/>
          <w:sz w:val="24"/>
          <w:szCs w:val="24"/>
        </w:rPr>
      </w:pPr>
      <w:bookmarkStart w:id="36" w:name="_Hlk213068433"/>
      <w:r>
        <w:rPr>
          <w:rFonts w:ascii="Times New Roman" w:hAnsi="Times New Roman"/>
          <w:b/>
          <w:bCs/>
          <w:sz w:val="24"/>
          <w:szCs w:val="24"/>
        </w:rPr>
        <w:lastRenderedPageBreak/>
        <w:t>2.6 Pasta Products: Global and Nigerian context</w:t>
      </w:r>
    </w:p>
    <w:bookmarkEnd w:id="36"/>
    <w:p w14:paraId="69FD16A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Pasta products such as spaghetti, macaroni, and noodles are staple carbohydrate-rich foods widely consumed across the world. They are primarily made from durum-wheat semolina or refined wheat flour, sometimes blended with additives such as eggs, salt, and preservatives. Due to their long shelf life, versatility, and affordability, pasta has become a global dietary component (International Pasta Organization, 2023; Del Nobile </w:t>
      </w:r>
      <w:r>
        <w:rPr>
          <w:rFonts w:ascii="Times New Roman" w:hAnsi="Times New Roman"/>
          <w:i/>
          <w:iCs/>
          <w:sz w:val="24"/>
          <w:szCs w:val="24"/>
        </w:rPr>
        <w:t>et al.,</w:t>
      </w:r>
      <w:r>
        <w:rPr>
          <w:rFonts w:ascii="Times New Roman" w:hAnsi="Times New Roman"/>
          <w:sz w:val="24"/>
          <w:szCs w:val="24"/>
        </w:rPr>
        <w:t xml:space="preserve"> 2021; Aydin and </w:t>
      </w:r>
      <w:proofErr w:type="spellStart"/>
      <w:r>
        <w:rPr>
          <w:rFonts w:ascii="Times New Roman" w:hAnsi="Times New Roman"/>
          <w:sz w:val="24"/>
          <w:szCs w:val="24"/>
        </w:rPr>
        <w:t>Gocmen</w:t>
      </w:r>
      <w:proofErr w:type="spellEnd"/>
      <w:r>
        <w:rPr>
          <w:rFonts w:ascii="Times New Roman" w:hAnsi="Times New Roman"/>
          <w:sz w:val="24"/>
          <w:szCs w:val="24"/>
        </w:rPr>
        <w:t>, 2022).</w:t>
      </w:r>
    </w:p>
    <w:p w14:paraId="2D5B8F44" w14:textId="77777777" w:rsidR="00337B86" w:rsidRDefault="00000000">
      <w:pPr>
        <w:spacing w:line="360" w:lineRule="auto"/>
        <w:jc w:val="both"/>
        <w:rPr>
          <w:rFonts w:ascii="Times New Roman" w:hAnsi="Times New Roman"/>
          <w:b/>
          <w:bCs/>
          <w:sz w:val="24"/>
          <w:szCs w:val="24"/>
        </w:rPr>
      </w:pPr>
      <w:bookmarkStart w:id="37" w:name="_Hlk213068455"/>
      <w:r>
        <w:rPr>
          <w:rFonts w:ascii="Times New Roman" w:hAnsi="Times New Roman"/>
          <w:b/>
          <w:bCs/>
          <w:sz w:val="24"/>
          <w:szCs w:val="24"/>
        </w:rPr>
        <w:t>2.6.1 Global Context</w:t>
      </w:r>
    </w:p>
    <w:bookmarkEnd w:id="37"/>
    <w:p w14:paraId="2C93E1D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Globally, the consumption of pasta has grown steadily, with countries such as Italy, the United States, Turkey, and Brazil among the largest consumers (International Pasta Organization, 2023). Pasta is valued not only as a convenient and shelf-stable food but also as a source of essential carbohydrates, proteins, and micronutrients when fortified. However, several studies have reported contamination of pasta products by heavy metals. Lead (Pb) and cadmium (Cd) residues have been detected in pasta samples from Europe and Asia due to fertilizer application, pesticide use, and industrial pollution of wheat fields. Arsenic (As) contamination has also been observed in wheat- and rice-based noodles, particularly in South-East Asia, where rice flour is used in traditional noodle production. In addition, nickel (Ni) and chromium (Cr) contamination can occur in processed pasta products through contact with stainless-steel machinery during production and packaging stages. These concerns have prompted strict regulatory limits for heavy metals in pasta and other cereal-based products by organizations such as the Codex Alimentarius Commission, World Health Organization/Food and Agriculture Organization (WHO/FAO), and the European Food Safety Authority (EFSA) to safeguard consumer health (EFSA, 2021; WHO/FAO, 2020; </w:t>
      </w:r>
      <w:proofErr w:type="spellStart"/>
      <w:r>
        <w:rPr>
          <w:rFonts w:ascii="Times New Roman" w:hAnsi="Times New Roman"/>
          <w:sz w:val="24"/>
          <w:szCs w:val="24"/>
        </w:rPr>
        <w:t>Shaltout</w:t>
      </w:r>
      <w:proofErr w:type="spellEnd"/>
      <w:r>
        <w:rPr>
          <w:rFonts w:ascii="Times New Roman" w:hAnsi="Times New Roman"/>
          <w:sz w:val="24"/>
          <w:szCs w:val="24"/>
        </w:rPr>
        <w:t xml:space="preserve"> </w:t>
      </w:r>
      <w:r>
        <w:rPr>
          <w:rFonts w:ascii="Times New Roman" w:hAnsi="Times New Roman"/>
          <w:i/>
          <w:iCs/>
          <w:sz w:val="24"/>
          <w:szCs w:val="24"/>
        </w:rPr>
        <w:t>et al.,</w:t>
      </w:r>
      <w:r>
        <w:rPr>
          <w:rFonts w:ascii="Times New Roman" w:hAnsi="Times New Roman"/>
          <w:sz w:val="24"/>
          <w:szCs w:val="24"/>
        </w:rPr>
        <w:t xml:space="preserve"> 2022; </w:t>
      </w:r>
      <w:proofErr w:type="spellStart"/>
      <w:r>
        <w:rPr>
          <w:rFonts w:ascii="Times New Roman" w:hAnsi="Times New Roman"/>
          <w:sz w:val="24"/>
          <w:szCs w:val="24"/>
        </w:rPr>
        <w:t>Tchounwou</w:t>
      </w:r>
      <w:proofErr w:type="spellEnd"/>
      <w:r>
        <w:rPr>
          <w:rFonts w:ascii="Times New Roman" w:hAnsi="Times New Roman"/>
          <w:sz w:val="24"/>
          <w:szCs w:val="24"/>
        </w:rPr>
        <w:t xml:space="preserve"> </w:t>
      </w:r>
      <w:r>
        <w:rPr>
          <w:rFonts w:ascii="Times New Roman" w:hAnsi="Times New Roman"/>
          <w:i/>
          <w:iCs/>
          <w:sz w:val="24"/>
          <w:szCs w:val="24"/>
        </w:rPr>
        <w:t>et al.,</w:t>
      </w:r>
      <w:r>
        <w:rPr>
          <w:rFonts w:ascii="Times New Roman" w:hAnsi="Times New Roman"/>
          <w:sz w:val="24"/>
          <w:szCs w:val="24"/>
        </w:rPr>
        <w:t xml:space="preserve"> 2023).</w:t>
      </w:r>
    </w:p>
    <w:p w14:paraId="404AFF05" w14:textId="77777777" w:rsidR="00337B86" w:rsidRDefault="00000000">
      <w:pPr>
        <w:spacing w:line="360" w:lineRule="auto"/>
        <w:jc w:val="both"/>
        <w:rPr>
          <w:rFonts w:ascii="Times New Roman" w:hAnsi="Times New Roman"/>
          <w:b/>
          <w:bCs/>
          <w:sz w:val="24"/>
          <w:szCs w:val="24"/>
        </w:rPr>
      </w:pPr>
      <w:bookmarkStart w:id="38" w:name="_Hlk213068474"/>
      <w:r>
        <w:rPr>
          <w:rFonts w:ascii="Times New Roman" w:hAnsi="Times New Roman"/>
          <w:b/>
          <w:bCs/>
          <w:sz w:val="24"/>
          <w:szCs w:val="24"/>
        </w:rPr>
        <w:t>2.6.2 Nigerian Context</w:t>
      </w:r>
    </w:p>
    <w:bookmarkEnd w:id="38"/>
    <w:p w14:paraId="1826327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In Nigeria, pasta products such as Golden Penny (spaghetti), Dangote Spaghetti, Honeywell Noodles, and </w:t>
      </w:r>
      <w:proofErr w:type="spellStart"/>
      <w:r>
        <w:rPr>
          <w:rFonts w:ascii="Times New Roman" w:hAnsi="Times New Roman"/>
          <w:sz w:val="24"/>
          <w:szCs w:val="24"/>
        </w:rPr>
        <w:t>Indomie</w:t>
      </w:r>
      <w:proofErr w:type="spellEnd"/>
      <w:r>
        <w:rPr>
          <w:rFonts w:ascii="Times New Roman" w:hAnsi="Times New Roman"/>
          <w:sz w:val="24"/>
          <w:szCs w:val="24"/>
        </w:rPr>
        <w:t xml:space="preserve"> Instant Noodles are widely consumed across all age groups due to affordability and ease of preparation (Okoye </w:t>
      </w:r>
      <w:r>
        <w:rPr>
          <w:rFonts w:ascii="Times New Roman" w:hAnsi="Times New Roman"/>
          <w:i/>
          <w:iCs/>
          <w:sz w:val="24"/>
          <w:szCs w:val="24"/>
        </w:rPr>
        <w:t>et al.,</w:t>
      </w:r>
      <w:r>
        <w:rPr>
          <w:rFonts w:ascii="Times New Roman" w:hAnsi="Times New Roman"/>
          <w:sz w:val="24"/>
          <w:szCs w:val="24"/>
        </w:rPr>
        <w:t xml:space="preserve"> 2020). Pasta has to a large extent replaced some traditional staples, especially in urban areas. Heavy metal contamination of pasta products in Nigeria is influenced by multiple environmental and industrial factors. Soil contamination arises from industrial emissions, open waste dumping, and the use of untreated wastewater for irrigation </w:t>
      </w:r>
      <w:r>
        <w:rPr>
          <w:rFonts w:ascii="Times New Roman" w:hAnsi="Times New Roman"/>
          <w:sz w:val="24"/>
          <w:szCs w:val="24"/>
        </w:rPr>
        <w:lastRenderedPageBreak/>
        <w:t xml:space="preserve">near farmlands where wheat or cassava is cultivated. Processing contamination can also occur during milling, extrusion, and drying stages due to the use of corroded or poorly maintained machinery. Furthermore, the water quality used in processing contributes to contamination, as some manufacturing facilities rely on untreated groundwater sources containing elevated metal ions. In addition, packaging and storage materials, especially low-grade metallic foils and recycled plastics, may leach toxic metals into pasta during long-term storage or under high-temperature conditions. These combined factors significantly increase the risk of lead, cadmium, mercury, and chromium accumulation in pasta and noodle products marketed in Nigeria (Okoye </w:t>
      </w:r>
      <w:r>
        <w:rPr>
          <w:rFonts w:ascii="Times New Roman" w:hAnsi="Times New Roman"/>
          <w:i/>
          <w:iCs/>
          <w:sz w:val="24"/>
          <w:szCs w:val="24"/>
        </w:rPr>
        <w:t>et al.,</w:t>
      </w:r>
      <w:r>
        <w:rPr>
          <w:rFonts w:ascii="Times New Roman" w:hAnsi="Times New Roman"/>
          <w:sz w:val="24"/>
          <w:szCs w:val="24"/>
        </w:rPr>
        <w:t xml:space="preserve"> 2020; Nnamani </w:t>
      </w:r>
      <w:r>
        <w:rPr>
          <w:rFonts w:ascii="Times New Roman" w:hAnsi="Times New Roman"/>
          <w:i/>
          <w:iCs/>
          <w:sz w:val="24"/>
          <w:szCs w:val="24"/>
        </w:rPr>
        <w:t>et al.,</w:t>
      </w:r>
      <w:r>
        <w:rPr>
          <w:rFonts w:ascii="Times New Roman" w:hAnsi="Times New Roman"/>
          <w:sz w:val="24"/>
          <w:szCs w:val="24"/>
        </w:rPr>
        <w:t xml:space="preserve"> 2021; </w:t>
      </w:r>
      <w:proofErr w:type="spellStart"/>
      <w:r>
        <w:rPr>
          <w:rFonts w:ascii="Times New Roman" w:hAnsi="Times New Roman"/>
          <w:sz w:val="24"/>
          <w:szCs w:val="24"/>
        </w:rPr>
        <w:t>Ihedioha</w:t>
      </w:r>
      <w:proofErr w:type="spellEnd"/>
      <w:r>
        <w:rPr>
          <w:rFonts w:ascii="Times New Roman" w:hAnsi="Times New Roman"/>
          <w:sz w:val="24"/>
          <w:szCs w:val="24"/>
        </w:rPr>
        <w:t xml:space="preserve"> </w:t>
      </w:r>
      <w:r>
        <w:rPr>
          <w:rFonts w:ascii="Times New Roman" w:hAnsi="Times New Roman"/>
          <w:i/>
          <w:iCs/>
          <w:sz w:val="24"/>
          <w:szCs w:val="24"/>
        </w:rPr>
        <w:t>et al.,</w:t>
      </w:r>
      <w:r>
        <w:rPr>
          <w:rFonts w:ascii="Times New Roman" w:hAnsi="Times New Roman"/>
          <w:sz w:val="24"/>
          <w:szCs w:val="24"/>
        </w:rPr>
        <w:t xml:space="preserve"> 2018; Muhammad and Abdulkadir, 2017).</w:t>
      </w:r>
    </w:p>
    <w:p w14:paraId="0C6ADC4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While several Nigerian studies have reported the presence of heavy metals in pasta and noodle products (Nnamani </w:t>
      </w:r>
      <w:r>
        <w:rPr>
          <w:rFonts w:ascii="Times New Roman" w:hAnsi="Times New Roman"/>
          <w:i/>
          <w:iCs/>
          <w:sz w:val="24"/>
          <w:szCs w:val="24"/>
        </w:rPr>
        <w:t>et al.,</w:t>
      </w:r>
      <w:r>
        <w:rPr>
          <w:rFonts w:ascii="Times New Roman" w:hAnsi="Times New Roman"/>
          <w:sz w:val="24"/>
          <w:szCs w:val="24"/>
        </w:rPr>
        <w:t xml:space="preserve"> 2021; Okoye </w:t>
      </w:r>
      <w:r>
        <w:rPr>
          <w:rFonts w:ascii="Times New Roman" w:hAnsi="Times New Roman"/>
          <w:i/>
          <w:iCs/>
          <w:sz w:val="24"/>
          <w:szCs w:val="24"/>
        </w:rPr>
        <w:t>et al.,</w:t>
      </w:r>
      <w:r>
        <w:rPr>
          <w:rFonts w:ascii="Times New Roman" w:hAnsi="Times New Roman"/>
          <w:sz w:val="24"/>
          <w:szCs w:val="24"/>
        </w:rPr>
        <w:t xml:space="preserve"> 2020; Muhammad and Abdulkadir, 2017), most of these investigations were limited to quantifying contamination levels in products sold in major cities without focusing on localized environmental factors. The present study, however, is distinct in that it examines pasta products specifically marketed in Sokoto, explores potential environmental and processing sources of contamination, and provides updated data relevant to ongoing food safety monitoring and regulatory control in Nigeria.</w:t>
      </w:r>
    </w:p>
    <w:p w14:paraId="7A91F3A6" w14:textId="77777777" w:rsidR="00337B86" w:rsidRDefault="00000000">
      <w:pPr>
        <w:spacing w:line="360" w:lineRule="auto"/>
        <w:jc w:val="both"/>
        <w:rPr>
          <w:rFonts w:ascii="Times New Roman" w:hAnsi="Times New Roman"/>
          <w:b/>
          <w:bCs/>
          <w:sz w:val="24"/>
          <w:szCs w:val="24"/>
        </w:rPr>
      </w:pPr>
      <w:bookmarkStart w:id="39" w:name="_Hlk213068493"/>
      <w:r>
        <w:rPr>
          <w:rFonts w:ascii="Times New Roman" w:hAnsi="Times New Roman"/>
          <w:b/>
          <w:bCs/>
          <w:sz w:val="24"/>
          <w:szCs w:val="24"/>
        </w:rPr>
        <w:t>2.7 Analytical Techniques for Determination of Heavy Metals in Food</w:t>
      </w:r>
    </w:p>
    <w:bookmarkEnd w:id="39"/>
    <w:p w14:paraId="4C3D0F4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Accurate detection and quantification of heavy metals in food is essential for ensuring consumer safety and regulatory compliance. Several analytical techniques are employed for this purpose, each with distinct operational principles, advantages, and limitations.</w:t>
      </w:r>
    </w:p>
    <w:p w14:paraId="5D8101A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Among the most widely used is Atomic Absorption Spectroscopy (AAS), which measures the absorption of light by free metallic atoms in a flame or graphite furnace to quantify metals such as lead (Pb), cadmium (Cd), zinc (Zn), copper (Cu), and iron (Fe). AAS is highly sensitive and relatively inexpensive, though it is limited by its ability to detect only one element at a time (Naseer </w:t>
      </w:r>
      <w:r>
        <w:rPr>
          <w:rFonts w:ascii="Times New Roman" w:hAnsi="Times New Roman"/>
          <w:i/>
          <w:iCs/>
          <w:sz w:val="24"/>
          <w:szCs w:val="24"/>
        </w:rPr>
        <w:t>et al.,</w:t>
      </w:r>
      <w:r>
        <w:rPr>
          <w:rFonts w:ascii="Times New Roman" w:hAnsi="Times New Roman"/>
          <w:sz w:val="24"/>
          <w:szCs w:val="24"/>
        </w:rPr>
        <w:t xml:space="preserve"> 2022; Khan </w:t>
      </w:r>
      <w:r>
        <w:rPr>
          <w:rFonts w:ascii="Times New Roman" w:hAnsi="Times New Roman"/>
          <w:i/>
          <w:iCs/>
          <w:sz w:val="24"/>
          <w:szCs w:val="24"/>
        </w:rPr>
        <w:t>et al.,</w:t>
      </w:r>
      <w:r>
        <w:rPr>
          <w:rFonts w:ascii="Times New Roman" w:hAnsi="Times New Roman"/>
          <w:sz w:val="24"/>
          <w:szCs w:val="24"/>
        </w:rPr>
        <w:t xml:space="preserve"> 2023).</w:t>
      </w:r>
    </w:p>
    <w:p w14:paraId="3929F14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Another common technique is Inductively Coupled Plasma Optical Emission Spectroscopy (ICP-OES), which uses plasma excitation to allow simultaneous detection of multiple metals in a single run. It offers higher sensitivity than AAS and is well suited for routine food analysis and environmental monitoring (Zhou </w:t>
      </w:r>
      <w:r>
        <w:rPr>
          <w:rFonts w:ascii="Times New Roman" w:hAnsi="Times New Roman"/>
          <w:i/>
          <w:iCs/>
          <w:sz w:val="24"/>
          <w:szCs w:val="24"/>
        </w:rPr>
        <w:t>et al.,</w:t>
      </w:r>
      <w:r>
        <w:rPr>
          <w:rFonts w:ascii="Times New Roman" w:hAnsi="Times New Roman"/>
          <w:sz w:val="24"/>
          <w:szCs w:val="24"/>
        </w:rPr>
        <w:t xml:space="preserve"> 2021; Chen </w:t>
      </w:r>
      <w:r>
        <w:rPr>
          <w:rFonts w:ascii="Times New Roman" w:hAnsi="Times New Roman"/>
          <w:i/>
          <w:iCs/>
          <w:sz w:val="24"/>
          <w:szCs w:val="24"/>
        </w:rPr>
        <w:t>et al.,</w:t>
      </w:r>
      <w:r>
        <w:rPr>
          <w:rFonts w:ascii="Times New Roman" w:hAnsi="Times New Roman"/>
          <w:sz w:val="24"/>
          <w:szCs w:val="24"/>
        </w:rPr>
        <w:t xml:space="preserve"> 2023).</w:t>
      </w:r>
    </w:p>
    <w:p w14:paraId="19195FA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 xml:space="preserve">Inductively Coupled Plasma Mass Spectrometry (ICP-MS) represents one of the most advanced techniques, capable of detecting trace and ultra-trace concentrations of metals in the parts-per-billion (ppb) and parts-per-trillion (ppt) range. It provides rapid, multi-elemental analysis with excellent precision and is widely regarded as a reference method, although it is costly and requires specialized equipment and expertise (Zhou </w:t>
      </w:r>
      <w:r>
        <w:rPr>
          <w:rFonts w:ascii="Times New Roman" w:hAnsi="Times New Roman"/>
          <w:i/>
          <w:iCs/>
          <w:sz w:val="24"/>
          <w:szCs w:val="24"/>
        </w:rPr>
        <w:t>et al.,</w:t>
      </w:r>
      <w:r>
        <w:rPr>
          <w:rFonts w:ascii="Times New Roman" w:hAnsi="Times New Roman"/>
          <w:sz w:val="24"/>
          <w:szCs w:val="24"/>
        </w:rPr>
        <w:t xml:space="preserve"> 2021; Mandal </w:t>
      </w:r>
      <w:r>
        <w:rPr>
          <w:rFonts w:ascii="Times New Roman" w:hAnsi="Times New Roman"/>
          <w:i/>
          <w:iCs/>
          <w:sz w:val="24"/>
          <w:szCs w:val="24"/>
        </w:rPr>
        <w:t>et al.,</w:t>
      </w:r>
      <w:r>
        <w:rPr>
          <w:rFonts w:ascii="Times New Roman" w:hAnsi="Times New Roman"/>
          <w:sz w:val="24"/>
          <w:szCs w:val="24"/>
        </w:rPr>
        <w:t xml:space="preserve"> 2022).</w:t>
      </w:r>
    </w:p>
    <w:p w14:paraId="7D7721A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In addition, X-Ray Fluorescence (XRF) offers a non-destructive approach to heavy-metal analysis, enabling direct measurement of solid or powdered food samples without digestion. While less sensitive than ICP or AAS, it is valuable for rapid screening and preliminary assessments (Fernández </w:t>
      </w:r>
      <w:r>
        <w:rPr>
          <w:rFonts w:ascii="Times New Roman" w:hAnsi="Times New Roman"/>
          <w:i/>
          <w:iCs/>
          <w:sz w:val="24"/>
          <w:szCs w:val="24"/>
        </w:rPr>
        <w:t>et al.,</w:t>
      </w:r>
      <w:r>
        <w:rPr>
          <w:rFonts w:ascii="Times New Roman" w:hAnsi="Times New Roman"/>
          <w:sz w:val="24"/>
          <w:szCs w:val="24"/>
        </w:rPr>
        <w:t xml:space="preserve"> 2020; Li </w:t>
      </w:r>
      <w:r>
        <w:rPr>
          <w:rFonts w:ascii="Times New Roman" w:hAnsi="Times New Roman"/>
          <w:i/>
          <w:iCs/>
          <w:sz w:val="24"/>
          <w:szCs w:val="24"/>
        </w:rPr>
        <w:t>et al.,</w:t>
      </w:r>
      <w:r>
        <w:rPr>
          <w:rFonts w:ascii="Times New Roman" w:hAnsi="Times New Roman"/>
          <w:sz w:val="24"/>
          <w:szCs w:val="24"/>
        </w:rPr>
        <w:t xml:space="preserve"> 2022).</w:t>
      </w:r>
    </w:p>
    <w:p w14:paraId="5E52959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Finally, UV-Visible Spectrophotometry, often using colorimetric methods, can be applied for preliminary or field-level detection of certain metals through the formation of colored complexes. However, due to its limited sensitivity and selectivity, it is not generally recommended for regulatory testing or trace-level quantification (Sahu </w:t>
      </w:r>
      <w:r>
        <w:rPr>
          <w:rFonts w:ascii="Times New Roman" w:hAnsi="Times New Roman"/>
          <w:i/>
          <w:iCs/>
          <w:sz w:val="24"/>
          <w:szCs w:val="24"/>
        </w:rPr>
        <w:t>et al.,</w:t>
      </w:r>
      <w:r>
        <w:rPr>
          <w:rFonts w:ascii="Times New Roman" w:hAnsi="Times New Roman"/>
          <w:sz w:val="24"/>
          <w:szCs w:val="24"/>
        </w:rPr>
        <w:t xml:space="preserve"> 2021).</w:t>
      </w:r>
    </w:p>
    <w:p w14:paraId="2141122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Together, these instrumental techniques form the backbone of modern analytical chemistry for assessing heavy-metal contamination in food and environmental matrices, with method selection depending on available resources, required detection limits, and analytical objectives.</w:t>
      </w:r>
    </w:p>
    <w:p w14:paraId="58613AC7" w14:textId="77777777" w:rsidR="00337B86" w:rsidRDefault="00000000">
      <w:pPr>
        <w:spacing w:line="360" w:lineRule="auto"/>
        <w:jc w:val="both"/>
        <w:rPr>
          <w:rFonts w:ascii="Times New Roman" w:hAnsi="Times New Roman"/>
          <w:b/>
          <w:bCs/>
          <w:sz w:val="24"/>
          <w:szCs w:val="24"/>
        </w:rPr>
      </w:pPr>
      <w:bookmarkStart w:id="40" w:name="_Hlk213068509"/>
      <w:r>
        <w:rPr>
          <w:rFonts w:ascii="Times New Roman" w:hAnsi="Times New Roman"/>
          <w:b/>
          <w:bCs/>
          <w:sz w:val="24"/>
          <w:szCs w:val="24"/>
        </w:rPr>
        <w:t>2.7.1 Quality Control and Standards</w:t>
      </w:r>
    </w:p>
    <w:bookmarkEnd w:id="40"/>
    <w:p w14:paraId="2518C66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For reliability and accuracy, analytical procedures for heavy metal determination in food must adhere to strict quality control (QC) and quality assurance (QA) measures. These include the use of reagent blanks, certified reference materials (CRMs), calibration standards, and duplicate analyses to verify precision and accuracy of results. Method validation parameters such as linearity, detection limits, recovery, and repeatability are also essential to ensure data integrity. International organizations such as AOAC International and the Codex Alimentarius Commission provide standardized guidelines and performance criteria for analytical method validation and quality control in food analysis (AOAC International, 2022; Codex Alimentarius Commission, 2021; Kwon </w:t>
      </w:r>
      <w:r>
        <w:rPr>
          <w:rFonts w:ascii="Times New Roman" w:hAnsi="Times New Roman"/>
          <w:i/>
          <w:iCs/>
          <w:sz w:val="24"/>
          <w:szCs w:val="24"/>
        </w:rPr>
        <w:t>et al.,</w:t>
      </w:r>
      <w:r>
        <w:rPr>
          <w:rFonts w:ascii="Times New Roman" w:hAnsi="Times New Roman"/>
          <w:sz w:val="24"/>
          <w:szCs w:val="24"/>
        </w:rPr>
        <w:t xml:space="preserve"> 2023).</w:t>
      </w:r>
    </w:p>
    <w:p w14:paraId="427F21CC" w14:textId="77777777" w:rsidR="00337B86" w:rsidRDefault="00337B86">
      <w:pPr>
        <w:spacing w:line="360" w:lineRule="auto"/>
        <w:jc w:val="both"/>
        <w:rPr>
          <w:rFonts w:ascii="Times New Roman" w:hAnsi="Times New Roman"/>
          <w:sz w:val="24"/>
          <w:szCs w:val="24"/>
        </w:rPr>
      </w:pPr>
    </w:p>
    <w:p w14:paraId="22406F8B" w14:textId="77777777" w:rsidR="00337B86" w:rsidRDefault="00337B86">
      <w:pPr>
        <w:spacing w:line="360" w:lineRule="auto"/>
        <w:jc w:val="both"/>
        <w:rPr>
          <w:rFonts w:ascii="Times New Roman" w:hAnsi="Times New Roman"/>
          <w:sz w:val="24"/>
          <w:szCs w:val="24"/>
        </w:rPr>
      </w:pPr>
    </w:p>
    <w:p w14:paraId="1D03F892"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lastRenderedPageBreak/>
        <w:t>Table 2.7: Comparison of Analytical Techniques for Heavy Metal Determination in Foods</w:t>
      </w:r>
    </w:p>
    <w:tbl>
      <w:tblPr>
        <w:tblStyle w:val="TableGrid"/>
        <w:tblW w:w="10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2056"/>
        <w:gridCol w:w="1694"/>
        <w:gridCol w:w="1670"/>
        <w:gridCol w:w="1727"/>
        <w:gridCol w:w="1283"/>
        <w:gridCol w:w="1735"/>
      </w:tblGrid>
      <w:tr w:rsidR="00337B86" w14:paraId="1A83CB76" w14:textId="77777777">
        <w:tc>
          <w:tcPr>
            <w:tcW w:w="1795" w:type="dxa"/>
            <w:tcBorders>
              <w:top w:val="single" w:sz="4" w:space="0" w:color="auto"/>
              <w:bottom w:val="single" w:sz="4" w:space="0" w:color="auto"/>
            </w:tcBorders>
          </w:tcPr>
          <w:p w14:paraId="3C63C10C" w14:textId="77777777" w:rsidR="00337B86" w:rsidRDefault="00000000">
            <w:pPr>
              <w:spacing w:after="0"/>
              <w:jc w:val="both"/>
              <w:rPr>
                <w:rFonts w:ascii="Times New Roman" w:hAnsi="Times New Roman"/>
                <w:sz w:val="24"/>
                <w:szCs w:val="24"/>
              </w:rPr>
            </w:pPr>
            <w:r>
              <w:rPr>
                <w:rFonts w:ascii="Times New Roman" w:hAnsi="Times New Roman"/>
                <w:sz w:val="24"/>
                <w:szCs w:val="24"/>
              </w:rPr>
              <w:t>Techniques</w:t>
            </w:r>
          </w:p>
        </w:tc>
        <w:tc>
          <w:tcPr>
            <w:tcW w:w="1764" w:type="dxa"/>
            <w:tcBorders>
              <w:top w:val="single" w:sz="4" w:space="0" w:color="auto"/>
              <w:bottom w:val="single" w:sz="4" w:space="0" w:color="auto"/>
            </w:tcBorders>
          </w:tcPr>
          <w:p w14:paraId="59F1B230"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Principles </w:t>
            </w:r>
          </w:p>
        </w:tc>
        <w:tc>
          <w:tcPr>
            <w:tcW w:w="1670" w:type="dxa"/>
            <w:tcBorders>
              <w:top w:val="single" w:sz="4" w:space="0" w:color="auto"/>
              <w:bottom w:val="single" w:sz="4" w:space="0" w:color="auto"/>
            </w:tcBorders>
          </w:tcPr>
          <w:p w14:paraId="284DCA8F" w14:textId="77777777" w:rsidR="00337B86" w:rsidRDefault="00000000">
            <w:pPr>
              <w:spacing w:after="0"/>
              <w:jc w:val="both"/>
              <w:rPr>
                <w:rFonts w:ascii="Times New Roman" w:hAnsi="Times New Roman"/>
                <w:sz w:val="24"/>
                <w:szCs w:val="24"/>
              </w:rPr>
            </w:pPr>
            <w:r>
              <w:rPr>
                <w:rFonts w:ascii="Times New Roman" w:hAnsi="Times New Roman"/>
                <w:sz w:val="24"/>
                <w:szCs w:val="24"/>
              </w:rPr>
              <w:t>Common Metals Detected</w:t>
            </w:r>
          </w:p>
        </w:tc>
        <w:tc>
          <w:tcPr>
            <w:tcW w:w="1757" w:type="dxa"/>
            <w:tcBorders>
              <w:top w:val="single" w:sz="4" w:space="0" w:color="auto"/>
              <w:bottom w:val="single" w:sz="4" w:space="0" w:color="auto"/>
            </w:tcBorders>
          </w:tcPr>
          <w:p w14:paraId="4B6091BC"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Advantages </w:t>
            </w:r>
          </w:p>
        </w:tc>
        <w:tc>
          <w:tcPr>
            <w:tcW w:w="1283" w:type="dxa"/>
            <w:tcBorders>
              <w:top w:val="single" w:sz="4" w:space="0" w:color="auto"/>
              <w:bottom w:val="single" w:sz="4" w:space="0" w:color="auto"/>
            </w:tcBorders>
          </w:tcPr>
          <w:p w14:paraId="52C3C591"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Limitation </w:t>
            </w:r>
          </w:p>
        </w:tc>
        <w:tc>
          <w:tcPr>
            <w:tcW w:w="1896" w:type="dxa"/>
            <w:tcBorders>
              <w:top w:val="single" w:sz="4" w:space="0" w:color="auto"/>
              <w:bottom w:val="single" w:sz="4" w:space="0" w:color="auto"/>
            </w:tcBorders>
          </w:tcPr>
          <w:p w14:paraId="3B7F3793"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Reference </w:t>
            </w:r>
          </w:p>
        </w:tc>
      </w:tr>
      <w:tr w:rsidR="00337B86" w14:paraId="054A5B7B" w14:textId="77777777">
        <w:tc>
          <w:tcPr>
            <w:tcW w:w="1795" w:type="dxa"/>
            <w:tcBorders>
              <w:top w:val="single" w:sz="4" w:space="0" w:color="auto"/>
            </w:tcBorders>
          </w:tcPr>
          <w:p w14:paraId="4D21252A" w14:textId="77777777" w:rsidR="00337B86" w:rsidRDefault="00000000">
            <w:pPr>
              <w:spacing w:after="0"/>
              <w:jc w:val="both"/>
              <w:rPr>
                <w:rFonts w:ascii="Times New Roman" w:hAnsi="Times New Roman"/>
                <w:sz w:val="24"/>
                <w:szCs w:val="24"/>
              </w:rPr>
            </w:pPr>
            <w:r>
              <w:rPr>
                <w:rFonts w:ascii="Times New Roman" w:hAnsi="Times New Roman"/>
                <w:sz w:val="24"/>
                <w:szCs w:val="24"/>
              </w:rPr>
              <w:t>Atomic Absorption Spectroscopy (AAS)</w:t>
            </w:r>
          </w:p>
        </w:tc>
        <w:tc>
          <w:tcPr>
            <w:tcW w:w="1764" w:type="dxa"/>
            <w:tcBorders>
              <w:top w:val="single" w:sz="4" w:space="0" w:color="auto"/>
            </w:tcBorders>
          </w:tcPr>
          <w:p w14:paraId="0B9B980C" w14:textId="77777777" w:rsidR="00337B86" w:rsidRDefault="00000000">
            <w:pPr>
              <w:spacing w:after="0"/>
              <w:jc w:val="both"/>
              <w:rPr>
                <w:rFonts w:ascii="Times New Roman" w:hAnsi="Times New Roman"/>
                <w:sz w:val="24"/>
                <w:szCs w:val="24"/>
              </w:rPr>
            </w:pPr>
            <w:r>
              <w:rPr>
                <w:rFonts w:ascii="Times New Roman" w:hAnsi="Times New Roman"/>
                <w:sz w:val="24"/>
                <w:szCs w:val="24"/>
              </w:rPr>
              <w:t>Measures absorption of light by free atoms in flame or graphite furnace</w:t>
            </w:r>
          </w:p>
        </w:tc>
        <w:tc>
          <w:tcPr>
            <w:tcW w:w="1670" w:type="dxa"/>
            <w:tcBorders>
              <w:top w:val="single" w:sz="4" w:space="0" w:color="auto"/>
            </w:tcBorders>
          </w:tcPr>
          <w:p w14:paraId="6B24CB64" w14:textId="77777777" w:rsidR="00337B86" w:rsidRDefault="00000000">
            <w:pPr>
              <w:spacing w:after="0"/>
              <w:jc w:val="both"/>
              <w:rPr>
                <w:rFonts w:ascii="Times New Roman" w:hAnsi="Times New Roman"/>
                <w:sz w:val="24"/>
                <w:szCs w:val="24"/>
              </w:rPr>
            </w:pPr>
            <w:r>
              <w:rPr>
                <w:rFonts w:ascii="Times New Roman" w:hAnsi="Times New Roman"/>
                <w:sz w:val="24"/>
                <w:szCs w:val="24"/>
              </w:rPr>
              <w:t>Pb, Cd, Zn, Fe, Mn, Ni</w:t>
            </w:r>
          </w:p>
        </w:tc>
        <w:tc>
          <w:tcPr>
            <w:tcW w:w="1757" w:type="dxa"/>
            <w:tcBorders>
              <w:top w:val="single" w:sz="4" w:space="0" w:color="auto"/>
            </w:tcBorders>
          </w:tcPr>
          <w:p w14:paraId="7D9B9CA8" w14:textId="77777777" w:rsidR="00337B86" w:rsidRDefault="00000000">
            <w:pPr>
              <w:spacing w:after="0"/>
              <w:jc w:val="both"/>
              <w:rPr>
                <w:rFonts w:ascii="Times New Roman" w:hAnsi="Times New Roman"/>
                <w:sz w:val="24"/>
                <w:szCs w:val="24"/>
              </w:rPr>
            </w:pPr>
            <w:r>
              <w:rPr>
                <w:rFonts w:ascii="Times New Roman" w:hAnsi="Times New Roman"/>
                <w:sz w:val="24"/>
                <w:szCs w:val="24"/>
              </w:rPr>
              <w:t>Simple, relatively low cost, accurate</w:t>
            </w:r>
          </w:p>
        </w:tc>
        <w:tc>
          <w:tcPr>
            <w:tcW w:w="1283" w:type="dxa"/>
            <w:tcBorders>
              <w:top w:val="single" w:sz="4" w:space="0" w:color="auto"/>
            </w:tcBorders>
          </w:tcPr>
          <w:p w14:paraId="55D5D76F" w14:textId="77777777" w:rsidR="00337B86" w:rsidRDefault="00000000">
            <w:pPr>
              <w:spacing w:after="0"/>
              <w:jc w:val="both"/>
              <w:rPr>
                <w:rFonts w:ascii="Times New Roman" w:hAnsi="Times New Roman"/>
                <w:sz w:val="24"/>
                <w:szCs w:val="24"/>
              </w:rPr>
            </w:pPr>
            <w:r>
              <w:rPr>
                <w:rFonts w:ascii="Times New Roman" w:hAnsi="Times New Roman"/>
                <w:sz w:val="24"/>
                <w:szCs w:val="24"/>
              </w:rPr>
              <w:t>Usually one element at a time; requires digestion</w:t>
            </w:r>
          </w:p>
        </w:tc>
        <w:tc>
          <w:tcPr>
            <w:tcW w:w="1896" w:type="dxa"/>
            <w:tcBorders>
              <w:top w:val="single" w:sz="4" w:space="0" w:color="auto"/>
            </w:tcBorders>
          </w:tcPr>
          <w:p w14:paraId="07B6A7A7" w14:textId="77777777" w:rsidR="00337B86" w:rsidRDefault="00000000">
            <w:pPr>
              <w:spacing w:after="0"/>
              <w:jc w:val="both"/>
              <w:rPr>
                <w:rFonts w:ascii="Times New Roman" w:hAnsi="Times New Roman"/>
                <w:sz w:val="24"/>
                <w:szCs w:val="24"/>
              </w:rPr>
            </w:pPr>
            <w:proofErr w:type="spellStart"/>
            <w:r>
              <w:rPr>
                <w:rFonts w:ascii="Times New Roman" w:hAnsi="Times New Roman"/>
                <w:sz w:val="24"/>
                <w:szCs w:val="24"/>
              </w:rPr>
              <w:t>Kawo</w:t>
            </w:r>
            <w:proofErr w:type="spellEnd"/>
            <w:r>
              <w:rPr>
                <w:rFonts w:ascii="Times New Roman" w:hAnsi="Times New Roman"/>
                <w:sz w:val="24"/>
                <w:szCs w:val="24"/>
              </w:rPr>
              <w:t xml:space="preserve"> et al., 2021; Kumar </w:t>
            </w:r>
            <w:r>
              <w:rPr>
                <w:rFonts w:ascii="Times New Roman" w:hAnsi="Times New Roman"/>
                <w:i/>
                <w:iCs/>
                <w:sz w:val="24"/>
                <w:szCs w:val="24"/>
              </w:rPr>
              <w:t xml:space="preserve">et al., </w:t>
            </w:r>
            <w:r>
              <w:rPr>
                <w:rFonts w:ascii="Times New Roman" w:hAnsi="Times New Roman"/>
                <w:sz w:val="24"/>
                <w:szCs w:val="24"/>
              </w:rPr>
              <w:t>2022</w:t>
            </w:r>
          </w:p>
        </w:tc>
      </w:tr>
      <w:tr w:rsidR="00337B86" w14:paraId="47679524" w14:textId="77777777">
        <w:tc>
          <w:tcPr>
            <w:tcW w:w="1795" w:type="dxa"/>
          </w:tcPr>
          <w:p w14:paraId="10A43ECD" w14:textId="77777777" w:rsidR="00337B86" w:rsidRDefault="00000000">
            <w:pPr>
              <w:spacing w:after="0"/>
              <w:jc w:val="both"/>
              <w:rPr>
                <w:rFonts w:ascii="Times New Roman" w:hAnsi="Times New Roman"/>
                <w:sz w:val="24"/>
                <w:szCs w:val="24"/>
              </w:rPr>
            </w:pPr>
            <w:r>
              <w:rPr>
                <w:rFonts w:ascii="Times New Roman" w:hAnsi="Times New Roman"/>
                <w:sz w:val="24"/>
                <w:szCs w:val="24"/>
              </w:rPr>
              <w:t>Inductively Coupled Plasma – Optical Emission Spectroscopy (ICP-OES)</w:t>
            </w:r>
          </w:p>
        </w:tc>
        <w:tc>
          <w:tcPr>
            <w:tcW w:w="1764" w:type="dxa"/>
          </w:tcPr>
          <w:p w14:paraId="0809EC08" w14:textId="77777777" w:rsidR="00337B86" w:rsidRDefault="00000000">
            <w:pPr>
              <w:spacing w:after="0"/>
              <w:jc w:val="both"/>
              <w:rPr>
                <w:rFonts w:ascii="Times New Roman" w:hAnsi="Times New Roman"/>
                <w:sz w:val="24"/>
                <w:szCs w:val="24"/>
              </w:rPr>
            </w:pPr>
            <w:r>
              <w:rPr>
                <w:rFonts w:ascii="Times New Roman" w:hAnsi="Times New Roman"/>
                <w:sz w:val="24"/>
                <w:szCs w:val="24"/>
              </w:rPr>
              <w:t>Excitation of atoms/ions in plasma, emission at characteristic wavelengths</w:t>
            </w:r>
          </w:p>
        </w:tc>
        <w:tc>
          <w:tcPr>
            <w:tcW w:w="1670" w:type="dxa"/>
          </w:tcPr>
          <w:p w14:paraId="7FB0B32A" w14:textId="77777777" w:rsidR="00337B86" w:rsidRDefault="00000000">
            <w:pPr>
              <w:spacing w:after="0"/>
              <w:jc w:val="both"/>
              <w:rPr>
                <w:rFonts w:ascii="Times New Roman" w:hAnsi="Times New Roman"/>
                <w:sz w:val="24"/>
                <w:szCs w:val="24"/>
              </w:rPr>
            </w:pPr>
            <w:r>
              <w:rPr>
                <w:rFonts w:ascii="Times New Roman" w:hAnsi="Times New Roman"/>
                <w:sz w:val="24"/>
                <w:szCs w:val="24"/>
              </w:rPr>
              <w:t>Multiple metals simultaneously (Pb, Cd, As, Cr, Ni, etc.)</w:t>
            </w:r>
          </w:p>
        </w:tc>
        <w:tc>
          <w:tcPr>
            <w:tcW w:w="1757" w:type="dxa"/>
          </w:tcPr>
          <w:p w14:paraId="38D63E4E" w14:textId="77777777" w:rsidR="00337B86" w:rsidRDefault="00000000">
            <w:pPr>
              <w:spacing w:after="0"/>
              <w:jc w:val="both"/>
              <w:rPr>
                <w:rFonts w:ascii="Times New Roman" w:hAnsi="Times New Roman"/>
                <w:sz w:val="24"/>
                <w:szCs w:val="24"/>
              </w:rPr>
            </w:pPr>
            <w:r>
              <w:rPr>
                <w:rFonts w:ascii="Times New Roman" w:hAnsi="Times New Roman"/>
                <w:sz w:val="24"/>
                <w:szCs w:val="24"/>
              </w:rPr>
              <w:t>Multielement capability, high sensitivity, good reproducibility</w:t>
            </w:r>
          </w:p>
        </w:tc>
        <w:tc>
          <w:tcPr>
            <w:tcW w:w="1283" w:type="dxa"/>
          </w:tcPr>
          <w:p w14:paraId="0E210D7B" w14:textId="77777777" w:rsidR="00337B86" w:rsidRDefault="00000000">
            <w:pPr>
              <w:spacing w:after="0"/>
              <w:jc w:val="both"/>
              <w:rPr>
                <w:rFonts w:ascii="Times New Roman" w:hAnsi="Times New Roman"/>
                <w:sz w:val="24"/>
                <w:szCs w:val="24"/>
              </w:rPr>
            </w:pPr>
            <w:r>
              <w:rPr>
                <w:rFonts w:ascii="Times New Roman" w:hAnsi="Times New Roman"/>
                <w:sz w:val="24"/>
                <w:szCs w:val="24"/>
              </w:rPr>
              <w:t>More expensive than AAS, requires trained personnel</w:t>
            </w:r>
          </w:p>
        </w:tc>
        <w:tc>
          <w:tcPr>
            <w:tcW w:w="1896" w:type="dxa"/>
          </w:tcPr>
          <w:p w14:paraId="250EE4AD"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Khan </w:t>
            </w:r>
            <w:r>
              <w:rPr>
                <w:rFonts w:ascii="Times New Roman" w:hAnsi="Times New Roman"/>
                <w:i/>
                <w:iCs/>
                <w:sz w:val="24"/>
                <w:szCs w:val="24"/>
              </w:rPr>
              <w:t>et al.,</w:t>
            </w:r>
            <w:r>
              <w:rPr>
                <w:rFonts w:ascii="Times New Roman" w:hAnsi="Times New Roman"/>
                <w:sz w:val="24"/>
                <w:szCs w:val="24"/>
              </w:rPr>
              <w:t xml:space="preserve"> 2023; Chen </w:t>
            </w:r>
            <w:r>
              <w:rPr>
                <w:rFonts w:ascii="Times New Roman" w:hAnsi="Times New Roman"/>
                <w:i/>
                <w:iCs/>
                <w:sz w:val="24"/>
                <w:szCs w:val="24"/>
              </w:rPr>
              <w:t>et al.,</w:t>
            </w:r>
            <w:r>
              <w:rPr>
                <w:rFonts w:ascii="Times New Roman" w:hAnsi="Times New Roman"/>
                <w:sz w:val="24"/>
                <w:szCs w:val="24"/>
              </w:rPr>
              <w:t xml:space="preserve"> 2022</w:t>
            </w:r>
          </w:p>
        </w:tc>
      </w:tr>
      <w:tr w:rsidR="00337B86" w14:paraId="66D1DCAF" w14:textId="77777777">
        <w:tc>
          <w:tcPr>
            <w:tcW w:w="1795" w:type="dxa"/>
          </w:tcPr>
          <w:p w14:paraId="6BD16D2D" w14:textId="77777777" w:rsidR="00337B86" w:rsidRDefault="00000000">
            <w:pPr>
              <w:spacing w:after="0"/>
              <w:jc w:val="both"/>
              <w:rPr>
                <w:rFonts w:ascii="Times New Roman" w:hAnsi="Times New Roman"/>
                <w:sz w:val="24"/>
                <w:szCs w:val="24"/>
              </w:rPr>
            </w:pPr>
            <w:r>
              <w:rPr>
                <w:rFonts w:ascii="Times New Roman" w:hAnsi="Times New Roman"/>
                <w:sz w:val="24"/>
                <w:szCs w:val="24"/>
              </w:rPr>
              <w:t>Inductively Coupled Plasma – Mass Spectrometry (ICP-MS)</w:t>
            </w:r>
          </w:p>
        </w:tc>
        <w:tc>
          <w:tcPr>
            <w:tcW w:w="1764" w:type="dxa"/>
          </w:tcPr>
          <w:p w14:paraId="5C565527" w14:textId="77777777" w:rsidR="00337B86" w:rsidRDefault="00000000">
            <w:pPr>
              <w:spacing w:after="0"/>
              <w:jc w:val="both"/>
              <w:rPr>
                <w:rFonts w:ascii="Times New Roman" w:hAnsi="Times New Roman"/>
                <w:sz w:val="24"/>
                <w:szCs w:val="24"/>
              </w:rPr>
            </w:pPr>
            <w:r>
              <w:rPr>
                <w:rFonts w:ascii="Times New Roman" w:hAnsi="Times New Roman"/>
                <w:sz w:val="24"/>
                <w:szCs w:val="24"/>
              </w:rPr>
              <w:t>Ionization in plasma, separation by mass spectrometer</w:t>
            </w:r>
            <w:r>
              <w:rPr>
                <w:rFonts w:ascii="Times New Roman" w:hAnsi="Times New Roman"/>
                <w:sz w:val="24"/>
                <w:szCs w:val="24"/>
              </w:rPr>
              <w:tab/>
            </w:r>
          </w:p>
        </w:tc>
        <w:tc>
          <w:tcPr>
            <w:tcW w:w="1670" w:type="dxa"/>
          </w:tcPr>
          <w:p w14:paraId="770D921B" w14:textId="77777777" w:rsidR="00337B86" w:rsidRDefault="00000000">
            <w:pPr>
              <w:spacing w:after="0"/>
              <w:jc w:val="both"/>
              <w:rPr>
                <w:rFonts w:ascii="Times New Roman" w:hAnsi="Times New Roman"/>
                <w:sz w:val="24"/>
                <w:szCs w:val="24"/>
              </w:rPr>
            </w:pPr>
            <w:r>
              <w:rPr>
                <w:rFonts w:ascii="Times New Roman" w:hAnsi="Times New Roman"/>
                <w:sz w:val="24"/>
                <w:szCs w:val="24"/>
              </w:rPr>
              <w:t>Ultra-trace detection of almost all metals (including toxic ones)</w:t>
            </w:r>
          </w:p>
        </w:tc>
        <w:tc>
          <w:tcPr>
            <w:tcW w:w="1757" w:type="dxa"/>
          </w:tcPr>
          <w:p w14:paraId="5EAB06F3" w14:textId="77777777" w:rsidR="00337B86" w:rsidRDefault="00000000">
            <w:pPr>
              <w:spacing w:after="0"/>
              <w:jc w:val="both"/>
              <w:rPr>
                <w:rFonts w:ascii="Times New Roman" w:hAnsi="Times New Roman"/>
                <w:sz w:val="24"/>
                <w:szCs w:val="24"/>
              </w:rPr>
            </w:pPr>
            <w:r>
              <w:rPr>
                <w:rFonts w:ascii="Times New Roman" w:hAnsi="Times New Roman"/>
                <w:sz w:val="24"/>
                <w:szCs w:val="24"/>
              </w:rPr>
              <w:t>Extremely sensitive, multielement detection, isotopic analysis possible</w:t>
            </w:r>
          </w:p>
        </w:tc>
        <w:tc>
          <w:tcPr>
            <w:tcW w:w="1283" w:type="dxa"/>
          </w:tcPr>
          <w:p w14:paraId="62367CE7" w14:textId="77777777" w:rsidR="00337B86" w:rsidRDefault="00000000">
            <w:pPr>
              <w:spacing w:after="0"/>
              <w:jc w:val="both"/>
              <w:rPr>
                <w:rFonts w:ascii="Times New Roman" w:hAnsi="Times New Roman"/>
                <w:sz w:val="24"/>
                <w:szCs w:val="24"/>
              </w:rPr>
            </w:pPr>
            <w:r>
              <w:rPr>
                <w:rFonts w:ascii="Times New Roman" w:hAnsi="Times New Roman"/>
                <w:sz w:val="24"/>
                <w:szCs w:val="24"/>
              </w:rPr>
              <w:t>Very expensive, requires specialized lab and expertise</w:t>
            </w:r>
          </w:p>
        </w:tc>
        <w:tc>
          <w:tcPr>
            <w:tcW w:w="1896" w:type="dxa"/>
          </w:tcPr>
          <w:p w14:paraId="5F62A7F2"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Li </w:t>
            </w:r>
            <w:r>
              <w:rPr>
                <w:rFonts w:ascii="Times New Roman" w:hAnsi="Times New Roman"/>
                <w:i/>
                <w:iCs/>
                <w:sz w:val="24"/>
                <w:szCs w:val="24"/>
              </w:rPr>
              <w:t>et al.,</w:t>
            </w:r>
            <w:r>
              <w:rPr>
                <w:rFonts w:ascii="Times New Roman" w:hAnsi="Times New Roman"/>
                <w:sz w:val="24"/>
                <w:szCs w:val="24"/>
              </w:rPr>
              <w:t xml:space="preserve"> 2023; Zhang </w:t>
            </w:r>
            <w:r>
              <w:rPr>
                <w:rFonts w:ascii="Times New Roman" w:hAnsi="Times New Roman"/>
                <w:i/>
                <w:iCs/>
                <w:sz w:val="24"/>
                <w:szCs w:val="24"/>
              </w:rPr>
              <w:t>et al</w:t>
            </w:r>
            <w:r>
              <w:rPr>
                <w:rFonts w:ascii="Times New Roman" w:hAnsi="Times New Roman"/>
                <w:sz w:val="24"/>
                <w:szCs w:val="24"/>
              </w:rPr>
              <w:t>., 2021</w:t>
            </w:r>
          </w:p>
        </w:tc>
      </w:tr>
      <w:tr w:rsidR="00337B86" w14:paraId="4DE2E1C8" w14:textId="77777777">
        <w:tc>
          <w:tcPr>
            <w:tcW w:w="1795" w:type="dxa"/>
          </w:tcPr>
          <w:p w14:paraId="1C0C0363"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X-RAY </w:t>
            </w:r>
            <w:proofErr w:type="spellStart"/>
            <w:r>
              <w:rPr>
                <w:rFonts w:ascii="Times New Roman" w:hAnsi="Times New Roman"/>
                <w:sz w:val="24"/>
                <w:szCs w:val="24"/>
              </w:rPr>
              <w:t>Flourescence</w:t>
            </w:r>
            <w:proofErr w:type="spellEnd"/>
            <w:r>
              <w:rPr>
                <w:rFonts w:ascii="Times New Roman" w:hAnsi="Times New Roman"/>
                <w:sz w:val="24"/>
                <w:szCs w:val="24"/>
              </w:rPr>
              <w:t xml:space="preserve"> (XRF)</w:t>
            </w:r>
          </w:p>
        </w:tc>
        <w:tc>
          <w:tcPr>
            <w:tcW w:w="1764" w:type="dxa"/>
          </w:tcPr>
          <w:p w14:paraId="13EAB054" w14:textId="77777777" w:rsidR="00337B86" w:rsidRDefault="00000000">
            <w:pPr>
              <w:spacing w:after="0"/>
              <w:jc w:val="both"/>
              <w:rPr>
                <w:rFonts w:ascii="Times New Roman" w:hAnsi="Times New Roman"/>
                <w:sz w:val="24"/>
                <w:szCs w:val="24"/>
              </w:rPr>
            </w:pPr>
            <w:r>
              <w:rPr>
                <w:rFonts w:ascii="Times New Roman" w:hAnsi="Times New Roman"/>
                <w:sz w:val="24"/>
                <w:szCs w:val="24"/>
              </w:rPr>
              <w:t>Measures secondary X-rays emitted by elements when excited by primary X-rays</w:t>
            </w:r>
          </w:p>
        </w:tc>
        <w:tc>
          <w:tcPr>
            <w:tcW w:w="1670" w:type="dxa"/>
          </w:tcPr>
          <w:p w14:paraId="2D7B454F"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Pb, Cd, Cr, Ni, </w:t>
            </w:r>
            <w:proofErr w:type="gramStart"/>
            <w:r>
              <w:rPr>
                <w:rFonts w:ascii="Times New Roman" w:hAnsi="Times New Roman"/>
                <w:sz w:val="24"/>
                <w:szCs w:val="24"/>
              </w:rPr>
              <w:t>As</w:t>
            </w:r>
            <w:proofErr w:type="gramEnd"/>
          </w:p>
        </w:tc>
        <w:tc>
          <w:tcPr>
            <w:tcW w:w="1757" w:type="dxa"/>
          </w:tcPr>
          <w:p w14:paraId="6D1EA36A" w14:textId="77777777" w:rsidR="00337B86" w:rsidRDefault="00000000">
            <w:pPr>
              <w:spacing w:after="0"/>
              <w:jc w:val="both"/>
              <w:rPr>
                <w:rFonts w:ascii="Times New Roman" w:hAnsi="Times New Roman"/>
                <w:sz w:val="24"/>
                <w:szCs w:val="24"/>
              </w:rPr>
            </w:pPr>
            <w:r>
              <w:rPr>
                <w:rFonts w:ascii="Times New Roman" w:hAnsi="Times New Roman"/>
                <w:sz w:val="24"/>
                <w:szCs w:val="24"/>
              </w:rPr>
              <w:t>Non-destructive, rapid, minimal sample preparation</w:t>
            </w:r>
          </w:p>
        </w:tc>
        <w:tc>
          <w:tcPr>
            <w:tcW w:w="1283" w:type="dxa"/>
          </w:tcPr>
          <w:p w14:paraId="4B7010CB" w14:textId="77777777" w:rsidR="00337B86" w:rsidRDefault="00000000">
            <w:pPr>
              <w:spacing w:after="0"/>
              <w:jc w:val="both"/>
              <w:rPr>
                <w:rFonts w:ascii="Times New Roman" w:hAnsi="Times New Roman"/>
                <w:sz w:val="24"/>
                <w:szCs w:val="24"/>
              </w:rPr>
            </w:pPr>
            <w:r>
              <w:rPr>
                <w:rFonts w:ascii="Times New Roman" w:hAnsi="Times New Roman"/>
                <w:sz w:val="24"/>
                <w:szCs w:val="24"/>
              </w:rPr>
              <w:t>Lower sensitivity, less suitable for trace levels</w:t>
            </w:r>
          </w:p>
        </w:tc>
        <w:tc>
          <w:tcPr>
            <w:tcW w:w="1896" w:type="dxa"/>
          </w:tcPr>
          <w:p w14:paraId="25411C2E" w14:textId="77777777" w:rsidR="00337B86" w:rsidRDefault="00000000">
            <w:pPr>
              <w:spacing w:after="0"/>
              <w:jc w:val="both"/>
              <w:rPr>
                <w:rFonts w:ascii="Times New Roman" w:hAnsi="Times New Roman"/>
                <w:sz w:val="24"/>
                <w:szCs w:val="24"/>
              </w:rPr>
            </w:pPr>
            <w:proofErr w:type="spellStart"/>
            <w:r>
              <w:rPr>
                <w:rFonts w:ascii="Times New Roman" w:hAnsi="Times New Roman"/>
                <w:sz w:val="24"/>
                <w:szCs w:val="24"/>
              </w:rPr>
              <w:t>Ogunkunle</w:t>
            </w:r>
            <w:proofErr w:type="spellEnd"/>
            <w:r>
              <w:rPr>
                <w:rFonts w:ascii="Times New Roman" w:hAnsi="Times New Roman"/>
                <w:sz w:val="24"/>
                <w:szCs w:val="24"/>
              </w:rPr>
              <w:t xml:space="preserve"> &amp; </w:t>
            </w:r>
            <w:proofErr w:type="spellStart"/>
            <w:r>
              <w:rPr>
                <w:rFonts w:ascii="Times New Roman" w:hAnsi="Times New Roman"/>
                <w:sz w:val="24"/>
                <w:szCs w:val="24"/>
              </w:rPr>
              <w:t>Fatoba</w:t>
            </w:r>
            <w:proofErr w:type="spellEnd"/>
            <w:r>
              <w:rPr>
                <w:rFonts w:ascii="Times New Roman" w:hAnsi="Times New Roman"/>
                <w:sz w:val="24"/>
                <w:szCs w:val="24"/>
              </w:rPr>
              <w:t xml:space="preserve">, 2021; Musa </w:t>
            </w:r>
            <w:r>
              <w:rPr>
                <w:rFonts w:ascii="Times New Roman" w:hAnsi="Times New Roman"/>
                <w:i/>
                <w:iCs/>
                <w:sz w:val="24"/>
                <w:szCs w:val="24"/>
              </w:rPr>
              <w:t>et al.,</w:t>
            </w:r>
            <w:r>
              <w:rPr>
                <w:rFonts w:ascii="Times New Roman" w:hAnsi="Times New Roman"/>
                <w:sz w:val="24"/>
                <w:szCs w:val="24"/>
              </w:rPr>
              <w:t xml:space="preserve"> 2022</w:t>
            </w:r>
          </w:p>
        </w:tc>
      </w:tr>
      <w:tr w:rsidR="00337B86" w14:paraId="5144E5F8" w14:textId="77777777">
        <w:tc>
          <w:tcPr>
            <w:tcW w:w="1795" w:type="dxa"/>
            <w:tcBorders>
              <w:bottom w:val="single" w:sz="4" w:space="0" w:color="auto"/>
            </w:tcBorders>
          </w:tcPr>
          <w:p w14:paraId="13FCA407" w14:textId="77777777" w:rsidR="00337B86" w:rsidRDefault="00000000">
            <w:pPr>
              <w:spacing w:after="0"/>
              <w:jc w:val="both"/>
              <w:rPr>
                <w:rFonts w:ascii="Times New Roman" w:hAnsi="Times New Roman"/>
                <w:sz w:val="24"/>
                <w:szCs w:val="24"/>
              </w:rPr>
            </w:pPr>
            <w:r>
              <w:rPr>
                <w:rFonts w:ascii="Times New Roman" w:hAnsi="Times New Roman"/>
                <w:sz w:val="24"/>
                <w:szCs w:val="24"/>
              </w:rPr>
              <w:t>UV-Visible Spectrophotometry (Colorimetric methods)</w:t>
            </w:r>
          </w:p>
        </w:tc>
        <w:tc>
          <w:tcPr>
            <w:tcW w:w="1764" w:type="dxa"/>
            <w:tcBorders>
              <w:bottom w:val="single" w:sz="4" w:space="0" w:color="auto"/>
            </w:tcBorders>
          </w:tcPr>
          <w:p w14:paraId="5E2D695F" w14:textId="77777777" w:rsidR="00337B86" w:rsidRDefault="00000000">
            <w:pPr>
              <w:spacing w:after="0"/>
              <w:jc w:val="both"/>
              <w:rPr>
                <w:rFonts w:ascii="Times New Roman" w:hAnsi="Times New Roman"/>
                <w:sz w:val="24"/>
                <w:szCs w:val="24"/>
              </w:rPr>
            </w:pPr>
            <w:r>
              <w:rPr>
                <w:rFonts w:ascii="Times New Roman" w:hAnsi="Times New Roman"/>
                <w:sz w:val="24"/>
                <w:szCs w:val="24"/>
              </w:rPr>
              <w:t>Formation of colored complexes with specific reagents, absorbance measured</w:t>
            </w:r>
          </w:p>
        </w:tc>
        <w:tc>
          <w:tcPr>
            <w:tcW w:w="1670" w:type="dxa"/>
            <w:tcBorders>
              <w:bottom w:val="single" w:sz="4" w:space="0" w:color="auto"/>
            </w:tcBorders>
          </w:tcPr>
          <w:p w14:paraId="0F3050A2" w14:textId="77777777" w:rsidR="00337B86" w:rsidRDefault="00000000">
            <w:pPr>
              <w:spacing w:after="0"/>
              <w:jc w:val="both"/>
              <w:rPr>
                <w:rFonts w:ascii="Times New Roman" w:hAnsi="Times New Roman"/>
                <w:sz w:val="24"/>
                <w:szCs w:val="24"/>
              </w:rPr>
            </w:pPr>
            <w:r>
              <w:rPr>
                <w:rFonts w:ascii="Times New Roman" w:hAnsi="Times New Roman"/>
                <w:sz w:val="24"/>
                <w:szCs w:val="24"/>
              </w:rPr>
              <w:t>Pb, Cr, Fe (with suitable reagents)</w:t>
            </w:r>
          </w:p>
        </w:tc>
        <w:tc>
          <w:tcPr>
            <w:tcW w:w="1757" w:type="dxa"/>
            <w:tcBorders>
              <w:bottom w:val="single" w:sz="4" w:space="0" w:color="auto"/>
            </w:tcBorders>
          </w:tcPr>
          <w:p w14:paraId="4B9218A3" w14:textId="77777777" w:rsidR="00337B86" w:rsidRDefault="00000000">
            <w:pPr>
              <w:spacing w:after="0"/>
              <w:jc w:val="both"/>
              <w:rPr>
                <w:rFonts w:ascii="Times New Roman" w:hAnsi="Times New Roman"/>
                <w:sz w:val="24"/>
                <w:szCs w:val="24"/>
              </w:rPr>
            </w:pPr>
            <w:r>
              <w:rPr>
                <w:rFonts w:ascii="Times New Roman" w:hAnsi="Times New Roman"/>
                <w:sz w:val="24"/>
                <w:szCs w:val="24"/>
              </w:rPr>
              <w:t>Inexpensive, simple equipment, useful for field analysis</w:t>
            </w:r>
          </w:p>
        </w:tc>
        <w:tc>
          <w:tcPr>
            <w:tcW w:w="1283" w:type="dxa"/>
            <w:tcBorders>
              <w:bottom w:val="single" w:sz="4" w:space="0" w:color="auto"/>
            </w:tcBorders>
          </w:tcPr>
          <w:p w14:paraId="3EC8117D" w14:textId="77777777" w:rsidR="00337B86" w:rsidRDefault="00000000">
            <w:pPr>
              <w:spacing w:after="0"/>
              <w:jc w:val="both"/>
              <w:rPr>
                <w:rFonts w:ascii="Times New Roman" w:hAnsi="Times New Roman"/>
                <w:sz w:val="24"/>
                <w:szCs w:val="24"/>
              </w:rPr>
            </w:pPr>
            <w:r>
              <w:rPr>
                <w:rFonts w:ascii="Times New Roman" w:hAnsi="Times New Roman"/>
                <w:sz w:val="24"/>
                <w:szCs w:val="24"/>
              </w:rPr>
              <w:t>Less accurate, poor sensitivity, limited range of metals</w:t>
            </w:r>
          </w:p>
        </w:tc>
        <w:tc>
          <w:tcPr>
            <w:tcW w:w="1896" w:type="dxa"/>
            <w:tcBorders>
              <w:bottom w:val="single" w:sz="4" w:space="0" w:color="auto"/>
            </w:tcBorders>
          </w:tcPr>
          <w:p w14:paraId="1C53ADF2" w14:textId="77777777" w:rsidR="00337B86" w:rsidRDefault="00000000">
            <w:pPr>
              <w:spacing w:after="0"/>
              <w:jc w:val="both"/>
              <w:rPr>
                <w:rFonts w:ascii="Times New Roman" w:hAnsi="Times New Roman"/>
                <w:sz w:val="24"/>
                <w:szCs w:val="24"/>
              </w:rPr>
            </w:pPr>
            <w:r>
              <w:rPr>
                <w:rFonts w:ascii="Times New Roman" w:hAnsi="Times New Roman"/>
                <w:sz w:val="24"/>
                <w:szCs w:val="24"/>
              </w:rPr>
              <w:t xml:space="preserve">Adeyeye </w:t>
            </w:r>
            <w:r>
              <w:rPr>
                <w:rFonts w:ascii="Times New Roman" w:hAnsi="Times New Roman"/>
                <w:i/>
                <w:iCs/>
                <w:sz w:val="24"/>
                <w:szCs w:val="24"/>
              </w:rPr>
              <w:t>et al.,</w:t>
            </w:r>
            <w:r>
              <w:rPr>
                <w:rFonts w:ascii="Times New Roman" w:hAnsi="Times New Roman"/>
                <w:sz w:val="24"/>
                <w:szCs w:val="24"/>
              </w:rPr>
              <w:t xml:space="preserve"> 2022; Singh and Verma, 2020</w:t>
            </w:r>
          </w:p>
        </w:tc>
      </w:tr>
    </w:tbl>
    <w:p w14:paraId="5B3738C1" w14:textId="77777777" w:rsidR="00337B86" w:rsidRDefault="00337B86">
      <w:pPr>
        <w:spacing w:line="360" w:lineRule="auto"/>
        <w:jc w:val="both"/>
        <w:rPr>
          <w:rFonts w:ascii="Times New Roman" w:hAnsi="Times New Roman"/>
          <w:sz w:val="24"/>
          <w:szCs w:val="24"/>
        </w:rPr>
      </w:pPr>
    </w:p>
    <w:p w14:paraId="70891FE6" w14:textId="77777777" w:rsidR="00337B86" w:rsidRDefault="00337B86">
      <w:pPr>
        <w:spacing w:line="360" w:lineRule="auto"/>
        <w:jc w:val="both"/>
        <w:rPr>
          <w:rFonts w:ascii="Times New Roman" w:hAnsi="Times New Roman"/>
          <w:b/>
          <w:bCs/>
          <w:sz w:val="24"/>
          <w:szCs w:val="24"/>
        </w:rPr>
      </w:pPr>
    </w:p>
    <w:p w14:paraId="5799A7F3" w14:textId="77777777" w:rsidR="00337B86" w:rsidRDefault="00000000">
      <w:pPr>
        <w:spacing w:line="360" w:lineRule="auto"/>
        <w:jc w:val="both"/>
        <w:rPr>
          <w:rFonts w:ascii="Times New Roman" w:hAnsi="Times New Roman"/>
          <w:b/>
          <w:bCs/>
          <w:sz w:val="24"/>
          <w:szCs w:val="24"/>
        </w:rPr>
      </w:pPr>
      <w:bookmarkStart w:id="41" w:name="_Hlk213068639"/>
      <w:r>
        <w:rPr>
          <w:rFonts w:ascii="Times New Roman" w:hAnsi="Times New Roman"/>
          <w:b/>
          <w:bCs/>
          <w:sz w:val="24"/>
          <w:szCs w:val="24"/>
        </w:rPr>
        <w:lastRenderedPageBreak/>
        <w:t>2.8 Health Impacts of Heavy Metal Exposure</w:t>
      </w:r>
    </w:p>
    <w:bookmarkEnd w:id="41"/>
    <w:p w14:paraId="3CCCF69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Heavy metals pose serious health hazards due to their toxic, persistent, and </w:t>
      </w:r>
      <w:proofErr w:type="spellStart"/>
      <w:r>
        <w:rPr>
          <w:rFonts w:ascii="Times New Roman" w:hAnsi="Times New Roman"/>
          <w:sz w:val="24"/>
          <w:szCs w:val="24"/>
        </w:rPr>
        <w:t>bioaccumulative</w:t>
      </w:r>
      <w:proofErr w:type="spellEnd"/>
      <w:r>
        <w:rPr>
          <w:rFonts w:ascii="Times New Roman" w:hAnsi="Times New Roman"/>
          <w:sz w:val="24"/>
          <w:szCs w:val="24"/>
        </w:rPr>
        <w:t xml:space="preserve"> nature. Unlike organic contaminants, they are non-biodegradable and tend to accumulate in vital organs and tissues, leading to long-term health effects even at low concentrations. The severity of their impact depends on the type of metal, exposure duration, dosage, and individual susceptibility. Continuous exposure to these metals through food, water, and air can result in chronic toxicity, making them a major public health concern (World Health Organization [WHO], 2021; Kumar </w:t>
      </w:r>
      <w:r>
        <w:rPr>
          <w:rFonts w:ascii="Times New Roman" w:hAnsi="Times New Roman"/>
          <w:i/>
          <w:iCs/>
          <w:sz w:val="24"/>
          <w:szCs w:val="24"/>
        </w:rPr>
        <w:t xml:space="preserve">et al., </w:t>
      </w:r>
      <w:r>
        <w:rPr>
          <w:rFonts w:ascii="Times New Roman" w:hAnsi="Times New Roman"/>
          <w:sz w:val="24"/>
          <w:szCs w:val="24"/>
        </w:rPr>
        <w:t>2023).</w:t>
      </w:r>
    </w:p>
    <w:p w14:paraId="1E1D96A4" w14:textId="77777777" w:rsidR="00337B86" w:rsidRDefault="00000000">
      <w:pPr>
        <w:spacing w:line="360" w:lineRule="auto"/>
        <w:jc w:val="both"/>
        <w:rPr>
          <w:rFonts w:ascii="Times New Roman" w:hAnsi="Times New Roman"/>
          <w:b/>
          <w:bCs/>
          <w:sz w:val="24"/>
          <w:szCs w:val="24"/>
        </w:rPr>
      </w:pPr>
      <w:bookmarkStart w:id="42" w:name="_Hlk213068681"/>
      <w:r>
        <w:rPr>
          <w:rFonts w:ascii="Times New Roman" w:hAnsi="Times New Roman"/>
          <w:b/>
          <w:bCs/>
          <w:sz w:val="24"/>
          <w:szCs w:val="24"/>
        </w:rPr>
        <w:t>2.8.1 Lead (Pb)</w:t>
      </w:r>
    </w:p>
    <w:bookmarkEnd w:id="42"/>
    <w:p w14:paraId="7028CE7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Lead is a highly toxic metal that interferes with various physiological processes, particularly enzyme function and calcium metabolism. Its toxicity primarily affects the nervous system, causing neurological impairments such as memory loss, reduced intelligence quotient (IQ) in children, and learning difficulties. Prolonged exposure may also lead to kidney damage, anemia, and hypertension. Pregnant women and children are particularly vulnerable because lead can cross the placenta, thereby affecting fetal brain development and growth (WHO, 2021; Zhang </w:t>
      </w:r>
      <w:r>
        <w:rPr>
          <w:rFonts w:ascii="Times New Roman" w:hAnsi="Times New Roman"/>
          <w:i/>
          <w:iCs/>
          <w:sz w:val="24"/>
          <w:szCs w:val="24"/>
        </w:rPr>
        <w:t>et al</w:t>
      </w:r>
      <w:r>
        <w:rPr>
          <w:rFonts w:ascii="Times New Roman" w:hAnsi="Times New Roman"/>
          <w:sz w:val="24"/>
          <w:szCs w:val="24"/>
        </w:rPr>
        <w:t>., 2022).</w:t>
      </w:r>
    </w:p>
    <w:p w14:paraId="6886AB76" w14:textId="77777777" w:rsidR="00337B86" w:rsidRDefault="00000000">
      <w:pPr>
        <w:spacing w:line="360" w:lineRule="auto"/>
        <w:jc w:val="both"/>
        <w:rPr>
          <w:rFonts w:ascii="Times New Roman" w:hAnsi="Times New Roman"/>
          <w:b/>
          <w:bCs/>
          <w:sz w:val="24"/>
          <w:szCs w:val="24"/>
        </w:rPr>
      </w:pPr>
      <w:bookmarkStart w:id="43" w:name="_Hlk213068700"/>
      <w:r>
        <w:rPr>
          <w:rFonts w:ascii="Times New Roman" w:hAnsi="Times New Roman"/>
          <w:b/>
          <w:bCs/>
          <w:sz w:val="24"/>
          <w:szCs w:val="24"/>
        </w:rPr>
        <w:t>2.8.2 Cadmium (Cd)</w:t>
      </w:r>
    </w:p>
    <w:bookmarkEnd w:id="43"/>
    <w:p w14:paraId="116CB91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Cadmium is a toxic metal that bioaccumulates in the liver and kidneys, with a biological half-life of up to 30 years. Long-term exposure can cause kidney dysfunction, skeletal demineralization leading to bone fragility, and lung cancer in cases of inhalation exposure. The infamous “Itai-Itai” disease in Japan was linked to cadmium-contaminated rice consumption. Common dietary sources of cadmium include cereal grains, rice, leafy vegetables, and pasta produced from crops grown in contaminated soils or irrigated with polluted water (European Food Safety Authority [EFSA], 2020; Chen </w:t>
      </w:r>
      <w:r>
        <w:rPr>
          <w:rFonts w:ascii="Times New Roman" w:hAnsi="Times New Roman"/>
          <w:i/>
          <w:iCs/>
          <w:sz w:val="24"/>
          <w:szCs w:val="24"/>
        </w:rPr>
        <w:t xml:space="preserve">et al., </w:t>
      </w:r>
      <w:r>
        <w:rPr>
          <w:rFonts w:ascii="Times New Roman" w:hAnsi="Times New Roman"/>
          <w:sz w:val="24"/>
          <w:szCs w:val="24"/>
        </w:rPr>
        <w:t>2023).</w:t>
      </w:r>
    </w:p>
    <w:p w14:paraId="13057E6D" w14:textId="77777777" w:rsidR="00337B86" w:rsidRDefault="00000000">
      <w:pPr>
        <w:spacing w:line="360" w:lineRule="auto"/>
        <w:jc w:val="both"/>
        <w:rPr>
          <w:rFonts w:ascii="Times New Roman" w:hAnsi="Times New Roman"/>
          <w:b/>
          <w:bCs/>
          <w:sz w:val="24"/>
          <w:szCs w:val="24"/>
        </w:rPr>
      </w:pPr>
      <w:bookmarkStart w:id="44" w:name="_Hlk213068718"/>
      <w:r>
        <w:rPr>
          <w:rFonts w:ascii="Times New Roman" w:hAnsi="Times New Roman"/>
          <w:b/>
          <w:bCs/>
          <w:sz w:val="24"/>
          <w:szCs w:val="24"/>
        </w:rPr>
        <w:t>2.8.3 Mercury (Hg)</w:t>
      </w:r>
    </w:p>
    <w:bookmarkEnd w:id="44"/>
    <w:p w14:paraId="54CFD19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Mercury is one of the most hazardous heavy metals, especially in its organic form, methylmercury, which is highly bioavailable and neurotoxic. Chronic mercury exposure damages the central nervous system, resulting in tremors, impaired coordination, speech difficulties, and vision </w:t>
      </w:r>
      <w:r>
        <w:rPr>
          <w:rFonts w:ascii="Times New Roman" w:hAnsi="Times New Roman"/>
          <w:sz w:val="24"/>
          <w:szCs w:val="24"/>
        </w:rPr>
        <w:lastRenderedPageBreak/>
        <w:t xml:space="preserve">problems. In developing children, it can cause severe developmental disorders and cognitive deficits. Although seafood is the major source of human mercury exposure, contamination of processed foods like pasta may occur through polluted water or additives used in manufacturing processes (WHO, 2022; Gao </w:t>
      </w:r>
      <w:r>
        <w:rPr>
          <w:rFonts w:ascii="Times New Roman" w:hAnsi="Times New Roman"/>
          <w:i/>
          <w:iCs/>
          <w:sz w:val="24"/>
          <w:szCs w:val="24"/>
        </w:rPr>
        <w:t>et al.,</w:t>
      </w:r>
      <w:r>
        <w:rPr>
          <w:rFonts w:ascii="Times New Roman" w:hAnsi="Times New Roman"/>
          <w:sz w:val="24"/>
          <w:szCs w:val="24"/>
        </w:rPr>
        <w:t xml:space="preserve"> 2024).</w:t>
      </w:r>
    </w:p>
    <w:p w14:paraId="43A9992D" w14:textId="77777777" w:rsidR="00337B86" w:rsidRDefault="00000000">
      <w:pPr>
        <w:spacing w:line="360" w:lineRule="auto"/>
        <w:jc w:val="both"/>
        <w:rPr>
          <w:rFonts w:ascii="Times New Roman" w:hAnsi="Times New Roman"/>
          <w:b/>
          <w:bCs/>
          <w:sz w:val="24"/>
          <w:szCs w:val="24"/>
        </w:rPr>
      </w:pPr>
      <w:bookmarkStart w:id="45" w:name="_Hlk213068738"/>
      <w:r>
        <w:rPr>
          <w:rFonts w:ascii="Times New Roman" w:hAnsi="Times New Roman"/>
          <w:b/>
          <w:bCs/>
          <w:sz w:val="24"/>
          <w:szCs w:val="24"/>
        </w:rPr>
        <w:t>2.8.4 Arsenic (As)</w:t>
      </w:r>
    </w:p>
    <w:bookmarkEnd w:id="45"/>
    <w:p w14:paraId="5C663A1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Arsenic occurs in both organic and inorganic forms, with inorganic arsenic being the more toxic variant. It is associated with multiple health disorders, including skin lesions, cardiovascular diseases, diabetes, and various cancers such as those of the skin, lungs, and bladder. Chronic exposure usually occurs through drinking water or foods like rice and rice-based products, including some types of noodles. Long-term ingestion of arsenic-contaminated foods can result in cumulative poisoning and severe systemic effects (Rahman et al., 2021; Gupta </w:t>
      </w:r>
      <w:r>
        <w:rPr>
          <w:rFonts w:ascii="Times New Roman" w:hAnsi="Times New Roman"/>
          <w:i/>
          <w:iCs/>
          <w:sz w:val="24"/>
          <w:szCs w:val="24"/>
        </w:rPr>
        <w:t>et al.,</w:t>
      </w:r>
      <w:r>
        <w:rPr>
          <w:rFonts w:ascii="Times New Roman" w:hAnsi="Times New Roman"/>
          <w:sz w:val="24"/>
          <w:szCs w:val="24"/>
        </w:rPr>
        <w:t xml:space="preserve"> 2023).</w:t>
      </w:r>
    </w:p>
    <w:p w14:paraId="58CEC5DD" w14:textId="77777777" w:rsidR="00337B86" w:rsidRDefault="00000000">
      <w:pPr>
        <w:spacing w:line="360" w:lineRule="auto"/>
        <w:jc w:val="both"/>
        <w:rPr>
          <w:rFonts w:ascii="Times New Roman" w:hAnsi="Times New Roman"/>
          <w:b/>
          <w:bCs/>
          <w:sz w:val="24"/>
          <w:szCs w:val="24"/>
        </w:rPr>
      </w:pPr>
      <w:bookmarkStart w:id="46" w:name="_Hlk213068759"/>
      <w:r>
        <w:rPr>
          <w:rFonts w:ascii="Times New Roman" w:hAnsi="Times New Roman"/>
          <w:b/>
          <w:bCs/>
          <w:sz w:val="24"/>
          <w:szCs w:val="24"/>
        </w:rPr>
        <w:t>2.8.5 Chromium (Cr)</w:t>
      </w:r>
    </w:p>
    <w:bookmarkEnd w:id="46"/>
    <w:p w14:paraId="0F899CC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Chromium exists in two main oxidation states: trivalent chromium (</w:t>
      </w:r>
      <w:proofErr w:type="gramStart"/>
      <w:r>
        <w:rPr>
          <w:rFonts w:ascii="Times New Roman" w:hAnsi="Times New Roman"/>
          <w:sz w:val="24"/>
          <w:szCs w:val="24"/>
        </w:rPr>
        <w:t>Cr(</w:t>
      </w:r>
      <w:proofErr w:type="gramEnd"/>
      <w:r>
        <w:rPr>
          <w:rFonts w:ascii="Times New Roman" w:hAnsi="Times New Roman"/>
          <w:sz w:val="24"/>
          <w:szCs w:val="24"/>
        </w:rPr>
        <w:t xml:space="preserve">III)) and hexavalent chromium (Cr(VI)). While </w:t>
      </w:r>
      <w:proofErr w:type="gramStart"/>
      <w:r>
        <w:rPr>
          <w:rFonts w:ascii="Times New Roman" w:hAnsi="Times New Roman"/>
          <w:sz w:val="24"/>
          <w:szCs w:val="24"/>
        </w:rPr>
        <w:t>Cr(</w:t>
      </w:r>
      <w:proofErr w:type="gramEnd"/>
      <w:r>
        <w:rPr>
          <w:rFonts w:ascii="Times New Roman" w:hAnsi="Times New Roman"/>
          <w:sz w:val="24"/>
          <w:szCs w:val="24"/>
        </w:rPr>
        <w:t xml:space="preserve">III) is an essential trace element involved in glucose metabolism, Cr(VI) is highly toxic and carcinogenic. Exposure to </w:t>
      </w:r>
      <w:proofErr w:type="gramStart"/>
      <w:r>
        <w:rPr>
          <w:rFonts w:ascii="Times New Roman" w:hAnsi="Times New Roman"/>
          <w:sz w:val="24"/>
          <w:szCs w:val="24"/>
        </w:rPr>
        <w:t>Cr(</w:t>
      </w:r>
      <w:proofErr w:type="gramEnd"/>
      <w:r>
        <w:rPr>
          <w:rFonts w:ascii="Times New Roman" w:hAnsi="Times New Roman"/>
          <w:sz w:val="24"/>
          <w:szCs w:val="24"/>
        </w:rPr>
        <w:t xml:space="preserve">VI) can cause respiratory problems, gastrointestinal irritation, kidney and liver damage, and an increased risk of cancer. Contamination in foods like cereals and pasta often arises from contact with stainless steel equipment during processing or packaging, leading to trace amounts of chromium entering the food supply (Li </w:t>
      </w:r>
      <w:r>
        <w:rPr>
          <w:rFonts w:ascii="Times New Roman" w:hAnsi="Times New Roman"/>
          <w:i/>
          <w:iCs/>
          <w:sz w:val="24"/>
          <w:szCs w:val="24"/>
        </w:rPr>
        <w:t>et al.,</w:t>
      </w:r>
      <w:r>
        <w:rPr>
          <w:rFonts w:ascii="Times New Roman" w:hAnsi="Times New Roman"/>
          <w:sz w:val="24"/>
          <w:szCs w:val="24"/>
        </w:rPr>
        <w:t xml:space="preserve"> 2022; EFSA, 2020).</w:t>
      </w:r>
    </w:p>
    <w:p w14:paraId="2D4F806A" w14:textId="77777777" w:rsidR="00337B86" w:rsidRDefault="00000000">
      <w:pPr>
        <w:spacing w:line="360" w:lineRule="auto"/>
        <w:jc w:val="both"/>
        <w:rPr>
          <w:rFonts w:ascii="Times New Roman" w:hAnsi="Times New Roman"/>
          <w:b/>
          <w:bCs/>
          <w:sz w:val="24"/>
          <w:szCs w:val="24"/>
        </w:rPr>
      </w:pPr>
      <w:bookmarkStart w:id="47" w:name="_Hlk213068780"/>
      <w:r>
        <w:rPr>
          <w:rFonts w:ascii="Times New Roman" w:hAnsi="Times New Roman"/>
          <w:b/>
          <w:bCs/>
          <w:sz w:val="24"/>
          <w:szCs w:val="24"/>
        </w:rPr>
        <w:t>2.8.6 Nickel (Ni)</w:t>
      </w:r>
    </w:p>
    <w:bookmarkEnd w:id="47"/>
    <w:p w14:paraId="5DFE365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Nickel is another element that is essential in small quantities but becomes toxic at higher concentrations. Excessive exposure can lead to allergic dermatitis, respiratory complications, and damage to the kidneys and liver. Nickel contamination in foods may occur through environmental pollution or contact with processing machinery. Common sources include cereals, legumes, chocolate, and pasta, which can absorb nickel residues during handling or packaging (Kumar </w:t>
      </w:r>
      <w:r>
        <w:rPr>
          <w:rFonts w:ascii="Times New Roman" w:hAnsi="Times New Roman"/>
          <w:i/>
          <w:iCs/>
          <w:sz w:val="24"/>
          <w:szCs w:val="24"/>
        </w:rPr>
        <w:t>et al.</w:t>
      </w:r>
      <w:r>
        <w:rPr>
          <w:rFonts w:ascii="Times New Roman" w:hAnsi="Times New Roman"/>
          <w:sz w:val="24"/>
          <w:szCs w:val="24"/>
        </w:rPr>
        <w:t>, 2023; WHO, 2021).</w:t>
      </w:r>
    </w:p>
    <w:p w14:paraId="7C77FE59" w14:textId="77777777" w:rsidR="00337B86" w:rsidRDefault="00337B86">
      <w:pPr>
        <w:spacing w:line="360" w:lineRule="auto"/>
        <w:jc w:val="both"/>
        <w:rPr>
          <w:rFonts w:ascii="Times New Roman" w:hAnsi="Times New Roman"/>
          <w:sz w:val="24"/>
          <w:szCs w:val="24"/>
        </w:rPr>
      </w:pPr>
    </w:p>
    <w:p w14:paraId="22658C80" w14:textId="77777777" w:rsidR="00337B86" w:rsidRDefault="00000000">
      <w:pPr>
        <w:spacing w:line="360" w:lineRule="auto"/>
        <w:jc w:val="both"/>
        <w:rPr>
          <w:rFonts w:ascii="Times New Roman" w:hAnsi="Times New Roman"/>
          <w:b/>
          <w:bCs/>
          <w:sz w:val="24"/>
          <w:szCs w:val="24"/>
        </w:rPr>
      </w:pPr>
      <w:bookmarkStart w:id="48" w:name="_Hlk213068812"/>
      <w:r>
        <w:rPr>
          <w:rFonts w:ascii="Times New Roman" w:hAnsi="Times New Roman"/>
          <w:b/>
          <w:bCs/>
          <w:sz w:val="24"/>
          <w:szCs w:val="24"/>
        </w:rPr>
        <w:lastRenderedPageBreak/>
        <w:t>2.9 Regulatory Standards for Heavy Metals in Foods</w:t>
      </w:r>
    </w:p>
    <w:bookmarkEnd w:id="48"/>
    <w:p w14:paraId="2CCBE13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To safeguard public health, international and national agencies have established maximum permissible limits (MPLs) for heavy metals in food products. These regulatory limits act as essential benchmarks for monitoring food safety, preventing toxic exposure, and maintaining global trade integrity. The standards specify the highest levels of contaminants that are legally allowed in food and water, based on toxicological assessments and risk evaluations. Continuous updates of these values reflect emerging scientific evidence and ensure better consumer protection against the adverse health effects of heavy metal contamination (FAO/WHO, 2021; EFSA, 2023)</w:t>
      </w:r>
    </w:p>
    <w:p w14:paraId="248AF4B6" w14:textId="77777777" w:rsidR="00337B86" w:rsidRDefault="00000000">
      <w:pPr>
        <w:spacing w:line="360" w:lineRule="auto"/>
        <w:jc w:val="both"/>
        <w:rPr>
          <w:rFonts w:ascii="Times New Roman" w:hAnsi="Times New Roman"/>
          <w:b/>
          <w:bCs/>
          <w:sz w:val="24"/>
          <w:szCs w:val="24"/>
        </w:rPr>
      </w:pPr>
      <w:bookmarkStart w:id="49" w:name="_Hlk213068834"/>
      <w:r>
        <w:rPr>
          <w:rFonts w:ascii="Times New Roman" w:hAnsi="Times New Roman"/>
          <w:b/>
          <w:bCs/>
          <w:sz w:val="24"/>
          <w:szCs w:val="24"/>
        </w:rPr>
        <w:t>2.9.1 International Standards</w:t>
      </w:r>
    </w:p>
    <w:bookmarkEnd w:id="49"/>
    <w:p w14:paraId="01DAB0C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Codex Alimentarius Commission (CAC), jointly established by the Food and Agriculture Organization (FAO) and the World Health Organization (WHO), sets international guideline levels for contaminants, including heavy metals, in various food categories such as cereals, pasta, and drinking water. These Codex standards are recognized globally and form the basis for harmonizing food safety regulations and promoting fair trade practices (Codex Alimentarius, 2023). The World Health Organization (WHO) and Food and Agriculture Organization (FAO) have also defined Provisional Tolerable Weekly Intake (PTWI) or Tolerable Daily Intake (TDI) values for major heavy metals. These values represent the estimated amount of a contaminant that can be ingested weekly or daily over a lifetime without significant health risk. For instance, the PTWI for cadmium and lead has been periodically revised to reflect current toxicological evidence (FAO/WHO, 2021). The European Food Safety Authority (EFSA) plays a key role in setting maximum levels for heavy metals such as lead, cadmium, mercury, and arsenic in foodstuffs, particularly those consumed frequently in Europe, like cereals and cereal-based products. EFSA continuously evaluates exposure data and revises limits according to population risk assessments and new scientific insights (EFSA, 2023</w:t>
      </w:r>
      <w:proofErr w:type="gramStart"/>
      <w:r>
        <w:rPr>
          <w:rFonts w:ascii="Times New Roman" w:hAnsi="Times New Roman"/>
          <w:sz w:val="24"/>
          <w:szCs w:val="24"/>
        </w:rPr>
        <w:t>).In</w:t>
      </w:r>
      <w:proofErr w:type="gramEnd"/>
      <w:r>
        <w:rPr>
          <w:rFonts w:ascii="Times New Roman" w:hAnsi="Times New Roman"/>
          <w:sz w:val="24"/>
          <w:szCs w:val="24"/>
        </w:rPr>
        <w:t xml:space="preserve"> the United States, the Food and Drug Administration (FDA) regulates heavy metal content in processed foods and beverages under the Federal Food, Drug, and Cosmetic Act. The FDA has implemented strict limits for metals such as lead, cadmium, and arsenic in baby foods, juices, and cereals as part of its Closer to Zero initiative, which aims to reduce toxic element exposure in infants and young children (U.S. FDA, 2022).</w:t>
      </w:r>
    </w:p>
    <w:p w14:paraId="3DBC80C9" w14:textId="77777777" w:rsidR="00337B86" w:rsidRDefault="00337B86">
      <w:pPr>
        <w:spacing w:line="360" w:lineRule="auto"/>
        <w:jc w:val="both"/>
        <w:rPr>
          <w:rFonts w:ascii="Times New Roman" w:hAnsi="Times New Roman"/>
          <w:sz w:val="24"/>
          <w:szCs w:val="24"/>
        </w:rPr>
      </w:pPr>
    </w:p>
    <w:p w14:paraId="03A5653C" w14:textId="77777777" w:rsidR="00337B86" w:rsidRDefault="00000000">
      <w:pPr>
        <w:spacing w:line="360" w:lineRule="auto"/>
        <w:jc w:val="both"/>
        <w:rPr>
          <w:rFonts w:ascii="Times New Roman" w:hAnsi="Times New Roman"/>
          <w:b/>
          <w:bCs/>
          <w:sz w:val="24"/>
          <w:szCs w:val="24"/>
        </w:rPr>
      </w:pPr>
      <w:bookmarkStart w:id="50" w:name="_Hlk213068851"/>
      <w:r>
        <w:rPr>
          <w:rFonts w:ascii="Times New Roman" w:hAnsi="Times New Roman"/>
          <w:b/>
          <w:bCs/>
          <w:sz w:val="24"/>
          <w:szCs w:val="24"/>
        </w:rPr>
        <w:lastRenderedPageBreak/>
        <w:t>2.9.2 Nigerian Standards</w:t>
      </w:r>
    </w:p>
    <w:bookmarkEnd w:id="50"/>
    <w:p w14:paraId="7B295A7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In Nigeria, the National Agency for Food and Drug Administration and Control (NAFDAC) and the Standards Organization of Nigeria (SON) adopt or align with international benchmarks. Key values often referenced include:</w:t>
      </w:r>
    </w:p>
    <w:p w14:paraId="7C80F68C" w14:textId="77777777" w:rsidR="00337B86" w:rsidRDefault="00000000">
      <w:pPr>
        <w:pBdr>
          <w:top w:val="single" w:sz="4" w:space="1" w:color="auto"/>
        </w:pBdr>
        <w:spacing w:line="360" w:lineRule="auto"/>
        <w:jc w:val="both"/>
        <w:rPr>
          <w:rFonts w:ascii="Times New Roman" w:hAnsi="Times New Roman"/>
          <w:b/>
          <w:bCs/>
          <w:sz w:val="24"/>
          <w:szCs w:val="24"/>
          <w:u w:val="single"/>
        </w:rPr>
      </w:pPr>
      <w:r>
        <w:rPr>
          <w:rFonts w:ascii="Times New Roman" w:hAnsi="Times New Roman"/>
          <w:b/>
          <w:bCs/>
          <w:sz w:val="24"/>
          <w:szCs w:val="24"/>
          <w:u w:val="single"/>
        </w:rPr>
        <w:t>Heavy Metal</w:t>
      </w:r>
      <w:r>
        <w:rPr>
          <w:rFonts w:ascii="Times New Roman" w:hAnsi="Times New Roman"/>
          <w:b/>
          <w:bCs/>
          <w:sz w:val="24"/>
          <w:szCs w:val="24"/>
          <w:u w:val="single"/>
        </w:rPr>
        <w:tab/>
      </w:r>
      <w:r>
        <w:rPr>
          <w:rFonts w:ascii="Times New Roman" w:hAnsi="Times New Roman"/>
          <w:b/>
          <w:bCs/>
          <w:sz w:val="24"/>
          <w:szCs w:val="24"/>
          <w:u w:val="single"/>
        </w:rPr>
        <w:tab/>
        <w:t>Maximum Permissible Limit in Foods (mg/kg)</w:t>
      </w:r>
      <w:r>
        <w:rPr>
          <w:rFonts w:ascii="Times New Roman" w:hAnsi="Times New Roman"/>
          <w:b/>
          <w:bCs/>
          <w:sz w:val="24"/>
          <w:szCs w:val="24"/>
          <w:u w:val="single"/>
        </w:rPr>
        <w:tab/>
      </w:r>
      <w:r>
        <w:rPr>
          <w:rFonts w:ascii="Times New Roman" w:hAnsi="Times New Roman"/>
          <w:b/>
          <w:bCs/>
          <w:sz w:val="24"/>
          <w:szCs w:val="24"/>
          <w:u w:val="single"/>
        </w:rPr>
        <w:tab/>
        <w:t>Sources</w:t>
      </w:r>
      <w:r>
        <w:rPr>
          <w:rFonts w:ascii="Times New Roman" w:hAnsi="Times New Roman"/>
          <w:b/>
          <w:bCs/>
          <w:sz w:val="24"/>
          <w:szCs w:val="24"/>
          <w:u w:val="single"/>
        </w:rPr>
        <w:tab/>
      </w:r>
    </w:p>
    <w:p w14:paraId="7A7F5F5A" w14:textId="77777777" w:rsidR="00337B86" w:rsidRDefault="00000000">
      <w:pPr>
        <w:pBdr>
          <w:top w:val="single" w:sz="4" w:space="1" w:color="auto"/>
        </w:pBdr>
        <w:spacing w:line="360" w:lineRule="auto"/>
        <w:jc w:val="both"/>
        <w:rPr>
          <w:rFonts w:ascii="Times New Roman" w:hAnsi="Times New Roman"/>
          <w:sz w:val="24"/>
          <w:szCs w:val="24"/>
        </w:rPr>
      </w:pPr>
      <w:r>
        <w:rPr>
          <w:rFonts w:ascii="Times New Roman" w:hAnsi="Times New Roman"/>
          <w:sz w:val="24"/>
          <w:szCs w:val="24"/>
        </w:rPr>
        <w:t>Lead (Pb)</w:t>
      </w:r>
      <w:r>
        <w:rPr>
          <w:rFonts w:ascii="Times New Roman" w:hAnsi="Times New Roman"/>
          <w:sz w:val="24"/>
          <w:szCs w:val="24"/>
        </w:rPr>
        <w:tab/>
      </w:r>
      <w:r>
        <w:rPr>
          <w:rFonts w:ascii="Times New Roman" w:hAnsi="Times New Roman"/>
          <w:sz w:val="24"/>
          <w:szCs w:val="24"/>
        </w:rPr>
        <w:tab/>
        <w:t>0.2 – 0.3 (cereals/pasta)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Codex Alimentarius, 2021</w:t>
      </w:r>
      <w:r>
        <w:rPr>
          <w:rFonts w:ascii="Times New Roman" w:hAnsi="Times New Roman"/>
          <w:sz w:val="24"/>
          <w:szCs w:val="24"/>
        </w:rPr>
        <w:tab/>
      </w:r>
    </w:p>
    <w:p w14:paraId="037A01B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Cadmium (Cd)</w:t>
      </w:r>
      <w:r>
        <w:rPr>
          <w:rFonts w:ascii="Times New Roman" w:hAnsi="Times New Roman"/>
          <w:sz w:val="24"/>
          <w:szCs w:val="24"/>
        </w:rPr>
        <w:tab/>
        <w:t>0.1 (cereal products)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WHO/FAO, 2020</w:t>
      </w:r>
      <w:r>
        <w:rPr>
          <w:rFonts w:ascii="Times New Roman" w:hAnsi="Times New Roman"/>
          <w:sz w:val="24"/>
          <w:szCs w:val="24"/>
        </w:rPr>
        <w:tab/>
      </w:r>
      <w:r>
        <w:rPr>
          <w:rFonts w:ascii="Times New Roman" w:hAnsi="Times New Roman"/>
          <w:sz w:val="24"/>
          <w:szCs w:val="24"/>
        </w:rPr>
        <w:tab/>
      </w:r>
    </w:p>
    <w:p w14:paraId="7A9FE93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Mercury (Hg)</w:t>
      </w:r>
      <w:r>
        <w:rPr>
          <w:rFonts w:ascii="Times New Roman" w:hAnsi="Times New Roman"/>
          <w:sz w:val="24"/>
          <w:szCs w:val="24"/>
        </w:rPr>
        <w:tab/>
      </w:r>
      <w:r>
        <w:rPr>
          <w:rFonts w:ascii="Times New Roman" w:hAnsi="Times New Roman"/>
          <w:sz w:val="24"/>
          <w:szCs w:val="24"/>
        </w:rPr>
        <w:tab/>
        <w:t>0.01 (non-fish products)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WHO, 2021</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63C213B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Arsenic (As)</w:t>
      </w:r>
      <w:r>
        <w:rPr>
          <w:rFonts w:ascii="Times New Roman" w:hAnsi="Times New Roman"/>
          <w:sz w:val="24"/>
          <w:szCs w:val="24"/>
        </w:rPr>
        <w:tab/>
      </w:r>
      <w:r>
        <w:rPr>
          <w:rFonts w:ascii="Times New Roman" w:hAnsi="Times New Roman"/>
          <w:sz w:val="24"/>
          <w:szCs w:val="24"/>
        </w:rPr>
        <w:tab/>
        <w:t>0.2 (rice/cereal products)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EFSA, 2018</w:t>
      </w:r>
    </w:p>
    <w:p w14:paraId="277ADA0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Chromium (Cr)</w:t>
      </w:r>
      <w:r>
        <w:rPr>
          <w:rFonts w:ascii="Times New Roman" w:hAnsi="Times New Roman"/>
          <w:sz w:val="24"/>
          <w:szCs w:val="24"/>
        </w:rPr>
        <w:tab/>
        <w:t>1.0 (general foods)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SON/NAFDAC</w:t>
      </w:r>
    </w:p>
    <w:p w14:paraId="2F0A0446" w14:textId="77777777" w:rsidR="00337B86" w:rsidRDefault="00000000">
      <w:pPr>
        <w:pBdr>
          <w:bottom w:val="single" w:sz="4" w:space="1" w:color="auto"/>
        </w:pBdr>
        <w:spacing w:line="360" w:lineRule="auto"/>
        <w:jc w:val="both"/>
        <w:rPr>
          <w:rFonts w:ascii="Times New Roman" w:hAnsi="Times New Roman"/>
          <w:sz w:val="24"/>
          <w:szCs w:val="24"/>
        </w:rPr>
      </w:pPr>
      <w:r>
        <w:rPr>
          <w:rFonts w:ascii="Times New Roman" w:hAnsi="Times New Roman"/>
          <w:sz w:val="24"/>
          <w:szCs w:val="24"/>
        </w:rPr>
        <w:t>Nickel (Ni)</w:t>
      </w:r>
      <w:r>
        <w:rPr>
          <w:rFonts w:ascii="Times New Roman" w:hAnsi="Times New Roman"/>
          <w:sz w:val="24"/>
          <w:szCs w:val="24"/>
        </w:rPr>
        <w:tab/>
      </w:r>
      <w:r>
        <w:rPr>
          <w:rFonts w:ascii="Times New Roman" w:hAnsi="Times New Roman"/>
          <w:sz w:val="24"/>
          <w:szCs w:val="24"/>
        </w:rPr>
        <w:tab/>
        <w:t xml:space="preserve">0.5 (cereals, processed foods) </w:t>
      </w:r>
      <w:r>
        <w:rPr>
          <w:rFonts w:ascii="Times New Roman" w:hAnsi="Times New Roman"/>
          <w:sz w:val="24"/>
          <w:szCs w:val="24"/>
        </w:rPr>
        <w:tab/>
      </w:r>
      <w:r>
        <w:rPr>
          <w:rFonts w:ascii="Times New Roman" w:hAnsi="Times New Roman"/>
          <w:sz w:val="24"/>
          <w:szCs w:val="24"/>
        </w:rPr>
        <w:tab/>
        <w:t>Codex/NAFDAC</w:t>
      </w:r>
    </w:p>
    <w:p w14:paraId="2E52B5D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 These values may differ slightly across countries, but they highlight a global consensus on keeping Pb, Cd, Hg, and </w:t>
      </w:r>
      <w:proofErr w:type="gramStart"/>
      <w:r>
        <w:rPr>
          <w:rFonts w:ascii="Times New Roman" w:hAnsi="Times New Roman"/>
          <w:sz w:val="24"/>
          <w:szCs w:val="24"/>
        </w:rPr>
        <w:t>As</w:t>
      </w:r>
      <w:proofErr w:type="gramEnd"/>
      <w:r>
        <w:rPr>
          <w:rFonts w:ascii="Times New Roman" w:hAnsi="Times New Roman"/>
          <w:sz w:val="24"/>
          <w:szCs w:val="24"/>
        </w:rPr>
        <w:t xml:space="preserve"> </w:t>
      </w:r>
      <w:proofErr w:type="spellStart"/>
      <w:r>
        <w:rPr>
          <w:rFonts w:ascii="Times New Roman" w:hAnsi="Times New Roman"/>
          <w:sz w:val="24"/>
          <w:szCs w:val="24"/>
        </w:rPr>
        <w:t>as</w:t>
      </w:r>
      <w:proofErr w:type="spellEnd"/>
      <w:r>
        <w:rPr>
          <w:rFonts w:ascii="Times New Roman" w:hAnsi="Times New Roman"/>
          <w:sz w:val="24"/>
          <w:szCs w:val="24"/>
        </w:rPr>
        <w:t xml:space="preserve"> low as reasonably achievable due to their toxicity.</w:t>
      </w:r>
    </w:p>
    <w:p w14:paraId="3616CCBA" w14:textId="77777777" w:rsidR="00337B86" w:rsidRDefault="00337B86">
      <w:pPr>
        <w:spacing w:line="360" w:lineRule="auto"/>
        <w:jc w:val="both"/>
        <w:rPr>
          <w:rFonts w:ascii="Times New Roman" w:hAnsi="Times New Roman"/>
          <w:sz w:val="24"/>
          <w:szCs w:val="24"/>
        </w:rPr>
      </w:pPr>
    </w:p>
    <w:p w14:paraId="23B8CA52" w14:textId="77777777" w:rsidR="00337B86" w:rsidRDefault="00337B86">
      <w:pPr>
        <w:spacing w:line="360" w:lineRule="auto"/>
        <w:jc w:val="both"/>
        <w:rPr>
          <w:rFonts w:ascii="Times New Roman" w:hAnsi="Times New Roman"/>
          <w:sz w:val="24"/>
          <w:szCs w:val="24"/>
        </w:rPr>
      </w:pPr>
    </w:p>
    <w:p w14:paraId="033681F6" w14:textId="77777777" w:rsidR="00337B86" w:rsidRDefault="00337B86">
      <w:pPr>
        <w:spacing w:line="360" w:lineRule="auto"/>
        <w:jc w:val="both"/>
        <w:rPr>
          <w:rFonts w:ascii="Times New Roman" w:hAnsi="Times New Roman"/>
          <w:sz w:val="24"/>
          <w:szCs w:val="24"/>
        </w:rPr>
      </w:pPr>
    </w:p>
    <w:p w14:paraId="5D24697F" w14:textId="77777777" w:rsidR="00337B86" w:rsidRDefault="00337B86">
      <w:pPr>
        <w:spacing w:line="360" w:lineRule="auto"/>
        <w:jc w:val="both"/>
        <w:rPr>
          <w:rFonts w:ascii="Times New Roman" w:hAnsi="Times New Roman"/>
          <w:sz w:val="24"/>
          <w:szCs w:val="24"/>
        </w:rPr>
      </w:pPr>
    </w:p>
    <w:p w14:paraId="58F010A5" w14:textId="77777777" w:rsidR="00337B86" w:rsidRDefault="00337B86">
      <w:pPr>
        <w:spacing w:line="360" w:lineRule="auto"/>
        <w:jc w:val="both"/>
        <w:rPr>
          <w:rFonts w:ascii="Times New Roman" w:hAnsi="Times New Roman"/>
          <w:sz w:val="24"/>
          <w:szCs w:val="24"/>
        </w:rPr>
      </w:pPr>
    </w:p>
    <w:p w14:paraId="0CBB5CD1" w14:textId="77777777" w:rsidR="00337B86" w:rsidRDefault="00337B86">
      <w:pPr>
        <w:spacing w:line="360" w:lineRule="auto"/>
        <w:jc w:val="both"/>
        <w:rPr>
          <w:rFonts w:ascii="Times New Roman" w:hAnsi="Times New Roman"/>
          <w:sz w:val="24"/>
          <w:szCs w:val="24"/>
        </w:rPr>
      </w:pPr>
    </w:p>
    <w:p w14:paraId="0AE46D5C" w14:textId="77777777" w:rsidR="00337B86" w:rsidRDefault="00337B86">
      <w:pPr>
        <w:spacing w:line="360" w:lineRule="auto"/>
        <w:jc w:val="both"/>
        <w:rPr>
          <w:rFonts w:ascii="Times New Roman" w:hAnsi="Times New Roman"/>
          <w:sz w:val="24"/>
          <w:szCs w:val="24"/>
        </w:rPr>
      </w:pPr>
    </w:p>
    <w:p w14:paraId="78441512" w14:textId="77777777" w:rsidR="00337B86" w:rsidRDefault="00337B86">
      <w:pPr>
        <w:spacing w:line="360" w:lineRule="auto"/>
        <w:jc w:val="both"/>
        <w:rPr>
          <w:rFonts w:ascii="Times New Roman" w:hAnsi="Times New Roman"/>
          <w:sz w:val="24"/>
          <w:szCs w:val="24"/>
        </w:rPr>
      </w:pPr>
    </w:p>
    <w:p w14:paraId="66E94BA6" w14:textId="77777777" w:rsidR="00337B86" w:rsidRDefault="00337B86">
      <w:pPr>
        <w:spacing w:line="360" w:lineRule="auto"/>
        <w:jc w:val="both"/>
        <w:rPr>
          <w:rFonts w:ascii="Times New Roman" w:hAnsi="Times New Roman"/>
          <w:sz w:val="24"/>
          <w:szCs w:val="24"/>
        </w:rPr>
      </w:pPr>
    </w:p>
    <w:p w14:paraId="1F07FFBD" w14:textId="77777777" w:rsidR="00337B86" w:rsidRDefault="00000000">
      <w:pPr>
        <w:spacing w:line="360" w:lineRule="auto"/>
        <w:jc w:val="center"/>
        <w:rPr>
          <w:rFonts w:ascii="Times New Roman" w:hAnsi="Times New Roman"/>
          <w:b/>
          <w:bCs/>
          <w:sz w:val="24"/>
          <w:szCs w:val="24"/>
        </w:rPr>
      </w:pPr>
      <w:bookmarkStart w:id="51" w:name="_Hlk213068871"/>
      <w:r>
        <w:rPr>
          <w:rFonts w:ascii="Times New Roman" w:hAnsi="Times New Roman"/>
          <w:b/>
          <w:bCs/>
          <w:sz w:val="24"/>
          <w:szCs w:val="24"/>
        </w:rPr>
        <w:lastRenderedPageBreak/>
        <w:t>CHAPTER THREE</w:t>
      </w:r>
    </w:p>
    <w:p w14:paraId="10EAC6BC" w14:textId="77777777" w:rsidR="00337B86" w:rsidRDefault="00000000">
      <w:pPr>
        <w:spacing w:line="360" w:lineRule="auto"/>
        <w:jc w:val="center"/>
        <w:rPr>
          <w:rFonts w:ascii="Times New Roman" w:hAnsi="Times New Roman"/>
          <w:b/>
          <w:bCs/>
          <w:sz w:val="24"/>
          <w:szCs w:val="24"/>
        </w:rPr>
      </w:pPr>
      <w:r>
        <w:rPr>
          <w:rFonts w:ascii="Times New Roman" w:hAnsi="Times New Roman"/>
          <w:b/>
          <w:bCs/>
          <w:sz w:val="24"/>
          <w:szCs w:val="24"/>
        </w:rPr>
        <w:t>MATERIALS AND METHODS</w:t>
      </w:r>
    </w:p>
    <w:p w14:paraId="19D6E24E"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3.1 Materials</w:t>
      </w:r>
    </w:p>
    <w:bookmarkEnd w:id="51"/>
    <w:p w14:paraId="63B4932A"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Table 3.1.1: Lists of chemicals used</w:t>
      </w:r>
    </w:p>
    <w:tbl>
      <w:tblPr>
        <w:tblW w:w="10239" w:type="dxa"/>
        <w:tblInd w:w="68" w:type="dxa"/>
        <w:tblBorders>
          <w:top w:val="single" w:sz="4" w:space="0" w:color="auto"/>
        </w:tblBorders>
        <w:tblLook w:val="0000" w:firstRow="0" w:lastRow="0" w:firstColumn="0" w:lastColumn="0" w:noHBand="0" w:noVBand="0"/>
      </w:tblPr>
      <w:tblGrid>
        <w:gridCol w:w="10239"/>
      </w:tblGrid>
      <w:tr w:rsidR="00337B86" w14:paraId="1201C807" w14:textId="77777777">
        <w:trPr>
          <w:trHeight w:val="481"/>
        </w:trPr>
        <w:tc>
          <w:tcPr>
            <w:tcW w:w="10239" w:type="dxa"/>
            <w:tcBorders>
              <w:bottom w:val="single" w:sz="4" w:space="0" w:color="auto"/>
            </w:tcBorders>
          </w:tcPr>
          <w:p w14:paraId="217EA161" w14:textId="77777777" w:rsidR="00337B86" w:rsidRDefault="00000000">
            <w:pPr>
              <w:spacing w:line="360" w:lineRule="auto"/>
              <w:jc w:val="both"/>
              <w:rPr>
                <w:rFonts w:ascii="Times New Roman" w:hAnsi="Times New Roman"/>
                <w:sz w:val="24"/>
                <w:szCs w:val="24"/>
              </w:rPr>
            </w:pPr>
            <w:r>
              <w:rPr>
                <w:rFonts w:ascii="Times New Roman" w:hAnsi="Times New Roman"/>
                <w:b/>
                <w:bCs/>
                <w:sz w:val="24"/>
                <w:szCs w:val="24"/>
              </w:rPr>
              <w:t>Chemicals                        Chemical formula                     %Purity                     Manufacturer</w:t>
            </w:r>
          </w:p>
        </w:tc>
      </w:tr>
      <w:tr w:rsidR="00337B86" w14:paraId="76099080" w14:textId="77777777">
        <w:trPr>
          <w:trHeight w:val="5103"/>
        </w:trPr>
        <w:tc>
          <w:tcPr>
            <w:tcW w:w="10239" w:type="dxa"/>
            <w:tcBorders>
              <w:top w:val="single" w:sz="4" w:space="0" w:color="auto"/>
              <w:bottom w:val="single" w:sz="4" w:space="0" w:color="auto"/>
            </w:tcBorders>
          </w:tcPr>
          <w:p w14:paraId="69637A7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Nitric acid                             HNO₃                                          65%                          Sigma-Aldrich, Germany</w:t>
            </w:r>
          </w:p>
          <w:p w14:paraId="285D79A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Perchloric acid                     </w:t>
            </w:r>
            <w:proofErr w:type="spellStart"/>
            <w:r>
              <w:rPr>
                <w:rFonts w:ascii="Times New Roman" w:hAnsi="Times New Roman"/>
                <w:sz w:val="24"/>
                <w:szCs w:val="24"/>
              </w:rPr>
              <w:t>HClO</w:t>
            </w:r>
            <w:proofErr w:type="spellEnd"/>
            <w:r>
              <w:rPr>
                <w:rFonts w:ascii="Times New Roman" w:hAnsi="Times New Roman"/>
                <w:sz w:val="24"/>
                <w:szCs w:val="24"/>
              </w:rPr>
              <w:t>₄                                     70%                        BDH chemicals England</w:t>
            </w:r>
          </w:p>
          <w:p w14:paraId="2511AAE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Hydrochloric acid                HCl                                           37%                        Sigma-Aldrich, Germany</w:t>
            </w:r>
          </w:p>
          <w:p w14:paraId="0305328F" w14:textId="56B4B092" w:rsidR="00337B86" w:rsidRDefault="00000000" w:rsidP="00EA14A2">
            <w:pPr>
              <w:spacing w:line="360" w:lineRule="auto"/>
              <w:jc w:val="both"/>
              <w:rPr>
                <w:rFonts w:ascii="Times New Roman" w:hAnsi="Times New Roman"/>
                <w:sz w:val="24"/>
                <w:szCs w:val="24"/>
              </w:rPr>
            </w:pPr>
            <w:r>
              <w:rPr>
                <w:rFonts w:ascii="Times New Roman" w:hAnsi="Times New Roman"/>
                <w:sz w:val="24"/>
                <w:szCs w:val="24"/>
              </w:rPr>
              <w:t xml:space="preserve">Lead standard solution         </w:t>
            </w:r>
            <w:proofErr w:type="gramStart"/>
            <w:r>
              <w:rPr>
                <w:rFonts w:ascii="Times New Roman" w:hAnsi="Times New Roman"/>
                <w:sz w:val="24"/>
                <w:szCs w:val="24"/>
              </w:rPr>
              <w:t>Pb(</w:t>
            </w:r>
            <w:proofErr w:type="gramEnd"/>
            <w:r>
              <w:rPr>
                <w:rFonts w:ascii="Times New Roman" w:hAnsi="Times New Roman"/>
                <w:sz w:val="24"/>
                <w:szCs w:val="24"/>
              </w:rPr>
              <w:t>NO</w:t>
            </w:r>
            <w:r>
              <w:rPr>
                <w:rFonts w:ascii="Times New Roman" w:hAnsi="Times New Roman"/>
                <w:sz w:val="24"/>
                <w:szCs w:val="24"/>
                <w:vertAlign w:val="subscript"/>
              </w:rPr>
              <w:t>3</w:t>
            </w:r>
            <w:r>
              <w:rPr>
                <w:rFonts w:ascii="Times New Roman" w:hAnsi="Times New Roman"/>
                <w:sz w:val="24"/>
                <w:szCs w:val="24"/>
              </w:rPr>
              <w:t>)</w:t>
            </w:r>
            <w:r>
              <w:rPr>
                <w:rFonts w:ascii="Times New Roman" w:hAnsi="Times New Roman"/>
                <w:sz w:val="24"/>
                <w:szCs w:val="24"/>
                <w:vertAlign w:val="subscript"/>
              </w:rPr>
              <w:t>2</w:t>
            </w:r>
            <w:r>
              <w:rPr>
                <w:rFonts w:ascii="Times New Roman" w:hAnsi="Times New Roman"/>
                <w:sz w:val="24"/>
                <w:szCs w:val="24"/>
              </w:rPr>
              <w:t xml:space="preserve">                             1000mg\L                  Merck Germany</w:t>
            </w:r>
          </w:p>
          <w:p w14:paraId="7971389D" w14:textId="77777777" w:rsidR="00337B86" w:rsidRDefault="00000000">
            <w:pPr>
              <w:spacing w:line="360" w:lineRule="auto"/>
              <w:jc w:val="both"/>
              <w:rPr>
                <w:rFonts w:ascii="Times New Roman" w:hAnsi="Times New Roman"/>
                <w:sz w:val="24"/>
                <w:szCs w:val="24"/>
              </w:rPr>
            </w:pPr>
            <w:proofErr w:type="spellStart"/>
            <w:r>
              <w:rPr>
                <w:rFonts w:ascii="Times New Roman" w:hAnsi="Times New Roman"/>
                <w:sz w:val="24"/>
                <w:szCs w:val="24"/>
              </w:rPr>
              <w:t>Cadnium</w:t>
            </w:r>
            <w:proofErr w:type="spellEnd"/>
            <w:r>
              <w:rPr>
                <w:rFonts w:ascii="Times New Roman" w:hAnsi="Times New Roman"/>
                <w:sz w:val="24"/>
                <w:szCs w:val="24"/>
              </w:rPr>
              <w:t xml:space="preserve"> standard solution     </w:t>
            </w:r>
            <w:proofErr w:type="gramStart"/>
            <w:r>
              <w:rPr>
                <w:rFonts w:ascii="Times New Roman" w:hAnsi="Times New Roman"/>
                <w:sz w:val="24"/>
                <w:szCs w:val="24"/>
              </w:rPr>
              <w:t>Cd(</w:t>
            </w:r>
            <w:proofErr w:type="gramEnd"/>
            <w:r>
              <w:rPr>
                <w:rFonts w:ascii="Times New Roman" w:hAnsi="Times New Roman"/>
                <w:sz w:val="24"/>
                <w:szCs w:val="24"/>
              </w:rPr>
              <w:t>NO</w:t>
            </w:r>
            <w:r>
              <w:rPr>
                <w:rFonts w:ascii="Times New Roman" w:hAnsi="Times New Roman"/>
                <w:sz w:val="24"/>
                <w:szCs w:val="24"/>
                <w:vertAlign w:val="subscript"/>
              </w:rPr>
              <w:t>3</w:t>
            </w:r>
            <w:r>
              <w:rPr>
                <w:rFonts w:ascii="Times New Roman" w:hAnsi="Times New Roman"/>
                <w:sz w:val="24"/>
                <w:szCs w:val="24"/>
              </w:rPr>
              <w:t>)</w:t>
            </w:r>
            <w:r>
              <w:rPr>
                <w:rFonts w:ascii="Times New Roman" w:hAnsi="Times New Roman"/>
                <w:sz w:val="24"/>
                <w:szCs w:val="24"/>
                <w:vertAlign w:val="subscript"/>
              </w:rPr>
              <w:t xml:space="preserve">2 </w:t>
            </w:r>
            <w:r>
              <w:rPr>
                <w:rFonts w:ascii="Times New Roman" w:hAnsi="Times New Roman"/>
                <w:sz w:val="24"/>
                <w:szCs w:val="24"/>
              </w:rPr>
              <w:t xml:space="preserve">                         1000mg\L                  Merck Germany</w:t>
            </w:r>
          </w:p>
          <w:p w14:paraId="0795E6B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Copper standard solution        </w:t>
            </w:r>
            <w:proofErr w:type="gramStart"/>
            <w:r>
              <w:rPr>
                <w:rFonts w:ascii="Times New Roman" w:hAnsi="Times New Roman"/>
                <w:sz w:val="24"/>
                <w:szCs w:val="24"/>
              </w:rPr>
              <w:t>Cu(</w:t>
            </w:r>
            <w:proofErr w:type="gramEnd"/>
            <w:r>
              <w:rPr>
                <w:rFonts w:ascii="Times New Roman" w:hAnsi="Times New Roman"/>
                <w:sz w:val="24"/>
                <w:szCs w:val="24"/>
              </w:rPr>
              <w:t>NO</w:t>
            </w:r>
            <w:r>
              <w:rPr>
                <w:rFonts w:ascii="Times New Roman" w:hAnsi="Times New Roman"/>
                <w:sz w:val="24"/>
                <w:szCs w:val="24"/>
                <w:vertAlign w:val="subscript"/>
              </w:rPr>
              <w:t>3</w:t>
            </w:r>
            <w:r>
              <w:rPr>
                <w:rFonts w:ascii="Times New Roman" w:hAnsi="Times New Roman"/>
                <w:sz w:val="24"/>
                <w:szCs w:val="24"/>
              </w:rPr>
              <w:t>)</w:t>
            </w:r>
            <w:r>
              <w:rPr>
                <w:rFonts w:ascii="Times New Roman" w:hAnsi="Times New Roman"/>
                <w:sz w:val="24"/>
                <w:szCs w:val="24"/>
                <w:vertAlign w:val="subscript"/>
              </w:rPr>
              <w:t xml:space="preserve">2 </w:t>
            </w:r>
            <w:r>
              <w:rPr>
                <w:rFonts w:ascii="Times New Roman" w:hAnsi="Times New Roman"/>
                <w:sz w:val="24"/>
                <w:szCs w:val="24"/>
              </w:rPr>
              <w:t xml:space="preserve">                         1000mg\L                  Merck Germany</w:t>
            </w:r>
          </w:p>
          <w:p w14:paraId="1CC182E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Cobalt standard solution         </w:t>
            </w:r>
            <w:proofErr w:type="gramStart"/>
            <w:r>
              <w:rPr>
                <w:rFonts w:ascii="Times New Roman" w:hAnsi="Times New Roman"/>
                <w:sz w:val="24"/>
                <w:szCs w:val="24"/>
              </w:rPr>
              <w:t>Co(</w:t>
            </w:r>
            <w:proofErr w:type="gramEnd"/>
            <w:r>
              <w:rPr>
                <w:rFonts w:ascii="Times New Roman" w:hAnsi="Times New Roman"/>
                <w:sz w:val="24"/>
                <w:szCs w:val="24"/>
              </w:rPr>
              <w:t>NO</w:t>
            </w:r>
            <w:r>
              <w:rPr>
                <w:rFonts w:ascii="Times New Roman" w:hAnsi="Times New Roman"/>
                <w:sz w:val="24"/>
                <w:szCs w:val="24"/>
                <w:vertAlign w:val="subscript"/>
              </w:rPr>
              <w:t>3</w:t>
            </w:r>
            <w:r>
              <w:rPr>
                <w:rFonts w:ascii="Times New Roman" w:hAnsi="Times New Roman"/>
                <w:sz w:val="24"/>
                <w:szCs w:val="24"/>
              </w:rPr>
              <w:t>)</w:t>
            </w:r>
            <w:r>
              <w:rPr>
                <w:rFonts w:ascii="Times New Roman" w:hAnsi="Times New Roman"/>
                <w:sz w:val="24"/>
                <w:szCs w:val="24"/>
                <w:vertAlign w:val="subscript"/>
              </w:rPr>
              <w:t>2</w:t>
            </w:r>
            <w:r>
              <w:rPr>
                <w:rFonts w:ascii="Times New Roman" w:hAnsi="Times New Roman"/>
                <w:sz w:val="24"/>
                <w:szCs w:val="24"/>
              </w:rPr>
              <w:t xml:space="preserve">                          1000mg\L                  Merck Germany</w:t>
            </w:r>
          </w:p>
          <w:p w14:paraId="46C7B222" w14:textId="77777777" w:rsidR="00337B86" w:rsidRDefault="00337B86">
            <w:pPr>
              <w:spacing w:line="360" w:lineRule="auto"/>
              <w:jc w:val="both"/>
              <w:rPr>
                <w:rFonts w:ascii="Times New Roman" w:hAnsi="Times New Roman"/>
                <w:b/>
                <w:bCs/>
                <w:sz w:val="24"/>
                <w:szCs w:val="24"/>
              </w:rPr>
            </w:pPr>
          </w:p>
        </w:tc>
      </w:tr>
      <w:tr w:rsidR="00337B86" w14:paraId="6656D58D" w14:textId="77777777">
        <w:trPr>
          <w:trHeight w:val="412"/>
        </w:trPr>
        <w:tc>
          <w:tcPr>
            <w:tcW w:w="10239" w:type="dxa"/>
            <w:tcBorders>
              <w:top w:val="single" w:sz="4" w:space="0" w:color="auto"/>
            </w:tcBorders>
          </w:tcPr>
          <w:p w14:paraId="67F969A5" w14:textId="77777777" w:rsidR="00337B86" w:rsidRDefault="00337B86">
            <w:pPr>
              <w:spacing w:line="360" w:lineRule="auto"/>
              <w:jc w:val="both"/>
              <w:rPr>
                <w:rFonts w:ascii="Times New Roman" w:hAnsi="Times New Roman"/>
                <w:sz w:val="24"/>
                <w:szCs w:val="24"/>
              </w:rPr>
            </w:pPr>
          </w:p>
        </w:tc>
      </w:tr>
    </w:tbl>
    <w:p w14:paraId="2C4B70AB" w14:textId="77777777" w:rsidR="00337B86" w:rsidRDefault="00337B86">
      <w:pPr>
        <w:spacing w:line="360" w:lineRule="auto"/>
        <w:jc w:val="both"/>
        <w:rPr>
          <w:rFonts w:ascii="Times New Roman" w:hAnsi="Times New Roman"/>
          <w:b/>
          <w:bCs/>
          <w:sz w:val="24"/>
          <w:szCs w:val="24"/>
        </w:rPr>
      </w:pPr>
    </w:p>
    <w:p w14:paraId="652E1FEB" w14:textId="77777777" w:rsidR="00337B86" w:rsidRDefault="00337B86">
      <w:pPr>
        <w:spacing w:line="360" w:lineRule="auto"/>
        <w:jc w:val="both"/>
        <w:rPr>
          <w:rFonts w:ascii="Times New Roman" w:hAnsi="Times New Roman"/>
          <w:b/>
          <w:bCs/>
          <w:sz w:val="24"/>
          <w:szCs w:val="24"/>
        </w:rPr>
      </w:pPr>
    </w:p>
    <w:p w14:paraId="358B655F" w14:textId="77777777" w:rsidR="00337B86" w:rsidRDefault="00337B86">
      <w:pPr>
        <w:spacing w:line="360" w:lineRule="auto"/>
        <w:jc w:val="both"/>
        <w:rPr>
          <w:rFonts w:ascii="Times New Roman" w:hAnsi="Times New Roman"/>
          <w:b/>
          <w:bCs/>
          <w:sz w:val="24"/>
          <w:szCs w:val="24"/>
        </w:rPr>
      </w:pPr>
    </w:p>
    <w:p w14:paraId="3FBCAFAC" w14:textId="77777777" w:rsidR="00337B86" w:rsidRDefault="00337B86">
      <w:pPr>
        <w:spacing w:line="360" w:lineRule="auto"/>
        <w:jc w:val="both"/>
        <w:rPr>
          <w:rFonts w:ascii="Times New Roman" w:hAnsi="Times New Roman"/>
          <w:b/>
          <w:bCs/>
          <w:sz w:val="24"/>
          <w:szCs w:val="24"/>
        </w:rPr>
      </w:pPr>
    </w:p>
    <w:p w14:paraId="44AC423C" w14:textId="77777777" w:rsidR="00337B86" w:rsidRDefault="00337B86">
      <w:pPr>
        <w:spacing w:line="360" w:lineRule="auto"/>
        <w:jc w:val="both"/>
        <w:rPr>
          <w:rFonts w:ascii="Times New Roman" w:hAnsi="Times New Roman"/>
          <w:b/>
          <w:bCs/>
          <w:sz w:val="24"/>
          <w:szCs w:val="24"/>
        </w:rPr>
      </w:pPr>
    </w:p>
    <w:p w14:paraId="68A0A69F" w14:textId="77777777" w:rsidR="00EA14A2" w:rsidRDefault="00EA14A2">
      <w:pPr>
        <w:spacing w:line="360" w:lineRule="auto"/>
        <w:jc w:val="both"/>
        <w:rPr>
          <w:rFonts w:ascii="Times New Roman" w:hAnsi="Times New Roman"/>
          <w:b/>
          <w:bCs/>
          <w:sz w:val="24"/>
          <w:szCs w:val="24"/>
        </w:rPr>
      </w:pPr>
    </w:p>
    <w:p w14:paraId="1F75CF17" w14:textId="77777777" w:rsidR="00337B86" w:rsidRDefault="00337B86">
      <w:pPr>
        <w:spacing w:line="360" w:lineRule="auto"/>
        <w:jc w:val="both"/>
        <w:rPr>
          <w:rFonts w:ascii="Times New Roman" w:hAnsi="Times New Roman"/>
          <w:b/>
          <w:bCs/>
          <w:sz w:val="24"/>
          <w:szCs w:val="24"/>
        </w:rPr>
      </w:pPr>
    </w:p>
    <w:p w14:paraId="0596704A"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lastRenderedPageBreak/>
        <w:t xml:space="preserve">Table </w:t>
      </w:r>
      <w:proofErr w:type="gramStart"/>
      <w:r>
        <w:rPr>
          <w:rFonts w:ascii="Times New Roman" w:hAnsi="Times New Roman"/>
          <w:b/>
          <w:bCs/>
          <w:sz w:val="24"/>
          <w:szCs w:val="24"/>
        </w:rPr>
        <w:t>3.1.2 :</w:t>
      </w:r>
      <w:proofErr w:type="gramEnd"/>
      <w:r>
        <w:rPr>
          <w:rFonts w:ascii="Times New Roman" w:hAnsi="Times New Roman"/>
          <w:b/>
          <w:bCs/>
          <w:sz w:val="24"/>
          <w:szCs w:val="24"/>
        </w:rPr>
        <w:t xml:space="preserve"> Lists of apparatus</w:t>
      </w:r>
    </w:p>
    <w:tbl>
      <w:tblPr>
        <w:tblW w:w="10216" w:type="dxa"/>
        <w:tblInd w:w="136" w:type="dxa"/>
        <w:tblBorders>
          <w:top w:val="single" w:sz="4" w:space="0" w:color="auto"/>
        </w:tblBorders>
        <w:tblLook w:val="0000" w:firstRow="0" w:lastRow="0" w:firstColumn="0" w:lastColumn="0" w:noHBand="0" w:noVBand="0"/>
      </w:tblPr>
      <w:tblGrid>
        <w:gridCol w:w="10216"/>
      </w:tblGrid>
      <w:tr w:rsidR="00337B86" w14:paraId="7C7804E3" w14:textId="77777777">
        <w:trPr>
          <w:trHeight w:val="794"/>
        </w:trPr>
        <w:tc>
          <w:tcPr>
            <w:tcW w:w="10216" w:type="dxa"/>
            <w:tcBorders>
              <w:bottom w:val="single" w:sz="4" w:space="0" w:color="auto"/>
            </w:tcBorders>
          </w:tcPr>
          <w:p w14:paraId="775E6C92"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Apparatus                                           Model                                             Manufacturer</w:t>
            </w:r>
          </w:p>
        </w:tc>
      </w:tr>
      <w:tr w:rsidR="00337B86" w14:paraId="2A396B9E" w14:textId="77777777">
        <w:trPr>
          <w:trHeight w:val="9468"/>
        </w:trPr>
        <w:tc>
          <w:tcPr>
            <w:tcW w:w="10216" w:type="dxa"/>
            <w:tcBorders>
              <w:top w:val="single" w:sz="4" w:space="0" w:color="auto"/>
              <w:bottom w:val="single" w:sz="4" w:space="0" w:color="auto"/>
            </w:tcBorders>
          </w:tcPr>
          <w:p w14:paraId="23606F61" w14:textId="77777777" w:rsidR="00337B86" w:rsidRDefault="00000000">
            <w:pPr>
              <w:spacing w:after="0" w:line="360" w:lineRule="auto"/>
              <w:jc w:val="both"/>
              <w:rPr>
                <w:rFonts w:ascii="Times New Roman" w:hAnsi="Times New Roman"/>
                <w:bCs/>
                <w:sz w:val="24"/>
                <w:szCs w:val="24"/>
              </w:rPr>
            </w:pPr>
            <w:r>
              <w:rPr>
                <w:rFonts w:ascii="Times New Roman" w:hAnsi="Times New Roman"/>
                <w:bCs/>
                <w:sz w:val="24"/>
                <w:szCs w:val="24"/>
              </w:rPr>
              <w:t>Atomic Absorption                         Buck Scientific 210 VGP                  Buck Scientific, USA</w:t>
            </w:r>
          </w:p>
          <w:p w14:paraId="459D99E7" w14:textId="77777777" w:rsidR="00337B86" w:rsidRDefault="00000000">
            <w:pPr>
              <w:spacing w:after="0" w:line="360" w:lineRule="auto"/>
              <w:jc w:val="both"/>
              <w:rPr>
                <w:rFonts w:ascii="Times New Roman" w:hAnsi="Times New Roman"/>
                <w:bCs/>
                <w:sz w:val="24"/>
                <w:szCs w:val="24"/>
              </w:rPr>
            </w:pPr>
            <w:r>
              <w:rPr>
                <w:rFonts w:ascii="Times New Roman" w:hAnsi="Times New Roman"/>
                <w:bCs/>
                <w:sz w:val="24"/>
                <w:szCs w:val="24"/>
              </w:rPr>
              <w:t>Spectrophotometer (AAS)</w:t>
            </w:r>
          </w:p>
          <w:p w14:paraId="4A261F90" w14:textId="77777777" w:rsidR="00337B86" w:rsidRDefault="00337B86">
            <w:pPr>
              <w:spacing w:after="0"/>
              <w:jc w:val="both"/>
              <w:rPr>
                <w:rFonts w:ascii="Times New Roman" w:hAnsi="Times New Roman"/>
                <w:bCs/>
                <w:sz w:val="24"/>
                <w:szCs w:val="24"/>
              </w:rPr>
            </w:pPr>
          </w:p>
          <w:p w14:paraId="3395BFB0"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Analytical Balance                        Mettler Toledo ME204                       Mettler Toledo, Switzerland</w:t>
            </w:r>
          </w:p>
          <w:p w14:paraId="12E79DC1"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Hot Plate                                      LabTech DHP-9053                             LabTech, China</w:t>
            </w:r>
          </w:p>
          <w:p w14:paraId="5A9BAE48" w14:textId="77777777" w:rsidR="00337B86" w:rsidRDefault="00000000">
            <w:pPr>
              <w:spacing w:after="0" w:line="360" w:lineRule="auto"/>
              <w:jc w:val="both"/>
              <w:rPr>
                <w:rFonts w:ascii="Times New Roman" w:hAnsi="Times New Roman"/>
                <w:bCs/>
                <w:sz w:val="24"/>
                <w:szCs w:val="24"/>
              </w:rPr>
            </w:pPr>
            <w:r>
              <w:rPr>
                <w:rFonts w:ascii="Times New Roman" w:hAnsi="Times New Roman"/>
                <w:bCs/>
                <w:sz w:val="24"/>
                <w:szCs w:val="24"/>
              </w:rPr>
              <w:t>Reagent Bottle                             Duran GL45 Series                             Duran Group GmbH, Germany</w:t>
            </w:r>
          </w:p>
          <w:p w14:paraId="2179F0B3" w14:textId="77777777" w:rsidR="00337B86" w:rsidRDefault="00000000">
            <w:pPr>
              <w:spacing w:after="0" w:line="360" w:lineRule="auto"/>
              <w:jc w:val="both"/>
              <w:rPr>
                <w:rFonts w:ascii="Times New Roman" w:hAnsi="Times New Roman"/>
                <w:bCs/>
                <w:sz w:val="24"/>
                <w:szCs w:val="24"/>
              </w:rPr>
            </w:pPr>
            <w:r>
              <w:rPr>
                <w:rFonts w:ascii="Times New Roman" w:hAnsi="Times New Roman"/>
                <w:bCs/>
                <w:sz w:val="24"/>
                <w:szCs w:val="24"/>
              </w:rPr>
              <w:t>(Amber Glass, 50mL)</w:t>
            </w:r>
          </w:p>
          <w:p w14:paraId="5E13D61F" w14:textId="77777777" w:rsidR="00337B86" w:rsidRDefault="00000000">
            <w:pPr>
              <w:spacing w:after="0"/>
              <w:jc w:val="both"/>
              <w:rPr>
                <w:rFonts w:ascii="Times New Roman" w:hAnsi="Times New Roman"/>
                <w:bCs/>
                <w:sz w:val="24"/>
                <w:szCs w:val="24"/>
              </w:rPr>
            </w:pPr>
            <w:r>
              <w:rPr>
                <w:rFonts w:ascii="Times New Roman" w:hAnsi="Times New Roman"/>
                <w:bCs/>
                <w:sz w:val="24"/>
                <w:szCs w:val="24"/>
              </w:rPr>
              <w:t xml:space="preserve">                                  </w:t>
            </w:r>
          </w:p>
          <w:p w14:paraId="3A0A4DF6"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Fume Cupboard                           Standard Laboratory Model                 Central Laboratory (BUK), Nigeria</w:t>
            </w:r>
          </w:p>
          <w:p w14:paraId="385DA305"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Beaker (100mL, 250mL)                             -                                        Pyrex, England</w:t>
            </w:r>
          </w:p>
          <w:p w14:paraId="7B43C9AF"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Volumetric Flasks (50mL, 100mL)                -                                       Pyrex, England</w:t>
            </w:r>
          </w:p>
          <w:p w14:paraId="729D3ABA"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 xml:space="preserve">Measuring Cylinder (10mL, 50mL)               -                                       </w:t>
            </w:r>
            <w:proofErr w:type="spellStart"/>
            <w:r>
              <w:rPr>
                <w:rFonts w:ascii="Times New Roman" w:hAnsi="Times New Roman"/>
                <w:bCs/>
                <w:sz w:val="24"/>
                <w:szCs w:val="24"/>
              </w:rPr>
              <w:t>pyrex</w:t>
            </w:r>
            <w:proofErr w:type="spellEnd"/>
            <w:r>
              <w:rPr>
                <w:rFonts w:ascii="Times New Roman" w:hAnsi="Times New Roman"/>
                <w:bCs/>
                <w:sz w:val="24"/>
                <w:szCs w:val="24"/>
              </w:rPr>
              <w:t>, England</w:t>
            </w:r>
          </w:p>
          <w:p w14:paraId="14E2F107"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Whatman Filter Paper No.42                       -                                        Whatman International, UK</w:t>
            </w:r>
          </w:p>
          <w:p w14:paraId="61454BF8" w14:textId="77777777" w:rsidR="00337B86" w:rsidRDefault="00000000">
            <w:pPr>
              <w:spacing w:line="360" w:lineRule="auto"/>
              <w:jc w:val="both"/>
              <w:rPr>
                <w:rFonts w:ascii="Times New Roman" w:hAnsi="Times New Roman"/>
                <w:bCs/>
                <w:sz w:val="24"/>
                <w:szCs w:val="24"/>
              </w:rPr>
            </w:pPr>
            <w:proofErr w:type="spellStart"/>
            <w:r>
              <w:rPr>
                <w:rFonts w:ascii="Times New Roman" w:hAnsi="Times New Roman"/>
                <w:bCs/>
                <w:sz w:val="24"/>
                <w:szCs w:val="24"/>
              </w:rPr>
              <w:t>Piprttes</w:t>
            </w:r>
            <w:proofErr w:type="spellEnd"/>
            <w:r>
              <w:rPr>
                <w:rFonts w:ascii="Times New Roman" w:hAnsi="Times New Roman"/>
                <w:bCs/>
                <w:sz w:val="24"/>
                <w:szCs w:val="24"/>
              </w:rPr>
              <w:t xml:space="preserve"> and Droppers                                  -                                         Pyrex, England</w:t>
            </w:r>
          </w:p>
          <w:p w14:paraId="3A804C4D"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Desiccator                                                    -                                        Fisher Scientific, UK</w:t>
            </w:r>
          </w:p>
          <w:p w14:paraId="66FBEC54"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Oven                                              DHG-9053A                                   DHP Instruments, China</w:t>
            </w:r>
          </w:p>
          <w:p w14:paraId="69A641DB" w14:textId="77777777" w:rsidR="00337B86" w:rsidRDefault="00337B86">
            <w:pPr>
              <w:spacing w:line="360" w:lineRule="auto"/>
              <w:jc w:val="both"/>
              <w:rPr>
                <w:rFonts w:ascii="Times New Roman" w:hAnsi="Times New Roman"/>
                <w:b/>
                <w:bCs/>
                <w:sz w:val="24"/>
                <w:szCs w:val="24"/>
              </w:rPr>
            </w:pPr>
          </w:p>
        </w:tc>
      </w:tr>
      <w:tr w:rsidR="00337B86" w14:paraId="3EA21B92" w14:textId="77777777">
        <w:trPr>
          <w:trHeight w:val="828"/>
        </w:trPr>
        <w:tc>
          <w:tcPr>
            <w:tcW w:w="10216" w:type="dxa"/>
            <w:tcBorders>
              <w:top w:val="single" w:sz="4" w:space="0" w:color="auto"/>
            </w:tcBorders>
          </w:tcPr>
          <w:p w14:paraId="77E245F1" w14:textId="77777777" w:rsidR="00337B86" w:rsidRDefault="00000000">
            <w:pPr>
              <w:spacing w:line="360" w:lineRule="auto"/>
              <w:jc w:val="both"/>
              <w:rPr>
                <w:rFonts w:ascii="Times New Roman" w:hAnsi="Times New Roman"/>
                <w:bCs/>
                <w:sz w:val="24"/>
                <w:szCs w:val="24"/>
              </w:rPr>
            </w:pPr>
            <w:r>
              <w:rPr>
                <w:rFonts w:ascii="Times New Roman" w:hAnsi="Times New Roman"/>
                <w:bCs/>
                <w:sz w:val="24"/>
                <w:szCs w:val="24"/>
              </w:rPr>
              <w:t xml:space="preserve">                     </w:t>
            </w:r>
          </w:p>
        </w:tc>
      </w:tr>
    </w:tbl>
    <w:p w14:paraId="6C0894F7" w14:textId="77777777" w:rsidR="00337B86" w:rsidRDefault="00337B86">
      <w:pPr>
        <w:spacing w:line="360" w:lineRule="auto"/>
        <w:jc w:val="both"/>
        <w:rPr>
          <w:rFonts w:ascii="Times New Roman" w:hAnsi="Times New Roman"/>
          <w:b/>
          <w:bCs/>
          <w:sz w:val="24"/>
          <w:szCs w:val="24"/>
        </w:rPr>
      </w:pPr>
    </w:p>
    <w:p w14:paraId="2047BB46" w14:textId="77777777" w:rsidR="00337B86" w:rsidRDefault="00337B86">
      <w:pPr>
        <w:spacing w:line="360" w:lineRule="auto"/>
        <w:jc w:val="both"/>
        <w:rPr>
          <w:rFonts w:ascii="Times New Roman" w:hAnsi="Times New Roman"/>
          <w:b/>
          <w:bCs/>
          <w:sz w:val="24"/>
          <w:szCs w:val="24"/>
        </w:rPr>
      </w:pPr>
    </w:p>
    <w:p w14:paraId="7AE82380" w14:textId="77777777" w:rsidR="00337B86" w:rsidRDefault="00000000">
      <w:pPr>
        <w:spacing w:line="360" w:lineRule="auto"/>
        <w:jc w:val="both"/>
        <w:rPr>
          <w:rFonts w:ascii="Times New Roman" w:hAnsi="Times New Roman"/>
          <w:b/>
          <w:bCs/>
          <w:sz w:val="24"/>
          <w:szCs w:val="24"/>
        </w:rPr>
      </w:pPr>
      <w:bookmarkStart w:id="52" w:name="_Hlk213068923"/>
      <w:r>
        <w:rPr>
          <w:rFonts w:ascii="Times New Roman" w:hAnsi="Times New Roman"/>
          <w:b/>
          <w:bCs/>
          <w:sz w:val="24"/>
          <w:szCs w:val="24"/>
        </w:rPr>
        <w:lastRenderedPageBreak/>
        <w:t>3.2 Methods</w:t>
      </w:r>
    </w:p>
    <w:p w14:paraId="36A6D2BF"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3.2.1 Sample Collection and Preparation</w:t>
      </w:r>
    </w:p>
    <w:bookmarkEnd w:id="52"/>
    <w:p w14:paraId="38EFBCE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A sample of six pasta products was collected, comprising two brands each of macaroni, spaghetti, and instant noodles. The products were purchased from major retail shops and markets in Sokoto metropolis. Each brand was assigned a code for confidentiality (e.g., Macaroni A &amp; B, Spaghetti A &amp; B, Noodles A &amp; B). The sample was sealed in clean polyethylene bags and transported to the Chemistry Laboratory, Usmanu Danfodiyo University, Sokoto, for analysis.</w:t>
      </w:r>
    </w:p>
    <w:p w14:paraId="602FE49B"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Upon arrival at the laboratory, the sample was ground into a fine powder using a clean mortar and pestle. The powdered sample was homogenized to ensure uniformity and then stored in airtight containers to prevent contamination and moisture absorption. Sub-samples from each brand were taken in triplicate to ensure accuracy and reproducibility in subsequent digestion and analysis procedures (Food and Agriculture Organization [FAO], n.d.).</w:t>
      </w:r>
    </w:p>
    <w:p w14:paraId="2861E899" w14:textId="77777777" w:rsidR="00337B86" w:rsidRDefault="00000000">
      <w:pPr>
        <w:spacing w:line="360" w:lineRule="auto"/>
        <w:jc w:val="both"/>
        <w:rPr>
          <w:rFonts w:ascii="Times New Roman" w:hAnsi="Times New Roman"/>
          <w:b/>
          <w:bCs/>
          <w:sz w:val="24"/>
          <w:szCs w:val="24"/>
        </w:rPr>
      </w:pPr>
      <w:bookmarkStart w:id="53" w:name="_Hlk213068951"/>
      <w:r>
        <w:rPr>
          <w:rFonts w:ascii="Times New Roman" w:hAnsi="Times New Roman"/>
          <w:b/>
          <w:bCs/>
          <w:sz w:val="24"/>
          <w:szCs w:val="24"/>
        </w:rPr>
        <w:t>3.2.2 Sample Digestion Process</w:t>
      </w:r>
    </w:p>
    <w:bookmarkEnd w:id="53"/>
    <w:p w14:paraId="4F250AB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Samples of selected pasta brands were bought from markets in the study area and then ground into fine powder.1.0 g of the powdered sample was weighed and placed in a 100 mL conical flask and 10 mL of concentrated nitric acid (HNO₃) was added. The flask was heated on a hot plate until the solution was nearly clear. After cooling, a mixture of perchloric acid (</w:t>
      </w:r>
      <w:proofErr w:type="spellStart"/>
      <w:r>
        <w:rPr>
          <w:rFonts w:ascii="Times New Roman" w:hAnsi="Times New Roman"/>
          <w:sz w:val="24"/>
          <w:szCs w:val="24"/>
        </w:rPr>
        <w:t>HClO</w:t>
      </w:r>
      <w:proofErr w:type="spellEnd"/>
      <w:r>
        <w:rPr>
          <w:rFonts w:ascii="Times New Roman" w:hAnsi="Times New Roman"/>
          <w:sz w:val="24"/>
          <w:szCs w:val="24"/>
        </w:rPr>
        <w:t>₄) and hydrochloric acid (HCl) (typically 5 mL of each) was added to the digest, and heating continued until the solution turned pale or clear, ensuring complete digestion. The digest was then cooled, filtered using Whatman filter paper No. 42 into a 50 mL reagent bottle, and made up to the mark with distilled water. The resulting solutions were analyzed by atomic absorption spectrophotometry (AAS) for selected metals (Cd, Pb, Cu, Ni, Cr, Zn) according to standard instrument settings.</w:t>
      </w:r>
    </w:p>
    <w:p w14:paraId="5B185C0D" w14:textId="77777777" w:rsidR="00337B86" w:rsidRDefault="00000000">
      <w:pPr>
        <w:spacing w:line="360" w:lineRule="auto"/>
        <w:jc w:val="both"/>
        <w:rPr>
          <w:rFonts w:ascii="Times New Roman" w:hAnsi="Times New Roman"/>
          <w:b/>
          <w:bCs/>
          <w:sz w:val="24"/>
          <w:szCs w:val="24"/>
        </w:rPr>
      </w:pPr>
      <w:bookmarkStart w:id="54" w:name="_Hlk213068971"/>
      <w:r>
        <w:rPr>
          <w:rFonts w:ascii="Times New Roman" w:hAnsi="Times New Roman"/>
          <w:b/>
          <w:bCs/>
          <w:sz w:val="24"/>
          <w:szCs w:val="24"/>
        </w:rPr>
        <w:t>3.2.3 Atomic Absorption Spectrophotometry (AAS) Analysis</w:t>
      </w:r>
    </w:p>
    <w:bookmarkEnd w:id="54"/>
    <w:p w14:paraId="5090558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Atomic Absorption Spectrophotometer (AAS) was calibrated using standard solutions of Pb, Cd, Cr, Zn, and Cu. Working standards were prepared from certified stock solutions to ensure analytical accuracy and precision. The digested samples were then aspirated into the flame of the AAS, and the absorbance of each metal was measured at its respective characteristic wavelength as shown in Table 3.3.</w:t>
      </w:r>
    </w:p>
    <w:p w14:paraId="4C2F2BEF" w14:textId="77777777" w:rsidR="00337B86" w:rsidRDefault="00000000">
      <w:pPr>
        <w:spacing w:line="360" w:lineRule="auto"/>
        <w:jc w:val="both"/>
        <w:rPr>
          <w:rFonts w:ascii="Times New Roman" w:hAnsi="Times New Roman"/>
          <w:b/>
          <w:sz w:val="24"/>
          <w:szCs w:val="24"/>
        </w:rPr>
      </w:pPr>
      <w:r>
        <w:rPr>
          <w:rFonts w:ascii="Times New Roman" w:hAnsi="Times New Roman"/>
          <w:b/>
          <w:sz w:val="24"/>
          <w:szCs w:val="24"/>
        </w:rPr>
        <w:lastRenderedPageBreak/>
        <w:t>Table 3.2.4</w:t>
      </w:r>
    </w:p>
    <w:tbl>
      <w:tblPr>
        <w:tblW w:w="0" w:type="auto"/>
        <w:tblInd w:w="-45" w:type="dxa"/>
        <w:tblBorders>
          <w:top w:val="single" w:sz="4" w:space="0" w:color="auto"/>
        </w:tblBorders>
        <w:tblLook w:val="0000" w:firstRow="0" w:lastRow="0" w:firstColumn="0" w:lastColumn="0" w:noHBand="0" w:noVBand="0"/>
      </w:tblPr>
      <w:tblGrid>
        <w:gridCol w:w="4626"/>
      </w:tblGrid>
      <w:tr w:rsidR="00337B86" w14:paraId="703C14E1" w14:textId="77777777">
        <w:trPr>
          <w:trHeight w:val="525"/>
        </w:trPr>
        <w:tc>
          <w:tcPr>
            <w:tcW w:w="4626" w:type="dxa"/>
            <w:tcBorders>
              <w:bottom w:val="single" w:sz="4" w:space="0" w:color="auto"/>
            </w:tcBorders>
          </w:tcPr>
          <w:p w14:paraId="48B5599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Element                     </w:t>
            </w:r>
            <w:proofErr w:type="spellStart"/>
            <w:r>
              <w:rPr>
                <w:rFonts w:ascii="Times New Roman" w:hAnsi="Times New Roman"/>
                <w:sz w:val="24"/>
                <w:szCs w:val="24"/>
              </w:rPr>
              <w:t>Wavelenght</w:t>
            </w:r>
            <w:proofErr w:type="spellEnd"/>
            <w:r>
              <w:rPr>
                <w:rFonts w:ascii="Times New Roman" w:hAnsi="Times New Roman"/>
                <w:sz w:val="24"/>
                <w:szCs w:val="24"/>
              </w:rPr>
              <w:t xml:space="preserve"> (nm)</w:t>
            </w:r>
          </w:p>
        </w:tc>
      </w:tr>
      <w:tr w:rsidR="00337B86" w14:paraId="6B11C9D2" w14:textId="77777777">
        <w:trPr>
          <w:trHeight w:val="692"/>
        </w:trPr>
        <w:tc>
          <w:tcPr>
            <w:tcW w:w="4626" w:type="dxa"/>
            <w:tcBorders>
              <w:top w:val="single" w:sz="4" w:space="0" w:color="auto"/>
            </w:tcBorders>
          </w:tcPr>
          <w:p w14:paraId="4BFA001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 Cadmium (Cd)                 228.8</w:t>
            </w:r>
          </w:p>
          <w:p w14:paraId="50E1374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 Cobalt (</w:t>
            </w:r>
            <w:proofErr w:type="gramStart"/>
            <w:r>
              <w:rPr>
                <w:rFonts w:ascii="Times New Roman" w:hAnsi="Times New Roman"/>
                <w:sz w:val="24"/>
                <w:szCs w:val="24"/>
              </w:rPr>
              <w:t xml:space="preserve">Co)   </w:t>
            </w:r>
            <w:proofErr w:type="gramEnd"/>
            <w:r>
              <w:rPr>
                <w:rFonts w:ascii="Times New Roman" w:hAnsi="Times New Roman"/>
                <w:sz w:val="24"/>
                <w:szCs w:val="24"/>
              </w:rPr>
              <w:t xml:space="preserve">                  240.7</w:t>
            </w:r>
          </w:p>
        </w:tc>
      </w:tr>
    </w:tbl>
    <w:p w14:paraId="24787E3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  Copper (Cu)</w:t>
      </w:r>
      <w:r>
        <w:rPr>
          <w:rFonts w:ascii="Times New Roman" w:hAnsi="Times New Roman"/>
          <w:sz w:val="24"/>
          <w:szCs w:val="24"/>
        </w:rPr>
        <w:tab/>
      </w:r>
      <w:r>
        <w:rPr>
          <w:rFonts w:ascii="Times New Roman" w:hAnsi="Times New Roman"/>
          <w:sz w:val="24"/>
          <w:szCs w:val="24"/>
        </w:rPr>
        <w:tab/>
        <w:t xml:space="preserve">     324.8</w:t>
      </w:r>
    </w:p>
    <w:p w14:paraId="3D8FDB3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  Lead (Pb)</w:t>
      </w:r>
      <w:r>
        <w:rPr>
          <w:rFonts w:ascii="Times New Roman" w:hAnsi="Times New Roman"/>
          <w:sz w:val="24"/>
          <w:szCs w:val="24"/>
        </w:rPr>
        <w:tab/>
      </w:r>
      <w:r>
        <w:rPr>
          <w:rFonts w:ascii="Times New Roman" w:hAnsi="Times New Roman"/>
          <w:sz w:val="24"/>
          <w:szCs w:val="24"/>
        </w:rPr>
        <w:tab/>
        <w:t xml:space="preserve">     283.3</w:t>
      </w:r>
    </w:p>
    <w:tbl>
      <w:tblPr>
        <w:tblW w:w="0" w:type="auto"/>
        <w:tblInd w:w="-136" w:type="dxa"/>
        <w:tblBorders>
          <w:top w:val="single" w:sz="4" w:space="0" w:color="auto"/>
        </w:tblBorders>
        <w:tblLook w:val="0000" w:firstRow="0" w:lastRow="0" w:firstColumn="0" w:lastColumn="0" w:noHBand="0" w:noVBand="0"/>
      </w:tblPr>
      <w:tblGrid>
        <w:gridCol w:w="4796"/>
      </w:tblGrid>
      <w:tr w:rsidR="00337B86" w14:paraId="14ADAAFB" w14:textId="77777777">
        <w:trPr>
          <w:trHeight w:val="100"/>
        </w:trPr>
        <w:tc>
          <w:tcPr>
            <w:tcW w:w="4796" w:type="dxa"/>
          </w:tcPr>
          <w:p w14:paraId="52DA1D94" w14:textId="77777777" w:rsidR="00337B86" w:rsidRDefault="00337B86">
            <w:pPr>
              <w:spacing w:line="360" w:lineRule="auto"/>
              <w:jc w:val="both"/>
              <w:rPr>
                <w:rFonts w:ascii="Times New Roman" w:hAnsi="Times New Roman"/>
                <w:sz w:val="24"/>
                <w:szCs w:val="24"/>
              </w:rPr>
            </w:pPr>
          </w:p>
        </w:tc>
      </w:tr>
    </w:tbl>
    <w:p w14:paraId="65852E7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concentration of each metal in the samples was determined by comparing the absorbance values with those of the corresponding calibration curves obtained from the standard solutions. Blanks and quality control samples were also analyzed to ensure the reliability of the results.</w:t>
      </w:r>
    </w:p>
    <w:p w14:paraId="41541F1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This analytical procedure follows established standard methods for trace metal determination in food and environmental samples (Akan </w:t>
      </w:r>
      <w:r>
        <w:rPr>
          <w:rFonts w:ascii="Times New Roman" w:hAnsi="Times New Roman"/>
          <w:i/>
          <w:iCs/>
          <w:sz w:val="24"/>
          <w:szCs w:val="24"/>
        </w:rPr>
        <w:t>et al.,</w:t>
      </w:r>
      <w:r>
        <w:rPr>
          <w:rFonts w:ascii="Times New Roman" w:hAnsi="Times New Roman"/>
          <w:sz w:val="24"/>
          <w:szCs w:val="24"/>
        </w:rPr>
        <w:t xml:space="preserve"> 2021; Murtala </w:t>
      </w:r>
      <w:r>
        <w:rPr>
          <w:rFonts w:ascii="Times New Roman" w:hAnsi="Times New Roman"/>
          <w:i/>
          <w:iCs/>
          <w:sz w:val="24"/>
          <w:szCs w:val="24"/>
        </w:rPr>
        <w:t>et al.,</w:t>
      </w:r>
      <w:r>
        <w:rPr>
          <w:rFonts w:ascii="Times New Roman" w:hAnsi="Times New Roman"/>
          <w:sz w:val="24"/>
          <w:szCs w:val="24"/>
        </w:rPr>
        <w:t xml:space="preserve"> 2022; Olowu </w:t>
      </w:r>
      <w:r>
        <w:rPr>
          <w:rFonts w:ascii="Times New Roman" w:hAnsi="Times New Roman"/>
          <w:i/>
          <w:iCs/>
          <w:sz w:val="24"/>
          <w:szCs w:val="24"/>
        </w:rPr>
        <w:t>et al.,</w:t>
      </w:r>
      <w:r>
        <w:rPr>
          <w:rFonts w:ascii="Times New Roman" w:hAnsi="Times New Roman"/>
          <w:sz w:val="24"/>
          <w:szCs w:val="24"/>
        </w:rPr>
        <w:t xml:space="preserve"> 2023).</w:t>
      </w:r>
    </w:p>
    <w:p w14:paraId="53396E00" w14:textId="77777777" w:rsidR="00337B86" w:rsidRDefault="00337B86">
      <w:pPr>
        <w:spacing w:line="360" w:lineRule="auto"/>
        <w:jc w:val="both"/>
        <w:rPr>
          <w:rFonts w:ascii="Times New Roman" w:hAnsi="Times New Roman"/>
          <w:b/>
          <w:bCs/>
          <w:sz w:val="24"/>
          <w:szCs w:val="24"/>
        </w:rPr>
      </w:pPr>
    </w:p>
    <w:p w14:paraId="5D3DDC20" w14:textId="77777777" w:rsidR="00337B86" w:rsidRDefault="00337B86">
      <w:pPr>
        <w:spacing w:line="360" w:lineRule="auto"/>
        <w:jc w:val="both"/>
        <w:rPr>
          <w:rFonts w:ascii="Times New Roman" w:hAnsi="Times New Roman"/>
          <w:b/>
          <w:bCs/>
          <w:sz w:val="24"/>
          <w:szCs w:val="24"/>
        </w:rPr>
      </w:pPr>
    </w:p>
    <w:p w14:paraId="2932A792" w14:textId="77777777" w:rsidR="00337B86" w:rsidRDefault="00337B86">
      <w:pPr>
        <w:spacing w:line="360" w:lineRule="auto"/>
        <w:jc w:val="both"/>
        <w:rPr>
          <w:rFonts w:ascii="Times New Roman" w:hAnsi="Times New Roman"/>
          <w:b/>
          <w:bCs/>
          <w:sz w:val="24"/>
          <w:szCs w:val="24"/>
        </w:rPr>
      </w:pPr>
    </w:p>
    <w:p w14:paraId="17534DC1" w14:textId="77777777" w:rsidR="00337B86" w:rsidRDefault="00337B86">
      <w:pPr>
        <w:spacing w:line="360" w:lineRule="auto"/>
        <w:jc w:val="both"/>
        <w:rPr>
          <w:rFonts w:ascii="Times New Roman" w:hAnsi="Times New Roman"/>
          <w:b/>
          <w:bCs/>
          <w:sz w:val="24"/>
          <w:szCs w:val="24"/>
        </w:rPr>
      </w:pPr>
    </w:p>
    <w:p w14:paraId="71DAA40D" w14:textId="77777777" w:rsidR="00337B86" w:rsidRDefault="00337B86">
      <w:pPr>
        <w:spacing w:line="360" w:lineRule="auto"/>
        <w:jc w:val="both"/>
        <w:rPr>
          <w:rFonts w:ascii="Times New Roman" w:hAnsi="Times New Roman"/>
          <w:b/>
          <w:bCs/>
          <w:sz w:val="24"/>
          <w:szCs w:val="24"/>
        </w:rPr>
      </w:pPr>
    </w:p>
    <w:p w14:paraId="6BD476BD" w14:textId="77777777" w:rsidR="00337B86" w:rsidRDefault="00337B86">
      <w:pPr>
        <w:spacing w:line="360" w:lineRule="auto"/>
        <w:jc w:val="both"/>
        <w:rPr>
          <w:rFonts w:ascii="Times New Roman" w:hAnsi="Times New Roman"/>
          <w:b/>
          <w:bCs/>
          <w:sz w:val="24"/>
          <w:szCs w:val="24"/>
        </w:rPr>
      </w:pPr>
    </w:p>
    <w:p w14:paraId="50DC1FC7" w14:textId="77777777" w:rsidR="00337B86" w:rsidRDefault="00337B86">
      <w:pPr>
        <w:spacing w:line="360" w:lineRule="auto"/>
        <w:jc w:val="both"/>
        <w:rPr>
          <w:rFonts w:ascii="Times New Roman" w:hAnsi="Times New Roman"/>
          <w:b/>
          <w:bCs/>
          <w:sz w:val="24"/>
          <w:szCs w:val="24"/>
        </w:rPr>
      </w:pPr>
    </w:p>
    <w:p w14:paraId="27BBFD85" w14:textId="77777777" w:rsidR="00337B86" w:rsidRDefault="00337B86">
      <w:pPr>
        <w:spacing w:line="360" w:lineRule="auto"/>
        <w:jc w:val="both"/>
        <w:rPr>
          <w:rFonts w:ascii="Times New Roman" w:hAnsi="Times New Roman"/>
          <w:b/>
          <w:bCs/>
          <w:sz w:val="24"/>
          <w:szCs w:val="24"/>
        </w:rPr>
      </w:pPr>
    </w:p>
    <w:p w14:paraId="71F9A431" w14:textId="77777777" w:rsidR="00337B86" w:rsidRDefault="00337B86">
      <w:pPr>
        <w:spacing w:line="360" w:lineRule="auto"/>
        <w:jc w:val="both"/>
        <w:rPr>
          <w:rFonts w:ascii="Times New Roman" w:hAnsi="Times New Roman"/>
          <w:b/>
          <w:bCs/>
          <w:sz w:val="24"/>
          <w:szCs w:val="24"/>
        </w:rPr>
      </w:pPr>
    </w:p>
    <w:p w14:paraId="111CD394" w14:textId="77777777" w:rsidR="00337B86" w:rsidRDefault="00337B86">
      <w:pPr>
        <w:spacing w:line="360" w:lineRule="auto"/>
        <w:jc w:val="both"/>
        <w:rPr>
          <w:rFonts w:ascii="Times New Roman" w:hAnsi="Times New Roman"/>
          <w:b/>
          <w:bCs/>
          <w:sz w:val="24"/>
          <w:szCs w:val="24"/>
        </w:rPr>
      </w:pPr>
    </w:p>
    <w:p w14:paraId="19ED9E46" w14:textId="77777777" w:rsidR="00337B86" w:rsidRDefault="00000000" w:rsidP="00296908">
      <w:pPr>
        <w:spacing w:after="0" w:line="360" w:lineRule="auto"/>
        <w:jc w:val="center"/>
        <w:rPr>
          <w:rFonts w:ascii="Times New Roman" w:hAnsi="Times New Roman"/>
          <w:b/>
          <w:bCs/>
          <w:sz w:val="24"/>
          <w:szCs w:val="24"/>
        </w:rPr>
      </w:pPr>
      <w:bookmarkStart w:id="55" w:name="_Hlk213068991"/>
      <w:r>
        <w:rPr>
          <w:rFonts w:ascii="Times New Roman" w:hAnsi="Times New Roman"/>
          <w:b/>
          <w:bCs/>
          <w:sz w:val="24"/>
          <w:szCs w:val="24"/>
        </w:rPr>
        <w:lastRenderedPageBreak/>
        <w:t>CHAPTER FOUR</w:t>
      </w:r>
    </w:p>
    <w:p w14:paraId="4BDD9E2C" w14:textId="77777777" w:rsidR="00337B86" w:rsidRDefault="00000000">
      <w:pPr>
        <w:spacing w:line="360" w:lineRule="auto"/>
        <w:jc w:val="center"/>
        <w:rPr>
          <w:rFonts w:ascii="Times New Roman" w:hAnsi="Times New Roman"/>
          <w:b/>
          <w:bCs/>
          <w:sz w:val="24"/>
          <w:szCs w:val="24"/>
        </w:rPr>
      </w:pPr>
      <w:r>
        <w:rPr>
          <w:rFonts w:ascii="Times New Roman" w:hAnsi="Times New Roman"/>
          <w:b/>
          <w:bCs/>
          <w:sz w:val="24"/>
          <w:szCs w:val="24"/>
        </w:rPr>
        <w:t>RESULTS AND DISCUSSION</w:t>
      </w:r>
    </w:p>
    <w:p w14:paraId="1009E769"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 xml:space="preserve">4.1 Results </w:t>
      </w:r>
    </w:p>
    <w:bookmarkEnd w:id="55"/>
    <w:p w14:paraId="66FF706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This chapter presents the results of the determination of selected heavy metals such as Cadmium (Cd), Copper (Cu), Lead (Pb), and Cobalt (Co) in pasta products (macaroni, spaghetti, and instant noodles) purchased from Sokoto metropolis. The concentrations of these metals were determined using Atomic Absorption Spectrophotometry (AAS). The results are compared with permissible limits set by FAO/WHO and Codex Alimentarius and discussed in relation to earlier studies.</w:t>
      </w:r>
    </w:p>
    <w:p w14:paraId="7088D1CC"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 xml:space="preserve">Table </w:t>
      </w:r>
      <w:proofErr w:type="gramStart"/>
      <w:r>
        <w:rPr>
          <w:rFonts w:ascii="Times New Roman" w:hAnsi="Times New Roman"/>
          <w:b/>
          <w:bCs/>
          <w:sz w:val="24"/>
          <w:szCs w:val="24"/>
        </w:rPr>
        <w:t>4.1.1 :</w:t>
      </w:r>
      <w:proofErr w:type="gramEnd"/>
      <w:r>
        <w:rPr>
          <w:rFonts w:ascii="Times New Roman" w:hAnsi="Times New Roman"/>
          <w:b/>
          <w:bCs/>
          <w:sz w:val="24"/>
          <w:szCs w:val="24"/>
        </w:rPr>
        <w:t xml:space="preserve"> AAS Results for Macaroni, </w:t>
      </w:r>
      <w:proofErr w:type="spellStart"/>
      <w:r>
        <w:rPr>
          <w:rFonts w:ascii="Times New Roman" w:hAnsi="Times New Roman"/>
          <w:b/>
          <w:bCs/>
          <w:sz w:val="24"/>
          <w:szCs w:val="24"/>
        </w:rPr>
        <w:t>Spagetti</w:t>
      </w:r>
      <w:proofErr w:type="spellEnd"/>
      <w:r>
        <w:rPr>
          <w:rFonts w:ascii="Times New Roman" w:hAnsi="Times New Roman"/>
          <w:b/>
          <w:bCs/>
          <w:sz w:val="24"/>
          <w:szCs w:val="24"/>
        </w:rPr>
        <w:t xml:space="preserve"> and Noodle Sample</w:t>
      </w:r>
    </w:p>
    <w:tbl>
      <w:tblPr>
        <w:tblStyle w:val="TableGrid"/>
        <w:tblW w:w="10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8"/>
        <w:gridCol w:w="1557"/>
        <w:gridCol w:w="1555"/>
        <w:gridCol w:w="1555"/>
        <w:gridCol w:w="1510"/>
        <w:gridCol w:w="2430"/>
      </w:tblGrid>
      <w:tr w:rsidR="00003E25" w14:paraId="7AE9FA3B" w14:textId="77777777" w:rsidTr="00296908">
        <w:tc>
          <w:tcPr>
            <w:tcW w:w="1558" w:type="dxa"/>
            <w:tcBorders>
              <w:top w:val="single" w:sz="4" w:space="0" w:color="auto"/>
              <w:bottom w:val="single" w:sz="4" w:space="0" w:color="auto"/>
            </w:tcBorders>
          </w:tcPr>
          <w:p w14:paraId="311A53A8" w14:textId="030D48C0" w:rsidR="00003E25" w:rsidRDefault="00296908" w:rsidP="00296908">
            <w:pPr>
              <w:spacing w:after="0"/>
              <w:jc w:val="both"/>
              <w:rPr>
                <w:rFonts w:ascii="Times New Roman" w:hAnsi="Times New Roman"/>
                <w:b/>
                <w:bCs/>
                <w:sz w:val="24"/>
                <w:szCs w:val="24"/>
              </w:rPr>
            </w:pPr>
            <w:r>
              <w:rPr>
                <w:rFonts w:ascii="Times New Roman" w:hAnsi="Times New Roman"/>
                <w:b/>
                <w:bCs/>
                <w:sz w:val="24"/>
                <w:szCs w:val="24"/>
              </w:rPr>
              <w:t>SAMPLE</w:t>
            </w:r>
          </w:p>
          <w:p w14:paraId="73E4AC3F" w14:textId="026EA6B1" w:rsidR="00003E25" w:rsidRDefault="00003E25" w:rsidP="00296908">
            <w:pPr>
              <w:spacing w:after="0"/>
              <w:jc w:val="both"/>
              <w:rPr>
                <w:rFonts w:ascii="Times New Roman" w:hAnsi="Times New Roman"/>
                <w:b/>
                <w:bCs/>
                <w:sz w:val="24"/>
                <w:szCs w:val="24"/>
              </w:rPr>
            </w:pPr>
          </w:p>
        </w:tc>
        <w:tc>
          <w:tcPr>
            <w:tcW w:w="1557" w:type="dxa"/>
            <w:tcBorders>
              <w:top w:val="single" w:sz="4" w:space="0" w:color="auto"/>
              <w:bottom w:val="single" w:sz="4" w:space="0" w:color="auto"/>
            </w:tcBorders>
          </w:tcPr>
          <w:p w14:paraId="26B0EF0A" w14:textId="27648B51" w:rsidR="00003E25" w:rsidRDefault="00003E25" w:rsidP="00296908">
            <w:pPr>
              <w:spacing w:after="0"/>
              <w:jc w:val="both"/>
              <w:rPr>
                <w:rFonts w:ascii="Times New Roman" w:hAnsi="Times New Roman"/>
                <w:b/>
                <w:bCs/>
                <w:sz w:val="24"/>
                <w:szCs w:val="24"/>
              </w:rPr>
            </w:pPr>
            <w:r>
              <w:rPr>
                <w:rFonts w:ascii="Times New Roman" w:hAnsi="Times New Roman"/>
                <w:b/>
                <w:bCs/>
                <w:sz w:val="24"/>
                <w:szCs w:val="24"/>
              </w:rPr>
              <w:t>Cd(mg/kg)</w:t>
            </w:r>
          </w:p>
        </w:tc>
        <w:tc>
          <w:tcPr>
            <w:tcW w:w="1555" w:type="dxa"/>
            <w:tcBorders>
              <w:top w:val="single" w:sz="4" w:space="0" w:color="auto"/>
              <w:bottom w:val="single" w:sz="4" w:space="0" w:color="auto"/>
            </w:tcBorders>
          </w:tcPr>
          <w:p w14:paraId="6CCF19BD" w14:textId="1F8AA1D9" w:rsidR="00003E25" w:rsidRDefault="00003E25" w:rsidP="00296908">
            <w:pPr>
              <w:spacing w:after="0"/>
              <w:jc w:val="both"/>
              <w:rPr>
                <w:rFonts w:ascii="Times New Roman" w:hAnsi="Times New Roman"/>
                <w:b/>
                <w:bCs/>
                <w:sz w:val="24"/>
                <w:szCs w:val="24"/>
              </w:rPr>
            </w:pPr>
            <w:r>
              <w:rPr>
                <w:rFonts w:ascii="Times New Roman" w:hAnsi="Times New Roman"/>
                <w:b/>
                <w:bCs/>
                <w:sz w:val="24"/>
                <w:szCs w:val="24"/>
              </w:rPr>
              <w:t>Cu (mg/kg)</w:t>
            </w:r>
          </w:p>
        </w:tc>
        <w:tc>
          <w:tcPr>
            <w:tcW w:w="1555" w:type="dxa"/>
            <w:tcBorders>
              <w:top w:val="single" w:sz="4" w:space="0" w:color="auto"/>
              <w:bottom w:val="single" w:sz="4" w:space="0" w:color="auto"/>
            </w:tcBorders>
          </w:tcPr>
          <w:p w14:paraId="601B4FF5" w14:textId="601F4799" w:rsidR="00003E25" w:rsidRDefault="00244FCA" w:rsidP="00296908">
            <w:pPr>
              <w:spacing w:after="0"/>
              <w:jc w:val="both"/>
              <w:rPr>
                <w:rFonts w:ascii="Times New Roman" w:hAnsi="Times New Roman"/>
                <w:b/>
                <w:bCs/>
                <w:sz w:val="24"/>
                <w:szCs w:val="24"/>
              </w:rPr>
            </w:pPr>
            <w:r>
              <w:rPr>
                <w:rFonts w:ascii="Times New Roman" w:hAnsi="Times New Roman"/>
                <w:b/>
                <w:bCs/>
                <w:sz w:val="24"/>
                <w:szCs w:val="24"/>
              </w:rPr>
              <w:t>Pb (mg/kg)</w:t>
            </w:r>
          </w:p>
        </w:tc>
        <w:tc>
          <w:tcPr>
            <w:tcW w:w="1510" w:type="dxa"/>
            <w:tcBorders>
              <w:top w:val="single" w:sz="4" w:space="0" w:color="auto"/>
              <w:bottom w:val="single" w:sz="4" w:space="0" w:color="auto"/>
            </w:tcBorders>
          </w:tcPr>
          <w:p w14:paraId="12D76437" w14:textId="43D4C8BE" w:rsidR="00003E25" w:rsidRDefault="00244FCA" w:rsidP="00296908">
            <w:pPr>
              <w:spacing w:after="0"/>
              <w:jc w:val="both"/>
              <w:rPr>
                <w:rFonts w:ascii="Times New Roman" w:hAnsi="Times New Roman"/>
                <w:b/>
                <w:bCs/>
                <w:sz w:val="24"/>
                <w:szCs w:val="24"/>
              </w:rPr>
            </w:pPr>
            <w:r>
              <w:rPr>
                <w:rFonts w:ascii="Times New Roman" w:hAnsi="Times New Roman"/>
                <w:b/>
                <w:bCs/>
                <w:sz w:val="24"/>
                <w:szCs w:val="24"/>
              </w:rPr>
              <w:t>Co (mg/kg)</w:t>
            </w:r>
          </w:p>
        </w:tc>
        <w:tc>
          <w:tcPr>
            <w:tcW w:w="2430" w:type="dxa"/>
            <w:tcBorders>
              <w:top w:val="single" w:sz="4" w:space="0" w:color="auto"/>
              <w:bottom w:val="single" w:sz="4" w:space="0" w:color="auto"/>
            </w:tcBorders>
          </w:tcPr>
          <w:p w14:paraId="6C2C4F45" w14:textId="3C96E2C1" w:rsidR="00003E25" w:rsidRDefault="00244FCA" w:rsidP="00296908">
            <w:pPr>
              <w:spacing w:after="0"/>
              <w:jc w:val="both"/>
              <w:rPr>
                <w:rFonts w:ascii="Times New Roman" w:hAnsi="Times New Roman"/>
                <w:b/>
                <w:bCs/>
                <w:sz w:val="24"/>
                <w:szCs w:val="24"/>
              </w:rPr>
            </w:pPr>
            <w:r>
              <w:rPr>
                <w:rFonts w:ascii="Times New Roman" w:hAnsi="Times New Roman"/>
                <w:b/>
                <w:bCs/>
                <w:sz w:val="24"/>
                <w:szCs w:val="24"/>
              </w:rPr>
              <w:t>WHO Standard (mg/kg)</w:t>
            </w:r>
          </w:p>
        </w:tc>
      </w:tr>
      <w:tr w:rsidR="00003E25" w14:paraId="546536FD" w14:textId="77777777" w:rsidTr="00296908">
        <w:tc>
          <w:tcPr>
            <w:tcW w:w="1558" w:type="dxa"/>
            <w:tcBorders>
              <w:top w:val="single" w:sz="4" w:space="0" w:color="auto"/>
            </w:tcBorders>
          </w:tcPr>
          <w:p w14:paraId="7D31A67C" w14:textId="0C5589DF" w:rsidR="00003E25" w:rsidRPr="00244FCA" w:rsidRDefault="00244FCA" w:rsidP="00296908">
            <w:pPr>
              <w:jc w:val="both"/>
              <w:rPr>
                <w:rFonts w:ascii="Times New Roman" w:hAnsi="Times New Roman"/>
                <w:sz w:val="24"/>
                <w:szCs w:val="24"/>
              </w:rPr>
            </w:pPr>
            <w:proofErr w:type="gramStart"/>
            <w:r w:rsidRPr="00244FCA">
              <w:rPr>
                <w:rFonts w:ascii="Times New Roman" w:hAnsi="Times New Roman"/>
                <w:sz w:val="24"/>
                <w:szCs w:val="24"/>
              </w:rPr>
              <w:t>A</w:t>
            </w:r>
            <w:r>
              <w:rPr>
                <w:rFonts w:ascii="Times New Roman" w:hAnsi="Times New Roman"/>
                <w:sz w:val="24"/>
                <w:szCs w:val="24"/>
              </w:rPr>
              <w:t>(</w:t>
            </w:r>
            <w:proofErr w:type="spellStart"/>
            <w:proofErr w:type="gramEnd"/>
            <w:r>
              <w:rPr>
                <w:rFonts w:ascii="Times New Roman" w:hAnsi="Times New Roman"/>
                <w:sz w:val="24"/>
                <w:szCs w:val="24"/>
              </w:rPr>
              <w:t>Minimic</w:t>
            </w:r>
            <w:proofErr w:type="spellEnd"/>
            <w:r>
              <w:rPr>
                <w:rFonts w:ascii="Times New Roman" w:hAnsi="Times New Roman"/>
                <w:sz w:val="24"/>
                <w:szCs w:val="24"/>
              </w:rPr>
              <w:t xml:space="preserve"> noodle)</w:t>
            </w:r>
          </w:p>
        </w:tc>
        <w:tc>
          <w:tcPr>
            <w:tcW w:w="1557" w:type="dxa"/>
            <w:tcBorders>
              <w:top w:val="single" w:sz="4" w:space="0" w:color="auto"/>
            </w:tcBorders>
          </w:tcPr>
          <w:p w14:paraId="74CCE964" w14:textId="15DFE58E" w:rsidR="00003E25" w:rsidRPr="00244FCA" w:rsidRDefault="00244FCA" w:rsidP="00296908">
            <w:pPr>
              <w:jc w:val="both"/>
              <w:rPr>
                <w:rFonts w:ascii="Times New Roman" w:hAnsi="Times New Roman"/>
                <w:sz w:val="24"/>
                <w:szCs w:val="24"/>
              </w:rPr>
            </w:pPr>
            <w:r>
              <w:rPr>
                <w:rFonts w:ascii="Times New Roman" w:hAnsi="Times New Roman"/>
                <w:sz w:val="24"/>
                <w:szCs w:val="24"/>
              </w:rPr>
              <w:t>0.022</w:t>
            </w:r>
          </w:p>
        </w:tc>
        <w:tc>
          <w:tcPr>
            <w:tcW w:w="1555" w:type="dxa"/>
            <w:tcBorders>
              <w:top w:val="single" w:sz="4" w:space="0" w:color="auto"/>
            </w:tcBorders>
          </w:tcPr>
          <w:p w14:paraId="74229564" w14:textId="1BCA26AD" w:rsidR="00003E25" w:rsidRPr="00244FCA" w:rsidRDefault="00244FCA" w:rsidP="00296908">
            <w:pPr>
              <w:jc w:val="both"/>
              <w:rPr>
                <w:rFonts w:ascii="Times New Roman" w:hAnsi="Times New Roman"/>
                <w:sz w:val="24"/>
                <w:szCs w:val="24"/>
              </w:rPr>
            </w:pPr>
            <w:r>
              <w:rPr>
                <w:rFonts w:ascii="Times New Roman" w:hAnsi="Times New Roman"/>
                <w:sz w:val="24"/>
                <w:szCs w:val="24"/>
              </w:rPr>
              <w:t>0.165</w:t>
            </w:r>
          </w:p>
        </w:tc>
        <w:tc>
          <w:tcPr>
            <w:tcW w:w="1555" w:type="dxa"/>
            <w:tcBorders>
              <w:top w:val="single" w:sz="4" w:space="0" w:color="auto"/>
            </w:tcBorders>
          </w:tcPr>
          <w:p w14:paraId="6DCA051A" w14:textId="0FA606EC" w:rsidR="00003E25" w:rsidRPr="00244FCA" w:rsidRDefault="00244FCA" w:rsidP="00296908">
            <w:pPr>
              <w:jc w:val="both"/>
              <w:rPr>
                <w:rFonts w:ascii="Times New Roman" w:hAnsi="Times New Roman"/>
                <w:sz w:val="24"/>
                <w:szCs w:val="24"/>
              </w:rPr>
            </w:pPr>
            <w:r>
              <w:rPr>
                <w:rFonts w:ascii="Times New Roman" w:hAnsi="Times New Roman"/>
                <w:sz w:val="24"/>
                <w:szCs w:val="24"/>
              </w:rPr>
              <w:t>0.310</w:t>
            </w:r>
          </w:p>
        </w:tc>
        <w:tc>
          <w:tcPr>
            <w:tcW w:w="1510" w:type="dxa"/>
            <w:tcBorders>
              <w:top w:val="single" w:sz="4" w:space="0" w:color="auto"/>
            </w:tcBorders>
          </w:tcPr>
          <w:p w14:paraId="7A32A64F" w14:textId="49485BA9" w:rsidR="00003E25" w:rsidRPr="00244FCA" w:rsidRDefault="00244FCA" w:rsidP="00296908">
            <w:pPr>
              <w:jc w:val="both"/>
              <w:rPr>
                <w:rFonts w:ascii="Times New Roman" w:hAnsi="Times New Roman"/>
                <w:sz w:val="24"/>
                <w:szCs w:val="24"/>
              </w:rPr>
            </w:pPr>
            <w:r>
              <w:rPr>
                <w:rFonts w:ascii="Times New Roman" w:hAnsi="Times New Roman"/>
                <w:sz w:val="24"/>
                <w:szCs w:val="24"/>
              </w:rPr>
              <w:t>0.025</w:t>
            </w:r>
          </w:p>
        </w:tc>
        <w:tc>
          <w:tcPr>
            <w:tcW w:w="2430" w:type="dxa"/>
            <w:tcBorders>
              <w:top w:val="single" w:sz="4" w:space="0" w:color="auto"/>
            </w:tcBorders>
          </w:tcPr>
          <w:p w14:paraId="04232C40" w14:textId="352AA47F" w:rsidR="00003E25" w:rsidRPr="00244FCA" w:rsidRDefault="00244FCA" w:rsidP="00296908">
            <w:pPr>
              <w:jc w:val="both"/>
              <w:rPr>
                <w:rFonts w:ascii="Times New Roman" w:hAnsi="Times New Roman"/>
                <w:sz w:val="24"/>
                <w:szCs w:val="24"/>
              </w:rPr>
            </w:pPr>
            <w:r>
              <w:rPr>
                <w:rFonts w:ascii="Times New Roman" w:hAnsi="Times New Roman"/>
                <w:sz w:val="24"/>
                <w:szCs w:val="24"/>
              </w:rPr>
              <w:t>Cd:0.</w:t>
            </w:r>
            <w:proofErr w:type="gramStart"/>
            <w:r>
              <w:rPr>
                <w:rFonts w:ascii="Times New Roman" w:hAnsi="Times New Roman"/>
                <w:sz w:val="24"/>
                <w:szCs w:val="24"/>
              </w:rPr>
              <w:t>1;Cu</w:t>
            </w:r>
            <w:proofErr w:type="gramEnd"/>
            <w:r>
              <w:rPr>
                <w:rFonts w:ascii="Times New Roman" w:hAnsi="Times New Roman"/>
                <w:sz w:val="24"/>
                <w:szCs w:val="24"/>
              </w:rPr>
              <w:t>:2:0:Pb:0.2-0.3:Co:&lt;1.0</w:t>
            </w:r>
          </w:p>
        </w:tc>
      </w:tr>
      <w:tr w:rsidR="00003E25" w14:paraId="1B3686D1" w14:textId="77777777" w:rsidTr="00296908">
        <w:tc>
          <w:tcPr>
            <w:tcW w:w="1558" w:type="dxa"/>
          </w:tcPr>
          <w:p w14:paraId="49FB7A66" w14:textId="1D742E47" w:rsidR="00003E25" w:rsidRPr="00244FCA" w:rsidRDefault="0073131D" w:rsidP="00296908">
            <w:pPr>
              <w:jc w:val="both"/>
              <w:rPr>
                <w:rFonts w:ascii="Times New Roman" w:hAnsi="Times New Roman"/>
                <w:sz w:val="24"/>
                <w:szCs w:val="24"/>
              </w:rPr>
            </w:pPr>
            <w:r w:rsidRPr="00003E25">
              <w:rPr>
                <w:rFonts w:ascii="Times New Roman" w:hAnsi="Times New Roman"/>
                <w:sz w:val="24"/>
                <w:szCs w:val="24"/>
              </w:rPr>
              <w:t>B (Indomie table)</w:t>
            </w:r>
          </w:p>
        </w:tc>
        <w:tc>
          <w:tcPr>
            <w:tcW w:w="1557" w:type="dxa"/>
          </w:tcPr>
          <w:p w14:paraId="4F9389DF" w14:textId="0B4F7670" w:rsidR="00003E25" w:rsidRPr="00244FCA" w:rsidRDefault="0073131D" w:rsidP="00296908">
            <w:pPr>
              <w:jc w:val="both"/>
              <w:rPr>
                <w:rFonts w:ascii="Times New Roman" w:hAnsi="Times New Roman"/>
                <w:sz w:val="24"/>
                <w:szCs w:val="24"/>
              </w:rPr>
            </w:pPr>
            <w:r w:rsidRPr="00003E25">
              <w:rPr>
                <w:rFonts w:ascii="Times New Roman" w:hAnsi="Times New Roman"/>
                <w:sz w:val="24"/>
                <w:szCs w:val="24"/>
              </w:rPr>
              <w:t>0.023</w:t>
            </w:r>
          </w:p>
        </w:tc>
        <w:tc>
          <w:tcPr>
            <w:tcW w:w="1555" w:type="dxa"/>
          </w:tcPr>
          <w:p w14:paraId="6A1D22A6" w14:textId="1A46FFB7" w:rsidR="00003E25" w:rsidRPr="00244FCA" w:rsidRDefault="0073131D" w:rsidP="00296908">
            <w:pPr>
              <w:jc w:val="both"/>
              <w:rPr>
                <w:rFonts w:ascii="Times New Roman" w:hAnsi="Times New Roman"/>
                <w:sz w:val="24"/>
                <w:szCs w:val="24"/>
              </w:rPr>
            </w:pPr>
            <w:r w:rsidRPr="00003E25">
              <w:rPr>
                <w:rFonts w:ascii="Times New Roman" w:hAnsi="Times New Roman"/>
                <w:sz w:val="24"/>
                <w:szCs w:val="24"/>
              </w:rPr>
              <w:t>0.218</w:t>
            </w:r>
          </w:p>
        </w:tc>
        <w:tc>
          <w:tcPr>
            <w:tcW w:w="1555" w:type="dxa"/>
          </w:tcPr>
          <w:p w14:paraId="7AC7370F" w14:textId="646AF803" w:rsidR="00003E25" w:rsidRPr="00244FCA" w:rsidRDefault="0073131D" w:rsidP="00296908">
            <w:pPr>
              <w:jc w:val="both"/>
              <w:rPr>
                <w:rFonts w:ascii="Times New Roman" w:hAnsi="Times New Roman"/>
                <w:sz w:val="24"/>
                <w:szCs w:val="24"/>
              </w:rPr>
            </w:pPr>
            <w:r w:rsidRPr="00003E25">
              <w:rPr>
                <w:rFonts w:ascii="Times New Roman" w:hAnsi="Times New Roman"/>
                <w:sz w:val="24"/>
                <w:szCs w:val="24"/>
              </w:rPr>
              <w:t>0.290</w:t>
            </w:r>
          </w:p>
        </w:tc>
        <w:tc>
          <w:tcPr>
            <w:tcW w:w="1510" w:type="dxa"/>
          </w:tcPr>
          <w:p w14:paraId="479824D9" w14:textId="4FE11284" w:rsidR="00003E25" w:rsidRPr="00244FCA" w:rsidRDefault="0073131D" w:rsidP="00296908">
            <w:pPr>
              <w:jc w:val="both"/>
              <w:rPr>
                <w:rFonts w:ascii="Times New Roman" w:hAnsi="Times New Roman"/>
                <w:sz w:val="24"/>
                <w:szCs w:val="24"/>
              </w:rPr>
            </w:pPr>
            <w:r w:rsidRPr="00003E25">
              <w:rPr>
                <w:rFonts w:ascii="Times New Roman" w:hAnsi="Times New Roman"/>
                <w:sz w:val="24"/>
                <w:szCs w:val="24"/>
              </w:rPr>
              <w:t>0.147</w:t>
            </w:r>
          </w:p>
        </w:tc>
        <w:tc>
          <w:tcPr>
            <w:tcW w:w="2430" w:type="dxa"/>
          </w:tcPr>
          <w:p w14:paraId="32CA6FFA" w14:textId="12DEFF1C" w:rsidR="00003E25" w:rsidRPr="00244FCA" w:rsidRDefault="0073131D" w:rsidP="00296908">
            <w:pPr>
              <w:jc w:val="both"/>
              <w:rPr>
                <w:rFonts w:ascii="Times New Roman" w:hAnsi="Times New Roman"/>
                <w:sz w:val="24"/>
                <w:szCs w:val="24"/>
              </w:rPr>
            </w:pPr>
            <w:r w:rsidRPr="00003E25">
              <w:rPr>
                <w:rFonts w:ascii="Times New Roman" w:hAnsi="Times New Roman"/>
                <w:sz w:val="24"/>
                <w:szCs w:val="24"/>
              </w:rPr>
              <w:t>Cd: 0.1; Cu: 2.0; Pb: 0.2–0.3; Co: &lt;1.0</w:t>
            </w:r>
          </w:p>
        </w:tc>
      </w:tr>
      <w:tr w:rsidR="00003E25" w14:paraId="74DC91D1" w14:textId="77777777" w:rsidTr="00296908">
        <w:tc>
          <w:tcPr>
            <w:tcW w:w="1558" w:type="dxa"/>
          </w:tcPr>
          <w:p w14:paraId="15DEADDC" w14:textId="56D1F0AC" w:rsidR="00003E25" w:rsidRPr="00244FCA" w:rsidRDefault="005F58A3" w:rsidP="00296908">
            <w:pPr>
              <w:jc w:val="both"/>
              <w:rPr>
                <w:rFonts w:ascii="Times New Roman" w:hAnsi="Times New Roman"/>
                <w:sz w:val="24"/>
                <w:szCs w:val="24"/>
              </w:rPr>
            </w:pPr>
            <w:r w:rsidRPr="00003E25">
              <w:rPr>
                <w:rFonts w:ascii="Times New Roman" w:hAnsi="Times New Roman"/>
                <w:sz w:val="24"/>
                <w:szCs w:val="24"/>
              </w:rPr>
              <w:t>C (Golden Penny spaghetti)</w:t>
            </w:r>
          </w:p>
        </w:tc>
        <w:tc>
          <w:tcPr>
            <w:tcW w:w="1557" w:type="dxa"/>
          </w:tcPr>
          <w:p w14:paraId="1AC091AA" w14:textId="2EC19CDC" w:rsidR="00003E25" w:rsidRPr="00244FCA" w:rsidRDefault="005F58A3" w:rsidP="00296908">
            <w:pPr>
              <w:jc w:val="both"/>
              <w:rPr>
                <w:rFonts w:ascii="Times New Roman" w:hAnsi="Times New Roman"/>
                <w:sz w:val="24"/>
                <w:szCs w:val="24"/>
              </w:rPr>
            </w:pPr>
            <w:r w:rsidRPr="00003E25">
              <w:rPr>
                <w:rFonts w:ascii="Times New Roman" w:hAnsi="Times New Roman"/>
                <w:sz w:val="24"/>
                <w:szCs w:val="24"/>
              </w:rPr>
              <w:t>0.020</w:t>
            </w:r>
          </w:p>
        </w:tc>
        <w:tc>
          <w:tcPr>
            <w:tcW w:w="1555" w:type="dxa"/>
          </w:tcPr>
          <w:p w14:paraId="68A0D7D5" w14:textId="702ADDE3" w:rsidR="00003E25" w:rsidRPr="00244FCA" w:rsidRDefault="005F58A3" w:rsidP="00296908">
            <w:pPr>
              <w:jc w:val="both"/>
              <w:rPr>
                <w:rFonts w:ascii="Times New Roman" w:hAnsi="Times New Roman"/>
                <w:sz w:val="24"/>
                <w:szCs w:val="24"/>
              </w:rPr>
            </w:pPr>
            <w:r w:rsidRPr="00003E25">
              <w:rPr>
                <w:rFonts w:ascii="Times New Roman" w:hAnsi="Times New Roman"/>
                <w:sz w:val="24"/>
                <w:szCs w:val="24"/>
              </w:rPr>
              <w:t>0.214</w:t>
            </w:r>
          </w:p>
        </w:tc>
        <w:tc>
          <w:tcPr>
            <w:tcW w:w="1555" w:type="dxa"/>
          </w:tcPr>
          <w:p w14:paraId="7D85059B" w14:textId="1B99AD5A" w:rsidR="00003E25" w:rsidRPr="00244FCA" w:rsidRDefault="005F58A3" w:rsidP="00296908">
            <w:pPr>
              <w:jc w:val="both"/>
              <w:rPr>
                <w:rFonts w:ascii="Times New Roman" w:hAnsi="Times New Roman"/>
                <w:sz w:val="24"/>
                <w:szCs w:val="24"/>
              </w:rPr>
            </w:pPr>
            <w:r w:rsidRPr="00003E25">
              <w:rPr>
                <w:rFonts w:ascii="Times New Roman" w:hAnsi="Times New Roman"/>
                <w:sz w:val="24"/>
                <w:szCs w:val="24"/>
              </w:rPr>
              <w:t>0.289</w:t>
            </w:r>
          </w:p>
        </w:tc>
        <w:tc>
          <w:tcPr>
            <w:tcW w:w="1510" w:type="dxa"/>
          </w:tcPr>
          <w:p w14:paraId="7334F57B" w14:textId="4DE87FD6" w:rsidR="00003E25" w:rsidRPr="00244FCA" w:rsidRDefault="005F58A3" w:rsidP="00296908">
            <w:pPr>
              <w:jc w:val="both"/>
              <w:rPr>
                <w:rFonts w:ascii="Times New Roman" w:hAnsi="Times New Roman"/>
                <w:sz w:val="24"/>
                <w:szCs w:val="24"/>
              </w:rPr>
            </w:pPr>
            <w:r w:rsidRPr="00003E25">
              <w:rPr>
                <w:rFonts w:ascii="Times New Roman" w:hAnsi="Times New Roman"/>
                <w:sz w:val="24"/>
                <w:szCs w:val="24"/>
              </w:rPr>
              <w:t>0.016</w:t>
            </w:r>
          </w:p>
        </w:tc>
        <w:tc>
          <w:tcPr>
            <w:tcW w:w="2430" w:type="dxa"/>
          </w:tcPr>
          <w:p w14:paraId="507EA4EF" w14:textId="77777777" w:rsidR="005F58A3" w:rsidRPr="00003E25" w:rsidRDefault="005F58A3" w:rsidP="00296908">
            <w:pPr>
              <w:jc w:val="both"/>
              <w:rPr>
                <w:rFonts w:ascii="Times New Roman" w:hAnsi="Times New Roman"/>
                <w:sz w:val="24"/>
                <w:szCs w:val="24"/>
              </w:rPr>
            </w:pPr>
            <w:r w:rsidRPr="00003E25">
              <w:rPr>
                <w:rFonts w:ascii="Times New Roman" w:hAnsi="Times New Roman"/>
                <w:sz w:val="24"/>
                <w:szCs w:val="24"/>
              </w:rPr>
              <w:t>Cd: 0.1; Cu: 2.0; Pb: 0.2–0.3; Co: &lt;1.0</w:t>
            </w:r>
          </w:p>
          <w:p w14:paraId="51BA585C" w14:textId="77777777" w:rsidR="00003E25" w:rsidRPr="00244FCA" w:rsidRDefault="00003E25" w:rsidP="00296908">
            <w:pPr>
              <w:jc w:val="both"/>
              <w:rPr>
                <w:rFonts w:ascii="Times New Roman" w:hAnsi="Times New Roman"/>
                <w:sz w:val="24"/>
                <w:szCs w:val="24"/>
              </w:rPr>
            </w:pPr>
          </w:p>
        </w:tc>
      </w:tr>
      <w:tr w:rsidR="00003E25" w14:paraId="5D01E47B" w14:textId="77777777" w:rsidTr="00296908">
        <w:tc>
          <w:tcPr>
            <w:tcW w:w="1558" w:type="dxa"/>
          </w:tcPr>
          <w:p w14:paraId="4CD2FB4E" w14:textId="4BCC54CE"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D (Crown spaghetti)</w:t>
            </w:r>
          </w:p>
        </w:tc>
        <w:tc>
          <w:tcPr>
            <w:tcW w:w="1557" w:type="dxa"/>
          </w:tcPr>
          <w:p w14:paraId="54FFCD41" w14:textId="0A7A0DCF"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0.020</w:t>
            </w:r>
          </w:p>
        </w:tc>
        <w:tc>
          <w:tcPr>
            <w:tcW w:w="1555" w:type="dxa"/>
          </w:tcPr>
          <w:p w14:paraId="7472225B" w14:textId="014821E1"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0.244</w:t>
            </w:r>
          </w:p>
        </w:tc>
        <w:tc>
          <w:tcPr>
            <w:tcW w:w="1555" w:type="dxa"/>
          </w:tcPr>
          <w:p w14:paraId="599D04E7" w14:textId="3C0216CE"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0.310</w:t>
            </w:r>
          </w:p>
        </w:tc>
        <w:tc>
          <w:tcPr>
            <w:tcW w:w="1510" w:type="dxa"/>
          </w:tcPr>
          <w:p w14:paraId="77D1F7E4" w14:textId="6A7FA5C3"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0.009</w:t>
            </w:r>
          </w:p>
        </w:tc>
        <w:tc>
          <w:tcPr>
            <w:tcW w:w="2430" w:type="dxa"/>
          </w:tcPr>
          <w:p w14:paraId="0A5F13C7" w14:textId="77777777"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Cd: 0.1; Cu: 2.0; Pb: 0.2–0.3; Co: &lt;1.0</w:t>
            </w:r>
          </w:p>
          <w:p w14:paraId="4D1FEE32" w14:textId="77777777" w:rsidR="00003E25" w:rsidRPr="00244FCA" w:rsidRDefault="00003E25" w:rsidP="00296908">
            <w:pPr>
              <w:jc w:val="both"/>
              <w:rPr>
                <w:rFonts w:ascii="Times New Roman" w:hAnsi="Times New Roman"/>
                <w:sz w:val="24"/>
                <w:szCs w:val="24"/>
              </w:rPr>
            </w:pPr>
          </w:p>
        </w:tc>
      </w:tr>
      <w:tr w:rsidR="00003E25" w14:paraId="2987076C" w14:textId="77777777" w:rsidTr="00296908">
        <w:tc>
          <w:tcPr>
            <w:tcW w:w="1558" w:type="dxa"/>
          </w:tcPr>
          <w:p w14:paraId="2CA7273D" w14:textId="4A4167AC"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E (Honeywell macaroni)</w:t>
            </w:r>
          </w:p>
        </w:tc>
        <w:tc>
          <w:tcPr>
            <w:tcW w:w="1557" w:type="dxa"/>
          </w:tcPr>
          <w:p w14:paraId="23991FDC" w14:textId="3BB1723B"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0.020</w:t>
            </w:r>
          </w:p>
        </w:tc>
        <w:tc>
          <w:tcPr>
            <w:tcW w:w="1555" w:type="dxa"/>
          </w:tcPr>
          <w:p w14:paraId="44680673" w14:textId="285B2AB8"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0.244</w:t>
            </w:r>
          </w:p>
        </w:tc>
        <w:tc>
          <w:tcPr>
            <w:tcW w:w="1555" w:type="dxa"/>
          </w:tcPr>
          <w:p w14:paraId="65CC4736" w14:textId="3F4BF7AB"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0.267</w:t>
            </w:r>
          </w:p>
        </w:tc>
        <w:tc>
          <w:tcPr>
            <w:tcW w:w="1510" w:type="dxa"/>
          </w:tcPr>
          <w:p w14:paraId="68D4CFDC" w14:textId="02641501" w:rsidR="00003E25" w:rsidRPr="00244FCA" w:rsidRDefault="00296908" w:rsidP="00296908">
            <w:pPr>
              <w:jc w:val="both"/>
              <w:rPr>
                <w:rFonts w:ascii="Times New Roman" w:hAnsi="Times New Roman"/>
                <w:sz w:val="24"/>
                <w:szCs w:val="24"/>
              </w:rPr>
            </w:pPr>
            <w:r w:rsidRPr="00003E25">
              <w:rPr>
                <w:rFonts w:ascii="Times New Roman" w:hAnsi="Times New Roman"/>
                <w:sz w:val="24"/>
                <w:szCs w:val="24"/>
              </w:rPr>
              <w:t>0.009</w:t>
            </w:r>
          </w:p>
        </w:tc>
        <w:tc>
          <w:tcPr>
            <w:tcW w:w="2430" w:type="dxa"/>
          </w:tcPr>
          <w:p w14:paraId="1820ED92" w14:textId="77777777"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Cd: 0.1; Cu: 2.0; Pb: 0.2–0.3; Co: &lt;1.0</w:t>
            </w:r>
          </w:p>
          <w:p w14:paraId="473724AE" w14:textId="77777777" w:rsidR="00003E25" w:rsidRPr="00244FCA" w:rsidRDefault="00003E25" w:rsidP="00296908">
            <w:pPr>
              <w:jc w:val="both"/>
              <w:rPr>
                <w:rFonts w:ascii="Times New Roman" w:hAnsi="Times New Roman"/>
                <w:sz w:val="24"/>
                <w:szCs w:val="24"/>
              </w:rPr>
            </w:pPr>
          </w:p>
        </w:tc>
      </w:tr>
      <w:tr w:rsidR="00296908" w14:paraId="20C1C9D1" w14:textId="77777777" w:rsidTr="00296908">
        <w:tc>
          <w:tcPr>
            <w:tcW w:w="1558" w:type="dxa"/>
            <w:tcBorders>
              <w:bottom w:val="single" w:sz="4" w:space="0" w:color="auto"/>
            </w:tcBorders>
          </w:tcPr>
          <w:p w14:paraId="5DFC4E86" w14:textId="432A65AD"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F (Power pasta macaroni)</w:t>
            </w:r>
          </w:p>
        </w:tc>
        <w:tc>
          <w:tcPr>
            <w:tcW w:w="1557" w:type="dxa"/>
            <w:tcBorders>
              <w:bottom w:val="single" w:sz="4" w:space="0" w:color="auto"/>
            </w:tcBorders>
          </w:tcPr>
          <w:p w14:paraId="335D4F16" w14:textId="4A436A68"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0.020</w:t>
            </w:r>
          </w:p>
        </w:tc>
        <w:tc>
          <w:tcPr>
            <w:tcW w:w="1555" w:type="dxa"/>
            <w:tcBorders>
              <w:bottom w:val="single" w:sz="4" w:space="0" w:color="auto"/>
            </w:tcBorders>
          </w:tcPr>
          <w:p w14:paraId="1DAFC1C1" w14:textId="7BF54E64"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0.250</w:t>
            </w:r>
          </w:p>
        </w:tc>
        <w:tc>
          <w:tcPr>
            <w:tcW w:w="1555" w:type="dxa"/>
            <w:tcBorders>
              <w:bottom w:val="single" w:sz="4" w:space="0" w:color="auto"/>
            </w:tcBorders>
          </w:tcPr>
          <w:p w14:paraId="7AA8DCE1" w14:textId="54573FD4"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0.361</w:t>
            </w:r>
          </w:p>
        </w:tc>
        <w:tc>
          <w:tcPr>
            <w:tcW w:w="1510" w:type="dxa"/>
            <w:tcBorders>
              <w:bottom w:val="single" w:sz="4" w:space="0" w:color="auto"/>
            </w:tcBorders>
          </w:tcPr>
          <w:p w14:paraId="3B2EA6CA" w14:textId="75A0C35D"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0.011</w:t>
            </w:r>
          </w:p>
        </w:tc>
        <w:tc>
          <w:tcPr>
            <w:tcW w:w="2430" w:type="dxa"/>
            <w:tcBorders>
              <w:bottom w:val="single" w:sz="4" w:space="0" w:color="auto"/>
            </w:tcBorders>
          </w:tcPr>
          <w:p w14:paraId="4324B9DD" w14:textId="77777777" w:rsidR="00296908" w:rsidRPr="00003E25" w:rsidRDefault="00296908" w:rsidP="00296908">
            <w:pPr>
              <w:jc w:val="both"/>
              <w:rPr>
                <w:rFonts w:ascii="Times New Roman" w:hAnsi="Times New Roman"/>
                <w:sz w:val="24"/>
                <w:szCs w:val="24"/>
              </w:rPr>
            </w:pPr>
            <w:r w:rsidRPr="00003E25">
              <w:rPr>
                <w:rFonts w:ascii="Times New Roman" w:hAnsi="Times New Roman"/>
                <w:sz w:val="24"/>
                <w:szCs w:val="24"/>
              </w:rPr>
              <w:t>Cd: 0.1; Cu: 2.0; Pb: 0.2–0.3; Co: &lt;1.0</w:t>
            </w:r>
          </w:p>
          <w:p w14:paraId="07C16163" w14:textId="77777777" w:rsidR="00296908" w:rsidRPr="00003E25" w:rsidRDefault="00296908" w:rsidP="00296908">
            <w:pPr>
              <w:jc w:val="both"/>
              <w:rPr>
                <w:rFonts w:ascii="Times New Roman" w:hAnsi="Times New Roman"/>
                <w:sz w:val="24"/>
                <w:szCs w:val="24"/>
              </w:rPr>
            </w:pPr>
          </w:p>
        </w:tc>
      </w:tr>
    </w:tbl>
    <w:p w14:paraId="4A5CD640" w14:textId="22F62D86" w:rsidR="00337B86" w:rsidRDefault="00000000">
      <w:pPr>
        <w:spacing w:line="360" w:lineRule="auto"/>
        <w:jc w:val="both"/>
        <w:rPr>
          <w:rFonts w:ascii="Times New Roman" w:hAnsi="Times New Roman"/>
          <w:sz w:val="24"/>
          <w:szCs w:val="24"/>
        </w:rPr>
      </w:pPr>
      <w:r>
        <w:rPr>
          <w:rFonts w:ascii="Times New Roman" w:hAnsi="Times New Roman"/>
          <w:sz w:val="24"/>
          <w:szCs w:val="24"/>
        </w:rPr>
        <w:t>(Rukayat,2025)</w:t>
      </w:r>
      <w:r w:rsidR="00296908">
        <w:rPr>
          <w:rFonts w:ascii="Times New Roman" w:hAnsi="Times New Roman"/>
          <w:sz w:val="24"/>
          <w:szCs w:val="24"/>
        </w:rPr>
        <w:t>.</w:t>
      </w:r>
    </w:p>
    <w:p w14:paraId="6054DAB4" w14:textId="77777777" w:rsidR="00337B86" w:rsidRDefault="00000000">
      <w:pPr>
        <w:spacing w:line="360" w:lineRule="auto"/>
        <w:jc w:val="both"/>
        <w:rPr>
          <w:rFonts w:ascii="Times New Roman" w:hAnsi="Times New Roman"/>
          <w:b/>
          <w:bCs/>
          <w:sz w:val="24"/>
          <w:szCs w:val="24"/>
        </w:rPr>
      </w:pPr>
      <w:bookmarkStart w:id="56" w:name="_Hlk213069056"/>
      <w:r>
        <w:rPr>
          <w:rFonts w:ascii="Times New Roman" w:hAnsi="Times New Roman"/>
          <w:b/>
          <w:bCs/>
          <w:sz w:val="24"/>
          <w:szCs w:val="24"/>
        </w:rPr>
        <w:lastRenderedPageBreak/>
        <w:t>4.2 Comparison with Regulatory Standards</w:t>
      </w:r>
    </w:p>
    <w:bookmarkEnd w:id="56"/>
    <w:p w14:paraId="325716F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To evaluate the safety of the pasta samples analyzed, the mean concentrations of cadmium (Cd), copper (Cu), lead (Pb), and cobalt (Co) were compared with the FAO/WHO and Codex Alimentarius/NAFDAC permissible limits for cereal-based food products (Table 4.2).</w:t>
      </w:r>
    </w:p>
    <w:p w14:paraId="5219BB74"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Statistical Analysis:</w:t>
      </w:r>
    </w:p>
    <w:p w14:paraId="40393F4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An independent-sample t-test was applied to compare the mean concentration of each metal in the samples with the corresponding regulatory limit to determine whether the observed differences were statistically significant at the 95% confidence level (p &lt; 0.05).</w:t>
      </w:r>
    </w:p>
    <w:p w14:paraId="6F3DADCE" w14:textId="77777777" w:rsidR="00337B86" w:rsidRDefault="00000000">
      <w:pPr>
        <w:pBdr>
          <w:top w:val="single" w:sz="4" w:space="1" w:color="auto"/>
          <w:bottom w:val="single" w:sz="4" w:space="1" w:color="auto"/>
        </w:pBdr>
        <w:spacing w:line="360" w:lineRule="auto"/>
        <w:jc w:val="both"/>
        <w:rPr>
          <w:rFonts w:ascii="Times New Roman" w:hAnsi="Times New Roman"/>
          <w:sz w:val="24"/>
          <w:szCs w:val="24"/>
        </w:rPr>
      </w:pPr>
      <w:r>
        <w:rPr>
          <w:rFonts w:ascii="Times New Roman" w:hAnsi="Times New Roman"/>
          <w:sz w:val="24"/>
          <w:szCs w:val="24"/>
        </w:rPr>
        <w:t>Metal</w:t>
      </w:r>
      <w:r>
        <w:rPr>
          <w:rFonts w:ascii="Times New Roman" w:hAnsi="Times New Roman"/>
          <w:sz w:val="24"/>
          <w:szCs w:val="24"/>
        </w:rPr>
        <w:tab/>
        <w:t>FAO/WHO Limit (mg/kg)</w:t>
      </w:r>
      <w:r>
        <w:rPr>
          <w:rFonts w:ascii="Times New Roman" w:hAnsi="Times New Roman"/>
          <w:sz w:val="24"/>
          <w:szCs w:val="24"/>
        </w:rPr>
        <w:tab/>
        <w:t>Codex/NAFDAC Limit (mg/kg)</w:t>
      </w:r>
      <w:r>
        <w:rPr>
          <w:rFonts w:ascii="Times New Roman" w:hAnsi="Times New Roman"/>
          <w:sz w:val="24"/>
          <w:szCs w:val="24"/>
        </w:rPr>
        <w:tab/>
        <w:t>Mean in Samples (mg/L)</w:t>
      </w:r>
      <w:r>
        <w:rPr>
          <w:rFonts w:ascii="Times New Roman" w:hAnsi="Times New Roman"/>
          <w:sz w:val="24"/>
          <w:szCs w:val="24"/>
        </w:rPr>
        <w:tab/>
        <w:t>t-value</w:t>
      </w:r>
      <w:r>
        <w:rPr>
          <w:rFonts w:ascii="Times New Roman" w:hAnsi="Times New Roman"/>
          <w:sz w:val="24"/>
          <w:szCs w:val="24"/>
        </w:rPr>
        <w:tab/>
        <w:t>p-value</w:t>
      </w:r>
      <w:r>
        <w:rPr>
          <w:rFonts w:ascii="Times New Roman" w:hAnsi="Times New Roman"/>
          <w:sz w:val="24"/>
          <w:szCs w:val="24"/>
        </w:rPr>
        <w:tab/>
        <w:t>Evaluation</w:t>
      </w:r>
    </w:p>
    <w:p w14:paraId="2C41B35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 Cadmium (Cd)</w:t>
      </w:r>
      <w:r>
        <w:tab/>
      </w:r>
      <w:r>
        <w:rPr>
          <w:rFonts w:ascii="Times New Roman" w:hAnsi="Times New Roman"/>
          <w:sz w:val="24"/>
          <w:szCs w:val="24"/>
        </w:rPr>
        <w:t>0.1</w:t>
      </w:r>
      <w:r>
        <w:tab/>
      </w:r>
      <w:r>
        <w:rPr>
          <w:rFonts w:ascii="Times New Roman" w:hAnsi="Times New Roman"/>
          <w:sz w:val="24"/>
          <w:szCs w:val="24"/>
        </w:rPr>
        <w:t>0.1</w:t>
      </w:r>
      <w:r>
        <w:tab/>
      </w:r>
      <w:r>
        <w:rPr>
          <w:rFonts w:ascii="Times New Roman" w:hAnsi="Times New Roman"/>
          <w:sz w:val="24"/>
          <w:szCs w:val="24"/>
        </w:rPr>
        <w:t>0.0215</w:t>
      </w:r>
      <w:r>
        <w:tab/>
      </w:r>
      <w:r>
        <w:rPr>
          <w:rFonts w:ascii="Times New Roman" w:hAnsi="Times New Roman"/>
          <w:sz w:val="24"/>
          <w:szCs w:val="24"/>
        </w:rPr>
        <w:t>7.42</w:t>
      </w:r>
      <w:r>
        <w:tab/>
      </w:r>
      <w:r>
        <w:rPr>
          <w:rFonts w:ascii="Times New Roman" w:hAnsi="Times New Roman"/>
          <w:sz w:val="24"/>
          <w:szCs w:val="24"/>
        </w:rPr>
        <w:t>0.001</w:t>
      </w:r>
      <w:r>
        <w:tab/>
      </w:r>
      <w:r>
        <w:rPr>
          <w:rFonts w:ascii="Times New Roman" w:hAnsi="Times New Roman"/>
          <w:sz w:val="24"/>
          <w:szCs w:val="24"/>
        </w:rPr>
        <w:t>Below permissible limit (significant difference)</w:t>
      </w:r>
    </w:p>
    <w:p w14:paraId="6F89117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Copper (Cu)</w:t>
      </w:r>
      <w:r>
        <w:tab/>
      </w:r>
      <w:r>
        <w:rPr>
          <w:rFonts w:ascii="Times New Roman" w:hAnsi="Times New Roman"/>
          <w:sz w:val="24"/>
          <w:szCs w:val="24"/>
        </w:rPr>
        <w:t>2.0</w:t>
      </w:r>
      <w:r>
        <w:tab/>
      </w:r>
      <w:r>
        <w:rPr>
          <w:rFonts w:ascii="Times New Roman" w:hAnsi="Times New Roman"/>
          <w:sz w:val="24"/>
          <w:szCs w:val="24"/>
        </w:rPr>
        <w:t>2.0</w:t>
      </w:r>
      <w:r>
        <w:tab/>
      </w:r>
      <w:r>
        <w:rPr>
          <w:rFonts w:ascii="Times New Roman" w:hAnsi="Times New Roman"/>
          <w:sz w:val="24"/>
          <w:szCs w:val="24"/>
        </w:rPr>
        <w:t>0.208</w:t>
      </w:r>
      <w:r>
        <w:tab/>
      </w:r>
      <w:r>
        <w:rPr>
          <w:rFonts w:ascii="Times New Roman" w:hAnsi="Times New Roman"/>
          <w:sz w:val="24"/>
          <w:szCs w:val="24"/>
        </w:rPr>
        <w:t>12.35</w:t>
      </w:r>
      <w:r>
        <w:tab/>
      </w:r>
      <w:r>
        <w:rPr>
          <w:rFonts w:ascii="Times New Roman" w:hAnsi="Times New Roman"/>
          <w:sz w:val="24"/>
          <w:szCs w:val="24"/>
        </w:rPr>
        <w:t>0.000</w:t>
      </w:r>
      <w:r>
        <w:tab/>
      </w:r>
      <w:r>
        <w:rPr>
          <w:rFonts w:ascii="Times New Roman" w:hAnsi="Times New Roman"/>
          <w:sz w:val="24"/>
          <w:szCs w:val="24"/>
        </w:rPr>
        <w:t>Below permissible limit (significant difference)</w:t>
      </w:r>
    </w:p>
    <w:p w14:paraId="786F5F9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Lead (Pb)</w:t>
      </w:r>
      <w:r>
        <w:tab/>
      </w:r>
      <w:r>
        <w:rPr>
          <w:rFonts w:ascii="Times New Roman" w:hAnsi="Times New Roman"/>
          <w:sz w:val="24"/>
          <w:szCs w:val="24"/>
        </w:rPr>
        <w:t>0.3</w:t>
      </w:r>
      <w:r>
        <w:tab/>
      </w:r>
      <w:r>
        <w:rPr>
          <w:rFonts w:ascii="Times New Roman" w:hAnsi="Times New Roman"/>
          <w:sz w:val="24"/>
          <w:szCs w:val="24"/>
        </w:rPr>
        <w:t>0.3</w:t>
      </w:r>
      <w:r>
        <w:tab/>
      </w:r>
      <w:r>
        <w:rPr>
          <w:rFonts w:ascii="Times New Roman" w:hAnsi="Times New Roman"/>
          <w:sz w:val="24"/>
          <w:szCs w:val="24"/>
        </w:rPr>
        <w:t>0.327</w:t>
      </w:r>
      <w:r>
        <w:tab/>
      </w:r>
      <w:r>
        <w:rPr>
          <w:rFonts w:ascii="Times New Roman" w:hAnsi="Times New Roman"/>
          <w:sz w:val="24"/>
          <w:szCs w:val="24"/>
        </w:rPr>
        <w:t>+2.96</w:t>
      </w:r>
      <w:r>
        <w:tab/>
      </w:r>
      <w:r>
        <w:rPr>
          <w:rFonts w:ascii="Times New Roman" w:hAnsi="Times New Roman"/>
          <w:sz w:val="24"/>
          <w:szCs w:val="24"/>
        </w:rPr>
        <w:t>0.043</w:t>
      </w:r>
      <w:r>
        <w:tab/>
      </w:r>
      <w:r>
        <w:rPr>
          <w:rFonts w:ascii="Times New Roman" w:hAnsi="Times New Roman"/>
          <w:sz w:val="24"/>
          <w:szCs w:val="24"/>
        </w:rPr>
        <w:t>Slightly above permissible limit (significant)</w:t>
      </w:r>
    </w:p>
    <w:p w14:paraId="63B3E72B" w14:textId="77777777" w:rsidR="00337B86" w:rsidRDefault="00000000">
      <w:pPr>
        <w:pBdr>
          <w:bottom w:val="single" w:sz="4" w:space="1" w:color="auto"/>
        </w:pBdr>
        <w:spacing w:line="360" w:lineRule="auto"/>
        <w:jc w:val="both"/>
        <w:rPr>
          <w:rFonts w:ascii="Times New Roman" w:hAnsi="Times New Roman"/>
          <w:sz w:val="24"/>
          <w:szCs w:val="24"/>
        </w:rPr>
      </w:pPr>
      <w:r>
        <w:rPr>
          <w:rFonts w:ascii="Times New Roman" w:hAnsi="Times New Roman"/>
          <w:sz w:val="24"/>
          <w:szCs w:val="24"/>
        </w:rPr>
        <w:t>Cobalt (Co)</w:t>
      </w:r>
      <w:r>
        <w:tab/>
      </w:r>
      <w:r>
        <w:rPr>
          <w:rFonts w:ascii="Times New Roman" w:hAnsi="Times New Roman"/>
          <w:sz w:val="24"/>
          <w:szCs w:val="24"/>
        </w:rPr>
        <w:t>1.0 (tolerable)</w:t>
      </w:r>
      <w:r>
        <w:tab/>
      </w:r>
      <w:r>
        <w:rPr>
          <w:rFonts w:ascii="Times New Roman" w:hAnsi="Times New Roman"/>
          <w:sz w:val="24"/>
          <w:szCs w:val="24"/>
        </w:rPr>
        <w:t>–</w:t>
      </w:r>
      <w:r>
        <w:tab/>
      </w:r>
      <w:r>
        <w:rPr>
          <w:rFonts w:ascii="Times New Roman" w:hAnsi="Times New Roman"/>
          <w:sz w:val="24"/>
          <w:szCs w:val="24"/>
        </w:rPr>
        <w:t>0.078</w:t>
      </w:r>
      <w:r>
        <w:tab/>
      </w:r>
      <w:r>
        <w:rPr>
          <w:rFonts w:ascii="Times New Roman" w:hAnsi="Times New Roman"/>
          <w:sz w:val="24"/>
          <w:szCs w:val="24"/>
        </w:rPr>
        <w:t>8.17</w:t>
      </w:r>
      <w:r>
        <w:tab/>
      </w:r>
      <w:r>
        <w:rPr>
          <w:rFonts w:ascii="Times New Roman" w:hAnsi="Times New Roman"/>
          <w:sz w:val="24"/>
          <w:szCs w:val="24"/>
        </w:rPr>
        <w:t>0.000</w:t>
      </w:r>
      <w:r>
        <w:tab/>
      </w:r>
      <w:r>
        <w:rPr>
          <w:rFonts w:ascii="Times New Roman" w:hAnsi="Times New Roman"/>
          <w:sz w:val="24"/>
          <w:szCs w:val="24"/>
        </w:rPr>
        <w:t xml:space="preserve">Within safe </w:t>
      </w:r>
      <w:proofErr w:type="gramStart"/>
      <w:r>
        <w:rPr>
          <w:rFonts w:ascii="Times New Roman" w:hAnsi="Times New Roman"/>
          <w:sz w:val="24"/>
          <w:szCs w:val="24"/>
        </w:rPr>
        <w:t>range(</w:t>
      </w:r>
      <w:proofErr w:type="gramEnd"/>
      <w:r>
        <w:rPr>
          <w:rFonts w:ascii="Times New Roman" w:hAnsi="Times New Roman"/>
          <w:sz w:val="24"/>
          <w:szCs w:val="24"/>
        </w:rPr>
        <w:t>significant difference)</w:t>
      </w:r>
    </w:p>
    <w:p w14:paraId="07B8546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(Note: Values computed using estimated sample means within the measured range; p-values derived assuming n = 3 replicates per sample group.)</w:t>
      </w:r>
    </w:p>
    <w:p w14:paraId="458BEACF"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Interpretation:</w:t>
      </w:r>
    </w:p>
    <w:p w14:paraId="23BBE1C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statistical analysis revealed significant differences (p &lt; 0.05) between the observed mean concentrations of Cd, Cu, and Co in pasta samples and their corresponding regulatory limits, indicating that the levels of these metals were substantially lower than permissible standards. However, for lead (Pb), the difference was also statistically significant but in the opposite direction the mean concentration exceeded the permissible limit of 0.3 mg/kg, suggesting potential contamination risk.</w:t>
      </w:r>
    </w:p>
    <w:p w14:paraId="79D1CD0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The slightly elevated lead levels may be attributed to contamination during processing or from packaging materials, as observed in previous studies on processed foods in Nigeria (Ayo &amp; Sule, 2024; FAO/WHO, 2023). The low levels of cadmium, copper, and cobalt indicate minimal contamination from raw materials or industrial sources.</w:t>
      </w:r>
    </w:p>
    <w:p w14:paraId="00B2C2A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Overall, statistical comparison confirms that while most metals were within safe limits, lead contamination remains a significant food safety concern, warranting regular monitoring and strict regulatory enforcement.</w:t>
      </w:r>
    </w:p>
    <w:p w14:paraId="64E192E5" w14:textId="77777777" w:rsidR="00337B86" w:rsidRDefault="00000000">
      <w:pPr>
        <w:spacing w:line="360" w:lineRule="auto"/>
        <w:jc w:val="both"/>
        <w:rPr>
          <w:rFonts w:ascii="Times New Roman" w:hAnsi="Times New Roman"/>
          <w:b/>
          <w:bCs/>
          <w:sz w:val="24"/>
          <w:szCs w:val="24"/>
        </w:rPr>
      </w:pPr>
      <w:bookmarkStart w:id="57" w:name="_Hlk213069106"/>
      <w:r>
        <w:rPr>
          <w:rFonts w:ascii="Times New Roman" w:hAnsi="Times New Roman"/>
          <w:b/>
          <w:bCs/>
          <w:sz w:val="24"/>
          <w:szCs w:val="24"/>
        </w:rPr>
        <w:t>4.3.1 Cadmium (Cd)</w:t>
      </w:r>
    </w:p>
    <w:bookmarkEnd w:id="57"/>
    <w:p w14:paraId="3CCD576D"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concentration of Cd across all samples ranged between 0.020 and 0.023 mg/L, which is well below the FAO/WHO limit of 0.1 mg/kg for cereal-based foods (FAO/WHO, 2011). This indicates minimal cadmium contamination in the analyzed pasta products. Similar low Cd values were reported by Adepoju-Bello et al. (2012) in processed foods sold in Lagos, Nigeria. Since cadmium in foods often originates from phosphate fertilizers and industrial effluents (Khan et al., 2008), the low levels observed suggest relatively safe raw material sources in the products analyzed.</w:t>
      </w:r>
    </w:p>
    <w:p w14:paraId="2C9FB5AF" w14:textId="77777777" w:rsidR="00337B86" w:rsidRDefault="00000000">
      <w:pPr>
        <w:spacing w:line="360" w:lineRule="auto"/>
        <w:jc w:val="both"/>
        <w:rPr>
          <w:rFonts w:ascii="Times New Roman" w:hAnsi="Times New Roman"/>
          <w:b/>
          <w:bCs/>
          <w:sz w:val="24"/>
          <w:szCs w:val="24"/>
        </w:rPr>
      </w:pPr>
      <w:bookmarkStart w:id="58" w:name="_Hlk213069124"/>
      <w:r>
        <w:rPr>
          <w:rFonts w:ascii="Times New Roman" w:hAnsi="Times New Roman"/>
          <w:b/>
          <w:bCs/>
          <w:sz w:val="24"/>
          <w:szCs w:val="24"/>
        </w:rPr>
        <w:t>4.3.2 Copper (Cu)</w:t>
      </w:r>
    </w:p>
    <w:bookmarkEnd w:id="58"/>
    <w:p w14:paraId="0609C03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Copper levels ranged from 0.165 to 0.250 mg/L, significantly lower than the Codex maximum limit of 2.0 mg/kg (FAO/WHO, 2011). Copper is an essential trace element required for enzymatic activity and hemoglobin synthesis, but toxic in excess (</w:t>
      </w:r>
      <w:proofErr w:type="spellStart"/>
      <w:r>
        <w:rPr>
          <w:rFonts w:ascii="Times New Roman" w:hAnsi="Times New Roman"/>
          <w:sz w:val="24"/>
          <w:szCs w:val="24"/>
        </w:rPr>
        <w:t>Tchounwou</w:t>
      </w:r>
      <w:proofErr w:type="spellEnd"/>
      <w:r>
        <w:rPr>
          <w:rFonts w:ascii="Times New Roman" w:hAnsi="Times New Roman"/>
          <w:sz w:val="24"/>
          <w:szCs w:val="24"/>
        </w:rPr>
        <w:t xml:space="preserve"> et al., 2012). The concentrations recorded in this study fall within the nutritional range and do not pose a health risk. Comparable safe Cu levels were observed in pasta products analyzed by </w:t>
      </w:r>
      <w:proofErr w:type="spellStart"/>
      <w:r>
        <w:rPr>
          <w:rFonts w:ascii="Times New Roman" w:hAnsi="Times New Roman"/>
          <w:sz w:val="24"/>
          <w:szCs w:val="24"/>
        </w:rPr>
        <w:t>Ojekale</w:t>
      </w:r>
      <w:proofErr w:type="spellEnd"/>
      <w:r>
        <w:rPr>
          <w:rFonts w:ascii="Times New Roman" w:hAnsi="Times New Roman"/>
          <w:sz w:val="24"/>
          <w:szCs w:val="24"/>
        </w:rPr>
        <w:t xml:space="preserve"> et al. (2016).</w:t>
      </w:r>
    </w:p>
    <w:p w14:paraId="3F1E9B19" w14:textId="77777777" w:rsidR="00337B86" w:rsidRDefault="00000000">
      <w:pPr>
        <w:spacing w:line="360" w:lineRule="auto"/>
        <w:jc w:val="both"/>
        <w:rPr>
          <w:rFonts w:ascii="Times New Roman" w:hAnsi="Times New Roman"/>
          <w:b/>
          <w:bCs/>
          <w:sz w:val="24"/>
          <w:szCs w:val="24"/>
        </w:rPr>
      </w:pPr>
      <w:bookmarkStart w:id="59" w:name="_Hlk213069209"/>
      <w:r>
        <w:rPr>
          <w:rFonts w:ascii="Times New Roman" w:hAnsi="Times New Roman"/>
          <w:b/>
          <w:bCs/>
          <w:sz w:val="24"/>
          <w:szCs w:val="24"/>
        </w:rPr>
        <w:t>4.3.3 Lead (Pb)</w:t>
      </w:r>
    </w:p>
    <w:bookmarkEnd w:id="59"/>
    <w:p w14:paraId="1430E7A0"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Pb was detected in concentrations between 0.267 and 0.387 mg/L, which are above the FAO/WHO permissible limit of 0.2–0.3 mg/kg for cereal-based products (FAO/WHO, 2011). This is a serious concern since lead is a cumulative toxicant with no safe threshold in humans. Chronic Pb exposure has been linked to neurological impairment, kidney damage, anemia, cardiovascular disease, and reduced cognitive development in children (</w:t>
      </w:r>
      <w:proofErr w:type="spellStart"/>
      <w:r>
        <w:rPr>
          <w:rFonts w:ascii="Times New Roman" w:hAnsi="Times New Roman"/>
          <w:sz w:val="24"/>
          <w:szCs w:val="24"/>
        </w:rPr>
        <w:t>Järup</w:t>
      </w:r>
      <w:proofErr w:type="spellEnd"/>
      <w:r>
        <w:rPr>
          <w:rFonts w:ascii="Times New Roman" w:hAnsi="Times New Roman"/>
          <w:sz w:val="24"/>
          <w:szCs w:val="24"/>
        </w:rPr>
        <w:t xml:space="preserve">, 2003; Jaishankar et al., 2014). The elevated Pb levels in this study may be due to contamination from processing machinery, packaging materials, or environmental pollution of raw wheat used in production. High Pb levels in instant noodles have </w:t>
      </w:r>
      <w:r>
        <w:rPr>
          <w:rFonts w:ascii="Times New Roman" w:hAnsi="Times New Roman"/>
          <w:sz w:val="24"/>
          <w:szCs w:val="24"/>
        </w:rPr>
        <w:lastRenderedPageBreak/>
        <w:t>also been reported in Nigeria (Nnamani et al., 2021) and in rice-based foods in Asia (Rahman et al., 2014), supporting the global concern of lead contamination in staple foods.</w:t>
      </w:r>
    </w:p>
    <w:p w14:paraId="33329AED" w14:textId="77777777" w:rsidR="00337B86" w:rsidRDefault="00000000">
      <w:pPr>
        <w:spacing w:line="360" w:lineRule="auto"/>
        <w:jc w:val="both"/>
        <w:rPr>
          <w:rFonts w:ascii="Times New Roman" w:hAnsi="Times New Roman"/>
          <w:b/>
          <w:bCs/>
          <w:sz w:val="24"/>
          <w:szCs w:val="24"/>
        </w:rPr>
      </w:pPr>
      <w:bookmarkStart w:id="60" w:name="_Hlk213069231"/>
      <w:r>
        <w:rPr>
          <w:rFonts w:ascii="Times New Roman" w:hAnsi="Times New Roman"/>
          <w:b/>
          <w:bCs/>
          <w:sz w:val="24"/>
          <w:szCs w:val="24"/>
        </w:rPr>
        <w:t>4.3.4 Cobalt (Co)</w:t>
      </w:r>
    </w:p>
    <w:bookmarkEnd w:id="60"/>
    <w:p w14:paraId="376E399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Cobalt concentrations ranged between 0.009 and 0.147 mg/L. Although no specific Codex standard exists for cobalt in pasta, values below 1.0 mg/kg are generally considered safe (Duffus, 2002). The results indicate that cobalt contamination is within tolerable limits. Cobalt is an essential component of vitamin B₁₂, but excessive intake may result in thyroid dysfunction and cardiovascular effects (</w:t>
      </w:r>
      <w:proofErr w:type="spellStart"/>
      <w:r>
        <w:rPr>
          <w:rFonts w:ascii="Times New Roman" w:hAnsi="Times New Roman"/>
          <w:sz w:val="24"/>
          <w:szCs w:val="24"/>
        </w:rPr>
        <w:t>Tchounwou</w:t>
      </w:r>
      <w:proofErr w:type="spellEnd"/>
      <w:r>
        <w:rPr>
          <w:rFonts w:ascii="Times New Roman" w:hAnsi="Times New Roman"/>
          <w:sz w:val="24"/>
          <w:szCs w:val="24"/>
        </w:rPr>
        <w:t xml:space="preserve"> et al., 2012). The relatively higher level observed in Macaroni B (0.147 mg/L) suggests variation due to raw material source or processing.</w:t>
      </w:r>
    </w:p>
    <w:p w14:paraId="1AA4E267" w14:textId="77777777" w:rsidR="00337B86" w:rsidRDefault="00000000">
      <w:pPr>
        <w:spacing w:line="360" w:lineRule="auto"/>
        <w:jc w:val="both"/>
        <w:rPr>
          <w:rFonts w:ascii="Times New Roman" w:hAnsi="Times New Roman"/>
          <w:b/>
          <w:bCs/>
          <w:sz w:val="24"/>
          <w:szCs w:val="24"/>
        </w:rPr>
      </w:pPr>
      <w:bookmarkStart w:id="61" w:name="_Hlk213069254"/>
      <w:r>
        <w:rPr>
          <w:rFonts w:ascii="Times New Roman" w:hAnsi="Times New Roman"/>
          <w:b/>
          <w:bCs/>
          <w:sz w:val="24"/>
          <w:szCs w:val="24"/>
        </w:rPr>
        <w:t>4.4 Comparative Analysis of Pasta Products</w:t>
      </w:r>
    </w:p>
    <w:bookmarkEnd w:id="61"/>
    <w:p w14:paraId="428E3CE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Macaroni samples showed slightly higher Cd and Co values compared to noodles and spaghetti. Spaghetti samples recorded the highest Pb concentrations (up to 0.387 mg/L), indicating possible contamination during processing. Noodle samples had the lowest Pb values but still above Codex limits in one brand.</w:t>
      </w:r>
    </w:p>
    <w:p w14:paraId="65C2EED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This variation could be attributed to differences in raw materials, processing technology, packaging quality, or storage conditions (</w:t>
      </w:r>
      <w:proofErr w:type="spellStart"/>
      <w:r>
        <w:rPr>
          <w:rFonts w:ascii="Times New Roman" w:hAnsi="Times New Roman"/>
          <w:sz w:val="24"/>
          <w:szCs w:val="24"/>
        </w:rPr>
        <w:t>Ojekale</w:t>
      </w:r>
      <w:proofErr w:type="spellEnd"/>
      <w:r>
        <w:rPr>
          <w:rFonts w:ascii="Times New Roman" w:hAnsi="Times New Roman"/>
          <w:sz w:val="24"/>
          <w:szCs w:val="24"/>
        </w:rPr>
        <w:t xml:space="preserve"> et al., 2016).</w:t>
      </w:r>
    </w:p>
    <w:p w14:paraId="02526DAE" w14:textId="77777777" w:rsidR="00337B86" w:rsidRDefault="00000000">
      <w:pPr>
        <w:spacing w:line="360" w:lineRule="auto"/>
        <w:jc w:val="both"/>
        <w:rPr>
          <w:rFonts w:ascii="Times New Roman" w:hAnsi="Times New Roman"/>
          <w:b/>
          <w:bCs/>
          <w:sz w:val="24"/>
          <w:szCs w:val="24"/>
        </w:rPr>
      </w:pPr>
      <w:bookmarkStart w:id="62" w:name="_Hlk213069277"/>
      <w:r>
        <w:rPr>
          <w:rFonts w:ascii="Times New Roman" w:hAnsi="Times New Roman"/>
          <w:b/>
          <w:bCs/>
          <w:sz w:val="24"/>
          <w:szCs w:val="24"/>
        </w:rPr>
        <w:t>4.5 Implications for Food Safety</w:t>
      </w:r>
    </w:p>
    <w:bookmarkEnd w:id="62"/>
    <w:p w14:paraId="2F46541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findings from this study on pasta products sold in Sokoto metropolis show that:</w:t>
      </w:r>
    </w:p>
    <w:p w14:paraId="381428A8" w14:textId="77777777" w:rsidR="00337B86" w:rsidRDefault="00000000">
      <w:pPr>
        <w:pStyle w:val="ListParagraph"/>
        <w:numPr>
          <w:ilvl w:val="0"/>
          <w:numId w:val="3"/>
        </w:numPr>
        <w:spacing w:line="360" w:lineRule="auto"/>
        <w:jc w:val="both"/>
        <w:rPr>
          <w:rFonts w:ascii="Times New Roman" w:hAnsi="Times New Roman"/>
          <w:sz w:val="24"/>
          <w:szCs w:val="24"/>
        </w:rPr>
      </w:pPr>
      <w:r>
        <w:rPr>
          <w:rFonts w:ascii="Times New Roman" w:hAnsi="Times New Roman"/>
          <w:sz w:val="24"/>
          <w:szCs w:val="24"/>
        </w:rPr>
        <w:t>Cadmium (Cd) levels in all analyzed samples ranged from 0.020 to 0.023 mg/L, which is well below the maximum permissible limit. This indicates that Cd contamination in these pasta products is minimal and does not pose an immediate health risk to consumers.</w:t>
      </w:r>
    </w:p>
    <w:p w14:paraId="78689802" w14:textId="77777777" w:rsidR="00337B86" w:rsidRDefault="00000000">
      <w:pPr>
        <w:pStyle w:val="ListParagraph"/>
        <w:numPr>
          <w:ilvl w:val="0"/>
          <w:numId w:val="3"/>
        </w:numPr>
        <w:spacing w:line="360" w:lineRule="auto"/>
        <w:jc w:val="both"/>
        <w:rPr>
          <w:rFonts w:ascii="Times New Roman" w:hAnsi="Times New Roman"/>
          <w:sz w:val="24"/>
          <w:szCs w:val="24"/>
        </w:rPr>
      </w:pPr>
      <w:r>
        <w:rPr>
          <w:rFonts w:ascii="Times New Roman" w:hAnsi="Times New Roman"/>
          <w:sz w:val="24"/>
          <w:szCs w:val="24"/>
        </w:rPr>
        <w:t>Copper (Cu) concentrations ranged from 0.165 to 0.250 mg/L, significantly lower than the Codex limit of 2.0 mg/kg. The results suggest that copper intake from these pasta products is within safe nutritional levels.</w:t>
      </w:r>
    </w:p>
    <w:p w14:paraId="5F9C82E7" w14:textId="77777777" w:rsidR="00337B86" w:rsidRDefault="00000000">
      <w:pPr>
        <w:pStyle w:val="ListParagraph"/>
        <w:numPr>
          <w:ilvl w:val="0"/>
          <w:numId w:val="3"/>
        </w:numPr>
        <w:spacing w:line="360" w:lineRule="auto"/>
        <w:jc w:val="both"/>
        <w:rPr>
          <w:rFonts w:ascii="Times New Roman" w:hAnsi="Times New Roman"/>
          <w:sz w:val="24"/>
          <w:szCs w:val="24"/>
        </w:rPr>
      </w:pPr>
      <w:r>
        <w:rPr>
          <w:rFonts w:ascii="Times New Roman" w:hAnsi="Times New Roman"/>
          <w:sz w:val="24"/>
          <w:szCs w:val="24"/>
        </w:rPr>
        <w:t xml:space="preserve">Lead (Pb) concentrations ranged from 0.267 to 0.387 mg/L, exceeding the recommended limits for cereal-based foods. Pb was identified as the most critical contaminant in the analyzed pasta samples, especially in spaghetti (0.387 mg/L). Continuous consumption of </w:t>
      </w:r>
      <w:r>
        <w:rPr>
          <w:rFonts w:ascii="Times New Roman" w:hAnsi="Times New Roman"/>
          <w:sz w:val="24"/>
          <w:szCs w:val="24"/>
        </w:rPr>
        <w:lastRenderedPageBreak/>
        <w:t>these products could pose long-term health risks, particularly to children and pregnant women, who are more vulnerable to lead toxicity.</w:t>
      </w:r>
    </w:p>
    <w:p w14:paraId="1256D3A1" w14:textId="77777777" w:rsidR="00337B86" w:rsidRDefault="00000000">
      <w:pPr>
        <w:pStyle w:val="ListParagraph"/>
        <w:numPr>
          <w:ilvl w:val="0"/>
          <w:numId w:val="3"/>
        </w:numPr>
        <w:spacing w:line="360" w:lineRule="auto"/>
        <w:jc w:val="both"/>
        <w:rPr>
          <w:rFonts w:ascii="Times New Roman" w:hAnsi="Times New Roman"/>
          <w:sz w:val="24"/>
          <w:szCs w:val="24"/>
        </w:rPr>
      </w:pPr>
      <w:r>
        <w:rPr>
          <w:rFonts w:ascii="Times New Roman" w:hAnsi="Times New Roman"/>
          <w:sz w:val="24"/>
          <w:szCs w:val="24"/>
        </w:rPr>
        <w:t>Cobalt (Co) was present in trace amounts (0.009–0.147 mg/L), within tolerable limits. While current levels are not immediately hazardous, monitoring is recommended since higher exposure could lead to adverse health effects.</w:t>
      </w:r>
    </w:p>
    <w:p w14:paraId="280176B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Overall, the study highlights that while cadmium and copper in pasta products in Sokoto are within safe limits, elevated lead concentrations represent a potential public health concern. This emphasizes the need for regular monitoring of heavy metals in commonly consumed food products and implementation of measures to prevent contamination during production, processing, or storage.</w:t>
      </w:r>
    </w:p>
    <w:p w14:paraId="5B334EC6" w14:textId="77777777" w:rsidR="00337B86" w:rsidRDefault="00337B86">
      <w:pPr>
        <w:spacing w:line="360" w:lineRule="auto"/>
        <w:jc w:val="both"/>
        <w:rPr>
          <w:rFonts w:ascii="Times New Roman" w:hAnsi="Times New Roman"/>
          <w:sz w:val="24"/>
          <w:szCs w:val="24"/>
        </w:rPr>
      </w:pPr>
    </w:p>
    <w:p w14:paraId="5A61E00A" w14:textId="77777777" w:rsidR="00337B86" w:rsidRDefault="00337B86">
      <w:pPr>
        <w:spacing w:line="360" w:lineRule="auto"/>
        <w:jc w:val="both"/>
        <w:rPr>
          <w:rFonts w:ascii="Times New Roman" w:hAnsi="Times New Roman"/>
          <w:sz w:val="24"/>
          <w:szCs w:val="24"/>
        </w:rPr>
      </w:pPr>
    </w:p>
    <w:p w14:paraId="77DCBEDD" w14:textId="77777777" w:rsidR="00337B86" w:rsidRDefault="00337B86">
      <w:pPr>
        <w:spacing w:line="360" w:lineRule="auto"/>
        <w:jc w:val="both"/>
        <w:rPr>
          <w:rFonts w:ascii="Times New Roman" w:hAnsi="Times New Roman"/>
          <w:sz w:val="24"/>
          <w:szCs w:val="24"/>
        </w:rPr>
      </w:pPr>
    </w:p>
    <w:p w14:paraId="6A931F51" w14:textId="77777777" w:rsidR="00337B86" w:rsidRDefault="00337B86">
      <w:pPr>
        <w:spacing w:line="360" w:lineRule="auto"/>
        <w:jc w:val="both"/>
        <w:rPr>
          <w:rFonts w:ascii="Times New Roman" w:hAnsi="Times New Roman"/>
          <w:sz w:val="24"/>
          <w:szCs w:val="24"/>
        </w:rPr>
      </w:pPr>
    </w:p>
    <w:p w14:paraId="29254A28" w14:textId="77777777" w:rsidR="00337B86" w:rsidRDefault="00337B86">
      <w:pPr>
        <w:spacing w:line="360" w:lineRule="auto"/>
        <w:jc w:val="both"/>
        <w:rPr>
          <w:rFonts w:ascii="Times New Roman" w:hAnsi="Times New Roman"/>
          <w:sz w:val="24"/>
          <w:szCs w:val="24"/>
        </w:rPr>
      </w:pPr>
    </w:p>
    <w:p w14:paraId="169AB14F" w14:textId="77777777" w:rsidR="00337B86" w:rsidRDefault="00337B86">
      <w:pPr>
        <w:spacing w:line="360" w:lineRule="auto"/>
        <w:jc w:val="both"/>
        <w:rPr>
          <w:rFonts w:ascii="Times New Roman" w:hAnsi="Times New Roman"/>
          <w:sz w:val="24"/>
          <w:szCs w:val="24"/>
        </w:rPr>
      </w:pPr>
    </w:p>
    <w:p w14:paraId="4790CFD5" w14:textId="77777777" w:rsidR="00337B86" w:rsidRDefault="00337B86">
      <w:pPr>
        <w:spacing w:line="360" w:lineRule="auto"/>
        <w:jc w:val="both"/>
        <w:rPr>
          <w:rFonts w:ascii="Times New Roman" w:hAnsi="Times New Roman"/>
          <w:sz w:val="24"/>
          <w:szCs w:val="24"/>
        </w:rPr>
      </w:pPr>
    </w:p>
    <w:p w14:paraId="1981F7B2" w14:textId="77777777" w:rsidR="00337B86" w:rsidRDefault="00337B86">
      <w:pPr>
        <w:spacing w:line="360" w:lineRule="auto"/>
        <w:jc w:val="both"/>
        <w:rPr>
          <w:rFonts w:ascii="Times New Roman" w:hAnsi="Times New Roman"/>
          <w:sz w:val="24"/>
          <w:szCs w:val="24"/>
        </w:rPr>
      </w:pPr>
    </w:p>
    <w:p w14:paraId="2A082EEC" w14:textId="77777777" w:rsidR="00337B86" w:rsidRDefault="00337B86">
      <w:pPr>
        <w:spacing w:line="360" w:lineRule="auto"/>
        <w:jc w:val="both"/>
        <w:rPr>
          <w:rFonts w:ascii="Times New Roman" w:hAnsi="Times New Roman"/>
          <w:sz w:val="24"/>
          <w:szCs w:val="24"/>
        </w:rPr>
      </w:pPr>
    </w:p>
    <w:p w14:paraId="16FCE39C" w14:textId="77777777" w:rsidR="00337B86" w:rsidRDefault="00337B86">
      <w:pPr>
        <w:spacing w:line="360" w:lineRule="auto"/>
        <w:jc w:val="both"/>
        <w:rPr>
          <w:rFonts w:ascii="Times New Roman" w:hAnsi="Times New Roman"/>
          <w:sz w:val="24"/>
          <w:szCs w:val="24"/>
        </w:rPr>
      </w:pPr>
    </w:p>
    <w:p w14:paraId="7EB4A345" w14:textId="77777777" w:rsidR="00337B86" w:rsidRDefault="00337B86">
      <w:pPr>
        <w:spacing w:line="360" w:lineRule="auto"/>
        <w:jc w:val="both"/>
        <w:rPr>
          <w:rFonts w:ascii="Times New Roman" w:hAnsi="Times New Roman"/>
          <w:sz w:val="24"/>
          <w:szCs w:val="24"/>
        </w:rPr>
      </w:pPr>
    </w:p>
    <w:p w14:paraId="72E898D5" w14:textId="77777777" w:rsidR="00337B86" w:rsidRDefault="00337B86">
      <w:pPr>
        <w:spacing w:line="360" w:lineRule="auto"/>
        <w:jc w:val="both"/>
        <w:rPr>
          <w:rFonts w:ascii="Times New Roman" w:hAnsi="Times New Roman"/>
          <w:sz w:val="24"/>
          <w:szCs w:val="24"/>
        </w:rPr>
      </w:pPr>
    </w:p>
    <w:p w14:paraId="603C0C80" w14:textId="77777777" w:rsidR="00337B86" w:rsidRDefault="00337B86">
      <w:pPr>
        <w:spacing w:line="360" w:lineRule="auto"/>
        <w:jc w:val="both"/>
        <w:rPr>
          <w:rFonts w:ascii="Times New Roman" w:hAnsi="Times New Roman"/>
          <w:sz w:val="24"/>
          <w:szCs w:val="24"/>
        </w:rPr>
      </w:pPr>
    </w:p>
    <w:p w14:paraId="7AB884B4" w14:textId="77777777" w:rsidR="00337B86" w:rsidRDefault="00337B86">
      <w:pPr>
        <w:spacing w:line="360" w:lineRule="auto"/>
        <w:jc w:val="both"/>
        <w:rPr>
          <w:rFonts w:ascii="Times New Roman" w:hAnsi="Times New Roman"/>
          <w:sz w:val="24"/>
          <w:szCs w:val="24"/>
        </w:rPr>
      </w:pPr>
    </w:p>
    <w:p w14:paraId="13C7F769" w14:textId="77777777" w:rsidR="00337B86" w:rsidRDefault="00000000">
      <w:pPr>
        <w:spacing w:line="360" w:lineRule="auto"/>
        <w:jc w:val="center"/>
        <w:rPr>
          <w:rFonts w:ascii="Times New Roman" w:hAnsi="Times New Roman"/>
          <w:b/>
          <w:bCs/>
          <w:sz w:val="24"/>
          <w:szCs w:val="24"/>
        </w:rPr>
      </w:pPr>
      <w:bookmarkStart w:id="63" w:name="_Hlk213069294"/>
      <w:r>
        <w:rPr>
          <w:rFonts w:ascii="Times New Roman" w:hAnsi="Times New Roman"/>
          <w:b/>
          <w:bCs/>
          <w:sz w:val="24"/>
          <w:szCs w:val="24"/>
        </w:rPr>
        <w:lastRenderedPageBreak/>
        <w:t>CHAPTER FIVE</w:t>
      </w:r>
    </w:p>
    <w:p w14:paraId="796B4118" w14:textId="77777777" w:rsidR="00337B86" w:rsidRDefault="00000000">
      <w:pPr>
        <w:spacing w:line="360" w:lineRule="auto"/>
        <w:jc w:val="center"/>
        <w:rPr>
          <w:rFonts w:ascii="Times New Roman" w:hAnsi="Times New Roman"/>
          <w:b/>
          <w:bCs/>
          <w:sz w:val="24"/>
          <w:szCs w:val="24"/>
        </w:rPr>
      </w:pPr>
      <w:r>
        <w:rPr>
          <w:rFonts w:ascii="Times New Roman" w:hAnsi="Times New Roman"/>
          <w:b/>
          <w:bCs/>
          <w:sz w:val="24"/>
          <w:szCs w:val="24"/>
        </w:rPr>
        <w:t>SUMMARY, CONCLUSION, AND RECOMMENDATIONS</w:t>
      </w:r>
    </w:p>
    <w:p w14:paraId="22AD40A3"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5.1 Summary</w:t>
      </w:r>
    </w:p>
    <w:bookmarkEnd w:id="63"/>
    <w:p w14:paraId="6B957E0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This study investigated the concentrations of selected heavy metals such as Cadmium (Cd), Copper (Cu), Lead (Pb), and Cobalt (Co) in selected brands of spaghetti, macaroni, and noodles sold in Sokoto, Nigeria. The objectives of the study were:</w:t>
      </w:r>
    </w:p>
    <w:p w14:paraId="61120546" w14:textId="77777777" w:rsidR="00337B86" w:rsidRDefault="00000000">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To determine the concentrations of Cd, Cu, Pb, and Co in selected pasta products.</w:t>
      </w:r>
    </w:p>
    <w:p w14:paraId="0B614A24" w14:textId="77777777" w:rsidR="00337B86" w:rsidRDefault="00000000">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To compare the measured levels with international and national permissible limits.</w:t>
      </w:r>
    </w:p>
    <w:p w14:paraId="2E65F649" w14:textId="77777777" w:rsidR="00337B86" w:rsidRDefault="00000000">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To assess potential health risks associated with the consumption of these products.</w:t>
      </w:r>
    </w:p>
    <w:p w14:paraId="18A612A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Samples were collected from central markets and supermarkets within Sokoto metropolis. The samples were digested using the wet acid digestion method and analyzed using Atomic Absorption Spectrophotometry (AAS) to quantify the concentrations of heavy metals.</w:t>
      </w:r>
    </w:p>
    <w:p w14:paraId="36258899"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Key findings include:</w:t>
      </w:r>
    </w:p>
    <w:p w14:paraId="58F634D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Cadmium (Cd) and Cobalt (Co) were detected in trace amounts in all samples, within permissible limits (FAO/WHO, 2020).</w:t>
      </w:r>
    </w:p>
    <w:p w14:paraId="78550A9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Copper (Cu) levels varied among brands but remained within safe limits (FAO/WHO, 2020).</w:t>
      </w:r>
    </w:p>
    <w:p w14:paraId="71844CC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Lead (Pb) was found at levels approaching regulatory limits in some samples, indicating potential health concerns (Okoye &amp; Onuoha, 2022).</w:t>
      </w:r>
    </w:p>
    <w:p w14:paraId="7B83176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Overall, the results indicate that most pasta products sold in Sokoto are within safety limits for heavy metals, but continued monitoring is necessary due to potential accumulation of toxic metals over time.</w:t>
      </w:r>
    </w:p>
    <w:p w14:paraId="6F24EC61" w14:textId="77777777" w:rsidR="00337B86" w:rsidRDefault="00000000">
      <w:pPr>
        <w:spacing w:line="360" w:lineRule="auto"/>
        <w:jc w:val="both"/>
        <w:rPr>
          <w:rFonts w:ascii="Times New Roman" w:hAnsi="Times New Roman"/>
          <w:b/>
          <w:bCs/>
          <w:sz w:val="24"/>
          <w:szCs w:val="24"/>
        </w:rPr>
      </w:pPr>
      <w:bookmarkStart w:id="64" w:name="_Hlk213069315"/>
      <w:r>
        <w:rPr>
          <w:rFonts w:ascii="Times New Roman" w:hAnsi="Times New Roman"/>
          <w:b/>
          <w:bCs/>
          <w:sz w:val="24"/>
          <w:szCs w:val="24"/>
        </w:rPr>
        <w:t>5.2 Conclusion</w:t>
      </w:r>
    </w:p>
    <w:bookmarkEnd w:id="64"/>
    <w:p w14:paraId="768D4716"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findings of this study demonstrate that the research objectives were successfully achieved as follows:</w:t>
      </w:r>
    </w:p>
    <w:p w14:paraId="24ED0EF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To determine the concentrations of Cd, Cu, Pb, and Co in selected pasta products: The study successfully quantified these heavy metals using Atomic Absorption Spectrophotometry (AAS). Cadmium and Cobalt were present in trace amounts, Copper varied among brands but remained safe, and Lead was detected in some samples at elevated levels (Okoye &amp; Onuoha, 2022). This confirms that Objective 1 was achieved.</w:t>
      </w:r>
    </w:p>
    <w:p w14:paraId="3563792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 xml:space="preserve"> To compare the measured levels with international and national permissible limits: The concentrations of the heavy metals were compared with FAO/WHO and NAFDAC standards. Most metals were within permissible limits, except for Lead, which approached regulatory limits in some brands (FAO/WHO, 2020; NAFDAC, 2021). This indicates that Objective 2 was achieved.</w:t>
      </w:r>
    </w:p>
    <w:p w14:paraId="442B0D08"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To assess potential health risks associated with consumption: By evaluating the detected heavy metal levels relative to safety standards, the study identified that Lead in some brands could pose health risks if consumed frequently, while Cadmium, Copper, and Cobalt posed minimal risk (Jaishankar et al., 2014; WHO, 2021). This demonstrates that Objective 3 was achieved.</w:t>
      </w:r>
    </w:p>
    <w:p w14:paraId="429FB32A" w14:textId="77777777" w:rsidR="00337B86" w:rsidRDefault="00000000">
      <w:pPr>
        <w:spacing w:line="360" w:lineRule="auto"/>
        <w:jc w:val="both"/>
        <w:rPr>
          <w:rFonts w:ascii="Times New Roman" w:hAnsi="Times New Roman"/>
          <w:b/>
          <w:bCs/>
          <w:sz w:val="24"/>
          <w:szCs w:val="24"/>
        </w:rPr>
      </w:pPr>
      <w:r>
        <w:rPr>
          <w:rFonts w:ascii="Times New Roman" w:hAnsi="Times New Roman"/>
          <w:b/>
          <w:bCs/>
          <w:sz w:val="24"/>
          <w:szCs w:val="24"/>
        </w:rPr>
        <w:t>Overall Conclusion:</w:t>
      </w:r>
    </w:p>
    <w:p w14:paraId="03A92223"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The study successfully met all its objectives. While most pasta products in Sokoto are generally safe regarding heavy metal contamination, vigilance is required for Lead in certain brands. The findings provide evidence-based guidance for regulatory authorities, food manufacturers, and consumers to ensure the safety and quality of pasta products in Sokoto.</w:t>
      </w:r>
    </w:p>
    <w:p w14:paraId="0A8F3DF5" w14:textId="77777777" w:rsidR="00337B86" w:rsidRDefault="00000000">
      <w:pPr>
        <w:spacing w:line="360" w:lineRule="auto"/>
        <w:jc w:val="both"/>
        <w:rPr>
          <w:rFonts w:ascii="Times New Roman" w:hAnsi="Times New Roman"/>
          <w:b/>
          <w:bCs/>
          <w:sz w:val="24"/>
          <w:szCs w:val="24"/>
        </w:rPr>
      </w:pPr>
      <w:bookmarkStart w:id="65" w:name="_Hlk213069338"/>
      <w:r>
        <w:rPr>
          <w:rFonts w:ascii="Times New Roman" w:hAnsi="Times New Roman"/>
          <w:b/>
          <w:bCs/>
          <w:sz w:val="24"/>
          <w:szCs w:val="24"/>
        </w:rPr>
        <w:t>5.3 Recommendations</w:t>
      </w:r>
    </w:p>
    <w:bookmarkEnd w:id="65"/>
    <w:p w14:paraId="34489E0C"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Based on the findings and in line with the study objectives and observed limitations, the following recommendations are proposed:</w:t>
      </w:r>
    </w:p>
    <w:p w14:paraId="60E3F51E" w14:textId="77777777" w:rsidR="00337B86" w:rsidRDefault="00000000">
      <w:pPr>
        <w:pStyle w:val="ListParagraph"/>
        <w:numPr>
          <w:ilvl w:val="0"/>
          <w:numId w:val="8"/>
        </w:numPr>
        <w:spacing w:line="360" w:lineRule="auto"/>
        <w:jc w:val="both"/>
        <w:rPr>
          <w:rFonts w:ascii="Times New Roman" w:hAnsi="Times New Roman"/>
          <w:b/>
          <w:bCs/>
          <w:sz w:val="24"/>
          <w:szCs w:val="24"/>
        </w:rPr>
      </w:pPr>
      <w:r>
        <w:rPr>
          <w:rFonts w:ascii="Times New Roman" w:hAnsi="Times New Roman"/>
          <w:b/>
          <w:bCs/>
          <w:sz w:val="24"/>
          <w:szCs w:val="24"/>
        </w:rPr>
        <w:t>Further Research:</w:t>
      </w:r>
    </w:p>
    <w:p w14:paraId="243F7A09"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Future studies should include a larger variety of pasta products and other commonly consumed foods in Sokoto to assess cumulative heavy metal exposure.</w:t>
      </w:r>
    </w:p>
    <w:p w14:paraId="32396198" w14:textId="77777777" w:rsidR="00337B86" w:rsidRDefault="00337B86">
      <w:pPr>
        <w:spacing w:line="360" w:lineRule="auto"/>
        <w:jc w:val="both"/>
        <w:rPr>
          <w:rFonts w:ascii="Times New Roman" w:hAnsi="Times New Roman"/>
          <w:sz w:val="24"/>
          <w:szCs w:val="24"/>
        </w:rPr>
      </w:pPr>
    </w:p>
    <w:p w14:paraId="5E61D225"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Investigations should focus on identifying specific sources of contamination in the production chain, including raw materials, processing equipment, and packaging.</w:t>
      </w:r>
    </w:p>
    <w:p w14:paraId="69C7ABAF"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Research could also explore seasonal or regional variations in heavy metal concentrations to understand environmental influences.</w:t>
      </w:r>
    </w:p>
    <w:p w14:paraId="2C12350A" w14:textId="77777777" w:rsidR="00337B86" w:rsidRDefault="00000000">
      <w:pPr>
        <w:pStyle w:val="ListParagraph"/>
        <w:numPr>
          <w:ilvl w:val="0"/>
          <w:numId w:val="8"/>
        </w:numPr>
        <w:spacing w:line="360" w:lineRule="auto"/>
        <w:jc w:val="both"/>
        <w:rPr>
          <w:rFonts w:ascii="Times New Roman" w:hAnsi="Times New Roman"/>
          <w:b/>
          <w:bCs/>
          <w:sz w:val="24"/>
          <w:szCs w:val="24"/>
        </w:rPr>
      </w:pPr>
      <w:r>
        <w:rPr>
          <w:rFonts w:ascii="Times New Roman" w:hAnsi="Times New Roman"/>
          <w:b/>
          <w:bCs/>
          <w:sz w:val="24"/>
          <w:szCs w:val="24"/>
        </w:rPr>
        <w:t>Government and Regulatory Authorities:</w:t>
      </w:r>
    </w:p>
    <w:p w14:paraId="518979A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NAFDAC and other relevant government agencies should enforce stricter monitoring of heavy metals in processed foods, particularly pasta.</w:t>
      </w:r>
    </w:p>
    <w:p w14:paraId="220CDE4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Regulations should be updated and aligned with international standards to minimize contamination risks (FAO/WHO, 2020).</w:t>
      </w:r>
    </w:p>
    <w:p w14:paraId="62B7FEC4"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Public awareness campaigns should educate consumers on the potential health risks of heavy metal accumulation in foods (WHO, 2021).</w:t>
      </w:r>
    </w:p>
    <w:p w14:paraId="47B58F27" w14:textId="77777777" w:rsidR="00337B86" w:rsidRDefault="00000000">
      <w:pPr>
        <w:pStyle w:val="ListParagraph"/>
        <w:numPr>
          <w:ilvl w:val="0"/>
          <w:numId w:val="8"/>
        </w:numPr>
        <w:spacing w:line="360" w:lineRule="auto"/>
        <w:jc w:val="both"/>
        <w:rPr>
          <w:rFonts w:ascii="Times New Roman" w:hAnsi="Times New Roman"/>
          <w:b/>
          <w:bCs/>
          <w:sz w:val="24"/>
          <w:szCs w:val="24"/>
        </w:rPr>
      </w:pPr>
      <w:r>
        <w:rPr>
          <w:rFonts w:ascii="Times New Roman" w:hAnsi="Times New Roman"/>
          <w:b/>
          <w:bCs/>
          <w:sz w:val="24"/>
          <w:szCs w:val="24"/>
        </w:rPr>
        <w:t>Food Industries and Manufacturers:</w:t>
      </w:r>
    </w:p>
    <w:p w14:paraId="1B419EDE"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Pasta producers should implement robust quality control measures, including regular testing for heavy metals at different stages of production.</w:t>
      </w:r>
    </w:p>
    <w:p w14:paraId="3F785A0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Industries should adopt best practices in sourcing raw materials, processing, and packaging to minimize contamination (Okoye &amp; Onuoha, 2022).</w:t>
      </w:r>
    </w:p>
    <w:p w14:paraId="0721AA6A"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Manufacturers should maintain proper documentation of testing and regulatory compliance to ensure transparency and consumer confidence.</w:t>
      </w:r>
    </w:p>
    <w:p w14:paraId="31935403" w14:textId="77777777" w:rsidR="00337B86" w:rsidRDefault="00000000">
      <w:pPr>
        <w:pStyle w:val="ListParagraph"/>
        <w:numPr>
          <w:ilvl w:val="0"/>
          <w:numId w:val="8"/>
        </w:numPr>
        <w:spacing w:line="360" w:lineRule="auto"/>
        <w:jc w:val="both"/>
        <w:rPr>
          <w:rFonts w:ascii="Times New Roman" w:hAnsi="Times New Roman"/>
          <w:b/>
          <w:bCs/>
          <w:sz w:val="24"/>
          <w:szCs w:val="24"/>
        </w:rPr>
      </w:pPr>
      <w:r>
        <w:rPr>
          <w:rFonts w:ascii="Times New Roman" w:hAnsi="Times New Roman"/>
          <w:b/>
          <w:bCs/>
          <w:sz w:val="24"/>
          <w:szCs w:val="24"/>
        </w:rPr>
        <w:t>Communities and Consumers:</w:t>
      </w:r>
    </w:p>
    <w:p w14:paraId="7C0AD712"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Consumers should diversify their diet and moderate the consumption of processed foods like pasta to reduce exposure to heavy metals.</w:t>
      </w:r>
    </w:p>
    <w:p w14:paraId="46E9C187"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t>Community health organizations should provide guidance on safe food handling and consumption practices.</w:t>
      </w:r>
    </w:p>
    <w:p w14:paraId="10B238C7" w14:textId="77777777" w:rsidR="00337B86" w:rsidRDefault="00337B86">
      <w:pPr>
        <w:spacing w:line="360" w:lineRule="auto"/>
        <w:jc w:val="both"/>
        <w:rPr>
          <w:rFonts w:ascii="Times New Roman" w:hAnsi="Times New Roman"/>
          <w:sz w:val="24"/>
          <w:szCs w:val="24"/>
        </w:rPr>
      </w:pPr>
    </w:p>
    <w:p w14:paraId="2038F0E1" w14:textId="77777777" w:rsidR="00337B86" w:rsidRDefault="00000000">
      <w:pPr>
        <w:spacing w:line="360" w:lineRule="auto"/>
        <w:jc w:val="both"/>
        <w:rPr>
          <w:rFonts w:ascii="Times New Roman" w:hAnsi="Times New Roman"/>
          <w:sz w:val="24"/>
          <w:szCs w:val="24"/>
        </w:rPr>
      </w:pPr>
      <w:r>
        <w:rPr>
          <w:rFonts w:ascii="Times New Roman" w:hAnsi="Times New Roman"/>
          <w:sz w:val="24"/>
          <w:szCs w:val="24"/>
        </w:rPr>
        <w:lastRenderedPageBreak/>
        <w:t>Implementing these recommendations will address the deficiencies observed in this study, regulate industrial and governmental practices, and protect public health from the risks associated with heavy metal contamination in pasta products.</w:t>
      </w:r>
    </w:p>
    <w:p w14:paraId="437D9F43" w14:textId="77777777" w:rsidR="00337B86" w:rsidRDefault="00337B86">
      <w:pPr>
        <w:spacing w:line="360" w:lineRule="auto"/>
        <w:jc w:val="both"/>
        <w:rPr>
          <w:rFonts w:ascii="Times New Roman" w:hAnsi="Times New Roman"/>
          <w:sz w:val="24"/>
          <w:szCs w:val="24"/>
        </w:rPr>
      </w:pPr>
    </w:p>
    <w:p w14:paraId="455397AB" w14:textId="77777777" w:rsidR="00337B86" w:rsidRDefault="00337B86">
      <w:pPr>
        <w:spacing w:line="360" w:lineRule="auto"/>
        <w:jc w:val="both"/>
        <w:rPr>
          <w:rFonts w:ascii="Times New Roman" w:hAnsi="Times New Roman"/>
          <w:sz w:val="24"/>
          <w:szCs w:val="24"/>
        </w:rPr>
      </w:pPr>
    </w:p>
    <w:p w14:paraId="32EE5C28" w14:textId="77777777" w:rsidR="00337B86" w:rsidRDefault="00337B86">
      <w:pPr>
        <w:spacing w:line="360" w:lineRule="auto"/>
        <w:jc w:val="both"/>
        <w:rPr>
          <w:rFonts w:ascii="Times New Roman" w:hAnsi="Times New Roman"/>
          <w:sz w:val="24"/>
          <w:szCs w:val="24"/>
        </w:rPr>
      </w:pPr>
    </w:p>
    <w:p w14:paraId="7D52269F" w14:textId="77777777" w:rsidR="00337B86" w:rsidRDefault="00337B86">
      <w:pPr>
        <w:spacing w:line="360" w:lineRule="auto"/>
        <w:jc w:val="both"/>
        <w:rPr>
          <w:rFonts w:ascii="Times New Roman" w:hAnsi="Times New Roman"/>
          <w:sz w:val="24"/>
          <w:szCs w:val="24"/>
        </w:rPr>
      </w:pPr>
    </w:p>
    <w:p w14:paraId="53A09586" w14:textId="77777777" w:rsidR="00337B86" w:rsidRDefault="00337B86">
      <w:pPr>
        <w:spacing w:line="360" w:lineRule="auto"/>
        <w:jc w:val="both"/>
        <w:rPr>
          <w:rFonts w:ascii="Times New Roman" w:hAnsi="Times New Roman"/>
          <w:sz w:val="24"/>
          <w:szCs w:val="24"/>
        </w:rPr>
      </w:pPr>
    </w:p>
    <w:p w14:paraId="529527F2" w14:textId="77777777" w:rsidR="00337B86" w:rsidRDefault="00337B86">
      <w:pPr>
        <w:spacing w:line="360" w:lineRule="auto"/>
        <w:jc w:val="both"/>
        <w:rPr>
          <w:rFonts w:ascii="Times New Roman" w:hAnsi="Times New Roman"/>
          <w:sz w:val="24"/>
          <w:szCs w:val="24"/>
        </w:rPr>
      </w:pPr>
    </w:p>
    <w:p w14:paraId="3F2A48D4" w14:textId="77777777" w:rsidR="00337B86" w:rsidRDefault="00337B86">
      <w:pPr>
        <w:spacing w:line="360" w:lineRule="auto"/>
        <w:jc w:val="both"/>
        <w:rPr>
          <w:rFonts w:ascii="Times New Roman" w:hAnsi="Times New Roman"/>
          <w:sz w:val="24"/>
          <w:szCs w:val="24"/>
        </w:rPr>
      </w:pPr>
    </w:p>
    <w:p w14:paraId="5438C5A8" w14:textId="77777777" w:rsidR="00337B86" w:rsidRDefault="00337B86">
      <w:pPr>
        <w:spacing w:line="360" w:lineRule="auto"/>
        <w:jc w:val="both"/>
        <w:rPr>
          <w:rFonts w:ascii="Times New Roman" w:hAnsi="Times New Roman"/>
          <w:sz w:val="24"/>
          <w:szCs w:val="24"/>
        </w:rPr>
      </w:pPr>
    </w:p>
    <w:p w14:paraId="2103934D" w14:textId="77777777" w:rsidR="00337B86" w:rsidRDefault="00337B86">
      <w:pPr>
        <w:spacing w:line="360" w:lineRule="auto"/>
        <w:jc w:val="both"/>
        <w:rPr>
          <w:rFonts w:ascii="Times New Roman" w:hAnsi="Times New Roman"/>
          <w:sz w:val="24"/>
          <w:szCs w:val="24"/>
        </w:rPr>
      </w:pPr>
    </w:p>
    <w:p w14:paraId="2136BF93" w14:textId="77777777" w:rsidR="00337B86" w:rsidRDefault="00337B86">
      <w:pPr>
        <w:spacing w:line="360" w:lineRule="auto"/>
        <w:jc w:val="both"/>
        <w:rPr>
          <w:rFonts w:ascii="Times New Roman" w:hAnsi="Times New Roman"/>
          <w:sz w:val="24"/>
          <w:szCs w:val="24"/>
        </w:rPr>
      </w:pPr>
    </w:p>
    <w:p w14:paraId="4C6032A2" w14:textId="77777777" w:rsidR="00337B86" w:rsidRDefault="00337B86">
      <w:pPr>
        <w:spacing w:line="360" w:lineRule="auto"/>
        <w:jc w:val="both"/>
        <w:rPr>
          <w:rFonts w:ascii="Times New Roman" w:hAnsi="Times New Roman"/>
          <w:sz w:val="24"/>
          <w:szCs w:val="24"/>
        </w:rPr>
      </w:pPr>
    </w:p>
    <w:p w14:paraId="21834E97" w14:textId="77777777" w:rsidR="00337B86" w:rsidRDefault="00337B86">
      <w:pPr>
        <w:spacing w:line="360" w:lineRule="auto"/>
        <w:jc w:val="both"/>
        <w:rPr>
          <w:rFonts w:ascii="Times New Roman" w:hAnsi="Times New Roman"/>
          <w:sz w:val="24"/>
          <w:szCs w:val="24"/>
        </w:rPr>
      </w:pPr>
    </w:p>
    <w:p w14:paraId="456AB33F" w14:textId="77777777" w:rsidR="00337B86" w:rsidRDefault="00337B86">
      <w:pPr>
        <w:spacing w:line="360" w:lineRule="auto"/>
        <w:jc w:val="both"/>
        <w:rPr>
          <w:rFonts w:ascii="Times New Roman" w:hAnsi="Times New Roman"/>
          <w:sz w:val="24"/>
          <w:szCs w:val="24"/>
        </w:rPr>
      </w:pPr>
    </w:p>
    <w:p w14:paraId="296B612A" w14:textId="77777777" w:rsidR="00337B86" w:rsidRDefault="00337B86">
      <w:pPr>
        <w:spacing w:line="360" w:lineRule="auto"/>
        <w:jc w:val="both"/>
        <w:rPr>
          <w:rFonts w:ascii="Times New Roman" w:hAnsi="Times New Roman"/>
          <w:sz w:val="24"/>
          <w:szCs w:val="24"/>
        </w:rPr>
      </w:pPr>
    </w:p>
    <w:p w14:paraId="177B439B" w14:textId="77777777" w:rsidR="00337B86" w:rsidRDefault="00337B86">
      <w:pPr>
        <w:spacing w:line="360" w:lineRule="auto"/>
        <w:jc w:val="both"/>
        <w:rPr>
          <w:rFonts w:ascii="Times New Roman" w:hAnsi="Times New Roman"/>
          <w:sz w:val="24"/>
          <w:szCs w:val="24"/>
        </w:rPr>
      </w:pPr>
    </w:p>
    <w:p w14:paraId="6EDD3F63" w14:textId="77777777" w:rsidR="00337B86" w:rsidRDefault="00337B86">
      <w:pPr>
        <w:spacing w:line="360" w:lineRule="auto"/>
        <w:jc w:val="both"/>
        <w:rPr>
          <w:rFonts w:ascii="Times New Roman" w:hAnsi="Times New Roman"/>
          <w:sz w:val="24"/>
          <w:szCs w:val="24"/>
        </w:rPr>
      </w:pPr>
    </w:p>
    <w:p w14:paraId="38D5AE01" w14:textId="77777777" w:rsidR="00337B86" w:rsidRDefault="00337B86">
      <w:pPr>
        <w:spacing w:line="360" w:lineRule="auto"/>
        <w:jc w:val="both"/>
        <w:rPr>
          <w:rFonts w:ascii="Times New Roman" w:hAnsi="Times New Roman"/>
          <w:sz w:val="24"/>
          <w:szCs w:val="24"/>
        </w:rPr>
      </w:pPr>
    </w:p>
    <w:p w14:paraId="78812BB6" w14:textId="77777777" w:rsidR="00337B86" w:rsidRDefault="00337B86">
      <w:pPr>
        <w:spacing w:line="360" w:lineRule="auto"/>
        <w:jc w:val="both"/>
        <w:rPr>
          <w:rFonts w:ascii="Times New Roman" w:hAnsi="Times New Roman"/>
          <w:sz w:val="24"/>
          <w:szCs w:val="24"/>
        </w:rPr>
      </w:pPr>
    </w:p>
    <w:p w14:paraId="0E76CCAC" w14:textId="77777777" w:rsidR="00337B86" w:rsidRDefault="00337B86">
      <w:pPr>
        <w:spacing w:line="360" w:lineRule="auto"/>
        <w:jc w:val="both"/>
        <w:rPr>
          <w:rFonts w:ascii="Times New Roman" w:hAnsi="Times New Roman"/>
          <w:sz w:val="24"/>
          <w:szCs w:val="24"/>
        </w:rPr>
      </w:pPr>
    </w:p>
    <w:p w14:paraId="7E969728" w14:textId="77777777" w:rsidR="00337B86" w:rsidRDefault="00000000">
      <w:pPr>
        <w:spacing w:line="360" w:lineRule="auto"/>
        <w:jc w:val="center"/>
        <w:rPr>
          <w:rFonts w:ascii="Times New Roman" w:hAnsi="Times New Roman"/>
          <w:b/>
          <w:bCs/>
          <w:sz w:val="24"/>
          <w:szCs w:val="24"/>
        </w:rPr>
      </w:pPr>
      <w:r>
        <w:rPr>
          <w:rFonts w:ascii="Times New Roman" w:hAnsi="Times New Roman"/>
          <w:b/>
          <w:bCs/>
          <w:sz w:val="24"/>
          <w:szCs w:val="24"/>
        </w:rPr>
        <w:lastRenderedPageBreak/>
        <w:t>References</w:t>
      </w:r>
    </w:p>
    <w:p w14:paraId="7231CDF8"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Abubakar, M. A., Bello, I. M., &amp; Ibrahim, U. M. (2023). Assessment of heavy metal contamination in food commodities sold in major markets of Sokoto metropolis, Nigeria. Nigerian Journal of Environmental Sciences and Technology, 7(2), 112–120. https://doi.org/10.36263/njest.2023.02.005</w:t>
      </w:r>
    </w:p>
    <w:p w14:paraId="7BB7876B"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Adeyemi, O. O., Yusuf, M. A., &amp; Lawal, A. O. (2021). Heavy metal contamination in processed foods and potential health risks to consumers in Nigeria. Journal of Environmental Chemistry and Ecotoxicology, 13(2), 45–53.</w:t>
      </w:r>
    </w:p>
    <w:p w14:paraId="4AD31C77"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Adeyeye, E. I., Adebayo, B. C., &amp; Ogunyemi, O. T. (2022). Assessment of heavy metals in locally processed food using colorimetric and spectroscopic methods. Nigerian Journal of Chemical Research, 27(1), 55–65.</w:t>
      </w:r>
    </w:p>
    <w:p w14:paraId="1FF7E02B"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Agbendeh</w:t>
      </w:r>
      <w:proofErr w:type="spellEnd"/>
      <w:r>
        <w:rPr>
          <w:rFonts w:ascii="Times New Roman" w:hAnsi="Times New Roman"/>
          <w:sz w:val="24"/>
          <w:szCs w:val="24"/>
        </w:rPr>
        <w:t xml:space="preserve">, Z. M., Gabriel, G. A., &amp; </w:t>
      </w:r>
      <w:proofErr w:type="spellStart"/>
      <w:r>
        <w:rPr>
          <w:rFonts w:ascii="Times New Roman" w:hAnsi="Times New Roman"/>
          <w:sz w:val="24"/>
          <w:szCs w:val="24"/>
        </w:rPr>
        <w:t>Egwuma</w:t>
      </w:r>
      <w:proofErr w:type="spellEnd"/>
      <w:r>
        <w:rPr>
          <w:rFonts w:ascii="Times New Roman" w:hAnsi="Times New Roman"/>
          <w:sz w:val="24"/>
          <w:szCs w:val="24"/>
        </w:rPr>
        <w:t>, J. A. (2025). Assessment of heavy metals and human health risk in pastas consumed in Makurdi, Benue State, Nigeria. International Journal of Research and Innovation in Applied Science (IJRIAS), 9(12), 337–</w:t>
      </w:r>
      <w:proofErr w:type="gramStart"/>
      <w:r>
        <w:rPr>
          <w:rFonts w:ascii="Times New Roman" w:hAnsi="Times New Roman"/>
          <w:sz w:val="24"/>
          <w:szCs w:val="24"/>
        </w:rPr>
        <w:t>345.*</w:t>
      </w:r>
      <w:proofErr w:type="gramEnd"/>
    </w:p>
    <w:p w14:paraId="035F8A6C"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Akan, J. C., Haruna, A., &amp; Musa, A. I. (2021). Determination of heavy metals in selected food items using atomic absorption spectrophotometry. Journal of Applied Sciences and Environmental Management, 25(3), 421–427. https://doi.org/10.4314/jasem.v25i3.13</w:t>
      </w:r>
    </w:p>
    <w:p w14:paraId="034DF893"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Awodele</w:t>
      </w:r>
      <w:proofErr w:type="spellEnd"/>
      <w:r>
        <w:rPr>
          <w:rFonts w:ascii="Times New Roman" w:hAnsi="Times New Roman"/>
          <w:sz w:val="24"/>
          <w:szCs w:val="24"/>
        </w:rPr>
        <w:t>, B. R. (2025). Assessment of Heavy Metals in Pasta Products Sold in Sokoto Metropolis, Nigeria (Unpublished CHM 401 Project, Usmanu Danfodiyo University, Sokoto).</w:t>
      </w:r>
    </w:p>
    <w:p w14:paraId="6145E0BD"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 xml:space="preserve">Ayanda, O. I., Bello, O. A., &amp; </w:t>
      </w:r>
      <w:proofErr w:type="spellStart"/>
      <w:r>
        <w:rPr>
          <w:rFonts w:ascii="Times New Roman" w:hAnsi="Times New Roman"/>
          <w:sz w:val="24"/>
          <w:szCs w:val="24"/>
        </w:rPr>
        <w:t>Nwabuisi</w:t>
      </w:r>
      <w:proofErr w:type="spellEnd"/>
      <w:r>
        <w:rPr>
          <w:rFonts w:ascii="Times New Roman" w:hAnsi="Times New Roman"/>
          <w:sz w:val="24"/>
          <w:szCs w:val="24"/>
        </w:rPr>
        <w:t>, O. (2020). Trace metal toxicity in some food items in three major markets in Ado-Odo/Ota LGA, Ogun State, Nigeria and associated health implications. African Health Sciences, 20(4), 2050–</w:t>
      </w:r>
      <w:proofErr w:type="gramStart"/>
      <w:r>
        <w:rPr>
          <w:rFonts w:ascii="Times New Roman" w:hAnsi="Times New Roman"/>
          <w:sz w:val="24"/>
          <w:szCs w:val="24"/>
        </w:rPr>
        <w:t>2061.*</w:t>
      </w:r>
      <w:proofErr w:type="gramEnd"/>
    </w:p>
    <w:p w14:paraId="50CB9B7D"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Ayo, J. A., &amp; Sule, H. (2024). Development trends in the Nigerian pasta and instant noodle industry: Production, consumption, and safety challenges. African Journal of Food Science and Technology, 15(2), 45–58.</w:t>
      </w:r>
    </w:p>
    <w:p w14:paraId="2E18D950"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Chen, J., Liu, Q., &amp; Wang, X. (2023). Health risk assessment of cadmium exposure through dietary intake: A global review. Environmental Science and Pollution Research, 30(5), 14256–14268. https://doi.org/10.1007/s11356-023-26089-2</w:t>
      </w:r>
    </w:p>
    <w:p w14:paraId="0A558FC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Chen, J., Wang, Y., &amp; Zhou, H. (2022). Recent advances in ICP-OES and ICP-MS for trace metal analysis in food matrices. Food Chemistry, 384, 132474. https://doi.org/10.1016/j.foodchem.2022.132474</w:t>
      </w:r>
    </w:p>
    <w:p w14:paraId="0F7A9F17"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Codex Alimentarius Commission. (2023). General standard for contaminants and toxins in food and feed (CXS 193-1995, Rev. 2023). Food and Agriculture Organization of the United Nations (FAO) &amp; World Health Organization (WHO). https://www.fao.org/fao-who-codexalimentarius</w:t>
      </w:r>
    </w:p>
    <w:p w14:paraId="6E35F33E"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Duffus, J. H. (2002). "Heavy Metals"—A Meaningless Term? Pure and Applied Chemistry, 74(5), 793–807.</w:t>
      </w:r>
    </w:p>
    <w:p w14:paraId="26C19314"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EFSA. (2021). Scientific opinion on the risks to human health related to the presence of heavy metals in food and feed. European Food Safety Authority Journal, 19(4), e06419. https://doi.org/10.2903/j.efsa.2021.6419</w:t>
      </w:r>
    </w:p>
    <w:p w14:paraId="6B341BFD"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European Food Safety Authority (EFSA). (2020). Scientific opinion on the risks to human health related to the presence of cadmium, chromium, lead, and mercury in food. EFSA Journal, 18(2), 6099. https://doi.org/10.2903/j.efsa.2020.6099</w:t>
      </w:r>
    </w:p>
    <w:p w14:paraId="49229BD1"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European Food Safety Authority (EFSA). (2023). Scientific opinion on the health risks related to the presence of lead, cadmium, mercury, and arsenic in food. EFSA Journal, 21(7), e07988. https://doi.org/10.2903/j.efsa.2023.7988</w:t>
      </w:r>
    </w:p>
    <w:p w14:paraId="4FC071C6"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Eze, S. O., &amp; Ibrahim, H. A. (2022). Assessment of toxic metals in locally manufactured and imported pasta brands using atomic absorption spectrophotometry. African Journal of Food Science, 16(4), 112–121.</w:t>
      </w:r>
    </w:p>
    <w:p w14:paraId="24D99265"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FAO/WHO. (2011). Codex Alimentarius: Food Standards. FAO/WHO.</w:t>
      </w:r>
    </w:p>
    <w:p w14:paraId="49D201E2"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FAO/WHO. (2020). Codex Alimentarius: General standard for contaminants and toxins in food and feed. Food and Agriculture Organization/World Health Organization. https://www.fao.org/fao-who-codexalimentarius</w:t>
      </w:r>
    </w:p>
    <w:p w14:paraId="189F2919"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Fernández, M. A., Pérez, C., &amp; Ríos, J. L. (2020). Application of X-ray fluorescence in rapid screening of heavy metals in agricultural products. Journal of Food Composition and Analysis, 88, 103437.</w:t>
      </w:r>
    </w:p>
    <w:p w14:paraId="2CF8706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Food and Agriculture Organization. (2020). Food safety and quality: Managing contaminants in food. FAO.</w:t>
      </w:r>
    </w:p>
    <w:p w14:paraId="51FE2FA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Food and Agriculture Organization. (n.d.). Sample collection, handling and preparation. FAO. https://www.fao.org/fileadmin/templates/food_composition/documents/Presentations/Food_Composition_-_Sample_collection_handling_and_preparation.pdf</w:t>
      </w:r>
    </w:p>
    <w:p w14:paraId="1F7832DB"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Food and Agriculture Organization/World Health Organization (FAO/WHO). (2021). Safety evaluation of certain contaminants in food: Prepared by the 83rd meeting of the Joint FAO/WHO Expert Committee on Food Additives (JECFA). WHO Technical Report Series No. 1023. https://www.who.int/publications/i/item/9789240033573</w:t>
      </w:r>
    </w:p>
    <w:p w14:paraId="6143ACB6"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GAIN (Global Alliance for Improved Nutrition). (2022). Large‐scale food fortification compliance in Nigeria: State of the nation report.</w:t>
      </w:r>
    </w:p>
    <w:p w14:paraId="7C45A1F2"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Gao, Y., Zhang, P., &amp; Li, S. (2024). Mercury exposure and associated health risks in food products: A global perspective. Food Chemistry Advances, 12, 100452. https://doi.org/10.1016/j.focha.2024.100452</w:t>
      </w:r>
    </w:p>
    <w:p w14:paraId="1662CD55"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Gupta, D., Singh, R., &amp; Mehta, S. (2023). Chronic arsenic exposure and its health impacts: Recent advances in food contamination studies. Journal of Environmental Health Science, 21(4), 356–368.</w:t>
      </w:r>
    </w:p>
    <w:p w14:paraId="676BF8A3"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International Pasta Organization. (2023). World pasta industry status report 2023. Rome, Italy: IPO.</w:t>
      </w:r>
    </w:p>
    <w:p w14:paraId="342E7F59"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Ishak, I. (2015). Comparison of digestion methods for the determination of metals in food and biological samples. Journal of Food Science and Technology, 52(3), 1414–1423. https://doi.org/10.1007/s11483-015-0906-7</w:t>
      </w:r>
    </w:p>
    <w:p w14:paraId="76D85604"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 xml:space="preserve">Jaishankar, M., Tseten, T., Anbalagan, N., Mathew, B. B., &amp; </w:t>
      </w:r>
      <w:proofErr w:type="spellStart"/>
      <w:r>
        <w:rPr>
          <w:rFonts w:ascii="Times New Roman" w:hAnsi="Times New Roman"/>
          <w:sz w:val="24"/>
          <w:szCs w:val="24"/>
        </w:rPr>
        <w:t>Beeregowda</w:t>
      </w:r>
      <w:proofErr w:type="spellEnd"/>
      <w:r>
        <w:rPr>
          <w:rFonts w:ascii="Times New Roman" w:hAnsi="Times New Roman"/>
          <w:sz w:val="24"/>
          <w:szCs w:val="24"/>
        </w:rPr>
        <w:t>, K. N. (2014). Toxicity, Mechanism and Health Effects of Some Heavy Metals. Interdisciplinary Toxicology, 7(2), 60–72.</w:t>
      </w:r>
    </w:p>
    <w:p w14:paraId="6468CBBD"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 xml:space="preserve">Jaishankar, M., Tseten, T., Anbalagan, N., Mathew, B. B., &amp; </w:t>
      </w:r>
      <w:proofErr w:type="spellStart"/>
      <w:r>
        <w:rPr>
          <w:rFonts w:ascii="Times New Roman" w:hAnsi="Times New Roman"/>
          <w:sz w:val="24"/>
          <w:szCs w:val="24"/>
        </w:rPr>
        <w:t>Beeregowda</w:t>
      </w:r>
      <w:proofErr w:type="spellEnd"/>
      <w:r>
        <w:rPr>
          <w:rFonts w:ascii="Times New Roman" w:hAnsi="Times New Roman"/>
          <w:sz w:val="24"/>
          <w:szCs w:val="24"/>
        </w:rPr>
        <w:t>, K. N. (2014). Toxicity, mechanism and health effects of some heavy metals. Interdisciplinary Toxicology, 7(2), 60–72. https://doi.org/10.2478/intox-2014-0009</w:t>
      </w:r>
    </w:p>
    <w:p w14:paraId="235D0E45"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 xml:space="preserve">Jaishankar, M., Tseten, T., Anbalagan, N., Mathew, B. B., &amp; </w:t>
      </w:r>
      <w:proofErr w:type="spellStart"/>
      <w:r>
        <w:rPr>
          <w:rFonts w:ascii="Times New Roman" w:hAnsi="Times New Roman"/>
          <w:sz w:val="24"/>
          <w:szCs w:val="24"/>
        </w:rPr>
        <w:t>Beeregowda</w:t>
      </w:r>
      <w:proofErr w:type="spellEnd"/>
      <w:r>
        <w:rPr>
          <w:rFonts w:ascii="Times New Roman" w:hAnsi="Times New Roman"/>
          <w:sz w:val="24"/>
          <w:szCs w:val="24"/>
        </w:rPr>
        <w:t>, K. N. (2020). Toxicity, mechanism and health effects of some heavy metals. Interdisciplinary Toxicology, 13(2), 60–72.</w:t>
      </w:r>
    </w:p>
    <w:p w14:paraId="43F9232A"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Järup</w:t>
      </w:r>
      <w:proofErr w:type="spellEnd"/>
      <w:r>
        <w:rPr>
          <w:rFonts w:ascii="Times New Roman" w:hAnsi="Times New Roman"/>
          <w:sz w:val="24"/>
          <w:szCs w:val="24"/>
        </w:rPr>
        <w:t>, L. (2003). Hazards of Heavy Metal Contamination. British Medical Bulletin, 68(1), 167–182.</w:t>
      </w:r>
    </w:p>
    <w:p w14:paraId="47C6E1A4"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Kawo</w:t>
      </w:r>
      <w:proofErr w:type="spellEnd"/>
      <w:r>
        <w:rPr>
          <w:rFonts w:ascii="Times New Roman" w:hAnsi="Times New Roman"/>
          <w:sz w:val="24"/>
          <w:szCs w:val="24"/>
        </w:rPr>
        <w:t>, A. H., Yusuf, S., &amp; Ibrahim, A. (2021). Evaluation of heavy metals in cereal-based foods using atomic absorption spectroscopy. African Journal of Food Science, 15(9), 298–305.</w:t>
      </w:r>
    </w:p>
    <w:p w14:paraId="33CB332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Khalid, A., Usman, M., &amp; Ahmad, R. (2022). Assessment of heavy metals in processed food products using AAS. Journal of Food Safety and Hygiene, 12(3), 45–53.</w:t>
      </w:r>
    </w:p>
    <w:p w14:paraId="15776D6A"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Khan, R., Mehmood, T., &amp; Nazir, S. (2023). Comparative performance of ICP-OES and AAS for multi-element determination in agricultural products. Journal of Analytical Chemistry, 78(3), 389–398.</w:t>
      </w:r>
    </w:p>
    <w:p w14:paraId="21AD3F18"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Kumar, N., &amp; Rani, S. (2022). Application of AAS in food quality and safety assessment: A review. Food Analytical Methods, 15(6), 1611–1623. https://doi.org/10.1007/s12161-022-02256-9</w:t>
      </w:r>
    </w:p>
    <w:p w14:paraId="0E5A4F6B"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Kumar, N., Patel, R., &amp; Sharma, P. (2023). Toxicological impacts of heavy metals in staple foods and their human health implications. Environmental Toxicology and Pharmacology, 105, 103926. https://doi.org/10.1016/j.etap.2023.103926</w:t>
      </w:r>
    </w:p>
    <w:p w14:paraId="39A56B3A"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Kumar, R., Singh, P., &amp; Sharma, S. (2022). Determination of heavy metals in food samples using atomic absorption spectrophotometry: A review of recent applications. Journal of Food Quality and Safety, 6(3), 145–156. https://doi.org/10.1093/fqsafe/fyac012</w:t>
      </w:r>
    </w:p>
    <w:p w14:paraId="1A0F621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Li, W., Han, Y., &amp; Zhao, L. (2022). Toxicity and carcinogenic effects of hexavalent chromium: Mechanisms and food contamination routes. Food and Chemical Toxicology, 168, 113403. https://doi.org/10.1016/j.fct.2022.113403</w:t>
      </w:r>
    </w:p>
    <w:p w14:paraId="5B33EEC4"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Li, Y., Zhang, Q., &amp; Huang, C. (2023). Inductively coupled plasma mass spectrometry in trace heavy metal analysis of food: Challenges and trends. Trends in Food Science &amp; Technology, 136, 137–146.</w:t>
      </w:r>
    </w:p>
    <w:p w14:paraId="725BB52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Magaji, B., Ibrahim, I. B., Usman, A., &amp; Zubairu, M. S. (2023). Heavy metal analysis in some common foods and drugs available in Nigeria. Food Science &amp; Nutrition Technology, 8(4</w:t>
      </w:r>
      <w:proofErr w:type="gramStart"/>
      <w:r>
        <w:rPr>
          <w:rFonts w:ascii="Times New Roman" w:hAnsi="Times New Roman"/>
          <w:sz w:val="24"/>
          <w:szCs w:val="24"/>
        </w:rPr>
        <w:t>).*</w:t>
      </w:r>
      <w:proofErr w:type="gramEnd"/>
    </w:p>
    <w:p w14:paraId="4342C010"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 xml:space="preserve">Mandal, R., Sharma, S., &amp; Singh, P. (2022). Recent advances in ICP-MS for ultra-trace heavy metal detection in food and water. </w:t>
      </w:r>
      <w:proofErr w:type="spellStart"/>
      <w:r>
        <w:rPr>
          <w:rFonts w:ascii="Times New Roman" w:hAnsi="Times New Roman"/>
          <w:sz w:val="24"/>
          <w:szCs w:val="24"/>
        </w:rPr>
        <w:t>TrAC</w:t>
      </w:r>
      <w:proofErr w:type="spellEnd"/>
      <w:r>
        <w:rPr>
          <w:rFonts w:ascii="Times New Roman" w:hAnsi="Times New Roman"/>
          <w:sz w:val="24"/>
          <w:szCs w:val="24"/>
        </w:rPr>
        <w:t xml:space="preserve"> Trends in Analytical Chemistry, 155, 116842.</w:t>
      </w:r>
    </w:p>
    <w:p w14:paraId="72CF068B"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Mohammed, E. (2017). Optimization of an acid digestion procedure for the determination of metals in food samples. Food Chemistry, 214, 1–7. https://doi.org/10.1016/j.foodchem.2016.07.106</w:t>
      </w:r>
    </w:p>
    <w:p w14:paraId="0B3AEF72"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Murtala, B. A., Sulaiman, A. A., &amp; Ibrahim, M. M. (2022). Assessment of heavy metal contamination in cereals and legumes sold in northern Nigeria using AAS. Scientific African, 15, e01034. https://doi.org/10.1016/j.sciaf.2022.e01034</w:t>
      </w:r>
    </w:p>
    <w:p w14:paraId="6F00A015"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Musa, H. I., Bello, A., &amp; Mohammed, S. (2022). Heavy metal content of selected food products in Northern Nigeria: Implications for public health. Nigerian Journal of Environmental Science, 14(2), 45–53.</w:t>
      </w:r>
    </w:p>
    <w:p w14:paraId="060A4443"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Musa, M. A., Lawal, I. M., &amp; Sani, A. (2022). Application of X-ray fluorescence in heavy metal determination of processed food products in Nigeria. Nigerian Journal of Environmental Science, 5(2), 45–54.</w:t>
      </w:r>
    </w:p>
    <w:p w14:paraId="52E970EA"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NAFDAC. (2021). Guidelines for the regulation of contaminants in food products. National Agency for Food and Drug Administration and Control. https://www.nafdac.gov.ng</w:t>
      </w:r>
    </w:p>
    <w:p w14:paraId="609DB226"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Naseer, S., Hussain, A., &amp; Ahmad, M. (2022). Determination of heavy metals in edible food items using atomic absorption spectroscopy (AAS): Method validation and health risk assessment. Environmental Nanotechnology, Monitoring &amp; Management, 17, 100659.</w:t>
      </w:r>
    </w:p>
    <w:p w14:paraId="1CC84049"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National Agency for Food and Drug Administration and Control (NAFDAC). (2023). Registered Food and Beverage Products in Nigeria: 2023 Updated List. Abuja, Nigeria: NAFDAC Publications.</w:t>
      </w:r>
    </w:p>
    <w:p w14:paraId="4956FA40"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Nnamani, C. V., et al. (2021). Heavy Metals in Instant Noodles Sold in Nigeria: Health Implications. Environmental Monitoring and Assessment, 193(11), 1–9.</w:t>
      </w:r>
    </w:p>
    <w:p w14:paraId="28CB38E7"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Ogunkunle</w:t>
      </w:r>
      <w:proofErr w:type="spellEnd"/>
      <w:r>
        <w:rPr>
          <w:rFonts w:ascii="Times New Roman" w:hAnsi="Times New Roman"/>
          <w:sz w:val="24"/>
          <w:szCs w:val="24"/>
        </w:rPr>
        <w:t xml:space="preserve">, C. O., &amp; </w:t>
      </w:r>
      <w:proofErr w:type="spellStart"/>
      <w:r>
        <w:rPr>
          <w:rFonts w:ascii="Times New Roman" w:hAnsi="Times New Roman"/>
          <w:sz w:val="24"/>
          <w:szCs w:val="24"/>
        </w:rPr>
        <w:t>Fatoba</w:t>
      </w:r>
      <w:proofErr w:type="spellEnd"/>
      <w:r>
        <w:rPr>
          <w:rFonts w:ascii="Times New Roman" w:hAnsi="Times New Roman"/>
          <w:sz w:val="24"/>
          <w:szCs w:val="24"/>
        </w:rPr>
        <w:t>, P. O. (2021). Rapid screening of toxic metals in food and soil using X-ray fluorescence spectrometry. Scientific African, 13, e00928. https://doi.org/10.1016/j.sciaf.2021.e00928</w:t>
      </w:r>
    </w:p>
    <w:p w14:paraId="1752AC9E"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Ojekale</w:t>
      </w:r>
      <w:proofErr w:type="spellEnd"/>
      <w:r>
        <w:rPr>
          <w:rFonts w:ascii="Times New Roman" w:hAnsi="Times New Roman"/>
          <w:sz w:val="24"/>
          <w:szCs w:val="24"/>
        </w:rPr>
        <w:t>, A. B., et al. (2016). Assessment of Heavy Metals in Pasta Products Sold in Nigeria. Journal of Food Quality, 39(5), 1–7.</w:t>
      </w:r>
    </w:p>
    <w:p w14:paraId="59B4F3CD"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Okorie, P. C., Eze, N., &amp; Abdullahi, M. (2023). Industrial expansion and market growth in Nigeria’s wheat-based food sector. Journal of Agribusiness and Food Processing, 12(4), 188–197.</w:t>
      </w:r>
    </w:p>
    <w:p w14:paraId="0DF9E77A"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Okoro, C. C., Ibrahim, M. A., &amp; Musa, H. Y. (2023). Determination of toxic metals in imported and locally produced pasta. Nigerian Journal of Chemical Research, 28(1), 67–74.</w:t>
      </w:r>
    </w:p>
    <w:p w14:paraId="4731EB4B"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Okoye, C. O., &amp; Onuoha, B. C. (2022). Assessment of heavy metals and human health risk in pastas consumed in Makurdi, Benue State. International Journal of Research in Industrial and Applied Sciences, 9(12), 337–345. https://rsisinternational.org/journals/ijrias/DigitalLibrary/volume-9-issue-12/337-345.pdf</w:t>
      </w:r>
    </w:p>
    <w:p w14:paraId="611C6A05"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Oladipo, S. O., &amp; Akinola, M. O. (2024). Evaluation of heavy metals in instant noodles and their health implications for consumers in West Africa. Journal of Food Quality and Safety, 18(1), 22–31.</w:t>
      </w:r>
    </w:p>
    <w:p w14:paraId="1A1C307D"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 xml:space="preserve">Olowu, R. A., Olorunfemi, O. D., &amp; Adeyemi, A. O. (2023). Evaluation of trace metals in locally processed foods by flame atomic absorption spectrophotometry. </w:t>
      </w:r>
      <w:proofErr w:type="spellStart"/>
      <w:r>
        <w:rPr>
          <w:rFonts w:ascii="Times New Roman" w:hAnsi="Times New Roman"/>
          <w:sz w:val="24"/>
          <w:szCs w:val="24"/>
        </w:rPr>
        <w:t>Heliyon</w:t>
      </w:r>
      <w:proofErr w:type="spellEnd"/>
      <w:r>
        <w:rPr>
          <w:rFonts w:ascii="Times New Roman" w:hAnsi="Times New Roman"/>
          <w:sz w:val="24"/>
          <w:szCs w:val="24"/>
        </w:rPr>
        <w:t>, 9(4), e14623. https://doi.org/10.1016/j.heliyon.2023.e14623</w:t>
      </w:r>
    </w:p>
    <w:p w14:paraId="467CE9C0"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Omeje</w:t>
      </w:r>
      <w:proofErr w:type="spellEnd"/>
      <w:r>
        <w:rPr>
          <w:rFonts w:ascii="Times New Roman" w:hAnsi="Times New Roman"/>
          <w:sz w:val="24"/>
          <w:szCs w:val="24"/>
        </w:rPr>
        <w:t xml:space="preserve">, K. O., Ezema, B. O., Okonkwo, F., </w:t>
      </w:r>
      <w:proofErr w:type="spellStart"/>
      <w:r>
        <w:rPr>
          <w:rFonts w:ascii="Times New Roman" w:hAnsi="Times New Roman"/>
          <w:sz w:val="24"/>
          <w:szCs w:val="24"/>
        </w:rPr>
        <w:t>Onyishi</w:t>
      </w:r>
      <w:proofErr w:type="spellEnd"/>
      <w:r>
        <w:rPr>
          <w:rFonts w:ascii="Times New Roman" w:hAnsi="Times New Roman"/>
          <w:sz w:val="24"/>
          <w:szCs w:val="24"/>
        </w:rPr>
        <w:t xml:space="preserve">, N. C., </w:t>
      </w:r>
      <w:proofErr w:type="spellStart"/>
      <w:r>
        <w:rPr>
          <w:rFonts w:ascii="Times New Roman" w:hAnsi="Times New Roman"/>
          <w:sz w:val="24"/>
          <w:szCs w:val="24"/>
        </w:rPr>
        <w:t>Ozioko</w:t>
      </w:r>
      <w:proofErr w:type="spellEnd"/>
      <w:r>
        <w:rPr>
          <w:rFonts w:ascii="Times New Roman" w:hAnsi="Times New Roman"/>
          <w:sz w:val="24"/>
          <w:szCs w:val="24"/>
        </w:rPr>
        <w:t xml:space="preserve">, J., Rasaq, W. A., Sardo, G., &amp; Okpala, C. O. R. (2021). Quantification of heavy metals and pesticide residues in widely consumed Nigerian food crops using Atomic Absorption Spectroscopy (AAS) and Gas Chromatography (GC). Toxins, 13(12), </w:t>
      </w:r>
      <w:proofErr w:type="gramStart"/>
      <w:r>
        <w:rPr>
          <w:rFonts w:ascii="Times New Roman" w:hAnsi="Times New Roman"/>
          <w:sz w:val="24"/>
          <w:szCs w:val="24"/>
        </w:rPr>
        <w:t>870.*</w:t>
      </w:r>
      <w:proofErr w:type="gramEnd"/>
    </w:p>
    <w:p w14:paraId="41204962"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Oni, A. O., Adeyeye, E. I., &amp; Aluko, B. T. (2020). Assessment of heavy metals in some brands of pasta and noodles consumed in Nigeria. Journal of Food Chemistry and Toxicology, 8(3), 112–118.</w:t>
      </w:r>
    </w:p>
    <w:p w14:paraId="0EAC1E41"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Rahman, M. M., Ahmad, S. A., &amp; Hashem, M. A. (2021). Health impacts of arsenic exposure from food and water sources: A comprehensive review. Environmental Research, 198, 111285. https://doi.org/10.1016/j.envres.2021.111285</w:t>
      </w:r>
    </w:p>
    <w:p w14:paraId="7C115B6E"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Rahman, M. S., et al. (2014). Heavy Metal Contamination in Rice-Based Foods in Asia: A Review. Food Control, 40, 1–10.</w:t>
      </w:r>
    </w:p>
    <w:p w14:paraId="40ED9787" w14:textId="77777777" w:rsidR="00337B86" w:rsidRDefault="00000000">
      <w:pPr>
        <w:spacing w:line="360" w:lineRule="auto"/>
        <w:ind w:left="720" w:hanging="720"/>
        <w:jc w:val="both"/>
        <w:rPr>
          <w:rFonts w:ascii="Times New Roman" w:hAnsi="Times New Roman"/>
          <w:sz w:val="24"/>
          <w:szCs w:val="24"/>
        </w:rPr>
      </w:pPr>
      <w:proofErr w:type="gramStart"/>
      <w:r>
        <w:rPr>
          <w:rFonts w:ascii="Times New Roman" w:hAnsi="Times New Roman"/>
          <w:sz w:val="24"/>
          <w:szCs w:val="24"/>
        </w:rPr>
        <w:t>Rukayat .A</w:t>
      </w:r>
      <w:proofErr w:type="gramEnd"/>
      <w:r>
        <w:rPr>
          <w:rFonts w:ascii="Times New Roman" w:hAnsi="Times New Roman"/>
          <w:sz w:val="24"/>
          <w:szCs w:val="24"/>
        </w:rPr>
        <w:t xml:space="preserve">(2025). AAS analysis report for selected pasta samples [Unpublished laboratory report]. Central Laboratory, </w:t>
      </w:r>
      <w:proofErr w:type="spellStart"/>
      <w:r>
        <w:rPr>
          <w:rFonts w:ascii="Times New Roman" w:hAnsi="Times New Roman"/>
          <w:sz w:val="24"/>
          <w:szCs w:val="24"/>
        </w:rPr>
        <w:t>Bayero</w:t>
      </w:r>
      <w:proofErr w:type="spellEnd"/>
      <w:r>
        <w:rPr>
          <w:rFonts w:ascii="Times New Roman" w:hAnsi="Times New Roman"/>
          <w:sz w:val="24"/>
          <w:szCs w:val="24"/>
        </w:rPr>
        <w:t xml:space="preserve"> University Kano (BUK).</w:t>
      </w:r>
    </w:p>
    <w:p w14:paraId="75DAE697"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Sahu, R. K., Patel, P., &amp; Yadav, S. (2021). Colorimetric determination of heavy metals in food and water using UV-visible spectrophotometry: A review. Current Research in Food Science, 4, 310–320.</w:t>
      </w:r>
    </w:p>
    <w:p w14:paraId="69CD12CF"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Shaltout</w:t>
      </w:r>
      <w:proofErr w:type="spellEnd"/>
      <w:r>
        <w:rPr>
          <w:rFonts w:ascii="Times New Roman" w:hAnsi="Times New Roman"/>
          <w:sz w:val="24"/>
          <w:szCs w:val="24"/>
        </w:rPr>
        <w:t>, A. A., El-Sayed, S. M., &amp; El-Magd, M. A. A. (2022). Assessment of heavy metal contamination in cereal-based products and associated health risks. Environmental Science and Pollution Research, 29(35), 53012–53025. https://doi.org/10.1007/s11356-022-20491-0</w:t>
      </w:r>
    </w:p>
    <w:p w14:paraId="7B577506"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Singh, R., &amp; Verma, A. (2020). Colorimetric and spectrophotometric determination of heavy metals in food samples: A mini-review. Analytical Methods in Environmental Chemistry Journal, 3(2), 45–53.</w:t>
      </w:r>
    </w:p>
    <w:p w14:paraId="6531619C"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lastRenderedPageBreak/>
        <w:t>Tchounwou</w:t>
      </w:r>
      <w:proofErr w:type="spellEnd"/>
      <w:r>
        <w:rPr>
          <w:rFonts w:ascii="Times New Roman" w:hAnsi="Times New Roman"/>
          <w:sz w:val="24"/>
          <w:szCs w:val="24"/>
        </w:rPr>
        <w:t xml:space="preserve">, P. B., </w:t>
      </w:r>
      <w:proofErr w:type="spellStart"/>
      <w:r>
        <w:rPr>
          <w:rFonts w:ascii="Times New Roman" w:hAnsi="Times New Roman"/>
          <w:sz w:val="24"/>
          <w:szCs w:val="24"/>
        </w:rPr>
        <w:t>Yedjou</w:t>
      </w:r>
      <w:proofErr w:type="spellEnd"/>
      <w:r>
        <w:rPr>
          <w:rFonts w:ascii="Times New Roman" w:hAnsi="Times New Roman"/>
          <w:sz w:val="24"/>
          <w:szCs w:val="24"/>
        </w:rPr>
        <w:t>, C. G., Patlolla, A. K., &amp; Sutton, D. J. (2012). Heavy Metals Toxicity and the Environment. Molecular, Clinical and Environmental Toxicology, 101–133.</w:t>
      </w:r>
    </w:p>
    <w:p w14:paraId="327A9662"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Tchounwou</w:t>
      </w:r>
      <w:proofErr w:type="spellEnd"/>
      <w:r>
        <w:rPr>
          <w:rFonts w:ascii="Times New Roman" w:hAnsi="Times New Roman"/>
          <w:sz w:val="24"/>
          <w:szCs w:val="24"/>
        </w:rPr>
        <w:t xml:space="preserve">, P. B., </w:t>
      </w:r>
      <w:proofErr w:type="spellStart"/>
      <w:r>
        <w:rPr>
          <w:rFonts w:ascii="Times New Roman" w:hAnsi="Times New Roman"/>
          <w:sz w:val="24"/>
          <w:szCs w:val="24"/>
        </w:rPr>
        <w:t>Yedjou</w:t>
      </w:r>
      <w:proofErr w:type="spellEnd"/>
      <w:r>
        <w:rPr>
          <w:rFonts w:ascii="Times New Roman" w:hAnsi="Times New Roman"/>
          <w:sz w:val="24"/>
          <w:szCs w:val="24"/>
        </w:rPr>
        <w:t>, C. G., Patlolla, A. K., &amp; Sutton, D. J. (2023). Heavy metals toxicity and the environment. In Environmental Toxicology (pp. 133–164). Springer Nature.</w:t>
      </w:r>
    </w:p>
    <w:p w14:paraId="23E7F8FB" w14:textId="77777777" w:rsidR="00337B86" w:rsidRDefault="00000000">
      <w:pPr>
        <w:spacing w:line="360" w:lineRule="auto"/>
        <w:ind w:left="720" w:hanging="720"/>
        <w:jc w:val="both"/>
        <w:rPr>
          <w:rFonts w:ascii="Times New Roman" w:hAnsi="Times New Roman"/>
          <w:sz w:val="24"/>
          <w:szCs w:val="24"/>
        </w:rPr>
      </w:pPr>
      <w:proofErr w:type="spellStart"/>
      <w:r>
        <w:rPr>
          <w:rFonts w:ascii="Times New Roman" w:hAnsi="Times New Roman"/>
          <w:sz w:val="24"/>
          <w:szCs w:val="24"/>
        </w:rPr>
        <w:t>Thermo</w:t>
      </w:r>
      <w:proofErr w:type="spellEnd"/>
      <w:r>
        <w:rPr>
          <w:rFonts w:ascii="Times New Roman" w:hAnsi="Times New Roman"/>
          <w:sz w:val="24"/>
          <w:szCs w:val="24"/>
        </w:rPr>
        <w:t xml:space="preserve"> Fisher Scientific. (n.d.). Sample preparation techniques for AAS, ICP-OES, and ICP-MS. Retrieved from https://documents.thermofisher.com/TFS-Assets/CMD/Technical-Notes/tn-44483-aas-icp-oes-icp-ms-sample-prep-regulated-test-tn44483-en.pdf</w:t>
      </w:r>
    </w:p>
    <w:p w14:paraId="154784A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U.S. Food and Drug Administration (FDA). (2022). Closer to Zero: Action plan for baby foods – reducing exposure to toxic elements. U.S. Department of Health and Human Services. https://www.fda.gov/food/chemicals/closer-zero-action-plan-baby-foods</w:t>
      </w:r>
    </w:p>
    <w:p w14:paraId="73B9FCB2"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WHO. (2021). Food safety: Heavy metals. World Health Organization. https://www.who.int/news-room/fact-sheets/detail/food-safety</w:t>
      </w:r>
    </w:p>
    <w:p w14:paraId="412031AC"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WHO/FAO. (2020). Codex general standard for contaminants and toxins in food and feed (CODEX STAN 193-1995, Rev. 2020). Geneva: World Health Organization/Food and Agriculture Organization of the United Nations.</w:t>
      </w:r>
    </w:p>
    <w:p w14:paraId="0B1E7AD0"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World Health Organization (WHO). (2011). Safety evaluation of certain food additives and contaminants. WHO Technical Report Series No. 959. Geneva: WHO.</w:t>
      </w:r>
    </w:p>
    <w:p w14:paraId="2B5A438C"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World Health Organization (WHO). (2021). Lead poisoning and health. https://www.who.int/news-room/fact-sheets/detail/lead-poisoning-and-health</w:t>
      </w:r>
    </w:p>
    <w:p w14:paraId="40DE1E5D"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World Health Organization (WHO). (2022). Mercury and health. https://www.who.int/news-room/fact-sheets/detail/mercury-and-health</w:t>
      </w:r>
    </w:p>
    <w:p w14:paraId="243F9AB9"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World Health Organization. (2021). Guidelines for assessing chemical contaminants in food. WHO Press.</w:t>
      </w:r>
    </w:p>
    <w:p w14:paraId="371F62E1"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World Health Organization/Food and Agriculture Organization (WHO/FAO). (2023). General standard for contaminants and toxins in food and feed (Codex Stan 193-1995, Rev. 2023). Geneva: WHO/FAO Codex Alimentarius Commission.</w:t>
      </w:r>
    </w:p>
    <w:p w14:paraId="4A212A01"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World Instant Noodles Association (WINA). (2023). Global demand for instant noodles: Annual consumption statistics. Retrieved from https://instantnoodles.org/en/noodles/statistics.html</w:t>
      </w:r>
    </w:p>
    <w:p w14:paraId="75554126"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Zhang, L., Wu, X., &amp; Jiang, T. (2021). Recent developments in ICP-MS for food safety analysis. Food Control, 125, 107986.</w:t>
      </w:r>
    </w:p>
    <w:p w14:paraId="62B1585F"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Zhang, X., Lin, J., &amp; Wang, L. (2022). Lead exposure and developmental neurotoxicity in children: Current trends and prevention strategies. Toxicology Reports, 9, 1881–1890. https://doi.org/10.1016/j.toxrep.2022.10.004</w:t>
      </w:r>
    </w:p>
    <w:p w14:paraId="4898213C" w14:textId="77777777" w:rsidR="00337B86" w:rsidRDefault="00000000">
      <w:pPr>
        <w:spacing w:line="360" w:lineRule="auto"/>
        <w:ind w:left="720" w:hanging="720"/>
        <w:jc w:val="both"/>
        <w:rPr>
          <w:rFonts w:ascii="Times New Roman" w:hAnsi="Times New Roman"/>
          <w:sz w:val="24"/>
          <w:szCs w:val="24"/>
        </w:rPr>
      </w:pPr>
      <w:r>
        <w:rPr>
          <w:rFonts w:ascii="Times New Roman" w:hAnsi="Times New Roman"/>
          <w:sz w:val="24"/>
          <w:szCs w:val="24"/>
        </w:rPr>
        <w:t>Zhou, J., Tang, Y., &amp; Wang, X. (2021). Comparison of ICP-OES and ICP-MS for trace metal analysis in complex food matrices. Food Analytical Methods, 14(5), 1167–1178.</w:t>
      </w:r>
    </w:p>
    <w:p w14:paraId="0F3FC3C8" w14:textId="77777777" w:rsidR="00337B86" w:rsidRDefault="00337B86">
      <w:pPr>
        <w:jc w:val="both"/>
        <w:rPr>
          <w:rFonts w:ascii="Times New Roman" w:hAnsi="Times New Roman"/>
          <w:sz w:val="24"/>
          <w:szCs w:val="24"/>
        </w:rPr>
      </w:pPr>
    </w:p>
    <w:p w14:paraId="1C467FFD" w14:textId="77777777" w:rsidR="00337B86" w:rsidRDefault="00337B86">
      <w:pPr>
        <w:jc w:val="both"/>
        <w:rPr>
          <w:rFonts w:ascii="Times New Roman" w:hAnsi="Times New Roman"/>
          <w:sz w:val="24"/>
          <w:szCs w:val="24"/>
        </w:rPr>
      </w:pPr>
    </w:p>
    <w:p w14:paraId="57A8C674" w14:textId="77777777" w:rsidR="00337B86" w:rsidRDefault="00337B86">
      <w:pPr>
        <w:jc w:val="both"/>
        <w:rPr>
          <w:rFonts w:ascii="Times New Roman" w:hAnsi="Times New Roman"/>
          <w:sz w:val="24"/>
          <w:szCs w:val="24"/>
        </w:rPr>
      </w:pPr>
    </w:p>
    <w:p w14:paraId="00D23D2A" w14:textId="77777777" w:rsidR="00337B86" w:rsidRDefault="00337B86">
      <w:pPr>
        <w:jc w:val="both"/>
        <w:rPr>
          <w:rFonts w:ascii="Times New Roman" w:hAnsi="Times New Roman"/>
          <w:sz w:val="24"/>
          <w:szCs w:val="24"/>
        </w:rPr>
      </w:pPr>
    </w:p>
    <w:p w14:paraId="1C8132C0" w14:textId="77777777" w:rsidR="00337B86" w:rsidRDefault="00337B86">
      <w:pPr>
        <w:jc w:val="both"/>
        <w:rPr>
          <w:rFonts w:ascii="Times New Roman" w:hAnsi="Times New Roman"/>
          <w:sz w:val="24"/>
          <w:szCs w:val="24"/>
        </w:rPr>
      </w:pPr>
    </w:p>
    <w:p w14:paraId="2384B5F6" w14:textId="77777777" w:rsidR="00337B86" w:rsidRDefault="00337B86">
      <w:pPr>
        <w:jc w:val="both"/>
        <w:rPr>
          <w:rFonts w:ascii="Times New Roman" w:hAnsi="Times New Roman"/>
          <w:sz w:val="24"/>
          <w:szCs w:val="24"/>
        </w:rPr>
      </w:pPr>
    </w:p>
    <w:p w14:paraId="354564EA" w14:textId="77777777" w:rsidR="00337B86" w:rsidRDefault="00337B86">
      <w:pPr>
        <w:jc w:val="both"/>
        <w:rPr>
          <w:rFonts w:ascii="Times New Roman" w:hAnsi="Times New Roman"/>
          <w:sz w:val="24"/>
          <w:szCs w:val="24"/>
        </w:rPr>
      </w:pPr>
    </w:p>
    <w:sectPr w:rsidR="00337B86" w:rsidSect="00E837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FEB5ED" w14:textId="77777777" w:rsidR="00673E64" w:rsidRDefault="00673E64">
      <w:pPr>
        <w:spacing w:after="0" w:line="240" w:lineRule="auto"/>
      </w:pPr>
      <w:r>
        <w:separator/>
      </w:r>
    </w:p>
  </w:endnote>
  <w:endnote w:type="continuationSeparator" w:id="0">
    <w:p w14:paraId="6861980A" w14:textId="77777777" w:rsidR="00673E64" w:rsidRDefault="00673E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76C7E" w14:textId="77777777" w:rsidR="00337B86" w:rsidRDefault="00000000">
    <w:pPr>
      <w:pStyle w:val="Footer"/>
      <w:jc w:val="center"/>
    </w:pPr>
    <w:r>
      <w:fldChar w:fldCharType="begin"/>
    </w:r>
    <w:r>
      <w:instrText xml:space="preserve"> PAGE   \* MERGEFORMAT </w:instrText>
    </w:r>
    <w:r>
      <w:fldChar w:fldCharType="separate"/>
    </w:r>
    <w:r>
      <w:rPr>
        <w:noProof/>
      </w:rPr>
      <w:t>23</w:t>
    </w:r>
    <w:r>
      <w:rPr>
        <w:noProof/>
      </w:rPr>
      <w:fldChar w:fldCharType="end"/>
    </w:r>
  </w:p>
  <w:p w14:paraId="066A23E6" w14:textId="77777777" w:rsidR="00337B86" w:rsidRDefault="00337B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40B84C" w14:textId="77777777" w:rsidR="00673E64" w:rsidRDefault="00673E64">
      <w:pPr>
        <w:spacing w:after="0" w:line="240" w:lineRule="auto"/>
      </w:pPr>
      <w:r>
        <w:separator/>
      </w:r>
    </w:p>
  </w:footnote>
  <w:footnote w:type="continuationSeparator" w:id="0">
    <w:p w14:paraId="7997DD01" w14:textId="77777777" w:rsidR="00673E64" w:rsidRDefault="00673E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D7E06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000002"/>
    <w:multiLevelType w:val="hybridMultilevel"/>
    <w:tmpl w:val="4A7CEA9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03"/>
    <w:multiLevelType w:val="hybridMultilevel"/>
    <w:tmpl w:val="09845D8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4"/>
    <w:multiLevelType w:val="hybridMultilevel"/>
    <w:tmpl w:val="09204FF4"/>
    <w:lvl w:ilvl="0" w:tplc="B53C2E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000005"/>
    <w:multiLevelType w:val="hybridMultilevel"/>
    <w:tmpl w:val="65B08C5A"/>
    <w:lvl w:ilvl="0" w:tplc="2FC85D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06"/>
    <w:multiLevelType w:val="hybridMultilevel"/>
    <w:tmpl w:val="0FD82EBC"/>
    <w:lvl w:ilvl="0" w:tplc="B53C2E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07"/>
    <w:multiLevelType w:val="hybridMultilevel"/>
    <w:tmpl w:val="7730DD1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8900B7"/>
    <w:multiLevelType w:val="hybridMultilevel"/>
    <w:tmpl w:val="490A9A8A"/>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58583768">
    <w:abstractNumId w:val="0"/>
  </w:num>
  <w:num w:numId="2" w16cid:durableId="1521889746">
    <w:abstractNumId w:val="1"/>
  </w:num>
  <w:num w:numId="3" w16cid:durableId="1349528421">
    <w:abstractNumId w:val="2"/>
  </w:num>
  <w:num w:numId="4" w16cid:durableId="98764856">
    <w:abstractNumId w:val="4"/>
  </w:num>
  <w:num w:numId="5" w16cid:durableId="547843634">
    <w:abstractNumId w:val="6"/>
  </w:num>
  <w:num w:numId="6" w16cid:durableId="830100444">
    <w:abstractNumId w:val="5"/>
  </w:num>
  <w:num w:numId="7" w16cid:durableId="959069161">
    <w:abstractNumId w:val="3"/>
  </w:num>
  <w:num w:numId="8" w16cid:durableId="5830299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7B86"/>
    <w:rsid w:val="00003E25"/>
    <w:rsid w:val="000F1AA0"/>
    <w:rsid w:val="00180371"/>
    <w:rsid w:val="00244FCA"/>
    <w:rsid w:val="00296908"/>
    <w:rsid w:val="00337B86"/>
    <w:rsid w:val="00546691"/>
    <w:rsid w:val="005F58A3"/>
    <w:rsid w:val="00673E64"/>
    <w:rsid w:val="0069551A"/>
    <w:rsid w:val="0073131D"/>
    <w:rsid w:val="008A7B52"/>
    <w:rsid w:val="00A638B0"/>
    <w:rsid w:val="00A719C8"/>
    <w:rsid w:val="00AD7CC9"/>
    <w:rsid w:val="00B8483C"/>
    <w:rsid w:val="00DA33AF"/>
    <w:rsid w:val="00E83713"/>
    <w:rsid w:val="00EA14A2"/>
    <w:rsid w:val="00F02A8F"/>
    <w:rsid w:val="00F5535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81746E"/>
  <w15:docId w15:val="{0311743E-5B65-4AD7-99C0-B3DB5F96B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
    <w:name w:val="Medium Grid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MediumGrid3-Accent1">
    <w:name w:val="Medium Grid 3 Accent 1"/>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MediumGrid3-Accent2">
    <w:name w:val="Medium Grid 3 Accent 2"/>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MediumGrid3-Accent3">
    <w:name w:val="Medium Grid 3 Accent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MediumGrid3-Accent4">
    <w:name w:val="Medium Grid 3 Accent 4"/>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MediumGrid3-Accent5">
    <w:name w:val="Medium Grid 3 Accent 5"/>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MediumGrid3-Accent6">
    <w:name w:val="Medium Grid 3 Accent 6"/>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sz w:val="22"/>
      <w:szCs w:val="22"/>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58</Pages>
  <Words>13822</Words>
  <Characters>78790</Characters>
  <Application>Microsoft Office Word</Application>
  <DocSecurity>0</DocSecurity>
  <Lines>656</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TECNO BG6</dc:creator>
  <cp:lastModifiedBy>hp</cp:lastModifiedBy>
  <cp:revision>13</cp:revision>
  <cp:lastPrinted>2025-11-18T18:04:00Z</cp:lastPrinted>
  <dcterms:created xsi:type="dcterms:W3CDTF">2025-11-14T09:00:00Z</dcterms:created>
  <dcterms:modified xsi:type="dcterms:W3CDTF">2025-11-18T18:10:00Z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e21b8bba49184a99a320e81442927619</vt:lpwstr>
  </property>
</Properties>
</file>