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1930" w:rsidRDefault="00C07E53">
      <w:pPr>
        <w:jc w:val="center"/>
        <w:rPr>
          <w:b/>
          <w:bCs/>
        </w:rPr>
      </w:pPr>
      <w:bookmarkStart w:id="0" w:name="_GoBack"/>
      <w:bookmarkEnd w:id="0"/>
      <w:r>
        <w:rPr>
          <w:rFonts w:asciiTheme="majorBidi" w:eastAsia="Times New Roman" w:hAnsiTheme="majorBidi" w:cstheme="majorBidi"/>
          <w:b/>
          <w:bCs/>
          <w:szCs w:val="24"/>
        </w:rPr>
        <w:t>PHYTOCHEMICAL COMPOSITION AND IN-VITRO ANTIOXIDANT ACTIVITY OF GINGER EXTRACT ENCAPSULATED IN CHITOSAN HYDROGEL</w:t>
      </w:r>
    </w:p>
    <w:p w:rsidR="00F71930" w:rsidRDefault="00F71930">
      <w:pPr>
        <w:jc w:val="center"/>
        <w:rPr>
          <w:szCs w:val="24"/>
        </w:rPr>
      </w:pPr>
    </w:p>
    <w:p w:rsidR="00F71930" w:rsidRDefault="00C07E53">
      <w:pPr>
        <w:jc w:val="center"/>
        <w:rPr>
          <w:b/>
          <w:szCs w:val="24"/>
        </w:rPr>
      </w:pPr>
      <w:r>
        <w:rPr>
          <w:b/>
          <w:szCs w:val="24"/>
        </w:rPr>
        <w:t>BY</w:t>
      </w:r>
    </w:p>
    <w:p w:rsidR="00F71930" w:rsidRDefault="00C07E53">
      <w:pPr>
        <w:jc w:val="center"/>
        <w:rPr>
          <w:b/>
          <w:szCs w:val="24"/>
        </w:rPr>
      </w:pPr>
      <w:r>
        <w:rPr>
          <w:b/>
          <w:szCs w:val="24"/>
        </w:rPr>
        <w:t>AISHA ALIYU ABDULMALIK</w:t>
      </w:r>
    </w:p>
    <w:p w:rsidR="00F71930" w:rsidRDefault="00C07E53">
      <w:pPr>
        <w:jc w:val="center"/>
        <w:rPr>
          <w:b/>
          <w:szCs w:val="24"/>
        </w:rPr>
      </w:pPr>
      <w:r>
        <w:rPr>
          <w:b/>
          <w:szCs w:val="24"/>
        </w:rPr>
        <w:t>(2010304040)</w:t>
      </w:r>
    </w:p>
    <w:p w:rsidR="00F71930" w:rsidRDefault="00F71930">
      <w:pPr>
        <w:rPr>
          <w:szCs w:val="24"/>
        </w:rPr>
      </w:pPr>
    </w:p>
    <w:p w:rsidR="00F71930" w:rsidRDefault="00C07E53">
      <w:pPr>
        <w:jc w:val="center"/>
        <w:rPr>
          <w:b/>
          <w:szCs w:val="24"/>
        </w:rPr>
      </w:pPr>
      <w:r>
        <w:rPr>
          <w:b/>
          <w:szCs w:val="24"/>
        </w:rPr>
        <w:t xml:space="preserve">A RESEARCH PROJECT </w:t>
      </w:r>
    </w:p>
    <w:p w:rsidR="00F71930" w:rsidRDefault="00C07E53">
      <w:pPr>
        <w:jc w:val="center"/>
        <w:rPr>
          <w:b/>
          <w:szCs w:val="24"/>
        </w:rPr>
      </w:pPr>
      <w:r>
        <w:rPr>
          <w:b/>
          <w:szCs w:val="24"/>
        </w:rPr>
        <w:t xml:space="preserve">SUBMITTED TO THE </w:t>
      </w:r>
    </w:p>
    <w:p w:rsidR="00F71930" w:rsidRDefault="00C07E53">
      <w:pPr>
        <w:jc w:val="center"/>
        <w:rPr>
          <w:b/>
          <w:szCs w:val="24"/>
        </w:rPr>
      </w:pPr>
      <w:r>
        <w:rPr>
          <w:b/>
          <w:szCs w:val="24"/>
        </w:rPr>
        <w:t xml:space="preserve">DEPARTMENT OF BIOCHEMISTRY AND MOLECULAR BIOLOGY, USMANU DANFODIYO UNIVERSITY, SOKOTO, </w:t>
      </w:r>
    </w:p>
    <w:p w:rsidR="00F71930" w:rsidRDefault="00F71930">
      <w:pPr>
        <w:jc w:val="center"/>
        <w:rPr>
          <w:b/>
          <w:szCs w:val="24"/>
        </w:rPr>
      </w:pPr>
    </w:p>
    <w:p w:rsidR="00F71930" w:rsidRDefault="00C07E53">
      <w:pPr>
        <w:jc w:val="center"/>
        <w:rPr>
          <w:b/>
          <w:szCs w:val="24"/>
        </w:rPr>
      </w:pPr>
      <w:r>
        <w:rPr>
          <w:b/>
          <w:szCs w:val="24"/>
        </w:rPr>
        <w:t>IN PARTIAL FULFILMENT OF THE REQUIREMENTS FOR THE AWARD OF BACHELOR OF SCIENCES B.Sc. (HONS) DEGREE IN BIOCHEMISTRY.</w:t>
      </w:r>
    </w:p>
    <w:p w:rsidR="00F71930" w:rsidRDefault="00F71930">
      <w:pPr>
        <w:spacing w:line="240" w:lineRule="auto"/>
        <w:jc w:val="center"/>
      </w:pPr>
    </w:p>
    <w:p w:rsidR="00F71930" w:rsidRDefault="00F71930">
      <w:pPr>
        <w:jc w:val="center"/>
        <w:rPr>
          <w:b/>
          <w:szCs w:val="24"/>
        </w:rPr>
      </w:pPr>
    </w:p>
    <w:p w:rsidR="00F71930" w:rsidRDefault="00C07E53">
      <w:pPr>
        <w:jc w:val="center"/>
        <w:rPr>
          <w:b/>
          <w:szCs w:val="24"/>
        </w:rPr>
      </w:pPr>
      <w:r>
        <w:rPr>
          <w:b/>
          <w:szCs w:val="24"/>
        </w:rPr>
        <w:t>SUPERVISED</w:t>
      </w:r>
    </w:p>
    <w:p w:rsidR="00F71930" w:rsidRDefault="00C07E53">
      <w:pPr>
        <w:spacing w:line="240" w:lineRule="auto"/>
        <w:jc w:val="center"/>
        <w:rPr>
          <w:b/>
          <w:szCs w:val="24"/>
        </w:rPr>
      </w:pPr>
      <w:r>
        <w:rPr>
          <w:b/>
          <w:szCs w:val="24"/>
        </w:rPr>
        <w:t>BY</w:t>
      </w:r>
    </w:p>
    <w:p w:rsidR="00F71930" w:rsidRDefault="00F71930">
      <w:pPr>
        <w:spacing w:line="240" w:lineRule="auto"/>
        <w:jc w:val="center"/>
        <w:rPr>
          <w:b/>
        </w:rPr>
      </w:pPr>
    </w:p>
    <w:p w:rsidR="00F71930" w:rsidRDefault="00C07E53">
      <w:pPr>
        <w:spacing w:line="240" w:lineRule="auto"/>
        <w:jc w:val="center"/>
        <w:rPr>
          <w:b/>
          <w:szCs w:val="24"/>
        </w:rPr>
      </w:pPr>
      <w:r>
        <w:rPr>
          <w:b/>
          <w:szCs w:val="24"/>
        </w:rPr>
        <w:t>PROF. L. S. BILBIS</w:t>
      </w:r>
    </w:p>
    <w:p w:rsidR="00F71930" w:rsidRDefault="00F71930">
      <w:pPr>
        <w:jc w:val="center"/>
        <w:rPr>
          <w:szCs w:val="24"/>
        </w:rPr>
      </w:pPr>
    </w:p>
    <w:p w:rsidR="00F71930" w:rsidRDefault="00C07E53">
      <w:pPr>
        <w:jc w:val="center"/>
        <w:rPr>
          <w:b/>
          <w:szCs w:val="24"/>
        </w:rPr>
        <w:sectPr w:rsidR="00F71930">
          <w:footerReference w:type="default" r:id="rId9"/>
          <w:pgSz w:w="11907" w:h="16840"/>
          <w:pgMar w:top="1440" w:right="1440" w:bottom="1440" w:left="1440" w:header="709" w:footer="709" w:gutter="0"/>
          <w:cols w:space="708"/>
          <w:titlePg/>
          <w:docGrid w:linePitch="360"/>
        </w:sectPr>
      </w:pPr>
      <w:r>
        <w:rPr>
          <w:b/>
          <w:szCs w:val="24"/>
        </w:rPr>
        <w:t>DECEMBER, 2025</w:t>
      </w:r>
    </w:p>
    <w:p w:rsidR="00F71930" w:rsidRDefault="00C07E53">
      <w:pPr>
        <w:pStyle w:val="Heading1"/>
      </w:pPr>
      <w:bookmarkStart w:id="1" w:name="_Toc216080623"/>
      <w:r>
        <w:lastRenderedPageBreak/>
        <w:t>CERTIFICATION</w:t>
      </w:r>
      <w:bookmarkEnd w:id="1"/>
    </w:p>
    <w:p w:rsidR="00F71930" w:rsidRDefault="00C07E53">
      <w:pPr>
        <w:jc w:val="both"/>
        <w:rPr>
          <w:szCs w:val="24"/>
        </w:rPr>
      </w:pPr>
      <w:r>
        <w:rPr>
          <w:szCs w:val="24"/>
        </w:rPr>
        <w:t xml:space="preserve">This is to certify that the research project have been conducted by ALIYU, Aisha Abdulmalik (2010304040) and has been </w:t>
      </w:r>
      <w:r>
        <w:rPr>
          <w:szCs w:val="24"/>
        </w:rPr>
        <w:t>approved as meeting part of the requirements for the award of Bachelor of Science (B.Sc) degree in Biochemistry of Usmanu Danfodiyo University, Sokoto.</w:t>
      </w:r>
    </w:p>
    <w:p w:rsidR="00F71930" w:rsidRDefault="00F71930">
      <w:pPr>
        <w:spacing w:line="240" w:lineRule="auto"/>
      </w:pPr>
    </w:p>
    <w:p w:rsidR="00F71930" w:rsidRDefault="00F71930">
      <w:pPr>
        <w:spacing w:line="240" w:lineRule="auto"/>
        <w:rPr>
          <w:szCs w:val="24"/>
        </w:rPr>
      </w:pPr>
    </w:p>
    <w:p w:rsidR="00F71930" w:rsidRDefault="00F71930">
      <w:pPr>
        <w:spacing w:line="240" w:lineRule="auto"/>
        <w:rPr>
          <w:szCs w:val="24"/>
        </w:rPr>
      </w:pPr>
    </w:p>
    <w:p w:rsidR="00F71930" w:rsidRDefault="00C07E53">
      <w:pPr>
        <w:spacing w:line="240" w:lineRule="auto"/>
        <w:rPr>
          <w:szCs w:val="24"/>
        </w:rPr>
      </w:pPr>
      <w:r>
        <w:rPr>
          <w:szCs w:val="24"/>
        </w:rPr>
        <w:t>________________________                                                                            _</w:t>
      </w:r>
      <w:r>
        <w:rPr>
          <w:szCs w:val="24"/>
        </w:rPr>
        <w:t>____________</w:t>
      </w:r>
    </w:p>
    <w:p w:rsidR="00F71930" w:rsidRDefault="00C07E53">
      <w:pPr>
        <w:spacing w:line="240" w:lineRule="auto"/>
        <w:rPr>
          <w:szCs w:val="24"/>
        </w:rPr>
      </w:pPr>
      <w:r>
        <w:rPr>
          <w:szCs w:val="24"/>
        </w:rPr>
        <w:t>Prof. Aliyu Abdullahi Turaki</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Date</w:t>
      </w:r>
    </w:p>
    <w:p w:rsidR="00F71930" w:rsidRDefault="00C07E53">
      <w:pPr>
        <w:spacing w:line="240" w:lineRule="auto"/>
        <w:rPr>
          <w:szCs w:val="24"/>
        </w:rPr>
      </w:pPr>
      <w:r>
        <w:rPr>
          <w:szCs w:val="24"/>
        </w:rPr>
        <w:t xml:space="preserve">(External Examiner)                                                                                                       </w:t>
      </w:r>
    </w:p>
    <w:p w:rsidR="00F71930" w:rsidRDefault="00F71930">
      <w:pPr>
        <w:spacing w:line="240" w:lineRule="auto"/>
      </w:pPr>
    </w:p>
    <w:p w:rsidR="00F71930" w:rsidRDefault="00F71930">
      <w:pPr>
        <w:spacing w:line="240" w:lineRule="auto"/>
      </w:pPr>
    </w:p>
    <w:p w:rsidR="00F71930" w:rsidRDefault="00F71930">
      <w:pPr>
        <w:rPr>
          <w:szCs w:val="24"/>
        </w:rPr>
      </w:pPr>
    </w:p>
    <w:p w:rsidR="00F71930" w:rsidRDefault="00C07E53">
      <w:pPr>
        <w:spacing w:line="240" w:lineRule="auto"/>
        <w:rPr>
          <w:szCs w:val="24"/>
        </w:rPr>
      </w:pPr>
      <w:r>
        <w:rPr>
          <w:szCs w:val="24"/>
        </w:rPr>
        <w:t xml:space="preserve">_____________________                                                    </w:t>
      </w:r>
      <w:r>
        <w:rPr>
          <w:szCs w:val="24"/>
        </w:rPr>
        <w:t xml:space="preserve">                                ____________</w:t>
      </w:r>
    </w:p>
    <w:p w:rsidR="00F71930" w:rsidRDefault="00C07E53">
      <w:pPr>
        <w:spacing w:line="240" w:lineRule="auto"/>
        <w:rPr>
          <w:szCs w:val="24"/>
        </w:rPr>
      </w:pPr>
      <w:r>
        <w:rPr>
          <w:szCs w:val="24"/>
        </w:rPr>
        <w:t xml:space="preserve">Prof. L. S. Bilbis                                                                                                            Date                                                                                 </w:t>
      </w:r>
      <w:r>
        <w:rPr>
          <w:szCs w:val="24"/>
        </w:rPr>
        <w:t xml:space="preserve">           </w:t>
      </w:r>
    </w:p>
    <w:p w:rsidR="00F71930" w:rsidRDefault="00C07E53">
      <w:pPr>
        <w:spacing w:line="240" w:lineRule="auto"/>
        <w:rPr>
          <w:szCs w:val="24"/>
        </w:rPr>
      </w:pPr>
      <w:r>
        <w:rPr>
          <w:szCs w:val="24"/>
        </w:rPr>
        <w:t>(Project Supervisor)</w:t>
      </w:r>
    </w:p>
    <w:p w:rsidR="00F71930" w:rsidRDefault="00F71930">
      <w:pPr>
        <w:rPr>
          <w:szCs w:val="24"/>
        </w:rPr>
      </w:pPr>
    </w:p>
    <w:p w:rsidR="00F71930" w:rsidRDefault="00F71930">
      <w:pPr>
        <w:spacing w:line="240" w:lineRule="auto"/>
        <w:rPr>
          <w:szCs w:val="24"/>
        </w:rPr>
      </w:pPr>
    </w:p>
    <w:p w:rsidR="00F71930" w:rsidRDefault="00F71930">
      <w:pPr>
        <w:spacing w:line="240" w:lineRule="auto"/>
        <w:rPr>
          <w:szCs w:val="24"/>
        </w:rPr>
      </w:pPr>
    </w:p>
    <w:p w:rsidR="00F71930" w:rsidRDefault="00F71930">
      <w:pPr>
        <w:spacing w:line="240" w:lineRule="auto"/>
        <w:rPr>
          <w:szCs w:val="24"/>
        </w:rPr>
      </w:pPr>
    </w:p>
    <w:p w:rsidR="00F71930" w:rsidRDefault="00C07E53">
      <w:pPr>
        <w:spacing w:line="240" w:lineRule="auto"/>
        <w:rPr>
          <w:szCs w:val="24"/>
        </w:rPr>
      </w:pPr>
      <w:r>
        <w:rPr>
          <w:szCs w:val="24"/>
        </w:rPr>
        <w:t>______________________                                                                                _____________</w:t>
      </w:r>
    </w:p>
    <w:p w:rsidR="00F71930" w:rsidRDefault="00C07E53">
      <w:pPr>
        <w:spacing w:line="240" w:lineRule="auto"/>
        <w:rPr>
          <w:szCs w:val="24"/>
        </w:rPr>
      </w:pPr>
      <w:r>
        <w:rPr>
          <w:szCs w:val="24"/>
        </w:rPr>
        <w:t xml:space="preserve">Dr. A. Lawal                                                                                           </w:t>
      </w:r>
      <w:r>
        <w:rPr>
          <w:szCs w:val="24"/>
        </w:rPr>
        <w:t xml:space="preserve">                       Date</w:t>
      </w:r>
    </w:p>
    <w:p w:rsidR="00F71930" w:rsidRDefault="00C07E53">
      <w:pPr>
        <w:spacing w:line="240" w:lineRule="auto"/>
        <w:rPr>
          <w:szCs w:val="24"/>
        </w:rPr>
      </w:pPr>
      <w:r>
        <w:rPr>
          <w:szCs w:val="24"/>
        </w:rPr>
        <w:t>(Head of Department)</w:t>
      </w:r>
    </w:p>
    <w:p w:rsidR="00F71930" w:rsidRDefault="00C07E53">
      <w:pPr>
        <w:rPr>
          <w:rFonts w:asciiTheme="majorBidi" w:eastAsia="Times New Roman" w:hAnsiTheme="majorBidi" w:cstheme="majorBidi"/>
          <w:b/>
          <w:szCs w:val="32"/>
        </w:rPr>
      </w:pPr>
      <w:r>
        <w:rPr>
          <w:rFonts w:eastAsia="Times New Roman"/>
        </w:rPr>
        <w:br w:type="page"/>
      </w:r>
    </w:p>
    <w:p w:rsidR="00F71930" w:rsidRDefault="00C07E53">
      <w:pPr>
        <w:pStyle w:val="Heading1"/>
        <w:jc w:val="left"/>
        <w:rPr>
          <w:rFonts w:eastAsia="Times New Roman"/>
        </w:rPr>
      </w:pPr>
      <w:bookmarkStart w:id="2" w:name="_Toc216080624"/>
      <w:r>
        <w:rPr>
          <w:rFonts w:eastAsia="Times New Roman"/>
        </w:rPr>
        <w:t xml:space="preserve">                                    Dedication</w:t>
      </w:r>
      <w:bookmarkEnd w:id="2"/>
    </w:p>
    <w:p w:rsidR="00F71930" w:rsidRDefault="00C07E53">
      <w:pPr>
        <w:jc w:val="both"/>
        <w:rPr>
          <w:rFonts w:eastAsia="Calibri" w:cs="Times New Roman"/>
          <w:szCs w:val="24"/>
        </w:rPr>
      </w:pPr>
      <w:r>
        <w:rPr>
          <w:rFonts w:eastAsia="Calibri" w:cs="Times New Roman"/>
          <w:szCs w:val="24"/>
        </w:rPr>
        <w:t>This work is lovingly dedicated to my beloved parents.</w:t>
      </w:r>
    </w:p>
    <w:p w:rsidR="00F71930" w:rsidRDefault="00C07E53">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p w:rsidR="00F71930" w:rsidRDefault="00C07E53">
      <w:pPr>
        <w:pStyle w:val="Heading1"/>
        <w:rPr>
          <w:rFonts w:eastAsia="Times New Roman"/>
        </w:rPr>
      </w:pPr>
      <w:bookmarkStart w:id="3" w:name="_Toc216080625"/>
      <w:r>
        <w:rPr>
          <w:rFonts w:eastAsia="Times New Roman"/>
        </w:rPr>
        <w:t>Acknowledgements</w:t>
      </w:r>
      <w:bookmarkEnd w:id="3"/>
    </w:p>
    <w:p w:rsidR="00F71930" w:rsidRDefault="00C07E53">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 xml:space="preserve">My sincere gratitude is directed to Almighty Allah, whose grace, guidance, and unwavering strength made the completion of this work possible. </w:t>
      </w:r>
    </w:p>
    <w:p w:rsidR="00F71930" w:rsidRDefault="00C07E53">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I offer sincere gratitude to my dedicated supervisor Prof. L. S. Bilbis and Co-supervisor Prof. S. A. Muhammad fo</w:t>
      </w:r>
      <w:r>
        <w:rPr>
          <w:rFonts w:asciiTheme="majorBidi" w:eastAsia="Times New Roman" w:hAnsiTheme="majorBidi" w:cstheme="majorBidi"/>
          <w:kern w:val="36"/>
          <w:szCs w:val="24"/>
        </w:rPr>
        <w:t>r their expertise, patience, insightful critique, and tireless commitment throughout this project. I will also like to appreciate the efforts of Mr. Gimba</w:t>
      </w:r>
      <w:r>
        <w:rPr>
          <w:rFonts w:asciiTheme="majorBidi" w:eastAsia="Times New Roman" w:hAnsiTheme="majorBidi" w:cstheme="majorBidi"/>
          <w:kern w:val="36"/>
          <w:szCs w:val="24"/>
        </w:rPr>
        <w:t xml:space="preserve"> Yay</w:t>
      </w:r>
      <w:r>
        <w:rPr>
          <w:rFonts w:asciiTheme="majorBidi" w:eastAsia="Times New Roman" w:hAnsiTheme="majorBidi" w:cstheme="majorBidi"/>
          <w:kern w:val="36"/>
          <w:szCs w:val="24"/>
        </w:rPr>
        <w:t>a and Mr. Nasiru Ahmad Alkanch</w:t>
      </w:r>
      <w:r>
        <w:rPr>
          <w:rFonts w:asciiTheme="majorBidi" w:eastAsia="Times New Roman" w:hAnsiTheme="majorBidi" w:cstheme="majorBidi"/>
          <w:kern w:val="36"/>
          <w:szCs w:val="24"/>
        </w:rPr>
        <w:t>i</w:t>
      </w:r>
      <w:r>
        <w:rPr>
          <w:rFonts w:asciiTheme="majorBidi" w:eastAsia="Times New Roman" w:hAnsiTheme="majorBidi" w:cstheme="majorBidi"/>
          <w:kern w:val="36"/>
          <w:szCs w:val="24"/>
        </w:rPr>
        <w:t xml:space="preserve"> for their support and guidance in the process of executing this pr</w:t>
      </w:r>
      <w:r>
        <w:rPr>
          <w:rFonts w:asciiTheme="majorBidi" w:eastAsia="Times New Roman" w:hAnsiTheme="majorBidi" w:cstheme="majorBidi"/>
          <w:kern w:val="36"/>
          <w:szCs w:val="24"/>
        </w:rPr>
        <w:t xml:space="preserve">oject. </w:t>
      </w:r>
    </w:p>
    <w:p w:rsidR="00F71930" w:rsidRDefault="00C07E53">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I offer my most profound thanks to my beloved parents, Alhaji Aliyu B. Abdulmalik and Hajiya Fatima Yusuf Nuhu, whose constant encouragement, support, and prayers have been my bedrock. To my wonderful siblings (Hamida, Walid, and Bello), Uncle Umar</w:t>
      </w:r>
      <w:r>
        <w:rPr>
          <w:rFonts w:asciiTheme="majorBidi" w:eastAsia="Times New Roman" w:hAnsiTheme="majorBidi" w:cstheme="majorBidi"/>
          <w:kern w:val="36"/>
          <w:szCs w:val="24"/>
        </w:rPr>
        <w:t>, Uncle Ibrahim and Oga Usman, I extend my heartfelt appreciation for the support.</w:t>
      </w:r>
    </w:p>
    <w:p w:rsidR="00F71930" w:rsidRDefault="00C07E53">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My intellectual journey has been significantly shaped by the guidance of my academic team.</w:t>
      </w:r>
    </w:p>
    <w:p w:rsidR="00F71930" w:rsidRDefault="00C07E53">
      <w:pPr>
        <w:jc w:val="both"/>
        <w:rPr>
          <w:rFonts w:eastAsia="Calibri" w:cs="Times New Roman"/>
          <w:szCs w:val="24"/>
        </w:rPr>
      </w:pPr>
      <w:r>
        <w:rPr>
          <w:rFonts w:asciiTheme="majorBidi" w:eastAsia="Times New Roman" w:hAnsiTheme="majorBidi" w:cstheme="majorBidi"/>
          <w:kern w:val="36"/>
          <w:szCs w:val="24"/>
        </w:rPr>
        <w:t>Finally, I wish to thank my cherished friends for their steadfast companionship an</w:t>
      </w:r>
      <w:r>
        <w:rPr>
          <w:rFonts w:asciiTheme="majorBidi" w:eastAsia="Times New Roman" w:hAnsiTheme="majorBidi" w:cstheme="majorBidi"/>
          <w:kern w:val="36"/>
          <w:szCs w:val="24"/>
        </w:rPr>
        <w:t xml:space="preserve">d emotional support. A special thanks to Amina, Shareefa, Rashida, Abdullahi Muhammad Bawa, Abdullahi Muhammad Kure, Abubakar Sadiq (Course Rep), Hajara, Nafisa, Aisha Idris, Maryam M. Sani, Maryam Badmus, Charles and others who supported me in one way or </w:t>
      </w:r>
      <w:r>
        <w:rPr>
          <w:rFonts w:asciiTheme="majorBidi" w:eastAsia="Times New Roman" w:hAnsiTheme="majorBidi" w:cstheme="majorBidi"/>
          <w:kern w:val="36"/>
          <w:szCs w:val="24"/>
        </w:rPr>
        <w:t>the other, to the end of this journey. Thank you for the encouragement, distraction, and memories that kept me going.</w:t>
      </w:r>
    </w:p>
    <w:p w:rsidR="00F71930" w:rsidRDefault="00C07E53">
      <w:pPr>
        <w:jc w:val="both"/>
        <w:rPr>
          <w:rFonts w:eastAsia="Calibri" w:cs="Times New Roman"/>
          <w:szCs w:val="24"/>
        </w:rPr>
      </w:pPr>
      <w:r>
        <w:rPr>
          <w:rFonts w:eastAsia="Calibri" w:cs="Times New Roman"/>
          <w:szCs w:val="24"/>
        </w:rPr>
        <w:t xml:space="preserve"> </w:t>
      </w:r>
    </w:p>
    <w:p w:rsidR="00F71930" w:rsidRDefault="00F71930">
      <w:pPr>
        <w:jc w:val="both"/>
        <w:rPr>
          <w:rFonts w:asciiTheme="majorBidi" w:eastAsia="Times New Roman" w:hAnsiTheme="majorBidi" w:cstheme="majorBidi"/>
          <w:kern w:val="36"/>
          <w:szCs w:val="24"/>
        </w:rPr>
      </w:pPr>
    </w:p>
    <w:p w:rsidR="00F71930" w:rsidRDefault="00C07E53">
      <w:pPr>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p w:rsidR="00F71930" w:rsidRDefault="00C07E53">
      <w:pPr>
        <w:spacing w:before="100" w:beforeAutospacing="1" w:after="100" w:afterAutospacing="1" w:line="240" w:lineRule="auto"/>
        <w:jc w:val="center"/>
        <w:outlineLvl w:val="2"/>
        <w:rPr>
          <w:rFonts w:eastAsia="Times New Roman" w:cs="Times New Roman"/>
          <w:b/>
          <w:bCs/>
          <w:sz w:val="27"/>
          <w:szCs w:val="27"/>
        </w:rPr>
      </w:pPr>
      <w:bookmarkStart w:id="4" w:name="_Toc216080626"/>
      <w:r>
        <w:rPr>
          <w:rFonts w:eastAsia="Times New Roman" w:cs="Times New Roman"/>
          <w:b/>
          <w:bCs/>
          <w:szCs w:val="24"/>
        </w:rPr>
        <w:t>Abstract</w:t>
      </w:r>
      <w:bookmarkEnd w:id="4"/>
    </w:p>
    <w:p w:rsidR="00F71930" w:rsidRDefault="00C07E53">
      <w:pPr>
        <w:spacing w:line="240" w:lineRule="auto"/>
        <w:jc w:val="both"/>
        <w:rPr>
          <w:rFonts w:asciiTheme="majorBidi" w:hAnsiTheme="majorBidi" w:cstheme="majorBidi"/>
          <w:szCs w:val="24"/>
        </w:rPr>
      </w:pPr>
      <w:r>
        <w:rPr>
          <w:rFonts w:asciiTheme="majorBidi" w:eastAsia="Times New Roman" w:hAnsiTheme="majorBidi" w:cstheme="majorBidi"/>
          <w:kern w:val="0"/>
          <w:szCs w:val="24"/>
        </w:rPr>
        <w:t>Medicinal plants have attracted scientific interest because they contain phytochemicals that show antioxidant, antimicrobial</w:t>
      </w:r>
      <w:r>
        <w:rPr>
          <w:rFonts w:asciiTheme="majorBidi" w:eastAsia="Times New Roman" w:hAnsiTheme="majorBidi" w:cstheme="majorBidi"/>
          <w:kern w:val="0"/>
          <w:szCs w:val="24"/>
        </w:rPr>
        <w:t xml:space="preserve">, anti-inflammatory, and chemoprotective properties. Ginger, the rhizome of </w:t>
      </w:r>
      <w:r>
        <w:rPr>
          <w:rFonts w:asciiTheme="majorBidi" w:eastAsia="Times New Roman" w:hAnsiTheme="majorBidi" w:cstheme="majorBidi"/>
          <w:i/>
          <w:iCs/>
          <w:kern w:val="0"/>
          <w:szCs w:val="24"/>
        </w:rPr>
        <w:t>Zingiber officinale</w:t>
      </w:r>
      <w:r>
        <w:rPr>
          <w:rFonts w:asciiTheme="majorBidi" w:eastAsia="Times New Roman" w:hAnsiTheme="majorBidi" w:cstheme="majorBidi"/>
          <w:kern w:val="0"/>
          <w:szCs w:val="24"/>
        </w:rPr>
        <w:t xml:space="preserve">, is widely consumed as a culinary spice and valued in traditional medicine. </w:t>
      </w:r>
      <w:r>
        <w:rPr>
          <w:rFonts w:eastAsia="Times New Roman" w:cs="Times New Roman"/>
          <w:kern w:val="0"/>
          <w:szCs w:val="24"/>
        </w:rPr>
        <w:t>This study investigated the phytochemical composition and in vitro antioxidant activ</w:t>
      </w:r>
      <w:r>
        <w:rPr>
          <w:rFonts w:eastAsia="Times New Roman" w:cs="Times New Roman"/>
          <w:kern w:val="0"/>
          <w:szCs w:val="24"/>
        </w:rPr>
        <w:t>ity of methanol ginger extracts (</w:t>
      </w:r>
      <w:r>
        <w:rPr>
          <w:rFonts w:eastAsia="Times New Roman" w:cs="Times New Roman"/>
          <w:i/>
          <w:iCs/>
          <w:kern w:val="0"/>
          <w:szCs w:val="24"/>
        </w:rPr>
        <w:t>Zingiber officinale</w:t>
      </w:r>
      <w:r>
        <w:rPr>
          <w:rFonts w:eastAsia="Times New Roman" w:cs="Times New Roman"/>
          <w:kern w:val="0"/>
          <w:szCs w:val="24"/>
        </w:rPr>
        <w:t>) and evaluated how encapsulation in a chitosan hydrogel influences its antioxidant performance. Fresh ginger rhizomes were cleaned, dried, pulverized, and extracted with methanol before encapsulation usi</w:t>
      </w:r>
      <w:r>
        <w:rPr>
          <w:rFonts w:eastAsia="Times New Roman" w:cs="Times New Roman"/>
          <w:kern w:val="0"/>
          <w:szCs w:val="24"/>
        </w:rPr>
        <w:t>ng a chitosan hydrogel prepared with glycerin, acetic acid, and sodium hydroxide. Antioxidant activity was assessed using DPPH and FRAP assays. Qualitative phytochemical screening revealed the presence of alkaloids, steroids, glycosides, and saponin glycos</w:t>
      </w:r>
      <w:r>
        <w:rPr>
          <w:rFonts w:eastAsia="Times New Roman" w:cs="Times New Roman"/>
          <w:kern w:val="0"/>
          <w:szCs w:val="24"/>
        </w:rPr>
        <w:t>ides. Quantitative assays showed high levels of alkaloids (233 mg/g) and saponins (216 mg/g), confirming that ginger is rich in bioactive compounds associated with antioxidant activity</w:t>
      </w:r>
      <w:r>
        <w:rPr>
          <w:rFonts w:eastAsia="Times New Roman" w:cs="Times New Roman"/>
          <w:kern w:val="0"/>
          <w:szCs w:val="24"/>
        </w:rPr>
        <w:t>. The result of DPPH at 20mg/ml of loaded chitosan hydrogel and ginger e</w:t>
      </w:r>
      <w:r>
        <w:rPr>
          <w:rFonts w:eastAsia="Times New Roman" w:cs="Times New Roman"/>
          <w:kern w:val="0"/>
          <w:szCs w:val="24"/>
        </w:rPr>
        <w:t>xtract were significantly higher when compared with ascorbic acid. Furthermore, at higher concentration 2.0mg/ml The Ferric reducing power of ginger extract was significantly higher compared to loaded chitosan hydrogel  and naive groups. Overall, the resul</w:t>
      </w:r>
      <w:r>
        <w:rPr>
          <w:rFonts w:eastAsia="Times New Roman" w:cs="Times New Roman"/>
          <w:kern w:val="0"/>
          <w:szCs w:val="24"/>
        </w:rPr>
        <w:t>ts suggest that chitosan loaded with ginger extract is a promoted strategy as phytochemical delivery system.</w:t>
      </w:r>
    </w:p>
    <w:p w:rsidR="00F71930" w:rsidRDefault="00F71930">
      <w:pPr>
        <w:spacing w:before="100" w:beforeAutospacing="1" w:after="100" w:afterAutospacing="1" w:line="240" w:lineRule="auto"/>
        <w:jc w:val="both"/>
        <w:rPr>
          <w:rFonts w:eastAsia="Times New Roman" w:cs="Times New Roman"/>
          <w:szCs w:val="24"/>
        </w:rPr>
      </w:pPr>
    </w:p>
    <w:p w:rsidR="00F71930" w:rsidRDefault="00F71930">
      <w:pPr>
        <w:jc w:val="both"/>
      </w:pPr>
    </w:p>
    <w:p w:rsidR="00F71930" w:rsidRDefault="00C07E53">
      <w:pPr>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sdt>
      <w:sdtPr>
        <w:rPr>
          <w:rFonts w:asciiTheme="majorBidi" w:eastAsiaTheme="minorHAnsi" w:hAnsiTheme="majorBidi" w:cstheme="minorBidi"/>
          <w:color w:val="auto"/>
          <w:kern w:val="2"/>
          <w:sz w:val="24"/>
          <w:szCs w:val="24"/>
        </w:rPr>
        <w:id w:val="1114789588"/>
      </w:sdtPr>
      <w:sdtEndPr/>
      <w:sdtContent>
        <w:p w:rsidR="00F71930" w:rsidRDefault="00C07E53">
          <w:pPr>
            <w:pStyle w:val="TOCHeading1"/>
            <w:spacing w:before="0" w:line="480" w:lineRule="auto"/>
            <w:contextualSpacing/>
            <w:jc w:val="center"/>
            <w:rPr>
              <w:rFonts w:asciiTheme="majorBidi" w:hAnsiTheme="majorBidi"/>
              <w:b/>
              <w:bCs/>
              <w:color w:val="auto"/>
              <w:sz w:val="24"/>
              <w:szCs w:val="24"/>
            </w:rPr>
          </w:pPr>
          <w:r>
            <w:rPr>
              <w:rFonts w:asciiTheme="majorBidi" w:hAnsiTheme="majorBidi"/>
              <w:b/>
              <w:bCs/>
              <w:color w:val="auto"/>
              <w:sz w:val="24"/>
              <w:szCs w:val="24"/>
            </w:rPr>
            <w:t>Table of Contents</w:t>
          </w:r>
        </w:p>
        <w:p w:rsidR="00F71930" w:rsidRDefault="00C07E53">
          <w:pPr>
            <w:pStyle w:val="TOC1"/>
            <w:spacing w:line="480" w:lineRule="auto"/>
            <w:rPr>
              <w:rFonts w:asciiTheme="minorHAnsi" w:eastAsiaTheme="minorEastAsia" w:hAnsiTheme="minorHAnsi"/>
              <w:sz w:val="22"/>
            </w:rPr>
          </w:pPr>
          <w:r>
            <w:rPr>
              <w:rFonts w:asciiTheme="majorBidi" w:hAnsiTheme="majorBidi" w:cstheme="majorBidi"/>
              <w:szCs w:val="24"/>
            </w:rPr>
            <w:fldChar w:fldCharType="begin"/>
          </w:r>
          <w:r>
            <w:rPr>
              <w:rFonts w:asciiTheme="majorBidi" w:hAnsiTheme="majorBidi" w:cstheme="majorBidi"/>
              <w:szCs w:val="24"/>
            </w:rPr>
            <w:instrText xml:space="preserve"> TOC \o "1-3" \h \z \u </w:instrText>
          </w:r>
          <w:r>
            <w:rPr>
              <w:rFonts w:asciiTheme="majorBidi" w:hAnsiTheme="majorBidi" w:cstheme="majorBidi"/>
              <w:szCs w:val="24"/>
            </w:rPr>
            <w:fldChar w:fldCharType="separate"/>
          </w:r>
          <w:hyperlink w:anchor="_Toc216080623" w:history="1">
            <w:r>
              <w:rPr>
                <w:rStyle w:val="Hyperlink"/>
              </w:rPr>
              <w:t>Certification</w:t>
            </w:r>
            <w:r>
              <w:tab/>
            </w:r>
            <w:r>
              <w:fldChar w:fldCharType="begin"/>
            </w:r>
            <w:r>
              <w:instrText xml:space="preserve"> PAGEREF _Toc216080623 \h </w:instrText>
            </w:r>
            <w:r>
              <w:fldChar w:fldCharType="separate"/>
            </w:r>
            <w:r>
              <w:t>i</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24" w:history="1">
            <w:r>
              <w:rPr>
                <w:rStyle w:val="Hyperlink"/>
                <w:rFonts w:eastAsia="Times New Roman"/>
              </w:rPr>
              <w:t>Dedication</w:t>
            </w:r>
            <w:r>
              <w:tab/>
            </w:r>
            <w:r>
              <w:fldChar w:fldCharType="begin"/>
            </w:r>
            <w:r>
              <w:instrText xml:space="preserve"> PAGEREF _Toc216080624 \h </w:instrText>
            </w:r>
            <w:r>
              <w:fldChar w:fldCharType="separate"/>
            </w:r>
            <w:r>
              <w:t>ii</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25" w:history="1">
            <w:r>
              <w:rPr>
                <w:rStyle w:val="Hyperlink"/>
                <w:rFonts w:eastAsia="Times New Roman"/>
              </w:rPr>
              <w:t>Acknowledgements</w:t>
            </w:r>
            <w:r>
              <w:tab/>
            </w:r>
            <w:r>
              <w:fldChar w:fldCharType="begin"/>
            </w:r>
            <w:r>
              <w:instrText xml:space="preserve"> </w:instrText>
            </w:r>
            <w:r>
              <w:instrText xml:space="preserve">PAGEREF _Toc216080625 \h </w:instrText>
            </w:r>
            <w:r>
              <w:fldChar w:fldCharType="separate"/>
            </w:r>
            <w:r>
              <w:t>iii</w:t>
            </w:r>
            <w:r>
              <w:fldChar w:fldCharType="end"/>
            </w:r>
          </w:hyperlink>
        </w:p>
        <w:p w:rsidR="00F71930" w:rsidRDefault="00C07E53">
          <w:pPr>
            <w:pStyle w:val="TOC3"/>
          </w:pPr>
          <w:hyperlink w:anchor="_Toc216080626" w:history="1">
            <w:r>
              <w:rPr>
                <w:rStyle w:val="Hyperlink"/>
              </w:rPr>
              <w:t>Abstract</w:t>
            </w:r>
            <w:r>
              <w:tab/>
            </w:r>
            <w:r>
              <w:fldChar w:fldCharType="begin"/>
            </w:r>
            <w:r>
              <w:instrText xml:space="preserve"> PAGEREF _Toc216080626 \h </w:instrText>
            </w:r>
            <w:r>
              <w:fldChar w:fldCharType="separate"/>
            </w:r>
            <w:r>
              <w:t>iv</w:t>
            </w:r>
            <w:r>
              <w:fldChar w:fldCharType="end"/>
            </w:r>
          </w:hyperlink>
        </w:p>
        <w:p w:rsidR="00F71930" w:rsidRDefault="00C07E53">
          <w:r>
            <w:t>Table of content……</w:t>
          </w:r>
          <w:r>
            <w:t>…………………………………………………………………………..v</w:t>
          </w:r>
        </w:p>
        <w:p w:rsidR="00F71930" w:rsidRDefault="00C07E53">
          <w:r>
            <w:t>List of tables…………………………………………………………………………………viii</w:t>
          </w:r>
        </w:p>
        <w:p w:rsidR="00F71930" w:rsidRDefault="00C07E53">
          <w:r>
            <w:t>Lists of figures ………………………………………………………………………………. ix</w:t>
          </w:r>
        </w:p>
        <w:p w:rsidR="00F71930" w:rsidRDefault="00C07E53">
          <w:pPr>
            <w:pStyle w:val="TOC1"/>
            <w:spacing w:line="480" w:lineRule="auto"/>
            <w:rPr>
              <w:rFonts w:asciiTheme="minorHAnsi" w:eastAsiaTheme="minorEastAsia" w:hAnsiTheme="minorHAnsi"/>
              <w:sz w:val="22"/>
            </w:rPr>
          </w:pPr>
          <w:hyperlink w:anchor="_Toc216080627" w:history="1">
            <w:r>
              <w:rPr>
                <w:rStyle w:val="Hyperlink"/>
                <w:rFonts w:asciiTheme="majorBidi" w:eastAsia="Times New Roman" w:hAnsiTheme="majorBidi" w:cstheme="majorBidi"/>
                <w:kern w:val="36"/>
              </w:rPr>
              <w:t>CHAPTER ONE</w:t>
            </w:r>
            <w:r>
              <w:tab/>
            </w:r>
            <w:r>
              <w:fldChar w:fldCharType="begin"/>
            </w:r>
            <w:r>
              <w:instrText xml:space="preserve"> PAGEREF _Toc216080627 \h </w:instrText>
            </w:r>
            <w:r>
              <w:fldChar w:fldCharType="separate"/>
            </w:r>
            <w:r>
              <w:t>1</w:t>
            </w:r>
            <w:r>
              <w:fldChar w:fldCharType="end"/>
            </w:r>
          </w:hyperlink>
        </w:p>
        <w:p w:rsidR="00F71930" w:rsidRDefault="00C07E53">
          <w:pPr>
            <w:pStyle w:val="TOC3"/>
            <w:rPr>
              <w:rFonts w:asciiTheme="minorHAnsi" w:eastAsiaTheme="minorEastAsia" w:hAnsiTheme="minorHAnsi" w:cstheme="minorBidi"/>
              <w:sz w:val="22"/>
            </w:rPr>
          </w:pPr>
          <w:hyperlink w:anchor="_Toc216080628" w:history="1">
            <w:r>
              <w:rPr>
                <w:rStyle w:val="Hyperlink"/>
                <w:rFonts w:asciiTheme="majorBidi" w:hAnsiTheme="majorBidi" w:cstheme="majorBidi"/>
              </w:rPr>
              <w:t>1.1 Introduction</w:t>
            </w:r>
            <w:r>
              <w:tab/>
            </w:r>
            <w:r>
              <w:fldChar w:fldCharType="begin"/>
            </w:r>
            <w:r>
              <w:instrText xml:space="preserve"> PAGEREF _Toc216080628 \h </w:instrText>
            </w:r>
            <w:r>
              <w:fldChar w:fldCharType="separate"/>
            </w:r>
            <w:r>
              <w:t>1</w:t>
            </w:r>
            <w:r>
              <w:fldChar w:fldCharType="end"/>
            </w:r>
          </w:hyperlink>
        </w:p>
        <w:p w:rsidR="00F71930" w:rsidRDefault="00C07E53">
          <w:pPr>
            <w:pStyle w:val="TOC3"/>
            <w:rPr>
              <w:rFonts w:asciiTheme="minorHAnsi" w:eastAsiaTheme="minorEastAsia" w:hAnsiTheme="minorHAnsi" w:cstheme="minorBidi"/>
              <w:sz w:val="22"/>
            </w:rPr>
          </w:pPr>
          <w:hyperlink w:anchor="_Toc216080629" w:history="1">
            <w:r>
              <w:rPr>
                <w:rStyle w:val="Hyperlink"/>
                <w:rFonts w:asciiTheme="majorBidi" w:hAnsiTheme="majorBidi" w:cstheme="majorBidi"/>
              </w:rPr>
              <w:t>1.2 Statemen</w:t>
            </w:r>
            <w:r>
              <w:rPr>
                <w:rStyle w:val="Hyperlink"/>
                <w:rFonts w:asciiTheme="majorBidi" w:hAnsiTheme="majorBidi" w:cstheme="majorBidi"/>
              </w:rPr>
              <w:t>t of the Problem</w:t>
            </w:r>
            <w:r>
              <w:tab/>
            </w:r>
            <w:r>
              <w:fldChar w:fldCharType="begin"/>
            </w:r>
            <w:r>
              <w:instrText xml:space="preserve"> PAGEREF _Toc216080629 \h </w:instrText>
            </w:r>
            <w:r>
              <w:fldChar w:fldCharType="separate"/>
            </w:r>
            <w:r>
              <w:t>2</w:t>
            </w:r>
            <w:r>
              <w:fldChar w:fldCharType="end"/>
            </w:r>
          </w:hyperlink>
        </w:p>
        <w:p w:rsidR="00F71930" w:rsidRDefault="00C07E53">
          <w:pPr>
            <w:pStyle w:val="TOC3"/>
          </w:pPr>
          <w:hyperlink w:anchor="_Toc216080632" w:history="1">
            <w:r>
              <w:rPr>
                <w:rStyle w:val="Hyperlink"/>
                <w:rFonts w:asciiTheme="majorBidi" w:hAnsiTheme="majorBidi" w:cstheme="majorBidi"/>
              </w:rPr>
              <w:t>1.3 Justification of the Study</w:t>
            </w:r>
            <w:r>
              <w:tab/>
              <w:t>3</w:t>
            </w:r>
          </w:hyperlink>
        </w:p>
        <w:p w:rsidR="00F71930" w:rsidRDefault="00C07E53">
          <w:pPr>
            <w:pStyle w:val="TOC3"/>
            <w:rPr>
              <w:rFonts w:asciiTheme="minorHAnsi" w:eastAsiaTheme="minorEastAsia" w:hAnsiTheme="minorHAnsi" w:cstheme="minorBidi"/>
              <w:sz w:val="22"/>
            </w:rPr>
          </w:pPr>
          <w:hyperlink w:anchor="_Toc216080630" w:history="1">
            <w:r>
              <w:rPr>
                <w:rStyle w:val="Hyperlink"/>
                <w:rFonts w:asciiTheme="majorBidi" w:hAnsiTheme="majorBidi" w:cstheme="majorBidi"/>
              </w:rPr>
              <w:t>1.4 Aim and Objectives of the Study</w:t>
            </w:r>
            <w:r>
              <w:tab/>
              <w:t>3</w:t>
            </w:r>
          </w:hyperlink>
        </w:p>
        <w:p w:rsidR="00F71930" w:rsidRDefault="00C07E53">
          <w:pPr>
            <w:pStyle w:val="TOC1"/>
            <w:spacing w:line="480" w:lineRule="auto"/>
            <w:rPr>
              <w:rFonts w:asciiTheme="minorHAnsi" w:eastAsiaTheme="minorEastAsia" w:hAnsiTheme="minorHAnsi"/>
              <w:sz w:val="22"/>
            </w:rPr>
          </w:pPr>
          <w:hyperlink w:anchor="_Toc216080633" w:history="1">
            <w:r>
              <w:rPr>
                <w:rStyle w:val="Hyperlink"/>
              </w:rPr>
              <w:t>CHAPTER TWO</w:t>
            </w:r>
            <w:r>
              <w:tab/>
            </w:r>
            <w:r>
              <w:fldChar w:fldCharType="begin"/>
            </w:r>
            <w:r>
              <w:instrText xml:space="preserve"> PAGEREF _Toc216080633 \h </w:instrText>
            </w:r>
            <w:r>
              <w:fldChar w:fldCharType="separate"/>
            </w:r>
            <w:r>
              <w:t>5</w:t>
            </w:r>
            <w:r>
              <w:fldChar w:fldCharType="end"/>
            </w:r>
          </w:hyperlink>
        </w:p>
        <w:p w:rsidR="00F71930" w:rsidRDefault="00C07E53">
          <w:pPr>
            <w:pStyle w:val="TOC2"/>
            <w:rPr>
              <w:rFonts w:asciiTheme="minorHAnsi" w:eastAsiaTheme="minorEastAsia" w:hAnsiTheme="minorHAnsi"/>
              <w:sz w:val="22"/>
            </w:rPr>
          </w:pPr>
          <w:hyperlink w:anchor="_Toc216080635" w:history="1">
            <w:r>
              <w:rPr>
                <w:rStyle w:val="Hyperlink"/>
                <w:rFonts w:asciiTheme="majorBidi" w:hAnsiTheme="majorBidi"/>
              </w:rPr>
              <w:t>2.1 Theoretical Background</w:t>
            </w:r>
            <w:r>
              <w:tab/>
            </w:r>
            <w:r>
              <w:fldChar w:fldCharType="begin"/>
            </w:r>
            <w:r>
              <w:instrText xml:space="preserve"> PAGEREF _Toc216080635 \h </w:instrText>
            </w:r>
            <w:r>
              <w:fldChar w:fldCharType="separate"/>
            </w:r>
            <w:r>
              <w:t>5</w:t>
            </w:r>
            <w:r>
              <w:fldChar w:fldCharType="end"/>
            </w:r>
          </w:hyperlink>
        </w:p>
        <w:p w:rsidR="00F71930" w:rsidRDefault="00C07E53">
          <w:pPr>
            <w:pStyle w:val="TOC2"/>
            <w:rPr>
              <w:rFonts w:asciiTheme="minorHAnsi" w:eastAsiaTheme="minorEastAsia" w:hAnsiTheme="minorHAnsi"/>
              <w:sz w:val="22"/>
            </w:rPr>
          </w:pPr>
          <w:hyperlink w:anchor="_Toc216080636" w:history="1">
            <w:r>
              <w:rPr>
                <w:rStyle w:val="Hyperlink"/>
                <w:rFonts w:asciiTheme="majorBidi" w:hAnsiTheme="majorBidi"/>
              </w:rPr>
              <w:t>2.2 Ginger: Botanical Profile, Phytochemical Composition, and Pharmacological Activities</w:t>
            </w:r>
            <w:r>
              <w:tab/>
            </w:r>
            <w:r>
              <w:fldChar w:fldCharType="begin"/>
            </w:r>
            <w:r>
              <w:instrText xml:space="preserve"> PAGEREF _Toc216080636 \h </w:instrText>
            </w:r>
            <w:r>
              <w:fldChar w:fldCharType="separate"/>
            </w:r>
            <w:r>
              <w:t>6</w:t>
            </w:r>
            <w:r>
              <w:fldChar w:fldCharType="end"/>
            </w:r>
          </w:hyperlink>
        </w:p>
        <w:p w:rsidR="00F71930" w:rsidRDefault="00C07E53">
          <w:pPr>
            <w:pStyle w:val="TOC2"/>
            <w:rPr>
              <w:rFonts w:asciiTheme="minorHAnsi" w:eastAsiaTheme="minorEastAsia" w:hAnsiTheme="minorHAnsi"/>
              <w:sz w:val="22"/>
            </w:rPr>
          </w:pPr>
          <w:hyperlink w:anchor="_Toc216080637" w:history="1">
            <w:r>
              <w:rPr>
                <w:rStyle w:val="Hyperlink"/>
                <w:rFonts w:asciiTheme="majorBidi" w:hAnsiTheme="majorBidi"/>
              </w:rPr>
              <w:t>2.3 Chitosan and Hydrogels: Structure, Properties, and Applications</w:t>
            </w:r>
            <w:r>
              <w:tab/>
            </w:r>
            <w:r>
              <w:fldChar w:fldCharType="begin"/>
            </w:r>
            <w:r>
              <w:instrText xml:space="preserve"> PAGEREF _Toc216080637 \h </w:instrText>
            </w:r>
            <w:r>
              <w:fldChar w:fldCharType="separate"/>
            </w:r>
            <w:r>
              <w:t>7</w:t>
            </w:r>
            <w:r>
              <w:fldChar w:fldCharType="end"/>
            </w:r>
          </w:hyperlink>
        </w:p>
        <w:p w:rsidR="00F71930" w:rsidRDefault="00C07E53">
          <w:pPr>
            <w:pStyle w:val="TOC2"/>
            <w:rPr>
              <w:rFonts w:asciiTheme="minorHAnsi" w:eastAsiaTheme="minorEastAsia" w:hAnsiTheme="minorHAnsi"/>
              <w:sz w:val="22"/>
            </w:rPr>
          </w:pPr>
          <w:hyperlink w:anchor="_Toc216080638" w:history="1">
            <w:r>
              <w:rPr>
                <w:rStyle w:val="Hyperlink"/>
                <w:rFonts w:asciiTheme="majorBidi" w:hAnsiTheme="majorBidi"/>
              </w:rPr>
              <w:t xml:space="preserve">2.4 Phytochemicals and </w:t>
            </w:r>
            <w:r>
              <w:rPr>
                <w:rStyle w:val="Hyperlink"/>
                <w:rFonts w:asciiTheme="majorBidi" w:hAnsiTheme="majorBidi"/>
              </w:rPr>
              <w:t>Biological Relevance of Plants</w:t>
            </w:r>
            <w:r>
              <w:tab/>
            </w:r>
            <w:r>
              <w:fldChar w:fldCharType="begin"/>
            </w:r>
            <w:r>
              <w:instrText xml:space="preserve"> PAGEREF _Toc216080638 \h </w:instrText>
            </w:r>
            <w:r>
              <w:fldChar w:fldCharType="separate"/>
            </w:r>
            <w:r>
              <w:t>9</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39" w:history="1">
            <w:r>
              <w:rPr>
                <w:rStyle w:val="Hyperlink"/>
              </w:rPr>
              <w:t>CHAPTER THREE</w:t>
            </w:r>
            <w:r>
              <w:tab/>
            </w:r>
            <w:r>
              <w:fldChar w:fldCharType="begin"/>
            </w:r>
            <w:r>
              <w:instrText xml:space="preserve"> PAGEREF _Toc216080639 \h </w:instrText>
            </w:r>
            <w:r>
              <w:fldChar w:fldCharType="separate"/>
            </w:r>
            <w:r>
              <w:t>12</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40" w:history="1">
            <w:r>
              <w:rPr>
                <w:rStyle w:val="Hyperlink"/>
              </w:rPr>
              <w:t>3.0 Materials and Methods</w:t>
            </w:r>
            <w:r>
              <w:tab/>
            </w:r>
            <w:r>
              <w:fldChar w:fldCharType="begin"/>
            </w:r>
            <w:r>
              <w:instrText xml:space="preserve"> PAGEREF _Toc216080640 \h </w:instrText>
            </w:r>
            <w:r>
              <w:fldChar w:fldCharType="separate"/>
            </w:r>
            <w:r>
              <w:t>12</w:t>
            </w:r>
            <w:r>
              <w:fldChar w:fldCharType="end"/>
            </w:r>
          </w:hyperlink>
        </w:p>
        <w:p w:rsidR="00F71930" w:rsidRDefault="00C07E53">
          <w:pPr>
            <w:pStyle w:val="TOC2"/>
            <w:rPr>
              <w:rFonts w:asciiTheme="minorHAnsi" w:eastAsiaTheme="minorEastAsia" w:hAnsiTheme="minorHAnsi"/>
              <w:sz w:val="22"/>
            </w:rPr>
          </w:pPr>
          <w:hyperlink w:anchor="_Toc216080641" w:history="1">
            <w:r>
              <w:rPr>
                <w:rStyle w:val="Hyperlink"/>
                <w:rFonts w:asciiTheme="majorBidi" w:hAnsiTheme="majorBidi"/>
              </w:rPr>
              <w:t>3.1 Materials, Reagents, and Instruments</w:t>
            </w:r>
            <w:r>
              <w:tab/>
            </w:r>
            <w:r>
              <w:fldChar w:fldCharType="begin"/>
            </w:r>
            <w:r>
              <w:instrText xml:space="preserve"> PAGEREF _T</w:instrText>
            </w:r>
            <w:r>
              <w:instrText xml:space="preserve">oc216080641 \h </w:instrText>
            </w:r>
            <w:r>
              <w:fldChar w:fldCharType="separate"/>
            </w:r>
            <w:r>
              <w:t>12</w:t>
            </w:r>
            <w:r>
              <w:fldChar w:fldCharType="end"/>
            </w:r>
          </w:hyperlink>
        </w:p>
        <w:p w:rsidR="00F71930" w:rsidRDefault="00C07E53">
          <w:pPr>
            <w:pStyle w:val="TOC2"/>
            <w:rPr>
              <w:rFonts w:asciiTheme="minorHAnsi" w:eastAsiaTheme="minorEastAsia" w:hAnsiTheme="minorHAnsi"/>
              <w:sz w:val="22"/>
            </w:rPr>
          </w:pPr>
          <w:hyperlink w:anchor="_Toc216080645" w:history="1">
            <w:r>
              <w:rPr>
                <w:rStyle w:val="Hyperlink"/>
                <w:rFonts w:asciiTheme="majorBidi" w:hAnsiTheme="majorBidi"/>
              </w:rPr>
              <w:t>3.2 Sample Collection and Preparation</w:t>
            </w:r>
            <w:r>
              <w:tab/>
            </w:r>
            <w:r>
              <w:fldChar w:fldCharType="begin"/>
            </w:r>
            <w:r>
              <w:instrText xml:space="preserve"> PAGEREF _Toc216080645 \h </w:instrText>
            </w:r>
            <w:r>
              <w:fldChar w:fldCharType="separate"/>
            </w:r>
            <w:r>
              <w:t>14</w:t>
            </w:r>
            <w:r>
              <w:fldChar w:fldCharType="end"/>
            </w:r>
          </w:hyperlink>
        </w:p>
        <w:p w:rsidR="00F71930" w:rsidRDefault="00C07E53">
          <w:pPr>
            <w:pStyle w:val="TOC2"/>
            <w:rPr>
              <w:rFonts w:asciiTheme="minorHAnsi" w:eastAsiaTheme="minorEastAsia" w:hAnsiTheme="minorHAnsi"/>
              <w:sz w:val="22"/>
            </w:rPr>
          </w:pPr>
          <w:hyperlink w:anchor="_Toc216080646" w:history="1">
            <w:r>
              <w:rPr>
                <w:rStyle w:val="Hyperlink"/>
                <w:rFonts w:asciiTheme="majorBidi" w:hAnsiTheme="majorBidi"/>
              </w:rPr>
              <w:t>3.3 Extraction of Ginger Phytochemicals</w:t>
            </w:r>
            <w:r>
              <w:tab/>
            </w:r>
            <w:r>
              <w:fldChar w:fldCharType="begin"/>
            </w:r>
            <w:r>
              <w:instrText xml:space="preserve"> PAGEREF _Toc216080646 \h </w:instrText>
            </w:r>
            <w:r>
              <w:fldChar w:fldCharType="separate"/>
            </w:r>
            <w:r>
              <w:t>15</w:t>
            </w:r>
            <w:r>
              <w:fldChar w:fldCharType="end"/>
            </w:r>
          </w:hyperlink>
        </w:p>
        <w:p w:rsidR="00F71930" w:rsidRDefault="00C07E53">
          <w:pPr>
            <w:pStyle w:val="TOC2"/>
            <w:rPr>
              <w:rFonts w:asciiTheme="minorHAnsi" w:eastAsiaTheme="minorEastAsia" w:hAnsiTheme="minorHAnsi"/>
              <w:sz w:val="22"/>
            </w:rPr>
          </w:pPr>
          <w:hyperlink w:anchor="_Toc216080647" w:history="1">
            <w:r>
              <w:rPr>
                <w:rStyle w:val="Hyperlink"/>
                <w:rFonts w:asciiTheme="majorBidi" w:hAnsiTheme="majorBidi"/>
              </w:rPr>
              <w:t>3.4 Preparation of Chitosan Hydrogel</w:t>
            </w:r>
            <w:r>
              <w:tab/>
            </w:r>
            <w:r>
              <w:fldChar w:fldCharType="begin"/>
            </w:r>
            <w:r>
              <w:instrText xml:space="preserve"> PAGEREF _Toc216080</w:instrText>
            </w:r>
            <w:r>
              <w:instrText xml:space="preserve">647 \h </w:instrText>
            </w:r>
            <w:r>
              <w:fldChar w:fldCharType="separate"/>
            </w:r>
            <w:r>
              <w:t>15</w:t>
            </w:r>
            <w:r>
              <w:fldChar w:fldCharType="end"/>
            </w:r>
          </w:hyperlink>
        </w:p>
        <w:p w:rsidR="00F71930" w:rsidRDefault="00C07E53">
          <w:pPr>
            <w:pStyle w:val="TOC2"/>
            <w:rPr>
              <w:rFonts w:asciiTheme="minorHAnsi" w:eastAsiaTheme="minorEastAsia" w:hAnsiTheme="minorHAnsi"/>
              <w:sz w:val="22"/>
            </w:rPr>
          </w:pPr>
          <w:hyperlink w:anchor="_Toc216080648" w:history="1">
            <w:r>
              <w:rPr>
                <w:rStyle w:val="Hyperlink"/>
                <w:rFonts w:asciiTheme="majorBidi" w:hAnsiTheme="majorBidi"/>
              </w:rPr>
              <w:t>3.5 Encapsulation of Ginger Extract in Chitosan Hydrogel</w:t>
            </w:r>
            <w:r>
              <w:tab/>
            </w:r>
            <w:r>
              <w:fldChar w:fldCharType="begin"/>
            </w:r>
            <w:r>
              <w:instrText xml:space="preserve"> PAGEREF _Toc216080648 \h </w:instrText>
            </w:r>
            <w:r>
              <w:fldChar w:fldCharType="separate"/>
            </w:r>
            <w:r>
              <w:t>16</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49" w:history="1">
            <w:r>
              <w:rPr>
                <w:rStyle w:val="Hyperlink"/>
              </w:rPr>
              <w:t>3.6 Qualitative Phytochemical Screening</w:t>
            </w:r>
            <w:r>
              <w:tab/>
            </w:r>
            <w:r>
              <w:fldChar w:fldCharType="begin"/>
            </w:r>
            <w:r>
              <w:instrText xml:space="preserve"> PAGEREF _Toc216080649 \h </w:instrText>
            </w:r>
            <w:r>
              <w:fldChar w:fldCharType="separate"/>
            </w:r>
            <w:r>
              <w:t>17</w:t>
            </w:r>
            <w:r>
              <w:fldChar w:fldCharType="end"/>
            </w:r>
          </w:hyperlink>
        </w:p>
        <w:p w:rsidR="00F71930" w:rsidRDefault="00C07E53">
          <w:pPr>
            <w:pStyle w:val="TOC3"/>
            <w:rPr>
              <w:rFonts w:asciiTheme="minorHAnsi" w:eastAsiaTheme="minorEastAsia" w:hAnsiTheme="minorHAnsi" w:cstheme="minorBidi"/>
              <w:sz w:val="22"/>
            </w:rPr>
          </w:pPr>
          <w:hyperlink w:anchor="_Toc216080650" w:history="1">
            <w:r>
              <w:rPr>
                <w:rStyle w:val="Hyperlink"/>
                <w:rFonts w:asciiTheme="majorBidi" w:hAnsiTheme="majorBidi" w:cstheme="majorBidi"/>
              </w:rPr>
              <w:t>3.6.1 Test for Alkaloids</w:t>
            </w:r>
            <w:r>
              <w:tab/>
            </w:r>
            <w:r>
              <w:fldChar w:fldCharType="begin"/>
            </w:r>
            <w:r>
              <w:instrText xml:space="preserve"> PAGEREF _Toc216080650 \h </w:instrText>
            </w:r>
            <w:r>
              <w:fldChar w:fldCharType="separate"/>
            </w:r>
            <w:r>
              <w:t>17</w:t>
            </w:r>
            <w:r>
              <w:fldChar w:fldCharType="end"/>
            </w:r>
          </w:hyperlink>
        </w:p>
        <w:p w:rsidR="00F71930" w:rsidRDefault="00C07E53">
          <w:pPr>
            <w:pStyle w:val="TOC3"/>
            <w:rPr>
              <w:rFonts w:asciiTheme="minorHAnsi" w:eastAsiaTheme="minorEastAsia" w:hAnsiTheme="minorHAnsi" w:cstheme="minorBidi"/>
              <w:sz w:val="22"/>
            </w:rPr>
          </w:pPr>
          <w:hyperlink w:anchor="_Toc216080651" w:history="1">
            <w:r>
              <w:rPr>
                <w:rStyle w:val="Hyperlink"/>
                <w:rFonts w:asciiTheme="majorBidi" w:hAnsiTheme="majorBidi" w:cstheme="majorBidi"/>
              </w:rPr>
              <w:t>3.6.</w:t>
            </w:r>
            <w:r>
              <w:rPr>
                <w:rStyle w:val="Hyperlink"/>
                <w:rFonts w:asciiTheme="majorBidi" w:hAnsiTheme="majorBidi" w:cstheme="majorBidi"/>
              </w:rPr>
              <w:t>2 Test for Tannins</w:t>
            </w:r>
            <w:r>
              <w:tab/>
            </w:r>
            <w:r>
              <w:fldChar w:fldCharType="begin"/>
            </w:r>
            <w:r>
              <w:instrText xml:space="preserve"> PAGEREF _Toc216080651 \h </w:instrText>
            </w:r>
            <w:r>
              <w:fldChar w:fldCharType="separate"/>
            </w:r>
            <w:r>
              <w:t>18</w:t>
            </w:r>
            <w:r>
              <w:fldChar w:fldCharType="end"/>
            </w:r>
          </w:hyperlink>
        </w:p>
        <w:p w:rsidR="00F71930" w:rsidRDefault="00C07E53">
          <w:pPr>
            <w:pStyle w:val="TOC3"/>
            <w:rPr>
              <w:rFonts w:asciiTheme="minorHAnsi" w:eastAsiaTheme="minorEastAsia" w:hAnsiTheme="minorHAnsi" w:cstheme="minorBidi"/>
              <w:sz w:val="22"/>
            </w:rPr>
          </w:pPr>
          <w:hyperlink w:anchor="_Toc216080652" w:history="1">
            <w:r>
              <w:rPr>
                <w:rStyle w:val="Hyperlink"/>
                <w:rFonts w:asciiTheme="majorBidi" w:hAnsiTheme="majorBidi" w:cstheme="majorBidi"/>
              </w:rPr>
              <w:t>3.6.3 Test for Saponins</w:t>
            </w:r>
            <w:r>
              <w:tab/>
            </w:r>
            <w:r>
              <w:fldChar w:fldCharType="begin"/>
            </w:r>
            <w:r>
              <w:instrText xml:space="preserve"> PAGEREF _Toc216080652 \h </w:instrText>
            </w:r>
            <w:r>
              <w:fldChar w:fldCharType="separate"/>
            </w:r>
            <w:r>
              <w:t>18</w:t>
            </w:r>
            <w:r>
              <w:fldChar w:fldCharType="end"/>
            </w:r>
          </w:hyperlink>
        </w:p>
        <w:p w:rsidR="00F71930" w:rsidRDefault="00C07E53">
          <w:pPr>
            <w:pStyle w:val="TOC3"/>
            <w:rPr>
              <w:rFonts w:asciiTheme="minorHAnsi" w:eastAsiaTheme="minorEastAsia" w:hAnsiTheme="minorHAnsi" w:cstheme="minorBidi"/>
              <w:sz w:val="22"/>
            </w:rPr>
          </w:pPr>
          <w:hyperlink w:anchor="_Toc216080653" w:history="1">
            <w:r>
              <w:rPr>
                <w:rStyle w:val="Hyperlink"/>
                <w:rFonts w:asciiTheme="majorBidi" w:hAnsiTheme="majorBidi" w:cstheme="majorBidi"/>
              </w:rPr>
              <w:t>3.6.4 Test for Glycosides</w:t>
            </w:r>
            <w:r>
              <w:tab/>
            </w:r>
            <w:r>
              <w:fldChar w:fldCharType="begin"/>
            </w:r>
            <w:r>
              <w:instrText xml:space="preserve"> PAGEREF _Toc216080653 \h </w:instrText>
            </w:r>
            <w:r>
              <w:fldChar w:fldCharType="separate"/>
            </w:r>
            <w:r>
              <w:t>18</w:t>
            </w:r>
            <w:r>
              <w:fldChar w:fldCharType="end"/>
            </w:r>
          </w:hyperlink>
        </w:p>
        <w:p w:rsidR="00F71930" w:rsidRDefault="00C07E53">
          <w:pPr>
            <w:pStyle w:val="TOC3"/>
            <w:rPr>
              <w:rFonts w:asciiTheme="minorHAnsi" w:eastAsiaTheme="minorEastAsia" w:hAnsiTheme="minorHAnsi" w:cstheme="minorBidi"/>
              <w:sz w:val="22"/>
            </w:rPr>
          </w:pPr>
          <w:hyperlink w:anchor="_Toc216080654" w:history="1">
            <w:r>
              <w:rPr>
                <w:rStyle w:val="Hyperlink"/>
                <w:rFonts w:asciiTheme="majorBidi" w:hAnsiTheme="majorBidi" w:cstheme="majorBidi"/>
              </w:rPr>
              <w:t>3.6.5 Test for Cardiac Glycosides</w:t>
            </w:r>
            <w:r>
              <w:tab/>
            </w:r>
            <w:r>
              <w:fldChar w:fldCharType="begin"/>
            </w:r>
            <w:r>
              <w:instrText xml:space="preserve"> PAGEREF _Toc2160806</w:instrText>
            </w:r>
            <w:r>
              <w:instrText xml:space="preserve">54 \h </w:instrText>
            </w:r>
            <w:r>
              <w:fldChar w:fldCharType="separate"/>
            </w:r>
            <w:r>
              <w:t>19</w:t>
            </w:r>
            <w:r>
              <w:fldChar w:fldCharType="end"/>
            </w:r>
          </w:hyperlink>
        </w:p>
        <w:p w:rsidR="00F71930" w:rsidRDefault="00C07E53">
          <w:pPr>
            <w:pStyle w:val="TOC3"/>
            <w:rPr>
              <w:rFonts w:asciiTheme="minorHAnsi" w:eastAsiaTheme="minorEastAsia" w:hAnsiTheme="minorHAnsi" w:cstheme="minorBidi"/>
              <w:sz w:val="22"/>
            </w:rPr>
          </w:pPr>
          <w:hyperlink w:anchor="_Toc216080656" w:history="1">
            <w:r>
              <w:rPr>
                <w:rStyle w:val="Hyperlink"/>
                <w:rFonts w:asciiTheme="majorBidi" w:hAnsiTheme="majorBidi" w:cstheme="majorBidi"/>
              </w:rPr>
              <w:t>3.6.7 Test for Phenols</w:t>
            </w:r>
            <w:r>
              <w:tab/>
            </w:r>
            <w:r>
              <w:fldChar w:fldCharType="begin"/>
            </w:r>
            <w:r>
              <w:instrText xml:space="preserve"> PAGEREF _Toc216080656 \h </w:instrText>
            </w:r>
            <w:r>
              <w:fldChar w:fldCharType="separate"/>
            </w:r>
            <w:r>
              <w:t>19</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57" w:history="1">
            <w:r>
              <w:rPr>
                <w:rStyle w:val="Hyperlink"/>
              </w:rPr>
              <w:t>3.7 Quantitative Phytochemical Analysis</w:t>
            </w:r>
            <w:r>
              <w:tab/>
            </w:r>
            <w:r>
              <w:fldChar w:fldCharType="begin"/>
            </w:r>
            <w:r>
              <w:instrText xml:space="preserve"> PAGEREF _Toc216080657 \h </w:instrText>
            </w:r>
            <w:r>
              <w:fldChar w:fldCharType="separate"/>
            </w:r>
            <w:r>
              <w:t>20</w:t>
            </w:r>
            <w:r>
              <w:fldChar w:fldCharType="end"/>
            </w:r>
          </w:hyperlink>
        </w:p>
        <w:p w:rsidR="00F71930" w:rsidRDefault="00C07E53">
          <w:pPr>
            <w:pStyle w:val="TOC3"/>
            <w:rPr>
              <w:rFonts w:asciiTheme="minorHAnsi" w:eastAsiaTheme="minorEastAsia" w:hAnsiTheme="minorHAnsi" w:cstheme="minorBidi"/>
              <w:sz w:val="22"/>
            </w:rPr>
          </w:pPr>
          <w:hyperlink w:anchor="_Toc216080659" w:history="1">
            <w:r>
              <w:rPr>
                <w:rStyle w:val="Hyperlink"/>
                <w:rFonts w:asciiTheme="majorBidi" w:hAnsiTheme="majorBidi" w:cstheme="majorBidi"/>
              </w:rPr>
              <w:t>3.7.2 Determination of Saponin Content</w:t>
            </w:r>
            <w:r>
              <w:tab/>
            </w:r>
            <w:r>
              <w:fldChar w:fldCharType="begin"/>
            </w:r>
            <w:r>
              <w:instrText xml:space="preserve"> PAGEREF _Toc216080659 \h </w:instrText>
            </w:r>
            <w:r>
              <w:fldChar w:fldCharType="separate"/>
            </w:r>
            <w:r>
              <w:t>20</w:t>
            </w:r>
            <w:r>
              <w:fldChar w:fldCharType="end"/>
            </w:r>
          </w:hyperlink>
        </w:p>
        <w:p w:rsidR="00F71930" w:rsidRDefault="00C07E53">
          <w:pPr>
            <w:pStyle w:val="TOC3"/>
            <w:rPr>
              <w:rFonts w:asciiTheme="minorHAnsi" w:eastAsiaTheme="minorEastAsia" w:hAnsiTheme="minorHAnsi" w:cstheme="minorBidi"/>
              <w:sz w:val="22"/>
            </w:rPr>
          </w:pPr>
          <w:hyperlink w:anchor="_Toc216080660" w:history="1">
            <w:r>
              <w:rPr>
                <w:rStyle w:val="Hyperlink"/>
                <w:rFonts w:asciiTheme="majorBidi" w:hAnsiTheme="majorBidi" w:cstheme="majorBidi"/>
              </w:rPr>
              <w:t>3.7.3 Determination of Alkaloid Content</w:t>
            </w:r>
            <w:r>
              <w:tab/>
            </w:r>
            <w:r>
              <w:fldChar w:fldCharType="begin"/>
            </w:r>
            <w:r>
              <w:instrText xml:space="preserve"> PAGEREF _Toc216080660 \h </w:instrText>
            </w:r>
            <w:r>
              <w:fldChar w:fldCharType="separate"/>
            </w:r>
            <w:r>
              <w:t>21</w:t>
            </w:r>
            <w:r>
              <w:fldChar w:fldCharType="end"/>
            </w:r>
          </w:hyperlink>
        </w:p>
        <w:p w:rsidR="00F71930" w:rsidRDefault="00C07E53">
          <w:pPr>
            <w:pStyle w:val="TOC3"/>
            <w:rPr>
              <w:rFonts w:asciiTheme="minorHAnsi" w:eastAsiaTheme="minorEastAsia" w:hAnsiTheme="minorHAnsi" w:cstheme="minorBidi"/>
              <w:sz w:val="22"/>
            </w:rPr>
          </w:pPr>
          <w:hyperlink w:anchor="_Toc216080661" w:history="1">
            <w:r>
              <w:rPr>
                <w:rStyle w:val="Hyperlink"/>
                <w:rFonts w:asciiTheme="majorBidi" w:hAnsiTheme="majorBidi" w:cstheme="majorBidi"/>
              </w:rPr>
              <w:t>3.7.4 Determination of Tannin Content</w:t>
            </w:r>
            <w:r>
              <w:tab/>
            </w:r>
            <w:r>
              <w:fldChar w:fldCharType="begin"/>
            </w:r>
            <w:r>
              <w:instrText xml:space="preserve"> PAGEREF _Toc216080661 \h </w:instrText>
            </w:r>
            <w:r>
              <w:fldChar w:fldCharType="separate"/>
            </w:r>
            <w:r>
              <w:t>21</w:t>
            </w:r>
            <w:r>
              <w:fldChar w:fldCharType="end"/>
            </w:r>
          </w:hyperlink>
        </w:p>
        <w:p w:rsidR="00F71930" w:rsidRDefault="00C07E53">
          <w:pPr>
            <w:pStyle w:val="TOC3"/>
            <w:rPr>
              <w:rFonts w:asciiTheme="minorHAnsi" w:eastAsiaTheme="minorEastAsia" w:hAnsiTheme="minorHAnsi" w:cstheme="minorBidi"/>
              <w:sz w:val="22"/>
            </w:rPr>
          </w:pPr>
          <w:hyperlink w:anchor="_Toc216080662" w:history="1">
            <w:r>
              <w:rPr>
                <w:rStyle w:val="Hyperlink"/>
                <w:rFonts w:asciiTheme="majorBidi" w:hAnsiTheme="majorBidi" w:cstheme="majorBidi"/>
              </w:rPr>
              <w:t>3.7.5 Determination of Glycoside Content</w:t>
            </w:r>
            <w:r>
              <w:tab/>
            </w:r>
            <w:r>
              <w:fldChar w:fldCharType="begin"/>
            </w:r>
            <w:r>
              <w:instrText xml:space="preserve"> PAGEREF _Toc216080662 \h </w:instrText>
            </w:r>
            <w:r>
              <w:fldChar w:fldCharType="separate"/>
            </w:r>
            <w:r>
              <w:t>21</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64" w:history="1">
            <w:r>
              <w:rPr>
                <w:rStyle w:val="Hyperlink"/>
              </w:rPr>
              <w:t>3.8 Antioxidant Activity Assays (DPPH and FRAP)</w:t>
            </w:r>
            <w:r>
              <w:tab/>
            </w:r>
            <w:r>
              <w:fldChar w:fldCharType="begin"/>
            </w:r>
            <w:r>
              <w:instrText xml:space="preserve"> PAGEREF _Toc216080664 \h </w:instrText>
            </w:r>
            <w:r>
              <w:fldChar w:fldCharType="separate"/>
            </w:r>
            <w:r>
              <w:t>22</w:t>
            </w:r>
            <w:r>
              <w:fldChar w:fldCharType="end"/>
            </w:r>
          </w:hyperlink>
        </w:p>
        <w:p w:rsidR="00F71930" w:rsidRDefault="00C07E53">
          <w:pPr>
            <w:pStyle w:val="TOC2"/>
            <w:rPr>
              <w:rFonts w:asciiTheme="minorHAnsi" w:eastAsiaTheme="minorEastAsia" w:hAnsiTheme="minorHAnsi"/>
              <w:sz w:val="22"/>
            </w:rPr>
          </w:pPr>
          <w:hyperlink w:anchor="_Toc216080665" w:history="1">
            <w:r>
              <w:rPr>
                <w:rStyle w:val="Hyperlink"/>
                <w:rFonts w:asciiTheme="majorBidi" w:hAnsiTheme="majorBidi"/>
              </w:rPr>
              <w:t>3.8.1 DPPH Free Radical Scavenging Assay</w:t>
            </w:r>
            <w:r>
              <w:tab/>
            </w:r>
            <w:r>
              <w:fldChar w:fldCharType="begin"/>
            </w:r>
            <w:r>
              <w:instrText xml:space="preserve"> PAGEREF _Toc216080665 \h </w:instrText>
            </w:r>
            <w:r>
              <w:fldChar w:fldCharType="separate"/>
            </w:r>
            <w:r>
              <w:t>22</w:t>
            </w:r>
            <w:r>
              <w:fldChar w:fldCharType="end"/>
            </w:r>
          </w:hyperlink>
        </w:p>
        <w:p w:rsidR="00F71930" w:rsidRDefault="00C07E53">
          <w:pPr>
            <w:pStyle w:val="TOC2"/>
            <w:rPr>
              <w:rFonts w:asciiTheme="minorHAnsi" w:eastAsiaTheme="minorEastAsia" w:hAnsiTheme="minorHAnsi"/>
              <w:sz w:val="22"/>
            </w:rPr>
          </w:pPr>
          <w:hyperlink w:anchor="_Toc216080666" w:history="1">
            <w:r>
              <w:rPr>
                <w:rStyle w:val="Hyperlink"/>
                <w:rFonts w:asciiTheme="majorBidi" w:hAnsiTheme="majorBidi"/>
              </w:rPr>
              <w:t>3.8.2 Ferric Reducing Antioxidant Power (FRAP) Assay</w:t>
            </w:r>
            <w:r>
              <w:tab/>
              <w:t>22</w:t>
            </w:r>
          </w:hyperlink>
        </w:p>
        <w:p w:rsidR="00F71930" w:rsidRDefault="00C07E53">
          <w:pPr>
            <w:pStyle w:val="TOC1"/>
            <w:spacing w:line="480" w:lineRule="auto"/>
            <w:rPr>
              <w:rFonts w:asciiTheme="minorHAnsi" w:eastAsiaTheme="minorEastAsia" w:hAnsiTheme="minorHAnsi"/>
              <w:sz w:val="22"/>
            </w:rPr>
          </w:pPr>
          <w:hyperlink w:anchor="_Toc216080667" w:history="1">
            <w:r>
              <w:rPr>
                <w:rStyle w:val="Hyperlink"/>
              </w:rPr>
              <w:t>CHAPTER FOUR:</w:t>
            </w:r>
            <w:r>
              <w:tab/>
              <w:t>23</w:t>
            </w:r>
          </w:hyperlink>
        </w:p>
        <w:p w:rsidR="00F71930" w:rsidRDefault="00C07E53">
          <w:pPr>
            <w:pStyle w:val="TOC2"/>
            <w:rPr>
              <w:rFonts w:asciiTheme="minorHAnsi" w:eastAsiaTheme="minorEastAsia" w:hAnsiTheme="minorHAnsi"/>
              <w:sz w:val="22"/>
            </w:rPr>
          </w:pPr>
          <w:hyperlink w:anchor="_Toc216080669" w:history="1">
            <w:r>
              <w:rPr>
                <w:rStyle w:val="Hyperlink"/>
                <w:rFonts w:asciiTheme="majorBidi" w:hAnsiTheme="majorBidi"/>
              </w:rPr>
              <w:t>4.0 Results</w:t>
            </w:r>
            <w:r>
              <w:tab/>
            </w:r>
            <w:r>
              <w:fldChar w:fldCharType="begin"/>
            </w:r>
            <w:r>
              <w:instrText xml:space="preserve"> PAGEREF _Toc216080669 \h </w:instrText>
            </w:r>
            <w:r>
              <w:fldChar w:fldCharType="separate"/>
            </w:r>
            <w:r>
              <w:t>24</w:t>
            </w:r>
            <w:r>
              <w:fldChar w:fldCharType="end"/>
            </w:r>
          </w:hyperlink>
        </w:p>
        <w:p w:rsidR="00F71930" w:rsidRDefault="00C07E53">
          <w:pPr>
            <w:pStyle w:val="TOC2"/>
            <w:rPr>
              <w:rFonts w:asciiTheme="minorHAnsi" w:eastAsiaTheme="minorEastAsia" w:hAnsiTheme="minorHAnsi"/>
              <w:sz w:val="22"/>
            </w:rPr>
          </w:pPr>
          <w:hyperlink w:anchor="_Toc216080670" w:history="1">
            <w:r>
              <w:rPr>
                <w:rStyle w:val="Hyperlink"/>
                <w:rFonts w:asciiTheme="majorBidi" w:hAnsiTheme="majorBidi"/>
              </w:rPr>
              <w:t>4.1 Qualitative Phytochemical Composition of Ginger Extract</w:t>
            </w:r>
            <w:r>
              <w:tab/>
            </w:r>
            <w:r>
              <w:fldChar w:fldCharType="begin"/>
            </w:r>
            <w:r>
              <w:instrText xml:space="preserve"> PAGEREF _Toc216080670 \h </w:instrText>
            </w:r>
            <w:r>
              <w:fldChar w:fldCharType="separate"/>
            </w:r>
            <w:r>
              <w:t>24</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74" w:history="1">
            <w:r>
              <w:rPr>
                <w:rStyle w:val="Hyperlink"/>
              </w:rPr>
              <w:t xml:space="preserve">4.2 Quantitative </w:t>
            </w:r>
            <w:r>
              <w:rPr>
                <w:rStyle w:val="Hyperlink"/>
              </w:rPr>
              <w:t>Phytochemical Results</w:t>
            </w:r>
            <w:r>
              <w:tab/>
            </w:r>
            <w:r>
              <w:fldChar w:fldCharType="begin"/>
            </w:r>
            <w:r>
              <w:instrText xml:space="preserve"> PAGEREF _Toc216080674 \h </w:instrText>
            </w:r>
            <w:r>
              <w:fldChar w:fldCharType="separate"/>
            </w:r>
            <w:r>
              <w:t>25</w:t>
            </w:r>
            <w:r>
              <w:fldChar w:fldCharType="end"/>
            </w:r>
          </w:hyperlink>
        </w:p>
        <w:p w:rsidR="00F71930" w:rsidRDefault="00C07E53">
          <w:pPr>
            <w:pStyle w:val="TOC1"/>
            <w:spacing w:line="480" w:lineRule="auto"/>
            <w:rPr>
              <w:rFonts w:asciiTheme="minorHAnsi" w:eastAsiaTheme="minorEastAsia" w:hAnsiTheme="minorHAnsi"/>
              <w:sz w:val="22"/>
            </w:rPr>
          </w:pPr>
          <w:hyperlink w:anchor="_Toc216080677" w:history="1">
            <w:r>
              <w:rPr>
                <w:rStyle w:val="Hyperlink"/>
              </w:rPr>
              <w:t>4.3 Antioxidant Activity Results (DPPH and FRAP)</w:t>
            </w:r>
            <w:r>
              <w:tab/>
            </w:r>
            <w:r>
              <w:fldChar w:fldCharType="begin"/>
            </w:r>
            <w:r>
              <w:instrText xml:space="preserve"> PAGEREF _Toc216080677 \h </w:instrText>
            </w:r>
            <w:r>
              <w:fldChar w:fldCharType="separate"/>
            </w:r>
            <w:r>
              <w:t>26</w:t>
            </w:r>
            <w:r>
              <w:fldChar w:fldCharType="end"/>
            </w:r>
          </w:hyperlink>
        </w:p>
        <w:p w:rsidR="00F71930" w:rsidRDefault="00C07E53">
          <w:pPr>
            <w:pStyle w:val="TOC2"/>
            <w:rPr>
              <w:rFonts w:asciiTheme="minorHAnsi" w:eastAsiaTheme="minorEastAsia" w:hAnsiTheme="minorHAnsi"/>
              <w:sz w:val="22"/>
            </w:rPr>
          </w:pPr>
          <w:hyperlink w:anchor="_Toc216080678" w:history="1">
            <w:r>
              <w:rPr>
                <w:rStyle w:val="Hyperlink"/>
                <w:rFonts w:asciiTheme="majorBidi" w:hAnsiTheme="majorBidi"/>
              </w:rPr>
              <w:t>4.3.1 DPPH Free Radical Scavenging Activity</w:t>
            </w:r>
            <w:r>
              <w:tab/>
            </w:r>
            <w:r>
              <w:fldChar w:fldCharType="begin"/>
            </w:r>
            <w:r>
              <w:instrText xml:space="preserve"> PAGEREF _Toc216080678 \h </w:instrText>
            </w:r>
            <w:r>
              <w:fldChar w:fldCharType="separate"/>
            </w:r>
            <w:r>
              <w:t>26</w:t>
            </w:r>
            <w:r>
              <w:fldChar w:fldCharType="end"/>
            </w:r>
          </w:hyperlink>
        </w:p>
        <w:p w:rsidR="00F71930" w:rsidRDefault="00C07E53">
          <w:pPr>
            <w:pStyle w:val="TOC2"/>
            <w:rPr>
              <w:rFonts w:asciiTheme="minorHAnsi" w:eastAsiaTheme="minorEastAsia" w:hAnsiTheme="minorHAnsi"/>
              <w:sz w:val="22"/>
            </w:rPr>
          </w:pPr>
          <w:hyperlink w:anchor="_Toc216080681" w:history="1">
            <w:r>
              <w:rPr>
                <w:rStyle w:val="Hyperlink"/>
                <w:rFonts w:asciiTheme="majorBidi" w:hAnsiTheme="majorBidi"/>
              </w:rPr>
              <w:t>4.3.2 Fe</w:t>
            </w:r>
            <w:r>
              <w:rPr>
                <w:rStyle w:val="Hyperlink"/>
                <w:rFonts w:asciiTheme="majorBidi" w:hAnsiTheme="majorBidi"/>
              </w:rPr>
              <w:t>rric Reducing Antioxidant Power (FRAP)</w:t>
            </w:r>
            <w:r>
              <w:tab/>
            </w:r>
            <w:r>
              <w:fldChar w:fldCharType="begin"/>
            </w:r>
            <w:r>
              <w:instrText xml:space="preserve"> PAGEREF _Toc216080681 \h </w:instrText>
            </w:r>
            <w:r>
              <w:fldChar w:fldCharType="separate"/>
            </w:r>
            <w:r>
              <w:t>27</w:t>
            </w:r>
            <w:r>
              <w:fldChar w:fldCharType="end"/>
            </w:r>
          </w:hyperlink>
        </w:p>
        <w:p w:rsidR="00F71930" w:rsidRDefault="00C07E53">
          <w:pPr>
            <w:pStyle w:val="TOC2"/>
            <w:rPr>
              <w:rFonts w:asciiTheme="minorHAnsi" w:eastAsiaTheme="minorEastAsia" w:hAnsiTheme="minorHAnsi"/>
              <w:sz w:val="22"/>
            </w:rPr>
          </w:pPr>
          <w:hyperlink w:anchor="_Toc216080686" w:history="1">
            <w:r>
              <w:rPr>
                <w:rStyle w:val="Hyperlink"/>
                <w:rFonts w:asciiTheme="majorBidi" w:hAnsiTheme="majorBidi"/>
              </w:rPr>
              <w:t>4.5 Discussion</w:t>
            </w:r>
            <w:r>
              <w:tab/>
              <w:t>27</w:t>
            </w:r>
          </w:hyperlink>
        </w:p>
        <w:p w:rsidR="00F71930" w:rsidRDefault="00C07E53">
          <w:pPr>
            <w:pStyle w:val="TOC2"/>
            <w:rPr>
              <w:rFonts w:asciiTheme="minorHAnsi" w:eastAsiaTheme="minorEastAsia" w:hAnsiTheme="minorHAnsi"/>
              <w:sz w:val="22"/>
            </w:rPr>
          </w:pPr>
          <w:hyperlink w:anchor="_Toc216080688" w:history="1">
            <w:r>
              <w:rPr>
                <w:rStyle w:val="Hyperlink"/>
                <w:rFonts w:asciiTheme="majorBidi" w:hAnsiTheme="majorBidi"/>
              </w:rPr>
              <w:t>4.7 Conclusion</w:t>
            </w:r>
            <w:r>
              <w:tab/>
              <w:t>29</w:t>
            </w:r>
          </w:hyperlink>
        </w:p>
        <w:p w:rsidR="00F71930" w:rsidRDefault="00C07E53">
          <w:pPr>
            <w:pStyle w:val="TOC2"/>
            <w:rPr>
              <w:rFonts w:asciiTheme="minorHAnsi" w:eastAsiaTheme="minorEastAsia" w:hAnsiTheme="minorHAnsi"/>
              <w:sz w:val="22"/>
            </w:rPr>
          </w:pPr>
          <w:hyperlink w:anchor="_Toc216080689" w:history="1">
            <w:r>
              <w:rPr>
                <w:rStyle w:val="Hyperlink"/>
                <w:rFonts w:asciiTheme="majorBidi" w:hAnsiTheme="majorBidi"/>
              </w:rPr>
              <w:t>4.8 Recommendations</w:t>
            </w:r>
            <w:r>
              <w:tab/>
              <w:t>29</w:t>
            </w:r>
          </w:hyperlink>
        </w:p>
        <w:p w:rsidR="00F71930" w:rsidRDefault="00C07E53">
          <w:pPr>
            <w:pStyle w:val="TOC1"/>
            <w:spacing w:line="480" w:lineRule="auto"/>
          </w:pPr>
          <w:hyperlink w:anchor="_Toc216080690" w:history="1">
            <w:r>
              <w:rPr>
                <w:rStyle w:val="Hyperlink"/>
                <w:rFonts w:eastAsia="Times New Roman"/>
              </w:rPr>
              <w:t>References</w:t>
            </w:r>
            <w:r>
              <w:tab/>
              <w:t>30</w:t>
            </w:r>
          </w:hyperlink>
        </w:p>
        <w:p w:rsidR="00F71930" w:rsidRDefault="00C07E53">
          <w:r>
            <w:t>Appendix   .……………………………………………………………………………….  ...38</w:t>
          </w:r>
        </w:p>
        <w:p w:rsidR="00F71930" w:rsidRDefault="00F71930"/>
        <w:p w:rsidR="00F71930" w:rsidRDefault="00F71930"/>
        <w:p w:rsidR="00F71930" w:rsidRDefault="00C07E53">
          <w:pPr>
            <w:jc w:val="center"/>
            <w:outlineLvl w:val="0"/>
            <w:rPr>
              <w:rFonts w:asciiTheme="majorBidi" w:hAnsiTheme="majorBidi"/>
              <w:szCs w:val="24"/>
            </w:rPr>
          </w:pPr>
          <w:r>
            <w:rPr>
              <w:rFonts w:asciiTheme="majorBidi" w:hAnsiTheme="majorBidi" w:cstheme="majorBidi"/>
              <w:szCs w:val="24"/>
            </w:rPr>
            <w:fldChar w:fldCharType="end"/>
          </w:r>
        </w:p>
      </w:sdtContent>
    </w:sdt>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F71930">
      <w:pPr>
        <w:jc w:val="center"/>
        <w:outlineLvl w:val="0"/>
        <w:rPr>
          <w:rFonts w:asciiTheme="majorBidi" w:eastAsia="Times New Roman" w:hAnsiTheme="majorBidi" w:cstheme="majorBidi"/>
          <w:b/>
          <w:bCs/>
          <w:kern w:val="36"/>
          <w:szCs w:val="24"/>
        </w:rPr>
      </w:pPr>
    </w:p>
    <w:p w:rsidR="00F71930" w:rsidRDefault="00C07E53">
      <w:pPr>
        <w:pStyle w:val="Heading1"/>
        <w:rPr>
          <w:rFonts w:ascii="Times New Roman" w:hAnsi="Times New Roman" w:cs="Times New Roman"/>
        </w:rPr>
      </w:pPr>
      <w:r>
        <w:rPr>
          <w:rFonts w:ascii="Times New Roman" w:hAnsi="Times New Roman" w:cs="Times New Roman"/>
        </w:rPr>
        <w:t>List of tables</w:t>
      </w:r>
    </w:p>
    <w:p w:rsidR="00F71930" w:rsidRDefault="00C07E53">
      <w:pPr>
        <w:rPr>
          <w:rStyle w:val="Strong"/>
          <w:rFonts w:asciiTheme="majorBidi" w:hAnsiTheme="majorBidi"/>
          <w:b w:val="0"/>
          <w:bCs w:val="0"/>
        </w:rPr>
      </w:pPr>
      <w:r>
        <w:t>Table 3.1</w:t>
      </w:r>
      <w:r>
        <w:rPr>
          <w:b/>
          <w:bCs/>
        </w:rPr>
        <w:t xml:space="preserve">: </w:t>
      </w:r>
      <w:r>
        <w:rPr>
          <w:rStyle w:val="Strong"/>
          <w:rFonts w:asciiTheme="majorBidi" w:hAnsiTheme="majorBidi"/>
          <w:b w:val="0"/>
          <w:bCs w:val="0"/>
        </w:rPr>
        <w:t xml:space="preserve">Materials Used in the Study                                               </w:t>
      </w:r>
      <w:r>
        <w:rPr>
          <w:rStyle w:val="Strong"/>
          <w:rFonts w:asciiTheme="majorBidi" w:hAnsiTheme="majorBidi"/>
          <w:b w:val="0"/>
          <w:bCs w:val="0"/>
        </w:rPr>
        <w:t xml:space="preserve">                      12</w:t>
      </w:r>
    </w:p>
    <w:p w:rsidR="00F71930" w:rsidRDefault="00C07E53">
      <w:pPr>
        <w:rPr>
          <w:rStyle w:val="Strong"/>
          <w:rFonts w:asciiTheme="majorBidi" w:hAnsiTheme="majorBidi"/>
          <w:b w:val="0"/>
          <w:bCs w:val="0"/>
          <w:szCs w:val="24"/>
        </w:rPr>
      </w:pPr>
      <w:r>
        <w:rPr>
          <w:rStyle w:val="Strong"/>
          <w:rFonts w:asciiTheme="majorBidi" w:hAnsiTheme="majorBidi"/>
          <w:b w:val="0"/>
          <w:bCs w:val="0"/>
          <w:szCs w:val="24"/>
        </w:rPr>
        <w:t>Table 3.2: Reagents and Chemicals                                                                           13</w:t>
      </w:r>
    </w:p>
    <w:p w:rsidR="00F71930" w:rsidRDefault="00C07E53">
      <w:pPr>
        <w:rPr>
          <w:rStyle w:val="Strong"/>
          <w:rFonts w:asciiTheme="majorBidi" w:hAnsiTheme="majorBidi"/>
          <w:b w:val="0"/>
          <w:bCs w:val="0"/>
          <w:szCs w:val="24"/>
        </w:rPr>
      </w:pPr>
      <w:r>
        <w:rPr>
          <w:rStyle w:val="Strong"/>
          <w:rFonts w:asciiTheme="majorBidi" w:hAnsiTheme="majorBidi"/>
          <w:b w:val="0"/>
          <w:bCs w:val="0"/>
          <w:szCs w:val="24"/>
        </w:rPr>
        <w:t>Table 3.3: Instruments and Equipment                                                                      13</w:t>
      </w:r>
    </w:p>
    <w:p w:rsidR="00F71930" w:rsidRDefault="00C07E53">
      <w:pPr>
        <w:rPr>
          <w:rStyle w:val="Strong"/>
          <w:rFonts w:asciiTheme="majorBidi" w:hAnsiTheme="majorBidi" w:cstheme="majorBidi"/>
          <w:b w:val="0"/>
          <w:bCs w:val="0"/>
          <w:szCs w:val="24"/>
        </w:rPr>
      </w:pPr>
      <w:r>
        <w:rPr>
          <w:rStyle w:val="Strong"/>
          <w:rFonts w:asciiTheme="majorBidi" w:hAnsiTheme="majorBidi" w:cstheme="majorBidi"/>
          <w:b w:val="0"/>
          <w:bCs w:val="0"/>
          <w:szCs w:val="24"/>
        </w:rPr>
        <w:t xml:space="preserve">Table 4.1: </w:t>
      </w:r>
      <w:r>
        <w:rPr>
          <w:rStyle w:val="Strong"/>
          <w:rFonts w:asciiTheme="majorBidi" w:hAnsiTheme="majorBidi" w:cstheme="majorBidi"/>
          <w:b w:val="0"/>
          <w:bCs w:val="0"/>
          <w:szCs w:val="24"/>
        </w:rPr>
        <w:t xml:space="preserve">Qualitative Phytochemical Constituents of Ginger Extract                      23         </w:t>
      </w:r>
    </w:p>
    <w:p w:rsidR="00F71930" w:rsidRDefault="00C07E53">
      <w:pPr>
        <w:rPr>
          <w:rStyle w:val="Strong"/>
          <w:rFonts w:asciiTheme="majorBidi" w:hAnsiTheme="majorBidi" w:cstheme="majorBidi"/>
          <w:b w:val="0"/>
          <w:bCs w:val="0"/>
          <w:szCs w:val="24"/>
        </w:rPr>
      </w:pPr>
      <w:r>
        <w:t xml:space="preserve">Table 4.2: Quantitative Phytochemical Composition of Ginger Extract                   </w:t>
      </w:r>
      <w:r>
        <w:rPr>
          <w:rStyle w:val="Strong"/>
          <w:rFonts w:asciiTheme="majorBidi" w:hAnsiTheme="majorBidi" w:cstheme="majorBidi"/>
          <w:b w:val="0"/>
          <w:bCs w:val="0"/>
          <w:szCs w:val="24"/>
        </w:rPr>
        <w:t xml:space="preserve"> 24</w:t>
      </w:r>
    </w:p>
    <w:p w:rsidR="00F71930" w:rsidRDefault="00C07E53">
      <w:pPr>
        <w:rPr>
          <w:rStyle w:val="Strong"/>
          <w:rFonts w:asciiTheme="majorBidi" w:hAnsiTheme="majorBidi" w:cstheme="majorBidi"/>
          <w:b w:val="0"/>
          <w:bCs w:val="0"/>
          <w:szCs w:val="24"/>
        </w:rPr>
      </w:pPr>
      <w:r>
        <w:rPr>
          <w:rStyle w:val="Strong"/>
          <w:rFonts w:asciiTheme="majorBidi" w:hAnsiTheme="majorBidi" w:cstheme="majorBidi"/>
          <w:b w:val="0"/>
          <w:bCs w:val="0"/>
          <w:szCs w:val="24"/>
        </w:rPr>
        <w:t xml:space="preserve">Table 4.3.1: DPPH Radical Scavenging Activity (%)                           </w:t>
      </w:r>
      <w:r>
        <w:rPr>
          <w:rStyle w:val="Strong"/>
          <w:rFonts w:asciiTheme="majorBidi" w:hAnsiTheme="majorBidi" w:cstheme="majorBidi"/>
          <w:b w:val="0"/>
          <w:bCs w:val="0"/>
          <w:szCs w:val="24"/>
        </w:rPr>
        <w:t xml:space="preserve">                     25                                               </w:t>
      </w:r>
    </w:p>
    <w:p w:rsidR="00F71930" w:rsidRDefault="00C07E53">
      <w:pPr>
        <w:jc w:val="both"/>
        <w:rPr>
          <w:rFonts w:asciiTheme="majorBidi" w:hAnsiTheme="majorBidi" w:cstheme="majorBidi"/>
          <w:szCs w:val="24"/>
        </w:rPr>
      </w:pPr>
      <w:r>
        <w:rPr>
          <w:rFonts w:asciiTheme="majorBidi" w:hAnsiTheme="majorBidi" w:cstheme="majorBidi"/>
          <w:szCs w:val="24"/>
        </w:rPr>
        <w:t>TABLE 4.4 : Absorbance for samples in DPPH assays                                             33</w:t>
      </w:r>
    </w:p>
    <w:p w:rsidR="00F71930" w:rsidRDefault="00C07E53">
      <w:pPr>
        <w:jc w:val="both"/>
        <w:rPr>
          <w:rFonts w:asciiTheme="majorBidi" w:hAnsiTheme="majorBidi" w:cstheme="majorBidi"/>
          <w:szCs w:val="24"/>
        </w:rPr>
      </w:pPr>
      <w:r>
        <w:rPr>
          <w:rFonts w:asciiTheme="majorBidi" w:hAnsiTheme="majorBidi" w:cstheme="majorBidi"/>
          <w:szCs w:val="24"/>
        </w:rPr>
        <w:t xml:space="preserve">Table 4.5 : Ginger extracts raw values                                                  </w:t>
      </w:r>
      <w:r>
        <w:rPr>
          <w:rFonts w:asciiTheme="majorBidi" w:hAnsiTheme="majorBidi" w:cstheme="majorBidi"/>
          <w:szCs w:val="24"/>
        </w:rPr>
        <w:t xml:space="preserve">                     33</w:t>
      </w:r>
    </w:p>
    <w:p w:rsidR="00F71930" w:rsidRDefault="00C07E53">
      <w:pPr>
        <w:jc w:val="both"/>
        <w:rPr>
          <w:rFonts w:eastAsia="Times New Roman" w:cs="Times New Roman"/>
          <w:color w:val="000000"/>
          <w:kern w:val="0"/>
          <w:szCs w:val="24"/>
        </w:rPr>
      </w:pPr>
      <w:r>
        <w:rPr>
          <w:rFonts w:eastAsia="Times New Roman" w:cs="Times New Roman"/>
          <w:color w:val="000000"/>
          <w:kern w:val="0"/>
          <w:szCs w:val="24"/>
        </w:rPr>
        <w:t>Table4.6: Chitosan ginger raw values                                                                       34</w:t>
      </w:r>
    </w:p>
    <w:p w:rsidR="00F71930" w:rsidRDefault="00C07E53">
      <w:pPr>
        <w:ind w:right="297"/>
        <w:jc w:val="both"/>
        <w:rPr>
          <w:rFonts w:asciiTheme="majorBidi" w:hAnsiTheme="majorBidi" w:cstheme="majorBidi"/>
          <w:szCs w:val="24"/>
        </w:rPr>
      </w:pPr>
      <w:r>
        <w:rPr>
          <w:rFonts w:asciiTheme="majorBidi" w:hAnsiTheme="majorBidi" w:cstheme="majorBidi"/>
          <w:szCs w:val="24"/>
        </w:rPr>
        <w:t xml:space="preserve"> Table 7: Naïve chitosan values                                                                                 34</w:t>
      </w:r>
    </w:p>
    <w:p w:rsidR="00F71930" w:rsidRDefault="00F71930">
      <w:pPr>
        <w:jc w:val="both"/>
        <w:rPr>
          <w:rFonts w:eastAsia="Times New Roman" w:cs="Times New Roman"/>
          <w:color w:val="000000"/>
          <w:kern w:val="0"/>
          <w:szCs w:val="24"/>
        </w:rPr>
      </w:pPr>
    </w:p>
    <w:p w:rsidR="00F71930" w:rsidRDefault="00F71930">
      <w:pPr>
        <w:jc w:val="both"/>
        <w:rPr>
          <w:rFonts w:asciiTheme="majorBidi" w:hAnsiTheme="majorBidi" w:cstheme="majorBidi"/>
          <w:szCs w:val="24"/>
        </w:rPr>
      </w:pPr>
    </w:p>
    <w:p w:rsidR="00F71930" w:rsidRDefault="00F71930">
      <w:pPr>
        <w:jc w:val="both"/>
        <w:rPr>
          <w:rFonts w:asciiTheme="majorBidi" w:hAnsiTheme="majorBidi" w:cstheme="majorBidi"/>
          <w:szCs w:val="24"/>
        </w:rPr>
      </w:pPr>
    </w:p>
    <w:p w:rsidR="00F71930" w:rsidRDefault="00F71930">
      <w:pPr>
        <w:rPr>
          <w:rStyle w:val="Strong"/>
          <w:rFonts w:asciiTheme="majorBidi" w:hAnsiTheme="majorBidi" w:cstheme="majorBidi"/>
          <w:b w:val="0"/>
          <w:bCs w:val="0"/>
          <w:szCs w:val="24"/>
        </w:rPr>
      </w:pPr>
    </w:p>
    <w:p w:rsidR="00F71930" w:rsidRDefault="00F71930">
      <w:pPr>
        <w:rPr>
          <w:b/>
          <w:bCs/>
        </w:rPr>
      </w:pPr>
    </w:p>
    <w:p w:rsidR="00F71930" w:rsidRDefault="00F71930"/>
    <w:p w:rsidR="00F71930" w:rsidRDefault="00F71930"/>
    <w:p w:rsidR="00F71930" w:rsidRDefault="00C07E53">
      <w:pPr>
        <w:pStyle w:val="Heading1"/>
      </w:pPr>
      <w:r>
        <w:t xml:space="preserve">List of figures </w:t>
      </w:r>
    </w:p>
    <w:p w:rsidR="00F71930" w:rsidRDefault="00C07E53">
      <w:r>
        <w:t>Figure 1: Ginger Rhizome                                                                                       7</w:t>
      </w:r>
    </w:p>
    <w:p w:rsidR="00F71930" w:rsidRDefault="00C07E53">
      <w:r>
        <w:t xml:space="preserve">Figure 2: FRAP scavenging activity                                                                       26                   </w:t>
      </w:r>
      <w:r>
        <w:t xml:space="preserve">                                                      </w:t>
      </w:r>
    </w:p>
    <w:p w:rsidR="00F71930" w:rsidRDefault="00C07E53">
      <w:pPr>
        <w:sectPr w:rsidR="00F71930">
          <w:pgSz w:w="11907" w:h="16840"/>
          <w:pgMar w:top="1440" w:right="1440" w:bottom="1440" w:left="1440" w:header="709" w:footer="709" w:gutter="0"/>
          <w:pgNumType w:fmt="lowerRoman" w:start="1"/>
          <w:cols w:space="708"/>
          <w:docGrid w:linePitch="360"/>
        </w:sectPr>
      </w:pPr>
      <w:r>
        <w:t xml:space="preserve">Figure 3: FRAP scavenging activity of standard ascorbic acid                              34               </w:t>
      </w:r>
    </w:p>
    <w:p w:rsidR="00F71930" w:rsidRDefault="00C07E53">
      <w:pPr>
        <w:jc w:val="center"/>
        <w:outlineLvl w:val="0"/>
        <w:rPr>
          <w:rFonts w:asciiTheme="majorBidi" w:eastAsia="Times New Roman" w:hAnsiTheme="majorBidi" w:cstheme="majorBidi"/>
          <w:b/>
          <w:bCs/>
          <w:kern w:val="36"/>
          <w:szCs w:val="24"/>
        </w:rPr>
      </w:pPr>
      <w:bookmarkStart w:id="5" w:name="_Toc216080627"/>
      <w:r>
        <w:rPr>
          <w:rFonts w:asciiTheme="majorBidi" w:eastAsia="Times New Roman" w:hAnsiTheme="majorBidi" w:cstheme="majorBidi"/>
          <w:b/>
          <w:bCs/>
          <w:kern w:val="36"/>
          <w:szCs w:val="24"/>
        </w:rPr>
        <w:t>CHAPTER ONE</w:t>
      </w:r>
      <w:bookmarkEnd w:id="5"/>
    </w:p>
    <w:p w:rsidR="00F71930" w:rsidRDefault="00C07E53">
      <w:pPr>
        <w:jc w:val="both"/>
        <w:outlineLvl w:val="2"/>
        <w:rPr>
          <w:rFonts w:asciiTheme="majorBidi" w:eastAsia="Times New Roman" w:hAnsiTheme="majorBidi" w:cstheme="majorBidi"/>
          <w:b/>
          <w:bCs/>
          <w:kern w:val="0"/>
          <w:szCs w:val="24"/>
        </w:rPr>
      </w:pPr>
      <w:bookmarkStart w:id="6" w:name="_Toc216080628"/>
      <w:r>
        <w:rPr>
          <w:rFonts w:asciiTheme="majorBidi" w:eastAsia="Times New Roman" w:hAnsiTheme="majorBidi" w:cstheme="majorBidi"/>
          <w:b/>
          <w:bCs/>
          <w:kern w:val="0"/>
          <w:szCs w:val="24"/>
        </w:rPr>
        <w:t>1.1 Introduction</w:t>
      </w:r>
      <w:bookmarkEnd w:id="6"/>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Natural products remain central to the discovery of bioactive compounds with therapeutic potential. Among these, medicinal plants have attracted scientific interest because they contain phytochemicals that show antioxidant, antimicrobial, anti-inflammatory</w:t>
      </w:r>
      <w:r>
        <w:rPr>
          <w:rFonts w:asciiTheme="majorBidi" w:eastAsia="Times New Roman" w:hAnsiTheme="majorBidi" w:cstheme="majorBidi"/>
          <w:kern w:val="0"/>
          <w:szCs w:val="24"/>
        </w:rPr>
        <w:t xml:space="preserve">, and chemoprotective properties (Ogunyemi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2021). Ginger, the rhizome of </w:t>
      </w:r>
      <w:r>
        <w:rPr>
          <w:rFonts w:asciiTheme="majorBidi" w:eastAsia="Times New Roman" w:hAnsiTheme="majorBidi" w:cstheme="majorBidi"/>
          <w:i/>
          <w:iCs/>
          <w:kern w:val="0"/>
          <w:szCs w:val="24"/>
        </w:rPr>
        <w:t>Zingiber officinale</w:t>
      </w:r>
      <w:r>
        <w:rPr>
          <w:rFonts w:asciiTheme="majorBidi" w:eastAsia="Times New Roman" w:hAnsiTheme="majorBidi" w:cstheme="majorBidi"/>
          <w:kern w:val="0"/>
          <w:szCs w:val="24"/>
        </w:rPr>
        <w:t xml:space="preserve">, is widely consumed as a culinary spice and valued in traditional medicine. It contains an array of secondary metabolites such as gingerols, shogaols, </w:t>
      </w:r>
      <w:r>
        <w:rPr>
          <w:rFonts w:asciiTheme="majorBidi" w:eastAsia="Times New Roman" w:hAnsiTheme="majorBidi" w:cstheme="majorBidi"/>
          <w:kern w:val="0"/>
          <w:szCs w:val="24"/>
        </w:rPr>
        <w:t>paradols, flavonoids, tannins, alkaloids, saponins, and diverse glycosides that contribute to its pharmacological activities (Srinivasan, 2020). These constituents are known for their ability to scavenge free radicals and reduce oxidative stress, a major c</w:t>
      </w:r>
      <w:r>
        <w:rPr>
          <w:rFonts w:asciiTheme="majorBidi" w:eastAsia="Times New Roman" w:hAnsiTheme="majorBidi" w:cstheme="majorBidi"/>
          <w:kern w:val="0"/>
          <w:szCs w:val="24"/>
        </w:rPr>
        <w:t>ontributor to chronic diseases.</w:t>
      </w:r>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Oxidative stress arises when the production of reactive oxygen species outweighs the capacity of endogenous antioxidant defenses. This imbalance is implicated in cardiovascular disorders, neurodegeneration, diabetes, and can</w:t>
      </w:r>
      <w:r>
        <w:rPr>
          <w:rFonts w:asciiTheme="majorBidi" w:eastAsia="Times New Roman" w:hAnsiTheme="majorBidi" w:cstheme="majorBidi"/>
          <w:kern w:val="0"/>
          <w:szCs w:val="24"/>
        </w:rPr>
        <w:t xml:space="preserve">cer (Birben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2019). Plant antioxidants offer a natural approach to disrupting this imbalance. However, many phytochemicals are unstable, poorly soluble, and prone to degradation under environmental or physiological conditions. These challenges reduc</w:t>
      </w:r>
      <w:r>
        <w:rPr>
          <w:rFonts w:asciiTheme="majorBidi" w:eastAsia="Times New Roman" w:hAnsiTheme="majorBidi" w:cstheme="majorBidi"/>
          <w:kern w:val="0"/>
          <w:szCs w:val="24"/>
        </w:rPr>
        <w:t>e their bioavailability and therapeutic efficiency.</w:t>
      </w:r>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 xml:space="preserve">Encapsulation offers a promising strategy to enhance the stability and functionality of plant-derived antioxidants. Chitosan, a biopolymer obtained from chitin, has gained attention for encapsulation due </w:t>
      </w:r>
      <w:r>
        <w:rPr>
          <w:rFonts w:asciiTheme="majorBidi" w:eastAsia="Times New Roman" w:hAnsiTheme="majorBidi" w:cstheme="majorBidi"/>
          <w:kern w:val="0"/>
          <w:szCs w:val="24"/>
        </w:rPr>
        <w:t>to its biocompatibility, biodegradability, mild gelation conditions, and ability to form hydrogels suitable for controlled release (Ahmed &amp; Ikram, 2017). Hydrogels allow the entrapment of sensitive compounds in a hydrated, three-dimensional matrix that pro</w:t>
      </w:r>
      <w:r>
        <w:rPr>
          <w:rFonts w:asciiTheme="majorBidi" w:eastAsia="Times New Roman" w:hAnsiTheme="majorBidi" w:cstheme="majorBidi"/>
          <w:kern w:val="0"/>
          <w:szCs w:val="24"/>
        </w:rPr>
        <w:t>tects them from oxidation and improves their sustained release profile.</w:t>
      </w:r>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 xml:space="preserve">Creating chitosan hydrogels by dissolving chitosan in acetic acid, incorporating glycerin as a plasticizer, and inducing gelation with sodium hydroxide provides a simple and effective </w:t>
      </w:r>
      <w:r>
        <w:rPr>
          <w:rFonts w:asciiTheme="majorBidi" w:eastAsia="Times New Roman" w:hAnsiTheme="majorBidi" w:cstheme="majorBidi"/>
          <w:kern w:val="0"/>
          <w:szCs w:val="24"/>
        </w:rPr>
        <w:t>system for loading plant extracts. Encapsulating ginger extract in this matrix may enhance the stability of its phytochemicals and improve its antioxidant performance. Understanding how ginger behaves within such a hydrogel system is important for advancin</w:t>
      </w:r>
      <w:r>
        <w:rPr>
          <w:rFonts w:asciiTheme="majorBidi" w:eastAsia="Times New Roman" w:hAnsiTheme="majorBidi" w:cstheme="majorBidi"/>
          <w:kern w:val="0"/>
          <w:szCs w:val="24"/>
        </w:rPr>
        <w:t>g its potential applications in food preservation, drug delivery, and biomedical formulations.</w:t>
      </w:r>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This study evaluates the phytochemical composition and antioxidant activity of ginger extract when encapsulated in a chitosan hydrogel. Methanol extraction is us</w:t>
      </w:r>
      <w:r>
        <w:rPr>
          <w:rFonts w:asciiTheme="majorBidi" w:eastAsia="Times New Roman" w:hAnsiTheme="majorBidi" w:cstheme="majorBidi"/>
          <w:kern w:val="0"/>
          <w:szCs w:val="24"/>
        </w:rPr>
        <w:t xml:space="preserve">ed to obtain the active constituents of ginger, followed by qualitative and quantitative phytochemical assessment. Encapsulation is then carried out and the antioxidant properties are tested using established in vitro assays. By comparing the free extract </w:t>
      </w:r>
      <w:r>
        <w:rPr>
          <w:rFonts w:asciiTheme="majorBidi" w:eastAsia="Times New Roman" w:hAnsiTheme="majorBidi" w:cstheme="majorBidi"/>
          <w:kern w:val="0"/>
          <w:szCs w:val="24"/>
        </w:rPr>
        <w:t>with the encapsulated form, the study seeks to determine whether hydrogel incorporation improves or alters antioxidant capacity.</w:t>
      </w:r>
    </w:p>
    <w:p w:rsidR="00F71930" w:rsidRDefault="00C07E53">
      <w:pPr>
        <w:jc w:val="both"/>
        <w:outlineLvl w:val="2"/>
        <w:rPr>
          <w:rFonts w:asciiTheme="majorBidi" w:eastAsia="Times New Roman" w:hAnsiTheme="majorBidi" w:cstheme="majorBidi"/>
          <w:b/>
          <w:bCs/>
          <w:kern w:val="0"/>
          <w:szCs w:val="24"/>
        </w:rPr>
      </w:pPr>
      <w:bookmarkStart w:id="7" w:name="_Toc216080629"/>
      <w:r>
        <w:rPr>
          <w:rFonts w:asciiTheme="majorBidi" w:eastAsia="Times New Roman" w:hAnsiTheme="majorBidi" w:cstheme="majorBidi"/>
          <w:b/>
          <w:bCs/>
          <w:kern w:val="0"/>
          <w:szCs w:val="24"/>
        </w:rPr>
        <w:t>1.2 Statement of the Problem</w:t>
      </w:r>
      <w:bookmarkEnd w:id="7"/>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Despite the recognized antioxidant potential of ginger phytochemicals, their application is limite</w:t>
      </w:r>
      <w:r>
        <w:rPr>
          <w:rFonts w:asciiTheme="majorBidi" w:eastAsia="Times New Roman" w:hAnsiTheme="majorBidi" w:cstheme="majorBidi"/>
          <w:kern w:val="0"/>
          <w:szCs w:val="24"/>
        </w:rPr>
        <w:t xml:space="preserve">d by low stability and susceptibility to degradation during storage or under physiological conditions (Ali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2008). Many of the bioactive components degrade rapidly when exposed to light, heat, or oxygen, reducing their potency. This limits their use</w:t>
      </w:r>
      <w:r>
        <w:rPr>
          <w:rFonts w:asciiTheme="majorBidi" w:eastAsia="Times New Roman" w:hAnsiTheme="majorBidi" w:cstheme="majorBidi"/>
          <w:kern w:val="0"/>
          <w:szCs w:val="24"/>
        </w:rPr>
        <w:t>fulness in pharmaceutical or nutraceutical formulations where controlled release and stability are crucial. Encapsulation in chitosan hydrogels may offer a viable solution, but studies evaluating how this affects the phytochemical profile and antioxidant a</w:t>
      </w:r>
      <w:r>
        <w:rPr>
          <w:rFonts w:asciiTheme="majorBidi" w:eastAsia="Times New Roman" w:hAnsiTheme="majorBidi" w:cstheme="majorBidi"/>
          <w:kern w:val="0"/>
          <w:szCs w:val="24"/>
        </w:rPr>
        <w:t xml:space="preserve">ctivity remain limited, particularly within local research contexts(Dash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2011). There is a need for a systematic assessment to determine whether encapsulation improves the functional properties of ginger extract.</w:t>
      </w:r>
    </w:p>
    <w:p w:rsidR="00F71930" w:rsidRDefault="00F71930">
      <w:pPr>
        <w:jc w:val="both"/>
        <w:outlineLvl w:val="2"/>
        <w:rPr>
          <w:rFonts w:asciiTheme="majorBidi" w:eastAsia="Times New Roman" w:hAnsiTheme="majorBidi" w:cstheme="majorBidi"/>
          <w:b/>
          <w:bCs/>
          <w:kern w:val="0"/>
          <w:szCs w:val="24"/>
        </w:rPr>
      </w:pPr>
      <w:bookmarkStart w:id="8" w:name="_Toc216080632"/>
    </w:p>
    <w:p w:rsidR="00F71930" w:rsidRDefault="00F71930">
      <w:pPr>
        <w:jc w:val="both"/>
        <w:outlineLvl w:val="2"/>
        <w:rPr>
          <w:rFonts w:asciiTheme="majorBidi" w:eastAsia="Times New Roman" w:hAnsiTheme="majorBidi" w:cstheme="majorBidi"/>
          <w:b/>
          <w:bCs/>
          <w:kern w:val="0"/>
          <w:szCs w:val="24"/>
        </w:rPr>
      </w:pPr>
    </w:p>
    <w:p w:rsidR="00F71930" w:rsidRDefault="00C07E53">
      <w:pPr>
        <w:jc w:val="both"/>
        <w:outlineLvl w:val="2"/>
        <w:rPr>
          <w:rFonts w:asciiTheme="majorBidi" w:eastAsia="Times New Roman" w:hAnsiTheme="majorBidi" w:cstheme="majorBidi"/>
          <w:b/>
          <w:bCs/>
          <w:kern w:val="0"/>
          <w:szCs w:val="24"/>
        </w:rPr>
      </w:pPr>
      <w:r>
        <w:rPr>
          <w:rFonts w:asciiTheme="majorBidi" w:eastAsia="Times New Roman" w:hAnsiTheme="majorBidi" w:cstheme="majorBidi"/>
          <w:b/>
          <w:bCs/>
          <w:kern w:val="0"/>
          <w:szCs w:val="24"/>
        </w:rPr>
        <w:t>1.5 Justification of the Study</w:t>
      </w:r>
      <w:bookmarkEnd w:id="8"/>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Th</w:t>
      </w:r>
      <w:r>
        <w:rPr>
          <w:rFonts w:asciiTheme="majorBidi" w:eastAsia="Times New Roman" w:hAnsiTheme="majorBidi" w:cstheme="majorBidi"/>
          <w:kern w:val="0"/>
          <w:szCs w:val="24"/>
        </w:rPr>
        <w:t>e growing interest in natural antioxidants has increased demand for delivery systems that improve their stability and effectiveness. Natural plants such as Ginger (</w:t>
      </w:r>
      <w:r>
        <w:rPr>
          <w:rFonts w:asciiTheme="majorBidi" w:eastAsia="Times New Roman" w:hAnsiTheme="majorBidi" w:cstheme="majorBidi"/>
          <w:i/>
          <w:iCs/>
          <w:kern w:val="0"/>
          <w:szCs w:val="24"/>
        </w:rPr>
        <w:t>Zingiber officinale</w:t>
      </w:r>
      <w:r>
        <w:rPr>
          <w:rFonts w:asciiTheme="majorBidi" w:eastAsia="Times New Roman" w:hAnsiTheme="majorBidi" w:cstheme="majorBidi"/>
          <w:kern w:val="0"/>
          <w:szCs w:val="24"/>
        </w:rPr>
        <w:t>) are rich in bioactive compounds such as gingerols and shogaols, which e</w:t>
      </w:r>
      <w:r>
        <w:rPr>
          <w:rFonts w:asciiTheme="majorBidi" w:eastAsia="Times New Roman" w:hAnsiTheme="majorBidi" w:cstheme="majorBidi"/>
          <w:kern w:val="0"/>
          <w:szCs w:val="24"/>
        </w:rPr>
        <w:t xml:space="preserve">xhibit strong antioxidant activity. However, the practical application of ginger extract is limited by its poor stability and low bioavailability, as these compounds are sensitive to environmental and physiological conditions (Szymczak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2025; Jalali</w:t>
      </w:r>
      <w:r>
        <w:rPr>
          <w:rFonts w:asciiTheme="majorBidi" w:eastAsia="Times New Roman" w:hAnsiTheme="majorBidi" w:cstheme="majorBidi"/>
          <w:kern w:val="0"/>
          <w:szCs w:val="24"/>
        </w:rPr>
        <w:t xml:space="preserve">-Jivan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2025).To address these limitations, recent research has focused on developing efficient delivery systems that enhance the stability and controlled release of bioactive compounds. Chitosan hydrogels have emerged as promising carriers due to t</w:t>
      </w:r>
      <w:r>
        <w:rPr>
          <w:rFonts w:asciiTheme="majorBidi" w:eastAsia="Times New Roman" w:hAnsiTheme="majorBidi" w:cstheme="majorBidi"/>
          <w:kern w:val="0"/>
          <w:szCs w:val="24"/>
        </w:rPr>
        <w:t xml:space="preserve">heir biodegradability, biocompatibility, and ability to encapsulate phenolic compounds, thereby improving their functional performance (Blebea </w:t>
      </w:r>
      <w:r>
        <w:rPr>
          <w:rFonts w:asciiTheme="majorBidi" w:eastAsia="Times New Roman" w:hAnsiTheme="majorBidi" w:cstheme="majorBidi"/>
          <w:i/>
          <w:iCs/>
          <w:kern w:val="0"/>
          <w:szCs w:val="24"/>
        </w:rPr>
        <w:t>et al.,</w:t>
      </w:r>
      <w:r>
        <w:rPr>
          <w:rFonts w:asciiTheme="majorBidi" w:eastAsia="Times New Roman" w:hAnsiTheme="majorBidi" w:cstheme="majorBidi"/>
          <w:kern w:val="0"/>
          <w:szCs w:val="24"/>
        </w:rPr>
        <w:t xml:space="preserve"> 2025). Despite these advantages, limited studies have explored the encapsulation of ginger extract specif</w:t>
      </w:r>
      <w:r>
        <w:rPr>
          <w:rFonts w:asciiTheme="majorBidi" w:eastAsia="Times New Roman" w:hAnsiTheme="majorBidi" w:cstheme="majorBidi"/>
          <w:kern w:val="0"/>
          <w:szCs w:val="24"/>
        </w:rPr>
        <w:t>ically within chitosan hydrogel systems. Therefore, the study contributes to ongoing research on plant-based antioxidants, providing insight into how hydrogel encapsulation may enhance their performance</w:t>
      </w:r>
      <w:bookmarkStart w:id="9" w:name="_Toc216080630"/>
      <w:r>
        <w:rPr>
          <w:rFonts w:asciiTheme="majorBidi" w:eastAsia="Times New Roman" w:hAnsiTheme="majorBidi" w:cstheme="majorBidi"/>
          <w:kern w:val="0"/>
          <w:szCs w:val="24"/>
        </w:rPr>
        <w:t>.</w:t>
      </w:r>
    </w:p>
    <w:p w:rsidR="00F71930" w:rsidRDefault="00C07E53">
      <w:pPr>
        <w:jc w:val="both"/>
        <w:rPr>
          <w:rFonts w:asciiTheme="majorBidi" w:eastAsia="Times New Roman" w:hAnsiTheme="majorBidi" w:cstheme="majorBidi"/>
          <w:b/>
          <w:bCs/>
          <w:kern w:val="0"/>
          <w:szCs w:val="24"/>
        </w:rPr>
      </w:pPr>
      <w:r>
        <w:rPr>
          <w:rFonts w:asciiTheme="majorBidi" w:eastAsia="Times New Roman" w:hAnsiTheme="majorBidi" w:cstheme="majorBidi"/>
          <w:b/>
          <w:bCs/>
          <w:kern w:val="0"/>
          <w:szCs w:val="24"/>
        </w:rPr>
        <w:t>1.4 Aim and Objectives of the Study</w:t>
      </w:r>
      <w:bookmarkEnd w:id="9"/>
    </w:p>
    <w:p w:rsidR="00F71930" w:rsidRDefault="00C07E53">
      <w:pPr>
        <w:jc w:val="both"/>
        <w:outlineLvl w:val="2"/>
        <w:rPr>
          <w:rFonts w:asciiTheme="majorBidi" w:eastAsia="Times New Roman" w:hAnsiTheme="majorBidi" w:cstheme="majorBidi"/>
          <w:b/>
          <w:bCs/>
          <w:kern w:val="0"/>
          <w:szCs w:val="24"/>
        </w:rPr>
      </w:pPr>
      <w:r>
        <w:rPr>
          <w:rFonts w:asciiTheme="majorBidi" w:eastAsia="Times New Roman" w:hAnsiTheme="majorBidi" w:cstheme="majorBidi"/>
          <w:b/>
          <w:bCs/>
          <w:kern w:val="0"/>
          <w:szCs w:val="24"/>
        </w:rPr>
        <w:t>1.4.1 Aim</w:t>
      </w:r>
    </w:p>
    <w:p w:rsidR="00F71930" w:rsidRDefault="00C07E53">
      <w:p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To ass</w:t>
      </w:r>
      <w:r>
        <w:rPr>
          <w:rFonts w:asciiTheme="majorBidi" w:eastAsia="Times New Roman" w:hAnsiTheme="majorBidi" w:cstheme="majorBidi"/>
          <w:kern w:val="0"/>
          <w:szCs w:val="24"/>
        </w:rPr>
        <w:t>ess the phytochemical composition and in vitro antioxidant activity of ginger extract encapsulated in a chitosan hydrogel matrix.</w:t>
      </w:r>
    </w:p>
    <w:p w:rsidR="00F71930" w:rsidRDefault="00C07E53">
      <w:pPr>
        <w:pStyle w:val="Heading2"/>
        <w:rPr>
          <w:rFonts w:ascii="Times New Roman" w:hAnsi="Times New Roman" w:cs="Times New Roman"/>
          <w:b/>
          <w:bCs/>
          <w:color w:val="auto"/>
          <w:sz w:val="24"/>
          <w:szCs w:val="24"/>
        </w:rPr>
      </w:pPr>
      <w:r>
        <w:rPr>
          <w:rFonts w:ascii="Times New Roman" w:hAnsi="Times New Roman" w:cs="Times New Roman"/>
          <w:b/>
          <w:bCs/>
          <w:color w:val="auto"/>
          <w:sz w:val="24"/>
          <w:szCs w:val="24"/>
        </w:rPr>
        <w:t>1.4.2 Objectives</w:t>
      </w:r>
    </w:p>
    <w:p w:rsidR="00F71930" w:rsidRDefault="00C07E53">
      <w:pPr>
        <w:numPr>
          <w:ilvl w:val="0"/>
          <w:numId w:val="1"/>
        </w:num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Determine the qualitative and quantitative phytochemicals present in the methanol extract of ginger.</w:t>
      </w:r>
    </w:p>
    <w:p w:rsidR="00F71930" w:rsidRDefault="00C07E53">
      <w:pPr>
        <w:numPr>
          <w:ilvl w:val="0"/>
          <w:numId w:val="1"/>
        </w:numPr>
        <w:jc w:val="both"/>
        <w:rPr>
          <w:rFonts w:asciiTheme="majorBidi" w:eastAsia="Times New Roman" w:hAnsiTheme="majorBidi" w:cstheme="majorBidi"/>
          <w:kern w:val="0"/>
          <w:szCs w:val="24"/>
        </w:rPr>
      </w:pPr>
      <w:r>
        <w:rPr>
          <w:rFonts w:asciiTheme="majorBidi" w:eastAsia="Times New Roman" w:hAnsiTheme="majorBidi" w:cstheme="majorBidi"/>
          <w:kern w:val="0"/>
          <w:szCs w:val="24"/>
        </w:rPr>
        <w:t>Evaluate</w:t>
      </w:r>
      <w:r>
        <w:rPr>
          <w:rFonts w:asciiTheme="majorBidi" w:eastAsia="Times New Roman" w:hAnsiTheme="majorBidi" w:cstheme="majorBidi"/>
          <w:kern w:val="0"/>
          <w:szCs w:val="24"/>
        </w:rPr>
        <w:t xml:space="preserve"> the antioxidant activity of the free and encapsulated extracts using DPPH and FRAP assays.</w:t>
      </w:r>
    </w:p>
    <w:p w:rsidR="00F71930" w:rsidRDefault="00C07E53">
      <w:pPr>
        <w:jc w:val="both"/>
        <w:rPr>
          <w:rFonts w:asciiTheme="majorBidi" w:hAnsiTheme="majorBidi" w:cstheme="majorBidi"/>
          <w:szCs w:val="24"/>
        </w:rPr>
      </w:pPr>
      <w:r>
        <w:rPr>
          <w:rFonts w:asciiTheme="majorBidi" w:hAnsiTheme="majorBidi" w:cstheme="majorBidi"/>
          <w:szCs w:val="24"/>
        </w:rPr>
        <w:br w:type="page"/>
      </w:r>
    </w:p>
    <w:p w:rsidR="00F71930" w:rsidRDefault="00C07E53">
      <w:pPr>
        <w:pStyle w:val="Heading1"/>
        <w:rPr>
          <w:rStyle w:val="Strong"/>
          <w:b/>
          <w:bCs w:val="0"/>
          <w:szCs w:val="24"/>
        </w:rPr>
      </w:pPr>
      <w:bookmarkStart w:id="10" w:name="_Toc216080633"/>
      <w:r>
        <w:rPr>
          <w:rStyle w:val="Strong"/>
          <w:b/>
          <w:bCs w:val="0"/>
          <w:szCs w:val="24"/>
        </w:rPr>
        <w:t>CHAPTER TWO</w:t>
      </w:r>
      <w:bookmarkEnd w:id="10"/>
    </w:p>
    <w:p w:rsidR="00F71930" w:rsidRDefault="00C07E53">
      <w:pPr>
        <w:pStyle w:val="Heading1"/>
        <w:rPr>
          <w:szCs w:val="24"/>
        </w:rPr>
      </w:pPr>
      <w:bookmarkStart w:id="11" w:name="_Toc216080634"/>
      <w:r>
        <w:rPr>
          <w:rStyle w:val="Strong"/>
          <w:b/>
          <w:bCs w:val="0"/>
          <w:szCs w:val="24"/>
        </w:rPr>
        <w:t>LITERATURE REVIEW</w:t>
      </w:r>
      <w:bookmarkEnd w:id="11"/>
    </w:p>
    <w:p w:rsidR="00F71930" w:rsidRDefault="00C07E53">
      <w:pPr>
        <w:pStyle w:val="Heading2"/>
        <w:spacing w:before="0"/>
        <w:jc w:val="both"/>
        <w:rPr>
          <w:rFonts w:asciiTheme="majorBidi" w:hAnsiTheme="majorBidi"/>
          <w:color w:val="auto"/>
          <w:sz w:val="24"/>
          <w:szCs w:val="24"/>
        </w:rPr>
      </w:pPr>
      <w:bookmarkStart w:id="12" w:name="_Toc216080635"/>
      <w:r>
        <w:rPr>
          <w:rStyle w:val="Strong"/>
          <w:rFonts w:asciiTheme="majorBidi" w:hAnsiTheme="majorBidi"/>
          <w:color w:val="auto"/>
          <w:sz w:val="24"/>
          <w:szCs w:val="24"/>
        </w:rPr>
        <w:t>2.1 Theoretical Background</w:t>
      </w:r>
      <w:bookmarkEnd w:id="12"/>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study of phytochemicals and their biological properties is grounded in well-established theories that explain how plants synthesize secondary metabolites and how these compounds interact with biological systems. Phytochemicals are non-nutritive plant m</w:t>
      </w:r>
      <w:r>
        <w:rPr>
          <w:rFonts w:asciiTheme="majorBidi" w:hAnsiTheme="majorBidi" w:cstheme="majorBidi"/>
        </w:rPr>
        <w:t>etabolites produced through pathways such as the shikimate, acetate-malonate, and mevalonate pathways. These pathways generate phenolics alkaloids, terpenoids, tannins, and glycosides, many of which function as defense mechanisms against environmental stre</w:t>
      </w:r>
      <w:r>
        <w:rPr>
          <w:rFonts w:asciiTheme="majorBidi" w:hAnsiTheme="majorBidi" w:cstheme="majorBidi"/>
        </w:rPr>
        <w:t xml:space="preserve">ssors including pathogens, ultraviolet radiation, and oxidative stress (Pandey </w:t>
      </w:r>
      <w:r>
        <w:rPr>
          <w:rFonts w:asciiTheme="majorBidi" w:hAnsiTheme="majorBidi" w:cstheme="majorBidi"/>
        </w:rPr>
        <w:t xml:space="preserve">and </w:t>
      </w:r>
      <w:r>
        <w:rPr>
          <w:rFonts w:asciiTheme="majorBidi" w:hAnsiTheme="majorBidi" w:cstheme="majorBidi"/>
        </w:rPr>
        <w:t>Rizvi, 2020). Their antioxidant properties arise from their ability to donate electrons or hydrogen atoms to neutralize free radicals.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Free radical theory provides the scien</w:t>
      </w:r>
      <w:r>
        <w:rPr>
          <w:rFonts w:asciiTheme="majorBidi" w:hAnsiTheme="majorBidi" w:cstheme="majorBidi"/>
        </w:rPr>
        <w:t xml:space="preserve">tific basis for understanding antioxidant behavior. Reactive oxygen species such as superoxide anions, hydroxyl radicals, and hydrogen peroxide are generated during normal cellular metabolism, but their accumulation leads to oxidative stress. According to </w:t>
      </w:r>
      <w:r>
        <w:rPr>
          <w:rFonts w:asciiTheme="majorBidi" w:hAnsiTheme="majorBidi" w:cstheme="majorBidi"/>
        </w:rPr>
        <w:t xml:space="preserve">the oxidative stress theory, the imbalance between oxidants and antioxidants contributes to chronic diseases including diabetes, neurodegenerative disorders, and cancer (Birben </w:t>
      </w:r>
      <w:r>
        <w:rPr>
          <w:rFonts w:asciiTheme="majorBidi" w:hAnsiTheme="majorBidi" w:cstheme="majorBidi"/>
          <w:i/>
          <w:iCs/>
        </w:rPr>
        <w:t>et al.,</w:t>
      </w:r>
      <w:r>
        <w:rPr>
          <w:rFonts w:asciiTheme="majorBidi" w:hAnsiTheme="majorBidi" w:cstheme="majorBidi"/>
        </w:rPr>
        <w:t xml:space="preserve"> 2019). Antioxidants counteract this process through radical scavenging,</w:t>
      </w:r>
      <w:r>
        <w:rPr>
          <w:rFonts w:asciiTheme="majorBidi" w:hAnsiTheme="majorBidi" w:cstheme="majorBidi"/>
        </w:rPr>
        <w:t xml:space="preserve"> metal chelation, or enhancing endogenous antioxidant enzymes.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concept of encapsulation draws from polymer science and controlled-release theory. Chitosan, a cationic polysaccharide derived from chitin, possesses amino groups that become protonated in </w:t>
      </w:r>
      <w:r>
        <w:rPr>
          <w:rFonts w:asciiTheme="majorBidi" w:hAnsiTheme="majorBidi" w:cstheme="majorBidi"/>
        </w:rPr>
        <w:t>acidic environments, allowing it to dissolve in acids such as acetic acid. When the pH is increased, chitosan chains undergo crosslinking or gelation, forming a hydrogel network capable of entrapping bioactive molecules. This network restricts diffusion an</w:t>
      </w:r>
      <w:r>
        <w:rPr>
          <w:rFonts w:asciiTheme="majorBidi" w:hAnsiTheme="majorBidi" w:cstheme="majorBidi"/>
        </w:rPr>
        <w:t xml:space="preserve">d protects encapsulated compounds from degradation. The hydrogel structure is stabilized by hydrogen bonding, hydrophobic interactions, and electrostatic forces (Ahmed </w:t>
      </w:r>
      <w:r>
        <w:rPr>
          <w:rFonts w:asciiTheme="majorBidi" w:hAnsiTheme="majorBidi" w:cstheme="majorBidi"/>
        </w:rPr>
        <w:t xml:space="preserve">and </w:t>
      </w:r>
      <w:r>
        <w:rPr>
          <w:rFonts w:asciiTheme="majorBidi" w:hAnsiTheme="majorBidi" w:cstheme="majorBidi"/>
        </w:rPr>
        <w:t>Ikram, 2017).</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behavior of encapsulated phytochemicals is influenced by diffusion</w:t>
      </w:r>
      <w:r>
        <w:rPr>
          <w:rFonts w:asciiTheme="majorBidi" w:hAnsiTheme="majorBidi" w:cstheme="majorBidi"/>
        </w:rPr>
        <w:t xml:space="preserve"> theory and polymer–solute interactions. Encapsulation modifies the release profile of the active compounds and can enhance their stability and solubility. This principle forms the basis for using hydrogels in drug delivery, food preservation, and tissue e</w:t>
      </w:r>
      <w:r>
        <w:rPr>
          <w:rFonts w:asciiTheme="majorBidi" w:hAnsiTheme="majorBidi" w:cstheme="majorBidi"/>
        </w:rPr>
        <w:t>ngineering. The antioxidant activity of encapsulated extracts is informed by the interaction between the hydrogel matrix and radical scavenging mechanisms. The DPPH assay relies on electron donation to reduce the DPPH radical, while the FRAP assay measures</w:t>
      </w:r>
      <w:r>
        <w:rPr>
          <w:rFonts w:asciiTheme="majorBidi" w:hAnsiTheme="majorBidi" w:cstheme="majorBidi"/>
        </w:rPr>
        <w:t xml:space="preserve"> the reduction of ferric ions to ferrous ions, indicating the reducing power of a compound (Benzie </w:t>
      </w:r>
      <w:r>
        <w:rPr>
          <w:rFonts w:asciiTheme="majorBidi" w:hAnsiTheme="majorBidi" w:cstheme="majorBidi"/>
        </w:rPr>
        <w:t>and</w:t>
      </w:r>
      <w:r>
        <w:rPr>
          <w:rFonts w:asciiTheme="majorBidi" w:hAnsiTheme="majorBidi" w:cstheme="majorBidi"/>
        </w:rPr>
        <w:t xml:space="preserve"> Strain, 1996). Both assays offer insight into the functional performance of free versus encapsulated antioxidants.</w:t>
      </w:r>
    </w:p>
    <w:p w:rsidR="00F71930" w:rsidRDefault="00C07E53">
      <w:pPr>
        <w:pStyle w:val="Heading2"/>
        <w:spacing w:before="0"/>
        <w:jc w:val="both"/>
        <w:rPr>
          <w:rFonts w:asciiTheme="majorBidi" w:hAnsiTheme="majorBidi"/>
          <w:color w:val="auto"/>
          <w:sz w:val="24"/>
          <w:szCs w:val="24"/>
        </w:rPr>
      </w:pPr>
      <w:bookmarkStart w:id="13" w:name="_Toc216080636"/>
      <w:r>
        <w:rPr>
          <w:rStyle w:val="Strong"/>
          <w:rFonts w:asciiTheme="majorBidi" w:hAnsiTheme="majorBidi"/>
          <w:color w:val="auto"/>
          <w:sz w:val="24"/>
          <w:szCs w:val="24"/>
        </w:rPr>
        <w:t>2.2 Ginger: Botanical Profile, Phytoch</w:t>
      </w:r>
      <w:r>
        <w:rPr>
          <w:rStyle w:val="Strong"/>
          <w:rFonts w:asciiTheme="majorBidi" w:hAnsiTheme="majorBidi"/>
          <w:color w:val="auto"/>
          <w:sz w:val="24"/>
          <w:szCs w:val="24"/>
        </w:rPr>
        <w:t>emical Composition, and Pharmacological Activities</w:t>
      </w:r>
      <w:bookmarkEnd w:id="13"/>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Ginger (</w:t>
      </w:r>
      <w:r>
        <w:rPr>
          <w:rStyle w:val="Emphasis"/>
          <w:rFonts w:asciiTheme="majorBidi" w:hAnsiTheme="majorBidi" w:cstheme="majorBidi"/>
        </w:rPr>
        <w:t>Zingiber officinale Roscoe</w:t>
      </w:r>
      <w:r>
        <w:rPr>
          <w:rFonts w:asciiTheme="majorBidi" w:hAnsiTheme="majorBidi" w:cstheme="majorBidi"/>
        </w:rPr>
        <w:t>) is a perennial herb belonging to the Zingiberaceae family. It is a cone-shaped floral spike that has pale yellow and purplish colour ( fig 1), and it is widely cultivate</w:t>
      </w:r>
      <w:r>
        <w:rPr>
          <w:rFonts w:asciiTheme="majorBidi" w:hAnsiTheme="majorBidi" w:cstheme="majorBidi"/>
        </w:rPr>
        <w:t>d across tropical and subtropical regions and has a long history of use as a culinary spice and medicinal agent. The rhizome, which is the primary part used, consists of aromatic, fleshy underground stems characterized by a sharp flavor and distinctive sce</w:t>
      </w:r>
      <w:r>
        <w:rPr>
          <w:rFonts w:asciiTheme="majorBidi" w:hAnsiTheme="majorBidi" w:cstheme="majorBidi"/>
        </w:rPr>
        <w:t xml:space="preserve">nt. Morphologically, the plant grows up to one meter in height, with narrow leaves and yellow-green flowers. Its adaptability and resilience have contributed to its widespread availability and continuous use in traditional medicine (Yemele </w:t>
      </w:r>
      <w:r>
        <w:rPr>
          <w:rFonts w:asciiTheme="majorBidi" w:hAnsiTheme="majorBidi" w:cstheme="majorBidi"/>
          <w:i/>
          <w:iCs/>
        </w:rPr>
        <w:t>et al.,</w:t>
      </w:r>
      <w:r>
        <w:rPr>
          <w:rFonts w:asciiTheme="majorBidi" w:hAnsiTheme="majorBidi" w:cstheme="majorBidi"/>
        </w:rPr>
        <w:t xml:space="preserve"> 2020).</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w:t>
      </w:r>
      <w:r>
        <w:rPr>
          <w:rFonts w:asciiTheme="majorBidi" w:hAnsiTheme="majorBidi" w:cstheme="majorBidi"/>
        </w:rPr>
        <w:t>he phytochemical composition of ginger is diverse. Its major bioactive compounds include phenolic constituents such as gingerols, shogaols, paradols, and zingerone. Among these, 6-gingerol and 6-shogaol are considered the primary contributors to its antiox</w:t>
      </w:r>
      <w:r>
        <w:rPr>
          <w:rFonts w:asciiTheme="majorBidi" w:hAnsiTheme="majorBidi" w:cstheme="majorBidi"/>
        </w:rPr>
        <w:t>idant and anti-inflammatory activities (Srinivasan, 2020). Ginger also contains flavonoids, tannins, alkaloids, saponins, and various glycosides, which collectively enhance its pharmacological value. The presence of both polar and non-polar compounds accou</w:t>
      </w:r>
      <w:r>
        <w:rPr>
          <w:rFonts w:asciiTheme="majorBidi" w:hAnsiTheme="majorBidi" w:cstheme="majorBidi"/>
        </w:rPr>
        <w:t xml:space="preserve">nts for the efficacy of different extraction solvents, with methanol frequently reported as one of the most effective solvents for extracting phenolics and other phytochemicals (Olatunde </w:t>
      </w:r>
      <w:r>
        <w:rPr>
          <w:rFonts w:asciiTheme="majorBidi" w:hAnsiTheme="majorBidi" w:cstheme="majorBidi"/>
          <w:i/>
          <w:iCs/>
        </w:rPr>
        <w:t>et al</w:t>
      </w:r>
      <w:r>
        <w:rPr>
          <w:rFonts w:asciiTheme="majorBidi" w:hAnsiTheme="majorBidi" w:cstheme="majorBidi"/>
        </w:rPr>
        <w:t>., 2021).</w:t>
      </w:r>
    </w:p>
    <w:p w:rsidR="00F71930" w:rsidRDefault="00C07E53">
      <w:pPr>
        <w:pStyle w:val="NormalWeb"/>
        <w:spacing w:before="0" w:beforeAutospacing="0" w:after="0" w:afterAutospacing="0" w:line="480" w:lineRule="auto"/>
        <w:jc w:val="center"/>
        <w:rPr>
          <w:rFonts w:asciiTheme="majorBidi" w:hAnsiTheme="majorBidi" w:cstheme="majorBidi"/>
        </w:rPr>
      </w:pPr>
      <w:r>
        <w:rPr>
          <w:rFonts w:asciiTheme="majorBidi" w:hAnsiTheme="majorBidi" w:cstheme="majorBidi"/>
          <w:noProof/>
        </w:rPr>
        <w:drawing>
          <wp:inline distT="0" distB="0" distL="0" distR="0">
            <wp:extent cx="4003675" cy="3581400"/>
            <wp:effectExtent l="0" t="0" r="0" b="0"/>
            <wp:docPr id="1" name="Picture 1" descr="C:\Users\CLASSIC\Desktop\IMG-20251211-WA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CLASSIC\Desktop\IMG-20251211-WA002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005179" cy="3582232"/>
                    </a:xfrm>
                    <a:prstGeom prst="rect">
                      <a:avLst/>
                    </a:prstGeom>
                    <a:noFill/>
                    <a:ln>
                      <a:noFill/>
                    </a:ln>
                  </pic:spPr>
                </pic:pic>
              </a:graphicData>
            </a:graphic>
          </wp:inline>
        </w:drawing>
      </w:r>
    </w:p>
    <w:p w:rsidR="00F71930" w:rsidRDefault="00C07E53">
      <w:pPr>
        <w:pStyle w:val="NormalWeb"/>
        <w:spacing w:before="0" w:beforeAutospacing="0" w:after="0" w:afterAutospacing="0" w:line="480" w:lineRule="auto"/>
        <w:jc w:val="center"/>
      </w:pPr>
      <w:r>
        <w:t xml:space="preserve">Figure 1: Ginger Rhizome  (Edo </w:t>
      </w:r>
      <w:r>
        <w:rPr>
          <w:i/>
          <w:iCs/>
        </w:rPr>
        <w:t>et al.,</w:t>
      </w:r>
      <w:r>
        <w:t xml:space="preserve"> 2025)</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Several</w:t>
      </w:r>
      <w:r>
        <w:rPr>
          <w:rFonts w:asciiTheme="majorBidi" w:hAnsiTheme="majorBidi" w:cstheme="majorBidi"/>
        </w:rPr>
        <w:t xml:space="preserve"> studies have examined the antioxidant properties of ginger. Phenolic compounds in ginger act as electron or hydrogen donors, neutralizing reactive oxygen species and preventing oxidative damage. These compounds also possess metal-chelating abilities, whic</w:t>
      </w:r>
      <w:r>
        <w:rPr>
          <w:rFonts w:asciiTheme="majorBidi" w:hAnsiTheme="majorBidi" w:cstheme="majorBidi"/>
        </w:rPr>
        <w:t xml:space="preserve">h reduce the catalytic activity of transition metals involved in radical generation. Recent investigations show that ginger extract significantly reduces oxidative stress markers and enhances antioxidant enzyme activities in vitro and in vivo (Akinyemi </w:t>
      </w:r>
      <w:r>
        <w:rPr>
          <w:rFonts w:asciiTheme="majorBidi" w:hAnsiTheme="majorBidi" w:cstheme="majorBidi"/>
          <w:i/>
          <w:iCs/>
        </w:rPr>
        <w:t xml:space="preserve">et </w:t>
      </w:r>
      <w:r>
        <w:rPr>
          <w:rFonts w:asciiTheme="majorBidi" w:hAnsiTheme="majorBidi" w:cstheme="majorBidi"/>
          <w:i/>
          <w:iCs/>
        </w:rPr>
        <w:t>al.,</w:t>
      </w:r>
      <w:r>
        <w:rPr>
          <w:rFonts w:asciiTheme="majorBidi" w:hAnsiTheme="majorBidi" w:cstheme="majorBidi"/>
        </w:rPr>
        <w:t xml:space="preserve"> 2022). The rich phytochemical profile makes ginger a promising candidate for developing natural antioxidant formulations.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Beyond antioxidant activity, ginger exhibits anti-inflammatory, antimicrobial, antidiabetic, anticancer, and gastroprotective eff</w:t>
      </w:r>
      <w:r>
        <w:rPr>
          <w:rFonts w:asciiTheme="majorBidi" w:hAnsiTheme="majorBidi" w:cstheme="majorBidi"/>
        </w:rPr>
        <w:t>ects. These activities are attributed to its ability to modulate signaling pathways such as NF-kB, COX-2, and MAPK, which play central roles in inflammation and oxidative stress (Rahman et al., 2022). Gingerols and shogaols have demonstrated strong antimic</w:t>
      </w:r>
      <w:r>
        <w:rPr>
          <w:rFonts w:asciiTheme="majorBidi" w:hAnsiTheme="majorBidi" w:cstheme="majorBidi"/>
        </w:rPr>
        <w:t>robial activity against bacteria, fungi, and some parasites, while also showing cytotoxic and antiproliferative effects against cancer cell lines.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Recent advances in food science and pharmaceutical formulations have explored incorporating ginger extract into delivery systems that enhance its stability and bioavailability. Studies published between 2020 and 2024 highlight the benefits of encapsulating</w:t>
      </w:r>
      <w:r>
        <w:rPr>
          <w:rFonts w:asciiTheme="majorBidi" w:hAnsiTheme="majorBidi" w:cstheme="majorBidi"/>
        </w:rPr>
        <w:t xml:space="preserve"> ginger in micro- and nano-sized carriers, including polymeric matrices, liposomes, and nanoparticles, which help preserve its phenolic compounds and improve its controlled release (Farooq </w:t>
      </w:r>
      <w:r>
        <w:rPr>
          <w:rFonts w:asciiTheme="majorBidi" w:hAnsiTheme="majorBidi" w:cstheme="majorBidi"/>
          <w:i/>
          <w:iCs/>
        </w:rPr>
        <w:t>et al.,</w:t>
      </w:r>
      <w:r>
        <w:rPr>
          <w:rFonts w:asciiTheme="majorBidi" w:hAnsiTheme="majorBidi" w:cstheme="majorBidi"/>
        </w:rPr>
        <w:t xml:space="preserve"> 2023). These findings support the rationale for exploring h</w:t>
      </w:r>
      <w:r>
        <w:rPr>
          <w:rFonts w:asciiTheme="majorBidi" w:hAnsiTheme="majorBidi" w:cstheme="majorBidi"/>
        </w:rPr>
        <w:t>ydrogel encapsulation as a means of improving the antioxidant performance of ginger extract.</w:t>
      </w:r>
    </w:p>
    <w:p w:rsidR="00F71930" w:rsidRDefault="00C07E53">
      <w:pPr>
        <w:pStyle w:val="Heading2"/>
        <w:spacing w:before="0"/>
        <w:jc w:val="both"/>
        <w:rPr>
          <w:rFonts w:asciiTheme="majorBidi" w:hAnsiTheme="majorBidi"/>
          <w:color w:val="auto"/>
          <w:sz w:val="24"/>
          <w:szCs w:val="24"/>
        </w:rPr>
      </w:pPr>
      <w:bookmarkStart w:id="14" w:name="_Toc216080637"/>
      <w:r>
        <w:rPr>
          <w:rStyle w:val="Strong"/>
          <w:rFonts w:asciiTheme="majorBidi" w:hAnsiTheme="majorBidi"/>
          <w:color w:val="auto"/>
          <w:sz w:val="24"/>
          <w:szCs w:val="24"/>
        </w:rPr>
        <w:t>2.3 Chitosan and Hydrogels: Structure, Properties, and Applications</w:t>
      </w:r>
      <w:bookmarkEnd w:id="14"/>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Chitosan is a linear polysaccharide derived from the partial deacetylation of chitin, which is </w:t>
      </w:r>
      <w:r>
        <w:rPr>
          <w:rFonts w:asciiTheme="majorBidi" w:hAnsiTheme="majorBidi" w:cstheme="majorBidi"/>
        </w:rPr>
        <w:t>the second most abundant biopolymer in nature after cellulose. It is primarily obtained from the exoskeletons of crustaceans such as shrimp and crabs, although fungal sources have also been identified. Structurally, chitosan consists of β-(1→4)-linked D-gl</w:t>
      </w:r>
      <w:r>
        <w:rPr>
          <w:rFonts w:asciiTheme="majorBidi" w:hAnsiTheme="majorBidi" w:cstheme="majorBidi"/>
        </w:rPr>
        <w:t xml:space="preserve">ucosamine and N-acetyl-D-glucosamine units. The proportion of these units determines the degree of deacetylation, which in turn influences solubility, viscosity, charge distribution, and biological activity (Badawy &amp; Rabea, 2020). Chitosan is insoluble in </w:t>
      </w:r>
      <w:r>
        <w:rPr>
          <w:rFonts w:asciiTheme="majorBidi" w:hAnsiTheme="majorBidi" w:cstheme="majorBidi"/>
        </w:rPr>
        <w:t>water at neutral pH but dissolves easily in dilute organic acids like acetic acid because the amino groups in its backbone become protonated.</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Hydrogels are three-dimensional, crosslinked polymer networks capable of absorbing large amounts of water without </w:t>
      </w:r>
      <w:r>
        <w:rPr>
          <w:rFonts w:asciiTheme="majorBidi" w:hAnsiTheme="majorBidi" w:cstheme="majorBidi"/>
        </w:rPr>
        <w:t xml:space="preserve">dissolving. When chitosan is dissolved in acetic acid and subsequently neutralized with a base such as sodium hydroxide, it undergoes gelation. The gelation process results from reduced protonation of amino groups, enhanced hydrogen bonding, and increased </w:t>
      </w:r>
      <w:r>
        <w:rPr>
          <w:rFonts w:asciiTheme="majorBidi" w:hAnsiTheme="majorBidi" w:cstheme="majorBidi"/>
        </w:rPr>
        <w:t xml:space="preserve">polymer–polymer interactions that cause the chains to aggregate into a stable hydrogel matrix. Glycerin, often added as a plasticizer, improves flexibility, moisture retention, and uniformity of the hydrogel structure (Ahmed </w:t>
      </w:r>
      <w:r>
        <w:rPr>
          <w:rFonts w:asciiTheme="majorBidi" w:hAnsiTheme="majorBidi" w:cstheme="majorBidi"/>
        </w:rPr>
        <w:t>and</w:t>
      </w:r>
      <w:r>
        <w:rPr>
          <w:rFonts w:asciiTheme="majorBidi" w:hAnsiTheme="majorBidi" w:cstheme="majorBidi"/>
        </w:rPr>
        <w:t xml:space="preserve"> Ikram, 2017). The resulting</w:t>
      </w:r>
      <w:r>
        <w:rPr>
          <w:rFonts w:asciiTheme="majorBidi" w:hAnsiTheme="majorBidi" w:cstheme="majorBidi"/>
        </w:rPr>
        <w:t xml:space="preserve"> material is soft, highly hydrated, biocompatible, and biodegradable.</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Chitosan hydrogels exhibit several functional properties that support their use in biomedical and pharmaceutical applications. They possess intrinsic antimicrobial activity due to the pr</w:t>
      </w:r>
      <w:r>
        <w:rPr>
          <w:rFonts w:asciiTheme="majorBidi" w:hAnsiTheme="majorBidi" w:cstheme="majorBidi"/>
        </w:rPr>
        <w:t xml:space="preserve">esence of cationic amino groups that interact with negatively charged microbial membranes (Goy </w:t>
      </w:r>
      <w:r>
        <w:rPr>
          <w:rFonts w:asciiTheme="majorBidi" w:hAnsiTheme="majorBidi" w:cstheme="majorBidi"/>
          <w:i/>
          <w:iCs/>
        </w:rPr>
        <w:t>et al.,</w:t>
      </w:r>
      <w:r>
        <w:rPr>
          <w:rFonts w:asciiTheme="majorBidi" w:hAnsiTheme="majorBidi" w:cstheme="majorBidi"/>
        </w:rPr>
        <w:t xml:space="preserve"> 2016). Their biocompatibility makes them suitable for wound healing, tissue engineering, and drug delivery. The porous nature of hydrogels allows them to</w:t>
      </w:r>
      <w:r>
        <w:rPr>
          <w:rFonts w:asciiTheme="majorBidi" w:hAnsiTheme="majorBidi" w:cstheme="majorBidi"/>
        </w:rPr>
        <w:t xml:space="preserve"> encapsulate bioactive molecules, including plant extracts, peptides, and small drugs. Encapsulation within chitosan hydrogels can enhance the stability of sensitive compounds, control their release, and protect them from environmental degradation.</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Recent </w:t>
      </w:r>
      <w:r>
        <w:rPr>
          <w:rFonts w:asciiTheme="majorBidi" w:hAnsiTheme="majorBidi" w:cstheme="majorBidi"/>
        </w:rPr>
        <w:t>studies have explored chitosan hydrogels as delivery carriers for plant-derived antioxidants. Hydrogels loaded with phenolic extracts show improved thermal stability, reduced degradation, and enhanced antioxidant performance due to slow and sustained diffu</w:t>
      </w:r>
      <w:r>
        <w:rPr>
          <w:rFonts w:asciiTheme="majorBidi" w:hAnsiTheme="majorBidi" w:cstheme="majorBidi"/>
        </w:rPr>
        <w:t xml:space="preserve">sion of active components (Rodrigues </w:t>
      </w:r>
      <w:r>
        <w:rPr>
          <w:rFonts w:asciiTheme="majorBidi" w:hAnsiTheme="majorBidi" w:cstheme="majorBidi"/>
          <w:i/>
          <w:iCs/>
        </w:rPr>
        <w:t>et al.,</w:t>
      </w:r>
      <w:r>
        <w:rPr>
          <w:rFonts w:asciiTheme="majorBidi" w:hAnsiTheme="majorBidi" w:cstheme="majorBidi"/>
        </w:rPr>
        <w:t xml:space="preserve"> 2022). Encapsulation can also increase solubility of hydrophobic compounds and prevent interactions with oxygen or light. Between 2020 and 2024, research efforts have focused on improving encapsulation efficienc</w:t>
      </w:r>
      <w:r>
        <w:rPr>
          <w:rFonts w:asciiTheme="majorBidi" w:hAnsiTheme="majorBidi" w:cstheme="majorBidi"/>
        </w:rPr>
        <w:t xml:space="preserve">y, optimizing crosslinking conditions, and understanding how matrix characteristics influence the release behavior of natural phytochemicals (Singh </w:t>
      </w:r>
      <w:r>
        <w:rPr>
          <w:rFonts w:asciiTheme="majorBidi" w:hAnsiTheme="majorBidi" w:cstheme="majorBidi"/>
          <w:i/>
          <w:iCs/>
        </w:rPr>
        <w:t>et al.</w:t>
      </w:r>
      <w:r>
        <w:rPr>
          <w:rFonts w:asciiTheme="majorBidi" w:hAnsiTheme="majorBidi" w:cstheme="majorBidi"/>
        </w:rPr>
        <w:t>, 2023).</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In addition to biomedical applications, chitosan hydrogels are used in food preservation as e</w:t>
      </w:r>
      <w:r>
        <w:rPr>
          <w:rFonts w:asciiTheme="majorBidi" w:hAnsiTheme="majorBidi" w:cstheme="majorBidi"/>
        </w:rPr>
        <w:t xml:space="preserve">dible coatings, in agriculture for controlled nutrient delivery, and in environmental science for adsorption of pollutants. Their versatility is linked to their modifiable structure, tunable porosity, and ability to form stable complexes with a wide range </w:t>
      </w:r>
      <w:r>
        <w:rPr>
          <w:rFonts w:asciiTheme="majorBidi" w:hAnsiTheme="majorBidi" w:cstheme="majorBidi"/>
        </w:rPr>
        <w:t>of molecules.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Given these properties, chitosan hydrogels present a suitable platform for encapsulating ginger extract. Their mild preparation conditions preserve heat-sensitive phytochemicals, while their structure offers protection and sustained release, </w:t>
      </w:r>
      <w:r>
        <w:rPr>
          <w:rFonts w:asciiTheme="majorBidi" w:hAnsiTheme="majorBidi" w:cstheme="majorBidi"/>
        </w:rPr>
        <w:t>potentially improving the antioxidant performance of ginger’s phenolic constituents.</w:t>
      </w:r>
    </w:p>
    <w:p w:rsidR="00F71930" w:rsidRDefault="00C07E53">
      <w:pPr>
        <w:pStyle w:val="Heading2"/>
        <w:spacing w:before="0"/>
        <w:jc w:val="both"/>
        <w:rPr>
          <w:rFonts w:asciiTheme="majorBidi" w:hAnsiTheme="majorBidi"/>
          <w:color w:val="auto"/>
          <w:sz w:val="24"/>
          <w:szCs w:val="24"/>
        </w:rPr>
      </w:pPr>
      <w:bookmarkStart w:id="15" w:name="_Toc216080638"/>
      <w:r>
        <w:rPr>
          <w:rStyle w:val="Strong"/>
          <w:rFonts w:asciiTheme="majorBidi" w:hAnsiTheme="majorBidi"/>
          <w:color w:val="auto"/>
          <w:sz w:val="24"/>
          <w:szCs w:val="24"/>
        </w:rPr>
        <w:t>2.4 Phytochemicals and Biological Relevance of Plants</w:t>
      </w:r>
      <w:bookmarkEnd w:id="15"/>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Phytochemicals are naturally occurring, biologically active compounds produced by plants as part of their secondary m</w:t>
      </w:r>
      <w:r>
        <w:rPr>
          <w:rFonts w:asciiTheme="majorBidi" w:hAnsiTheme="majorBidi" w:cstheme="majorBidi"/>
        </w:rPr>
        <w:t>etabolic processes. Although they are not required for basic growth or development, they play essential ecological roles such as defense against pathogens, UV protection, and adaptation to environmental stress. These compounds include phenolics, flavonoids</w:t>
      </w:r>
      <w:r>
        <w:rPr>
          <w:rFonts w:asciiTheme="majorBidi" w:hAnsiTheme="majorBidi" w:cstheme="majorBidi"/>
        </w:rPr>
        <w:t>, tannins, alkaloids, saponins, terpenoids, and glycosides, each with distinct structural characteristics and biological functions (Pandey &amp; Rizvi, 2020). Their presence in medicinal plants underpins many of the pharmacological activities attributed to tra</w:t>
      </w:r>
      <w:r>
        <w:rPr>
          <w:rFonts w:asciiTheme="majorBidi" w:hAnsiTheme="majorBidi" w:cstheme="majorBidi"/>
        </w:rPr>
        <w:t>ditional herbal remedies.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Phenolic compounds are among the most widely studied phytochemicals due to their strong antioxidant properties. Their antioxidant activity arises from hydroxyl groups capable of donating electrons or hydrogen atoms to neutralize f</w:t>
      </w:r>
      <w:r>
        <w:rPr>
          <w:rFonts w:asciiTheme="majorBidi" w:hAnsiTheme="majorBidi" w:cstheme="majorBidi"/>
        </w:rPr>
        <w:t>ree radicals. They also chelate transition metals, reducing metal-catalyzed formation of reactive oxygen species. Flavonoids, a major subgroup of phenolics, have additional benefits including modulation of oxidative stress pathways, enhancement of endogeno</w:t>
      </w:r>
      <w:r>
        <w:rPr>
          <w:rFonts w:asciiTheme="majorBidi" w:hAnsiTheme="majorBidi" w:cstheme="majorBidi"/>
        </w:rPr>
        <w:t xml:space="preserve">us antioxidant enzymes, and inhibition of lipid peroxidation (Gorniak </w:t>
      </w:r>
      <w:r>
        <w:rPr>
          <w:rFonts w:asciiTheme="majorBidi" w:hAnsiTheme="majorBidi" w:cstheme="majorBidi"/>
          <w:i/>
          <w:iCs/>
        </w:rPr>
        <w:t>et al.</w:t>
      </w:r>
      <w:r>
        <w:rPr>
          <w:rFonts w:asciiTheme="majorBidi" w:hAnsiTheme="majorBidi" w:cstheme="majorBidi"/>
        </w:rPr>
        <w:t>, 2019). Tannins contribute to antioxidant activity through protein precipitation and radical scavenging mechanisms.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Alkaloids are nitrogen-containing compounds known for their ant</w:t>
      </w:r>
      <w:r>
        <w:rPr>
          <w:rFonts w:asciiTheme="majorBidi" w:hAnsiTheme="majorBidi" w:cstheme="majorBidi"/>
        </w:rPr>
        <w:t>imicrobial, analgesic, and neuroactive properties. Many alkaloids also show antioxidant activity by scavenging free radicals or inhibiting enzymes involved in oxidative reactions. Saponins, characterized by their soap-like foaming properties, possess antio</w:t>
      </w:r>
      <w:r>
        <w:rPr>
          <w:rFonts w:asciiTheme="majorBidi" w:hAnsiTheme="majorBidi" w:cstheme="majorBidi"/>
        </w:rPr>
        <w:t>xidant, cholesterol-lowering, and immune-modulating effects. Glycosides, which consist of sugar moieties linked to non-sugar aglycones, contribute to diverse bioactivities depending on the aglycone type. Cardiac glycosides, for example, modulate ion transp</w:t>
      </w:r>
      <w:r>
        <w:rPr>
          <w:rFonts w:asciiTheme="majorBidi" w:hAnsiTheme="majorBidi" w:cstheme="majorBidi"/>
        </w:rPr>
        <w:t>ort in cardiac tissues, while phenolic glycosides exhibit antioxidant and anti-inflammatory properties (Akbar, 2020).</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Recent studies between 2020 and 2024 continue to highlight the biological significance of phytochemicals in preventing and managing diseas</w:t>
      </w:r>
      <w:r>
        <w:rPr>
          <w:rFonts w:asciiTheme="majorBidi" w:hAnsiTheme="majorBidi" w:cstheme="majorBidi"/>
        </w:rPr>
        <w:t>es driven by oxidative stress. Their protective effects are linked to their capacity to stabilize reactive species, regulate redox-sensitive signaling pathways, and enhance cellular resilience. Phytochemicals from ginger, in particular, have demonstrated s</w:t>
      </w:r>
      <w:r>
        <w:rPr>
          <w:rFonts w:asciiTheme="majorBidi" w:hAnsiTheme="majorBidi" w:cstheme="majorBidi"/>
        </w:rPr>
        <w:t xml:space="preserve">trong antioxidant, anti-inflammatory, and anticancer effects in both in vitro and in vivo models (Akinyemi </w:t>
      </w:r>
      <w:r>
        <w:rPr>
          <w:rFonts w:asciiTheme="majorBidi" w:hAnsiTheme="majorBidi" w:cstheme="majorBidi"/>
          <w:i/>
          <w:iCs/>
        </w:rPr>
        <w:t>et al.,</w:t>
      </w:r>
      <w:r>
        <w:rPr>
          <w:rFonts w:asciiTheme="majorBidi" w:hAnsiTheme="majorBidi" w:cstheme="majorBidi"/>
        </w:rPr>
        <w:t xml:space="preserve"> 2022). The interplay between these compounds often results in synergistic activity, where whole plant extracts show stronger effects than iso</w:t>
      </w:r>
      <w:r>
        <w:rPr>
          <w:rFonts w:asciiTheme="majorBidi" w:hAnsiTheme="majorBidi" w:cstheme="majorBidi"/>
        </w:rPr>
        <w:t>lated constituents.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biological relevance of phytochemicals provides justification for studying how encapsulation in delivery systems such as chitosan hydrogels can enhance their stability and performance. Because many phytochemicals are sensitive to pH</w:t>
      </w:r>
      <w:r>
        <w:rPr>
          <w:rFonts w:asciiTheme="majorBidi" w:hAnsiTheme="majorBidi" w:cstheme="majorBidi"/>
        </w:rPr>
        <w:t>, temperature, oxygen, and light, encapsulating them in polymeric matrices may protect them from degradation and prolong their functional lifespan. The improved solubility, controlled release, and enhanced stability of encapsulated phytochemicals have been</w:t>
      </w:r>
      <w:r>
        <w:rPr>
          <w:rFonts w:asciiTheme="majorBidi" w:hAnsiTheme="majorBidi" w:cstheme="majorBidi"/>
        </w:rPr>
        <w:t xml:space="preserve"> reported in several recent studies focusing on plant extracts (Rodrigues </w:t>
      </w:r>
      <w:r>
        <w:rPr>
          <w:rFonts w:asciiTheme="majorBidi" w:hAnsiTheme="majorBidi" w:cstheme="majorBidi"/>
          <w:i/>
          <w:iCs/>
        </w:rPr>
        <w:t>et al.,</w:t>
      </w:r>
      <w:r>
        <w:rPr>
          <w:rFonts w:asciiTheme="majorBidi" w:hAnsiTheme="majorBidi" w:cstheme="majorBidi"/>
        </w:rPr>
        <w:t xml:space="preserve"> 2022). </w:t>
      </w:r>
    </w:p>
    <w:p w:rsidR="00F71930" w:rsidRDefault="00F71930">
      <w:pPr>
        <w:pStyle w:val="NormalWeb"/>
        <w:spacing w:before="0" w:beforeAutospacing="0" w:after="0" w:afterAutospacing="0" w:line="480" w:lineRule="auto"/>
        <w:jc w:val="both"/>
        <w:rPr>
          <w:rFonts w:asciiTheme="majorBidi" w:hAnsiTheme="majorBidi" w:cstheme="majorBidi"/>
        </w:rPr>
      </w:pPr>
    </w:p>
    <w:p w:rsidR="00F71930" w:rsidRDefault="00C07E53">
      <w:pPr>
        <w:jc w:val="both"/>
        <w:rPr>
          <w:rFonts w:asciiTheme="majorBidi" w:hAnsiTheme="majorBidi" w:cstheme="majorBidi"/>
          <w:szCs w:val="24"/>
        </w:rPr>
      </w:pPr>
      <w:r>
        <w:rPr>
          <w:rFonts w:asciiTheme="majorBidi" w:hAnsiTheme="majorBidi" w:cstheme="majorBidi"/>
          <w:szCs w:val="24"/>
        </w:rPr>
        <w:br w:type="page"/>
      </w:r>
    </w:p>
    <w:p w:rsidR="00F71930" w:rsidRDefault="00C07E53">
      <w:pPr>
        <w:pStyle w:val="Heading1"/>
        <w:rPr>
          <w:rStyle w:val="Strong"/>
          <w:b/>
          <w:bCs w:val="0"/>
          <w:szCs w:val="24"/>
        </w:rPr>
      </w:pPr>
      <w:bookmarkStart w:id="16" w:name="_Toc216080639"/>
      <w:r>
        <w:rPr>
          <w:rStyle w:val="Strong"/>
          <w:b/>
          <w:bCs w:val="0"/>
          <w:szCs w:val="24"/>
        </w:rPr>
        <w:t>CHAPTER THREE</w:t>
      </w:r>
      <w:bookmarkEnd w:id="16"/>
    </w:p>
    <w:p w:rsidR="00F71930" w:rsidRDefault="00C07E53">
      <w:pPr>
        <w:pStyle w:val="Heading1"/>
        <w:jc w:val="both"/>
        <w:rPr>
          <w:szCs w:val="24"/>
        </w:rPr>
      </w:pPr>
      <w:bookmarkStart w:id="17" w:name="_Toc216080640"/>
      <w:r>
        <w:rPr>
          <w:rStyle w:val="Strong"/>
          <w:b/>
          <w:bCs w:val="0"/>
          <w:szCs w:val="24"/>
        </w:rPr>
        <w:t>3.0 Materials and Methods</w:t>
      </w:r>
      <w:bookmarkEnd w:id="17"/>
    </w:p>
    <w:p w:rsidR="00F71930" w:rsidRDefault="00C07E53">
      <w:pPr>
        <w:pStyle w:val="Heading2"/>
        <w:spacing w:before="0"/>
        <w:ind w:left="-450"/>
        <w:jc w:val="both"/>
        <w:rPr>
          <w:rFonts w:asciiTheme="majorBidi" w:hAnsiTheme="majorBidi"/>
          <w:color w:val="auto"/>
          <w:sz w:val="24"/>
          <w:szCs w:val="24"/>
        </w:rPr>
      </w:pPr>
      <w:bookmarkStart w:id="18" w:name="_Toc216080641"/>
      <w:r>
        <w:rPr>
          <w:rStyle w:val="Strong"/>
          <w:rFonts w:asciiTheme="majorBidi" w:hAnsiTheme="majorBidi"/>
          <w:color w:val="auto"/>
          <w:sz w:val="24"/>
          <w:szCs w:val="24"/>
        </w:rPr>
        <w:t xml:space="preserve">       3.1 Materials, Reagents, and Instruments</w:t>
      </w:r>
      <w:bookmarkEnd w:id="18"/>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This study utilized analytical-grade reagents, high-quality laboratory </w:t>
      </w:r>
      <w:r>
        <w:rPr>
          <w:rFonts w:asciiTheme="majorBidi" w:hAnsiTheme="majorBidi" w:cstheme="majorBidi"/>
        </w:rPr>
        <w:t>materials, and calibrated instruments to ensure reproducibility and accuracy of results. All procedures were performed under standard laboratory conditions. The materials, reagents, and instruments used are presented in the tables below</w:t>
      </w:r>
    </w:p>
    <w:tbl>
      <w:tblPr>
        <w:tblpPr w:leftFromText="180" w:rightFromText="180" w:vertAnchor="text" w:horzAnchor="margin" w:tblpY="1253"/>
        <w:tblW w:w="10147"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5069"/>
        <w:gridCol w:w="5078"/>
      </w:tblGrid>
      <w:tr w:rsidR="00F71930">
        <w:trPr>
          <w:trHeight w:val="310"/>
          <w:tblHeader/>
          <w:tblCellSpacing w:w="15" w:type="dxa"/>
        </w:trPr>
        <w:tc>
          <w:tcPr>
            <w:tcW w:w="5069" w:type="dxa"/>
            <w:tcBorders>
              <w:top w:val="single" w:sz="4" w:space="0" w:color="auto"/>
              <w:bottom w:val="single" w:sz="4" w:space="0" w:color="auto"/>
            </w:tcBorders>
            <w:vAlign w:val="center"/>
          </w:tcPr>
          <w:p w:rsidR="00F71930" w:rsidRDefault="00C07E53">
            <w:pPr>
              <w:spacing w:after="0" w:line="240" w:lineRule="auto"/>
              <w:rPr>
                <w:rFonts w:asciiTheme="majorBidi" w:hAnsiTheme="majorBidi" w:cstheme="majorBidi"/>
                <w:szCs w:val="24"/>
              </w:rPr>
            </w:pPr>
            <w:bookmarkStart w:id="19" w:name="_Toc216080643"/>
            <w:r>
              <w:rPr>
                <w:rStyle w:val="Strong"/>
                <w:rFonts w:asciiTheme="majorBidi" w:hAnsiTheme="majorBidi" w:cstheme="majorBidi"/>
                <w:szCs w:val="24"/>
              </w:rPr>
              <w:t xml:space="preserve">Material </w:t>
            </w:r>
          </w:p>
        </w:tc>
        <w:tc>
          <w:tcPr>
            <w:tcW w:w="5078" w:type="dxa"/>
            <w:tcBorders>
              <w:top w:val="single" w:sz="4" w:space="0" w:color="auto"/>
              <w:bottom w:val="single" w:sz="4" w:space="0" w:color="auto"/>
            </w:tcBorders>
            <w:vAlign w:val="center"/>
          </w:tcPr>
          <w:p w:rsidR="00F71930" w:rsidRDefault="00C07E53">
            <w:pPr>
              <w:spacing w:after="0" w:line="240" w:lineRule="auto"/>
              <w:jc w:val="center"/>
              <w:rPr>
                <w:rFonts w:asciiTheme="majorBidi" w:hAnsiTheme="majorBidi" w:cstheme="majorBidi"/>
                <w:szCs w:val="24"/>
              </w:rPr>
            </w:pPr>
            <w:r>
              <w:rPr>
                <w:rStyle w:val="Strong"/>
                <w:rFonts w:asciiTheme="majorBidi" w:hAnsiTheme="majorBidi" w:cstheme="majorBidi"/>
                <w:szCs w:val="24"/>
              </w:rPr>
              <w:t>Manufacturer</w:t>
            </w:r>
          </w:p>
        </w:tc>
      </w:tr>
      <w:tr w:rsidR="00F71930">
        <w:trPr>
          <w:trHeight w:val="310"/>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Fresh ginger rhizomes</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 xml:space="preserve">Sourced from Sokoto local market </w:t>
            </w:r>
          </w:p>
        </w:tc>
      </w:tr>
      <w:tr w:rsidR="00F71930">
        <w:trPr>
          <w:trHeight w:val="328"/>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Whatman filter paper No. 1</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GE Healthcare Life Sciences, UK</w:t>
            </w:r>
          </w:p>
        </w:tc>
      </w:tr>
      <w:tr w:rsidR="00F71930">
        <w:trPr>
          <w:trHeight w:val="310"/>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Measuring cylinders (10–100 mL)</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Pyrex, USA</w:t>
            </w:r>
          </w:p>
        </w:tc>
      </w:tr>
      <w:tr w:rsidR="00F71930">
        <w:trPr>
          <w:trHeight w:val="310"/>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Glass beakers (50–500 mL)</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Pyrex, USA</w:t>
            </w:r>
          </w:p>
        </w:tc>
      </w:tr>
      <w:tr w:rsidR="00F71930">
        <w:trPr>
          <w:trHeight w:val="328"/>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Volumetric flasks (10–250 mL)</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Pyrex, USA</w:t>
            </w:r>
          </w:p>
        </w:tc>
      </w:tr>
      <w:tr w:rsidR="00F71930">
        <w:trPr>
          <w:trHeight w:val="310"/>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Test tubes and test-tube racks</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Fisherbrand, USA</w:t>
            </w:r>
          </w:p>
        </w:tc>
      </w:tr>
      <w:tr w:rsidR="00F71930">
        <w:trPr>
          <w:trHeight w:val="328"/>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Cotton wool</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Local laboratory supply</w:t>
            </w:r>
          </w:p>
        </w:tc>
      </w:tr>
      <w:tr w:rsidR="00F71930">
        <w:trPr>
          <w:trHeight w:val="310"/>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Distilled water</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Laboratory distillation unit</w:t>
            </w:r>
          </w:p>
        </w:tc>
      </w:tr>
      <w:tr w:rsidR="00F71930">
        <w:trPr>
          <w:trHeight w:val="310"/>
          <w:tblCellSpacing w:w="15" w:type="dxa"/>
        </w:trPr>
        <w:tc>
          <w:tcPr>
            <w:tcW w:w="506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Mortar and pestle</w:t>
            </w:r>
          </w:p>
        </w:tc>
        <w:tc>
          <w:tcPr>
            <w:tcW w:w="507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Local supply</w:t>
            </w:r>
          </w:p>
        </w:tc>
      </w:tr>
      <w:tr w:rsidR="00F71930">
        <w:trPr>
          <w:trHeight w:val="310"/>
          <w:tblCellSpacing w:w="15" w:type="dxa"/>
        </w:trPr>
        <w:tc>
          <w:tcPr>
            <w:tcW w:w="5069"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Aluminum foil</w:t>
            </w:r>
          </w:p>
        </w:tc>
        <w:tc>
          <w:tcPr>
            <w:tcW w:w="5078"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Local supply</w:t>
            </w:r>
          </w:p>
        </w:tc>
      </w:tr>
      <w:bookmarkEnd w:id="19"/>
    </w:tbl>
    <w:p w:rsidR="00F71930" w:rsidRDefault="00F71930">
      <w:pPr>
        <w:pStyle w:val="NormalWeb"/>
        <w:spacing w:before="0" w:beforeAutospacing="0" w:after="0" w:afterAutospacing="0"/>
        <w:ind w:left="-540"/>
        <w:rPr>
          <w:rStyle w:val="Strong"/>
          <w:rFonts w:asciiTheme="majorBidi" w:hAnsiTheme="majorBidi"/>
        </w:rPr>
      </w:pPr>
    </w:p>
    <w:p w:rsidR="00F71930" w:rsidRDefault="00C07E53">
      <w:pPr>
        <w:pStyle w:val="NormalWeb"/>
        <w:spacing w:before="0" w:beforeAutospacing="0" w:after="0" w:afterAutospacing="0"/>
        <w:ind w:left="-540"/>
        <w:rPr>
          <w:rStyle w:val="Strong"/>
          <w:rFonts w:asciiTheme="majorBidi" w:hAnsiTheme="majorBidi"/>
        </w:rPr>
      </w:pPr>
      <w:r>
        <w:rPr>
          <w:rStyle w:val="Strong"/>
          <w:rFonts w:asciiTheme="majorBidi" w:hAnsiTheme="majorBidi"/>
        </w:rPr>
        <w:t xml:space="preserve">        </w:t>
      </w:r>
    </w:p>
    <w:p w:rsidR="00F71930" w:rsidRDefault="00C07E53">
      <w:pPr>
        <w:pStyle w:val="NormalWeb"/>
        <w:spacing w:before="0" w:beforeAutospacing="0" w:after="0" w:afterAutospacing="0"/>
        <w:ind w:left="-540"/>
        <w:rPr>
          <w:rFonts w:asciiTheme="majorBidi" w:hAnsiTheme="majorBidi"/>
          <w:b/>
          <w:bCs/>
        </w:rPr>
      </w:pPr>
      <w:r>
        <w:rPr>
          <w:rStyle w:val="Strong"/>
          <w:rFonts w:asciiTheme="majorBidi" w:hAnsiTheme="majorBidi"/>
        </w:rPr>
        <w:t xml:space="preserve">         Table 3.1: Materials Used in the Stud</w:t>
      </w:r>
      <w:bookmarkStart w:id="20" w:name="_Toc216080642"/>
      <w:r>
        <w:rPr>
          <w:rStyle w:val="Strong"/>
          <w:rFonts w:asciiTheme="majorBidi" w:hAnsiTheme="majorBidi"/>
        </w:rPr>
        <w:t>y</w:t>
      </w:r>
    </w:p>
    <w:p w:rsidR="00F71930" w:rsidRDefault="00F71930"/>
    <w:p w:rsidR="00F71930" w:rsidRDefault="00F71930"/>
    <w:p w:rsidR="00F71930" w:rsidRDefault="00F71930"/>
    <w:p w:rsidR="00F71930" w:rsidRDefault="00F71930">
      <w:pPr>
        <w:pStyle w:val="Heading2"/>
        <w:spacing w:before="0"/>
        <w:ind w:left="-630"/>
        <w:jc w:val="both"/>
        <w:rPr>
          <w:rStyle w:val="Strong"/>
          <w:rFonts w:asciiTheme="majorBidi" w:hAnsiTheme="majorBidi"/>
          <w:color w:val="auto"/>
          <w:sz w:val="24"/>
          <w:szCs w:val="24"/>
        </w:rPr>
      </w:pPr>
    </w:p>
    <w:p w:rsidR="00F71930" w:rsidRDefault="00F71930"/>
    <w:p w:rsidR="00F71930" w:rsidRDefault="00C07E53">
      <w:pPr>
        <w:pStyle w:val="Heading2"/>
        <w:spacing w:before="0"/>
        <w:ind w:left="-630"/>
        <w:jc w:val="both"/>
        <w:rPr>
          <w:rStyle w:val="Strong"/>
          <w:rFonts w:asciiTheme="majorBidi" w:hAnsiTheme="majorBidi"/>
          <w:color w:val="auto"/>
          <w:sz w:val="24"/>
          <w:szCs w:val="24"/>
        </w:rPr>
      </w:pPr>
      <w:r>
        <w:rPr>
          <w:rStyle w:val="Strong"/>
          <w:rFonts w:asciiTheme="majorBidi" w:hAnsiTheme="majorBidi"/>
          <w:color w:val="auto"/>
          <w:sz w:val="24"/>
          <w:szCs w:val="24"/>
        </w:rPr>
        <w:t xml:space="preserve">         Table 3.2: Reagents and Chemicals</w:t>
      </w: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605"/>
        <w:gridCol w:w="2878"/>
        <w:gridCol w:w="2874"/>
      </w:tblGrid>
      <w:tr w:rsidR="00F71930">
        <w:trPr>
          <w:tblHeader/>
          <w:tblCellSpacing w:w="15" w:type="dxa"/>
        </w:trPr>
        <w:tc>
          <w:tcPr>
            <w:tcW w:w="3560" w:type="dxa"/>
            <w:tcBorders>
              <w:top w:val="single" w:sz="4" w:space="0" w:color="auto"/>
              <w:bottom w:val="single" w:sz="4" w:space="0" w:color="auto"/>
            </w:tcBorders>
            <w:vAlign w:val="center"/>
          </w:tcPr>
          <w:p w:rsidR="00F71930" w:rsidRDefault="00C07E53">
            <w:pPr>
              <w:spacing w:after="0" w:line="240" w:lineRule="auto"/>
              <w:rPr>
                <w:rFonts w:asciiTheme="majorBidi" w:hAnsiTheme="majorBidi" w:cstheme="majorBidi"/>
                <w:b/>
                <w:bCs/>
                <w:szCs w:val="24"/>
              </w:rPr>
            </w:pPr>
            <w:bookmarkStart w:id="21" w:name="_Hlk216593569"/>
            <w:r>
              <w:rPr>
                <w:rStyle w:val="Strong"/>
                <w:rFonts w:asciiTheme="majorBidi" w:hAnsiTheme="majorBidi" w:cstheme="majorBidi"/>
                <w:szCs w:val="24"/>
              </w:rPr>
              <w:t>Reagent/Chemical</w:t>
            </w:r>
          </w:p>
        </w:tc>
        <w:tc>
          <w:tcPr>
            <w:tcW w:w="2848" w:type="dxa"/>
            <w:tcBorders>
              <w:top w:val="single" w:sz="4" w:space="0" w:color="auto"/>
              <w:bottom w:val="single" w:sz="4" w:space="0" w:color="auto"/>
            </w:tcBorders>
            <w:vAlign w:val="center"/>
          </w:tcPr>
          <w:p w:rsidR="00F71930" w:rsidRDefault="00C07E53">
            <w:pPr>
              <w:spacing w:after="0" w:line="240" w:lineRule="auto"/>
              <w:jc w:val="center"/>
              <w:rPr>
                <w:rFonts w:asciiTheme="majorBidi" w:hAnsiTheme="majorBidi" w:cstheme="majorBidi"/>
                <w:b/>
                <w:bCs/>
                <w:szCs w:val="24"/>
              </w:rPr>
            </w:pPr>
            <w:r>
              <w:rPr>
                <w:rStyle w:val="Strong"/>
                <w:rFonts w:asciiTheme="majorBidi" w:hAnsiTheme="majorBidi" w:cstheme="majorBidi"/>
                <w:szCs w:val="24"/>
              </w:rPr>
              <w:t>Grade / Concentration</w:t>
            </w:r>
          </w:p>
        </w:tc>
        <w:tc>
          <w:tcPr>
            <w:tcW w:w="2829" w:type="dxa"/>
            <w:tcBorders>
              <w:top w:val="single" w:sz="4" w:space="0" w:color="auto"/>
              <w:bottom w:val="single" w:sz="4" w:space="0" w:color="auto"/>
            </w:tcBorders>
            <w:vAlign w:val="center"/>
          </w:tcPr>
          <w:p w:rsidR="00F71930" w:rsidRDefault="00C07E53">
            <w:pPr>
              <w:spacing w:after="0" w:line="240" w:lineRule="auto"/>
              <w:jc w:val="center"/>
              <w:rPr>
                <w:rFonts w:asciiTheme="majorBidi" w:hAnsiTheme="majorBidi" w:cstheme="majorBidi"/>
                <w:b/>
                <w:bCs/>
                <w:szCs w:val="24"/>
              </w:rPr>
            </w:pPr>
            <w:r>
              <w:rPr>
                <w:rStyle w:val="Strong"/>
                <w:rFonts w:asciiTheme="majorBidi" w:hAnsiTheme="majorBidi" w:cstheme="majorBidi"/>
                <w:szCs w:val="24"/>
              </w:rPr>
              <w:t>Manufacturer</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Methanol</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Fisher Scientific, UK</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Chitosan powder</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1 percent w/v solution prepared</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Acetic acid (glacial)</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1 percent v/v</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 xml:space="preserve">Merck </w:t>
            </w:r>
            <w:r>
              <w:rPr>
                <w:rFonts w:asciiTheme="majorBidi" w:hAnsiTheme="majorBidi" w:cstheme="majorBidi"/>
                <w:szCs w:val="24"/>
              </w:rPr>
              <w:t>Chemicals, Germany</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Glycerin</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BDH Laboratory Supplies, UK</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Sodium hydroxide (NaOH) pellets</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2,2-Diphenyl-1-picrylhydrazyl (DPPH)</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2 percent solution in methanol</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Ferric chloride (FeCl₃)</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TPTZ (2,4,6-Tripyridyl-s-triazine)</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Acetate buffer (pH 3.6)</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Prepared in lab</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Laboratory formulation</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Folin–Ciocalteu reagent</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Merck, Germany</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 xml:space="preserve">Aluminium chloride </w:t>
            </w:r>
            <w:r>
              <w:rPr>
                <w:rFonts w:asciiTheme="majorBidi" w:hAnsiTheme="majorBidi" w:cstheme="majorBidi"/>
                <w:szCs w:val="24"/>
              </w:rPr>
              <w:t>solution</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10 percent</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BDH, UK</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Lead acetate</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BDH, UK</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Mayer’s reagent</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Ferric chloride solution (5 percent)</w:t>
            </w:r>
          </w:p>
        </w:tc>
        <w:tc>
          <w:tcPr>
            <w:tcW w:w="2848"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r w:rsidR="00F71930">
        <w:trPr>
          <w:tblCellSpacing w:w="15" w:type="dxa"/>
        </w:trPr>
        <w:tc>
          <w:tcPr>
            <w:tcW w:w="3560"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FeSO₄ standard</w:t>
            </w:r>
          </w:p>
        </w:tc>
        <w:tc>
          <w:tcPr>
            <w:tcW w:w="2848"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Analytical grade</w:t>
            </w:r>
          </w:p>
        </w:tc>
        <w:tc>
          <w:tcPr>
            <w:tcW w:w="2829"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Sigma-Aldrich, USA</w:t>
            </w:r>
          </w:p>
        </w:tc>
      </w:tr>
    </w:tbl>
    <w:p w:rsidR="00F71930" w:rsidRDefault="00F71930">
      <w:bookmarkStart w:id="22" w:name="_Toc216080644"/>
      <w:bookmarkEnd w:id="20"/>
      <w:bookmarkEnd w:id="21"/>
    </w:p>
    <w:p w:rsidR="00F71930" w:rsidRDefault="00F71930"/>
    <w:p w:rsidR="00F71930" w:rsidRDefault="00C07E53">
      <w:pPr>
        <w:pStyle w:val="Heading2"/>
        <w:tabs>
          <w:tab w:val="left" w:pos="0"/>
        </w:tabs>
        <w:spacing w:before="0"/>
        <w:rPr>
          <w:rFonts w:asciiTheme="majorBidi" w:hAnsiTheme="majorBidi"/>
          <w:color w:val="auto"/>
          <w:sz w:val="24"/>
          <w:szCs w:val="24"/>
        </w:rPr>
      </w:pPr>
      <w:r>
        <w:rPr>
          <w:rStyle w:val="Strong"/>
          <w:rFonts w:asciiTheme="majorBidi" w:hAnsiTheme="majorBidi"/>
          <w:color w:val="auto"/>
          <w:sz w:val="24"/>
          <w:szCs w:val="24"/>
        </w:rPr>
        <w:t xml:space="preserve">Table </w:t>
      </w:r>
      <w:r>
        <w:rPr>
          <w:rStyle w:val="Strong"/>
          <w:rFonts w:asciiTheme="majorBidi" w:hAnsiTheme="majorBidi"/>
          <w:color w:val="auto"/>
          <w:sz w:val="24"/>
          <w:szCs w:val="24"/>
        </w:rPr>
        <w:t>3.3: Instruments and Equipment</w:t>
      </w:r>
      <w:bookmarkEnd w:id="22"/>
    </w:p>
    <w:tbl>
      <w:tblPr>
        <w:tblW w:w="9237" w:type="dxa"/>
        <w:tblCellSpacing w:w="15" w:type="dxa"/>
        <w:tblInd w:w="30" w:type="dxa"/>
        <w:tblLayout w:type="fixed"/>
        <w:tblCellMar>
          <w:top w:w="15" w:type="dxa"/>
          <w:left w:w="15" w:type="dxa"/>
          <w:bottom w:w="15" w:type="dxa"/>
          <w:right w:w="15" w:type="dxa"/>
        </w:tblCellMar>
        <w:tblLook w:val="04A0" w:firstRow="1" w:lastRow="0" w:firstColumn="1" w:lastColumn="0" w:noHBand="0" w:noVBand="1"/>
      </w:tblPr>
      <w:tblGrid>
        <w:gridCol w:w="3101"/>
        <w:gridCol w:w="2951"/>
        <w:gridCol w:w="3185"/>
      </w:tblGrid>
      <w:tr w:rsidR="00F71930">
        <w:trPr>
          <w:tblHeader/>
          <w:tblCellSpacing w:w="15" w:type="dxa"/>
        </w:trPr>
        <w:tc>
          <w:tcPr>
            <w:tcW w:w="3097" w:type="dxa"/>
            <w:tcBorders>
              <w:top w:val="single" w:sz="4" w:space="0" w:color="auto"/>
              <w:bottom w:val="single" w:sz="4" w:space="0" w:color="auto"/>
            </w:tcBorders>
            <w:vAlign w:val="center"/>
          </w:tcPr>
          <w:p w:rsidR="00F71930" w:rsidRDefault="00C07E53">
            <w:pPr>
              <w:spacing w:after="0" w:line="240" w:lineRule="auto"/>
              <w:jc w:val="center"/>
              <w:rPr>
                <w:rFonts w:asciiTheme="majorBidi" w:hAnsiTheme="majorBidi" w:cstheme="majorBidi"/>
                <w:b/>
                <w:bCs/>
                <w:szCs w:val="24"/>
              </w:rPr>
            </w:pPr>
            <w:r>
              <w:rPr>
                <w:rStyle w:val="Strong"/>
                <w:rFonts w:asciiTheme="majorBidi" w:hAnsiTheme="majorBidi" w:cstheme="majorBidi"/>
                <w:szCs w:val="24"/>
              </w:rPr>
              <w:t>Instrument/Equipment</w:t>
            </w:r>
          </w:p>
        </w:tc>
        <w:tc>
          <w:tcPr>
            <w:tcW w:w="2959" w:type="dxa"/>
            <w:tcBorders>
              <w:top w:val="single" w:sz="4" w:space="0" w:color="auto"/>
              <w:bottom w:val="single" w:sz="4" w:space="0" w:color="auto"/>
            </w:tcBorders>
            <w:vAlign w:val="center"/>
          </w:tcPr>
          <w:p w:rsidR="00F71930" w:rsidRDefault="00C07E53">
            <w:pPr>
              <w:spacing w:after="0" w:line="240" w:lineRule="auto"/>
              <w:jc w:val="center"/>
              <w:rPr>
                <w:rFonts w:asciiTheme="majorBidi" w:hAnsiTheme="majorBidi" w:cstheme="majorBidi"/>
                <w:b/>
                <w:bCs/>
                <w:szCs w:val="24"/>
              </w:rPr>
            </w:pPr>
            <w:r>
              <w:rPr>
                <w:rStyle w:val="Strong"/>
                <w:rFonts w:asciiTheme="majorBidi" w:hAnsiTheme="majorBidi" w:cstheme="majorBidi"/>
                <w:szCs w:val="24"/>
              </w:rPr>
              <w:t>Model / Specification</w:t>
            </w:r>
          </w:p>
        </w:tc>
        <w:tc>
          <w:tcPr>
            <w:tcW w:w="3181" w:type="dxa"/>
            <w:tcBorders>
              <w:top w:val="single" w:sz="4" w:space="0" w:color="auto"/>
              <w:bottom w:val="single" w:sz="4" w:space="0" w:color="auto"/>
            </w:tcBorders>
            <w:vAlign w:val="center"/>
          </w:tcPr>
          <w:p w:rsidR="00F71930" w:rsidRDefault="00C07E53">
            <w:pPr>
              <w:spacing w:after="0" w:line="240" w:lineRule="auto"/>
              <w:jc w:val="center"/>
              <w:rPr>
                <w:rFonts w:asciiTheme="majorBidi" w:hAnsiTheme="majorBidi" w:cstheme="majorBidi"/>
                <w:b/>
                <w:bCs/>
                <w:szCs w:val="24"/>
              </w:rPr>
            </w:pPr>
            <w:r>
              <w:rPr>
                <w:rStyle w:val="Strong"/>
                <w:rFonts w:asciiTheme="majorBidi" w:hAnsiTheme="majorBidi" w:cstheme="majorBidi"/>
                <w:szCs w:val="24"/>
              </w:rPr>
              <w:t>Manufacturer</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Rotary evaporator</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Heidolph      Hei-VAP Advantage</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Heidolph Instruments, Germany</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UV–Visible spectrophotometer</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Cary 60 UV-Vis</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Agilent Technologies, USA</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 xml:space="preserve">Analytical </w:t>
            </w:r>
            <w:r>
              <w:rPr>
                <w:rFonts w:asciiTheme="majorBidi" w:hAnsiTheme="majorBidi" w:cstheme="majorBidi"/>
                <w:szCs w:val="24"/>
              </w:rPr>
              <w:t>balance</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Mettler Toledo ME-T Series</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Mettler Toledo, Switzerland</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pH meter</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Hanna HI 2211</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Hanna Instruments, Romania</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Oven (optional)</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Laboratory drying oven</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Thermo Scientific, USA</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Water bath</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Grant JB Series</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Grant Instruments, UK</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Centrifuge</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Eppendorf 5702</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Eppendorf, Germany</w:t>
            </w:r>
          </w:p>
        </w:tc>
      </w:tr>
      <w:tr w:rsidR="00F71930">
        <w:trPr>
          <w:tblCellSpacing w:w="15" w:type="dxa"/>
        </w:trPr>
        <w:tc>
          <w:tcPr>
            <w:tcW w:w="3097"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Refrigerator (4 °C)</w:t>
            </w:r>
          </w:p>
        </w:tc>
        <w:tc>
          <w:tcPr>
            <w:tcW w:w="2959"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w:t>
            </w:r>
          </w:p>
        </w:tc>
        <w:tc>
          <w:tcPr>
            <w:tcW w:w="3181" w:type="dxa"/>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LG Medical Cooling Unit</w:t>
            </w:r>
          </w:p>
        </w:tc>
      </w:tr>
      <w:tr w:rsidR="00F71930">
        <w:trPr>
          <w:tblCellSpacing w:w="15" w:type="dxa"/>
        </w:trPr>
        <w:tc>
          <w:tcPr>
            <w:tcW w:w="3097"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Magnetic stirrer with hot plate</w:t>
            </w:r>
          </w:p>
        </w:tc>
        <w:tc>
          <w:tcPr>
            <w:tcW w:w="2959"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Stuart UC152</w:t>
            </w:r>
          </w:p>
        </w:tc>
        <w:tc>
          <w:tcPr>
            <w:tcW w:w="3181" w:type="dxa"/>
            <w:tcBorders>
              <w:bottom w:val="single" w:sz="4" w:space="0" w:color="auto"/>
            </w:tcBorders>
            <w:vAlign w:val="center"/>
          </w:tcPr>
          <w:p w:rsidR="00F71930" w:rsidRDefault="00C07E53">
            <w:pPr>
              <w:spacing w:after="0" w:line="240" w:lineRule="auto"/>
              <w:jc w:val="both"/>
              <w:rPr>
                <w:rFonts w:asciiTheme="majorBidi" w:hAnsiTheme="majorBidi" w:cstheme="majorBidi"/>
                <w:szCs w:val="24"/>
              </w:rPr>
            </w:pPr>
            <w:r>
              <w:rPr>
                <w:rFonts w:asciiTheme="majorBidi" w:hAnsiTheme="majorBidi" w:cstheme="majorBidi"/>
                <w:szCs w:val="24"/>
              </w:rPr>
              <w:t>Cole-Parmer, UK</w:t>
            </w:r>
          </w:p>
        </w:tc>
      </w:tr>
    </w:tbl>
    <w:p w:rsidR="00F71930" w:rsidRDefault="00F71930">
      <w:pPr>
        <w:pStyle w:val="Heading2"/>
        <w:spacing w:before="0"/>
        <w:jc w:val="both"/>
        <w:rPr>
          <w:rStyle w:val="Strong"/>
          <w:rFonts w:asciiTheme="majorBidi" w:hAnsiTheme="majorBidi"/>
          <w:color w:val="auto"/>
          <w:sz w:val="24"/>
          <w:szCs w:val="24"/>
        </w:rPr>
      </w:pPr>
      <w:bookmarkStart w:id="23" w:name="_Toc216080645"/>
    </w:p>
    <w:p w:rsidR="00F71930" w:rsidRDefault="00C07E53">
      <w:pPr>
        <w:pStyle w:val="Heading2"/>
        <w:spacing w:before="0"/>
        <w:jc w:val="both"/>
        <w:rPr>
          <w:rFonts w:asciiTheme="majorBidi" w:hAnsiTheme="majorBidi"/>
          <w:color w:val="auto"/>
          <w:sz w:val="24"/>
          <w:szCs w:val="24"/>
        </w:rPr>
      </w:pPr>
      <w:r>
        <w:rPr>
          <w:rStyle w:val="Strong"/>
          <w:rFonts w:asciiTheme="majorBidi" w:hAnsiTheme="majorBidi"/>
          <w:color w:val="auto"/>
          <w:sz w:val="24"/>
          <w:szCs w:val="24"/>
        </w:rPr>
        <w:t>3.2 Sample Collection and Preparation</w:t>
      </w:r>
      <w:bookmarkEnd w:id="23"/>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Fresh ginger (</w:t>
      </w:r>
      <w:r>
        <w:rPr>
          <w:rStyle w:val="Emphasis"/>
          <w:rFonts w:asciiTheme="majorBidi" w:hAnsiTheme="majorBidi" w:cstheme="majorBidi"/>
        </w:rPr>
        <w:t>Zingiber officinale</w:t>
      </w:r>
      <w:r>
        <w:rPr>
          <w:rFonts w:asciiTheme="majorBidi" w:hAnsiTheme="majorBidi" w:cstheme="majorBidi"/>
        </w:rPr>
        <w:t>) rhizomes were purchased from a local market in Sokoto, ensuring that only healthy, mature, and undamaged samples were selected. The rhizomes were transported to the department of Biochemistry and molecular biology immediately after purchase to prevent mi</w:t>
      </w:r>
      <w:r>
        <w:rPr>
          <w:rFonts w:asciiTheme="majorBidi" w:hAnsiTheme="majorBidi" w:cstheme="majorBidi"/>
        </w:rPr>
        <w:t xml:space="preserve">crobial decay and oxidative changes. </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clean rhizomes were then sliced into thin pieces to facilitate moisture loss and subjected to </w:t>
      </w:r>
      <w:r>
        <w:rPr>
          <w:rStyle w:val="Strong"/>
          <w:rFonts w:asciiTheme="majorBidi" w:hAnsiTheme="majorBidi" w:cstheme="majorBidi"/>
          <w:b w:val="0"/>
          <w:bCs w:val="0"/>
        </w:rPr>
        <w:t>air drying</w:t>
      </w:r>
      <w:r>
        <w:rPr>
          <w:rFonts w:asciiTheme="majorBidi" w:hAnsiTheme="majorBidi" w:cstheme="majorBidi"/>
        </w:rPr>
        <w:t xml:space="preserve"> at ambient laboratory temperature for several days until a constant weight was achieved. Air drying was chose</w:t>
      </w:r>
      <w:r>
        <w:rPr>
          <w:rFonts w:asciiTheme="majorBidi" w:hAnsiTheme="majorBidi" w:cstheme="majorBidi"/>
        </w:rPr>
        <w:t>n to preserve thermolabile phytochemicals that might degrade under high-temperature conditions. The dried ginger slices were subsequently pulverized into fine powder using a clean laboratory mortar and pestle. The powdered sample was stored in airtight, li</w:t>
      </w:r>
      <w:r>
        <w:rPr>
          <w:rFonts w:asciiTheme="majorBidi" w:hAnsiTheme="majorBidi" w:cstheme="majorBidi"/>
        </w:rPr>
        <w:t>ght-resistant containers to prevent moisture absorption and oxidative degradation before extraction.</w:t>
      </w:r>
    </w:p>
    <w:p w:rsidR="00F71930" w:rsidRDefault="00C07E53">
      <w:pPr>
        <w:pStyle w:val="Heading2"/>
        <w:spacing w:before="0"/>
        <w:jc w:val="both"/>
        <w:rPr>
          <w:rFonts w:asciiTheme="majorBidi" w:hAnsiTheme="majorBidi"/>
          <w:color w:val="auto"/>
          <w:sz w:val="24"/>
          <w:szCs w:val="24"/>
        </w:rPr>
      </w:pPr>
      <w:bookmarkStart w:id="24" w:name="_Toc216080646"/>
      <w:r>
        <w:rPr>
          <w:rStyle w:val="Strong"/>
          <w:rFonts w:asciiTheme="majorBidi" w:hAnsiTheme="majorBidi"/>
          <w:color w:val="auto"/>
          <w:sz w:val="24"/>
          <w:szCs w:val="24"/>
        </w:rPr>
        <w:t>3.3 Extraction of Ginger Phytochemicals</w:t>
      </w:r>
      <w:bookmarkEnd w:id="24"/>
      <w:r>
        <w:rPr>
          <w:rStyle w:val="Strong"/>
          <w:rFonts w:asciiTheme="majorBidi" w:hAnsiTheme="majorBidi"/>
          <w:color w:val="auto"/>
          <w:sz w:val="24"/>
          <w:szCs w:val="24"/>
        </w:rPr>
        <w:t xml:space="preserve"> </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Extraction of phytochemicals from the powdered ginger sample was carried out using the cold maceration method. </w:t>
      </w:r>
      <w:r>
        <w:rPr>
          <w:rFonts w:asciiTheme="majorBidi" w:hAnsiTheme="majorBidi" w:cstheme="majorBidi"/>
        </w:rPr>
        <w:t>This approach was selected to preserve heat-sensitive constituents such as phenolics, flavonoids, and glycosides that may degrade under elevated temperatures. Approximately 100g of the air-dried ginger powder was measured using an analytical balance and tr</w:t>
      </w:r>
      <w:r>
        <w:rPr>
          <w:rFonts w:asciiTheme="majorBidi" w:hAnsiTheme="majorBidi" w:cstheme="majorBidi"/>
        </w:rPr>
        <w:t>ansferred into a clean conical flask. The sample was soaked in an appropriate volume of analytical-grade methanol, ensuring that the solvent completely covered the plant material.</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mixture was agitated gently and allowed to stand for </w:t>
      </w:r>
      <w:r>
        <w:rPr>
          <w:rStyle w:val="Strong"/>
          <w:rFonts w:asciiTheme="majorBidi" w:hAnsiTheme="majorBidi" w:cstheme="majorBidi"/>
          <w:b w:val="0"/>
          <w:bCs w:val="0"/>
        </w:rPr>
        <w:t>48 hours</w:t>
      </w:r>
      <w:r>
        <w:rPr>
          <w:rFonts w:asciiTheme="majorBidi" w:hAnsiTheme="majorBidi" w:cstheme="majorBidi"/>
        </w:rPr>
        <w:t xml:space="preserve"> at room te</w:t>
      </w:r>
      <w:r>
        <w:rPr>
          <w:rFonts w:asciiTheme="majorBidi" w:hAnsiTheme="majorBidi" w:cstheme="majorBidi"/>
        </w:rPr>
        <w:t xml:space="preserve">mperature to enable adequate diffusion of phytochemicals into the solvent. Intermittent shaking was performed to enhance solvent penetration and extraction efficiency. After maceration, the mixture was filtered using Whatman No. 1 filter paper to obtain a </w:t>
      </w:r>
      <w:r>
        <w:rPr>
          <w:rFonts w:asciiTheme="majorBidi" w:hAnsiTheme="majorBidi" w:cstheme="majorBidi"/>
        </w:rPr>
        <w:t>clear filtrate free of solid particles. The residue was re-soaked in fresh methanol for an additional period to maximize yield, and the filtrates were pooled together.</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combined filtrate was concentrated using a </w:t>
      </w:r>
      <w:r>
        <w:rPr>
          <w:rStyle w:val="Strong"/>
          <w:rFonts w:asciiTheme="majorBidi" w:hAnsiTheme="majorBidi" w:cstheme="majorBidi"/>
          <w:b w:val="0"/>
          <w:bCs w:val="0"/>
        </w:rPr>
        <w:t xml:space="preserve">rotary evaporator </w:t>
      </w:r>
      <w:r>
        <w:rPr>
          <w:rFonts w:asciiTheme="majorBidi" w:hAnsiTheme="majorBidi" w:cstheme="majorBidi"/>
        </w:rPr>
        <w:t xml:space="preserve">operated at controlled </w:t>
      </w:r>
      <w:r>
        <w:rPr>
          <w:rFonts w:asciiTheme="majorBidi" w:hAnsiTheme="majorBidi" w:cstheme="majorBidi"/>
        </w:rPr>
        <w:t xml:space="preserve">temperature and pressure settings to remove methanol without degrading the extract. The resulting semisolid crude methanol extract was transferred into airtight amber containers and stored at 4 °C until required for further analysis. </w:t>
      </w:r>
    </w:p>
    <w:p w:rsidR="00F71930" w:rsidRDefault="00C07E53">
      <w:pPr>
        <w:pStyle w:val="Heading2"/>
        <w:spacing w:before="0"/>
        <w:jc w:val="both"/>
        <w:rPr>
          <w:rFonts w:asciiTheme="majorBidi" w:hAnsiTheme="majorBidi"/>
          <w:color w:val="auto"/>
          <w:sz w:val="24"/>
          <w:szCs w:val="24"/>
        </w:rPr>
      </w:pPr>
      <w:bookmarkStart w:id="25" w:name="_Toc216080647"/>
      <w:r>
        <w:rPr>
          <w:rStyle w:val="Strong"/>
          <w:rFonts w:asciiTheme="majorBidi" w:hAnsiTheme="majorBidi"/>
          <w:color w:val="auto"/>
          <w:sz w:val="24"/>
          <w:szCs w:val="24"/>
        </w:rPr>
        <w:t>3.4 Preparation of Ch</w:t>
      </w:r>
      <w:r>
        <w:rPr>
          <w:rStyle w:val="Strong"/>
          <w:rFonts w:asciiTheme="majorBidi" w:hAnsiTheme="majorBidi"/>
          <w:color w:val="auto"/>
          <w:sz w:val="24"/>
          <w:szCs w:val="24"/>
        </w:rPr>
        <w:t>itosan Hydrogel</w:t>
      </w:r>
      <w:bookmarkEnd w:id="25"/>
      <w:r>
        <w:rPr>
          <w:rStyle w:val="Strong"/>
          <w:rFonts w:asciiTheme="majorBidi" w:hAnsiTheme="majorBidi"/>
          <w:color w:val="auto"/>
          <w:sz w:val="24"/>
          <w:szCs w:val="24"/>
        </w:rPr>
        <w:t xml:space="preserve"> </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chitosan hydrogel was prepared using a pH-induced gelation method involving chitosan, acetic acid, glycerin, and sodium hydroxide. A one (</w:t>
      </w:r>
      <w:r>
        <w:rPr>
          <w:rStyle w:val="Strong"/>
          <w:rFonts w:asciiTheme="majorBidi" w:hAnsiTheme="majorBidi" w:cstheme="majorBidi"/>
          <w:b w:val="0"/>
          <w:bCs w:val="0"/>
        </w:rPr>
        <w:t>1) percent (w/v)</w:t>
      </w:r>
      <w:r>
        <w:rPr>
          <w:rFonts w:asciiTheme="majorBidi" w:hAnsiTheme="majorBidi" w:cstheme="majorBidi"/>
        </w:rPr>
        <w:t xml:space="preserve"> chitosan solution was prepared by dissolving accurately weighed chitosan powder </w:t>
      </w:r>
      <w:r>
        <w:rPr>
          <w:rFonts w:asciiTheme="majorBidi" w:hAnsiTheme="majorBidi" w:cstheme="majorBidi"/>
        </w:rPr>
        <w:t xml:space="preserve">in </w:t>
      </w:r>
      <w:r>
        <w:rPr>
          <w:rStyle w:val="Strong"/>
          <w:rFonts w:asciiTheme="majorBidi" w:hAnsiTheme="majorBidi" w:cstheme="majorBidi"/>
          <w:b w:val="0"/>
          <w:bCs w:val="0"/>
        </w:rPr>
        <w:t>1 percent (v/v)</w:t>
      </w:r>
      <w:r>
        <w:rPr>
          <w:rFonts w:asciiTheme="majorBidi" w:hAnsiTheme="majorBidi" w:cstheme="majorBidi"/>
        </w:rPr>
        <w:t xml:space="preserve"> acetic acid. The mixture was stirred continuously on a magnetic stirrer at moderate speed until a clear, homogenous solution was obtained. Glycerin, used as a plasticizer to improve hydrogel flexibility and moisture retention, was added </w:t>
      </w:r>
      <w:r>
        <w:rPr>
          <w:rFonts w:asciiTheme="majorBidi" w:hAnsiTheme="majorBidi" w:cstheme="majorBidi"/>
        </w:rPr>
        <w:t>gradually to the chitosan solution in a controlled volume ratio and mixed thoroughly to ensure uniform dispersion.</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Gelation was induced by the controlled addition of </w:t>
      </w:r>
      <w:r>
        <w:rPr>
          <w:rStyle w:val="Strong"/>
          <w:rFonts w:asciiTheme="majorBidi" w:hAnsiTheme="majorBidi" w:cstheme="majorBidi"/>
          <w:b w:val="0"/>
          <w:bCs w:val="0"/>
        </w:rPr>
        <w:t>sodium hydroxide (NaOH)</w:t>
      </w:r>
      <w:r>
        <w:rPr>
          <w:rFonts w:asciiTheme="majorBidi" w:hAnsiTheme="majorBidi" w:cstheme="majorBidi"/>
        </w:rPr>
        <w:t>. The chitosan–glycerin solution was transferred into molds or beak</w:t>
      </w:r>
      <w:r>
        <w:rPr>
          <w:rFonts w:asciiTheme="majorBidi" w:hAnsiTheme="majorBidi" w:cstheme="majorBidi"/>
        </w:rPr>
        <w:t>ers and NaOH solution was added dropwise along the walls of the container to avoid immediate precipitation and to promote gradual crosslinking of the polymer chains. As the pH increased, protonated amino groups in the chitosan backbone underwent deprotonat</w:t>
      </w:r>
      <w:r>
        <w:rPr>
          <w:rFonts w:asciiTheme="majorBidi" w:hAnsiTheme="majorBidi" w:cstheme="majorBidi"/>
        </w:rPr>
        <w:t>ion, resulting in polymer aggregation and the formation of a three-dimensional hydrogel matrix.</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hydrogel was allowed to stand until full gelation was achieved, after which it was rinsed gently with distilled water to remove residual acetic acid and sod</w:t>
      </w:r>
      <w:r>
        <w:rPr>
          <w:rFonts w:asciiTheme="majorBidi" w:hAnsiTheme="majorBidi" w:cstheme="majorBidi"/>
        </w:rPr>
        <w:t>ium hydroxide. The final chitosan hydrogel was stored at low temperature in a sealed container until required for the encapsulation of ginger extract.</w:t>
      </w:r>
    </w:p>
    <w:p w:rsidR="00F71930" w:rsidRDefault="00C07E53">
      <w:pPr>
        <w:pStyle w:val="Heading2"/>
        <w:spacing w:before="0"/>
        <w:jc w:val="both"/>
        <w:rPr>
          <w:rFonts w:asciiTheme="majorBidi" w:hAnsiTheme="majorBidi"/>
          <w:color w:val="auto"/>
          <w:sz w:val="24"/>
          <w:szCs w:val="24"/>
        </w:rPr>
      </w:pPr>
      <w:bookmarkStart w:id="26" w:name="_Toc216080648"/>
      <w:r>
        <w:rPr>
          <w:rStyle w:val="Strong"/>
          <w:rFonts w:asciiTheme="majorBidi" w:hAnsiTheme="majorBidi"/>
          <w:color w:val="auto"/>
          <w:sz w:val="24"/>
          <w:szCs w:val="24"/>
        </w:rPr>
        <w:t>3.5 Encapsulation of Ginger Extract in Chitosan Hydrogel</w:t>
      </w:r>
      <w:bookmarkEnd w:id="26"/>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Encapsulation of the ginger extract was performe</w:t>
      </w:r>
      <w:r>
        <w:rPr>
          <w:rFonts w:asciiTheme="majorBidi" w:hAnsiTheme="majorBidi" w:cstheme="majorBidi"/>
        </w:rPr>
        <w:t>d using a post-gelation loading technique to ensure that the hydrogel structure remained intact during incorporation of the bioactive components. This method allows diffusion-driven entrapment of phytochemicals into the preformed chitosan matrix without di</w:t>
      </w:r>
      <w:r>
        <w:rPr>
          <w:rFonts w:asciiTheme="majorBidi" w:hAnsiTheme="majorBidi" w:cstheme="majorBidi"/>
        </w:rPr>
        <w:t>srupting its polymeric network.</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previously prepared chitosan hydrogel was gently blotted to remove excess surface moisture and then cut into uniform sections to standardize loading efficiency. A measured volume of the crude methanol ginger extract was </w:t>
      </w:r>
      <w:r>
        <w:rPr>
          <w:rFonts w:asciiTheme="majorBidi" w:hAnsiTheme="majorBidi" w:cstheme="majorBidi"/>
        </w:rPr>
        <w:t>prepared at the desired concentration and placed into a clean container. The hydrogel segments were then immersed completely in the extract solution, ensuring full contact between the hydrogel surface and the extract.</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system was allowed to stand for 1 </w:t>
      </w:r>
      <w:r>
        <w:rPr>
          <w:rFonts w:asciiTheme="majorBidi" w:hAnsiTheme="majorBidi" w:cstheme="majorBidi"/>
        </w:rPr>
        <w:t>hour under gentle agitation to facilitate diffusion of phytochemicals into the hydrogel matrix. During this period, the phenolic and other polar constituents migrated into the pores of the hydrogel through capillary absorption and polymer–solute interactio</w:t>
      </w:r>
      <w:r>
        <w:rPr>
          <w:rFonts w:asciiTheme="majorBidi" w:hAnsiTheme="majorBidi" w:cstheme="majorBidi"/>
        </w:rPr>
        <w:t>ns. After loading, the hydrogel was removed from the extract solution, lightly rinsed with distilled water to eliminate loosely bound external extract, and stored at 4 °C in airtight containers to preserve stability.</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encapsulated hydrogel samples were </w:t>
      </w:r>
      <w:r>
        <w:rPr>
          <w:rFonts w:asciiTheme="majorBidi" w:hAnsiTheme="majorBidi" w:cstheme="majorBidi"/>
        </w:rPr>
        <w:t>subsequently used for antioxidant assays (DPPH and FRAP) and were compared with the free ginger extract and naïve chitosan to evaluate the effect of encapsulation on antioxidant activity.</w:t>
      </w:r>
    </w:p>
    <w:p w:rsidR="00F71930" w:rsidRDefault="00C07E53">
      <w:pPr>
        <w:pStyle w:val="Heading1"/>
        <w:jc w:val="both"/>
        <w:rPr>
          <w:szCs w:val="24"/>
        </w:rPr>
      </w:pPr>
      <w:bookmarkStart w:id="27" w:name="_Toc216080649"/>
      <w:r>
        <w:rPr>
          <w:rStyle w:val="Strong"/>
          <w:b/>
          <w:bCs w:val="0"/>
          <w:szCs w:val="24"/>
        </w:rPr>
        <w:t>3.6 Qualitative Phytochemical Screening</w:t>
      </w:r>
      <w:bookmarkEnd w:id="27"/>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Qualitative phytochemical sc</w:t>
      </w:r>
      <w:r>
        <w:rPr>
          <w:rFonts w:asciiTheme="majorBidi" w:hAnsiTheme="majorBidi" w:cstheme="majorBidi"/>
        </w:rPr>
        <w:t>reening was performed on the methanol extract of ginger using standard procedures outlined by Harborne (1998) and Trease and Evans (2002). These assays detect the major classes of secondary metabolites based on characteristic color changes or precipitate f</w:t>
      </w:r>
      <w:r>
        <w:rPr>
          <w:rFonts w:asciiTheme="majorBidi" w:hAnsiTheme="majorBidi" w:cstheme="majorBidi"/>
        </w:rPr>
        <w:t>ormation produced when the extract interacts with specific reagents. Each test is based on reproducible chemical reactions that allow identification of the phytochemical groups present in the sample. The procedures used for each parameter are described bel</w:t>
      </w:r>
      <w:r>
        <w:rPr>
          <w:rFonts w:asciiTheme="majorBidi" w:hAnsiTheme="majorBidi" w:cstheme="majorBidi"/>
        </w:rPr>
        <w:t>ow.</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28" w:name="_Toc216080650"/>
      <w:r>
        <w:rPr>
          <w:rStyle w:val="Strong"/>
          <w:rFonts w:asciiTheme="majorBidi" w:hAnsiTheme="majorBidi" w:cstheme="majorBidi"/>
          <w:b/>
          <w:bCs/>
          <w:sz w:val="24"/>
          <w:szCs w:val="24"/>
        </w:rPr>
        <w:t>3.6.1 Test for Alkaloids</w:t>
      </w:r>
      <w:bookmarkEnd w:id="28"/>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Alkaloids were examined using classical precipitation reactions involving Mayer’s reagent (potassium mercuric iodide) and Wagner’s reagent (iodine–potassium iodide). Approximately 2 mL of the ginger extract was acidified with d</w:t>
      </w:r>
      <w:r>
        <w:rPr>
          <w:rFonts w:asciiTheme="majorBidi" w:hAnsiTheme="majorBidi" w:cstheme="majorBidi"/>
        </w:rPr>
        <w:t>ilute hydrochloric acid to liberate the alkaloid salts and heated gently. The mixture was filtered and divided into two portions. Addition of Mayer’s reagent to the first portion produced a creamy or pale-yellow precipitate in the presence of alkaloids due</w:t>
      </w:r>
      <w:r>
        <w:rPr>
          <w:rFonts w:asciiTheme="majorBidi" w:hAnsiTheme="majorBidi" w:cstheme="majorBidi"/>
        </w:rPr>
        <w:t xml:space="preserve"> to the formation of insoluble alkaloid–mercuric iodide complexes. The second portion was treated with Wagner’s reagent, and the formation of a reddish-brown precipitate confirmed the presence of alkaloids. These reactions occur because alkaloids, being ba</w:t>
      </w:r>
      <w:r>
        <w:rPr>
          <w:rFonts w:asciiTheme="majorBidi" w:hAnsiTheme="majorBidi" w:cstheme="majorBidi"/>
        </w:rPr>
        <w:t>sic nitrogenous compounds, readily form ionic complexes with heavy metal reagents.</w:t>
      </w:r>
    </w:p>
    <w:p w:rsidR="00F71930" w:rsidRDefault="00F71930">
      <w:pPr>
        <w:pStyle w:val="NormalWeb"/>
        <w:spacing w:before="0" w:beforeAutospacing="0" w:after="0" w:afterAutospacing="0" w:line="480" w:lineRule="auto"/>
        <w:jc w:val="both"/>
        <w:rPr>
          <w:rFonts w:asciiTheme="majorBidi" w:hAnsiTheme="majorBidi" w:cstheme="majorBidi"/>
        </w:rPr>
      </w:pP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29" w:name="_Toc216080651"/>
      <w:r>
        <w:rPr>
          <w:rStyle w:val="Strong"/>
          <w:rFonts w:asciiTheme="majorBidi" w:hAnsiTheme="majorBidi" w:cstheme="majorBidi"/>
          <w:b/>
          <w:bCs/>
          <w:sz w:val="24"/>
          <w:szCs w:val="24"/>
        </w:rPr>
        <w:t>3.6.2 Test for Tannins</w:t>
      </w:r>
      <w:bookmarkEnd w:id="29"/>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Tannins were detected using the ferric chloride test, which relies on the ability of tannins to complex with ferric ions. A small portion of the extr</w:t>
      </w:r>
      <w:r>
        <w:rPr>
          <w:rFonts w:asciiTheme="majorBidi" w:hAnsiTheme="majorBidi" w:cstheme="majorBidi"/>
        </w:rPr>
        <w:t>act was diluted with distilled water and filtered to remove insoluble materials. A few drops of 5 percent ferric chloride solution were added. Hydrolysable tannins produced a blue–black coloration, while condensed tannins yielded a greenish or brownish col</w:t>
      </w:r>
      <w:r>
        <w:rPr>
          <w:rFonts w:asciiTheme="majorBidi" w:hAnsiTheme="majorBidi" w:cstheme="majorBidi"/>
        </w:rPr>
        <w:t>oration. The reaction is attributed to the formation of iron–phenolate complexes, which exhibit strong color changes due to electronic transitions within the aromatic ring. This test is widely used because tannins possess multiple phenolic groups capable o</w:t>
      </w:r>
      <w:r>
        <w:rPr>
          <w:rFonts w:asciiTheme="majorBidi" w:hAnsiTheme="majorBidi" w:cstheme="majorBidi"/>
        </w:rPr>
        <w:t>f binding metal ions.</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0" w:name="_Toc216080652"/>
      <w:r>
        <w:rPr>
          <w:rStyle w:val="Strong"/>
          <w:rFonts w:asciiTheme="majorBidi" w:hAnsiTheme="majorBidi" w:cstheme="majorBidi"/>
          <w:b/>
          <w:bCs/>
          <w:sz w:val="24"/>
          <w:szCs w:val="24"/>
        </w:rPr>
        <w:t>3.6.3 Test for Saponins</w:t>
      </w:r>
      <w:bookmarkEnd w:id="30"/>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Saponins were evaluated using the frothing test, which assesses the surfactant properties of these glycosides. Two milliliters of the extract were diluted with 10 mL of distilled water in a test tube and shaken</w:t>
      </w:r>
      <w:r>
        <w:rPr>
          <w:rFonts w:asciiTheme="majorBidi" w:hAnsiTheme="majorBidi" w:cstheme="majorBidi"/>
        </w:rPr>
        <w:t xml:space="preserve"> vigorously for several minutes. Persistent froth, lasting for at least two minutes and up to fifteen, indicated the presence of saponins. In some cases, a few drops of olive oil were added, and the formation of emulsion further supported a positive result</w:t>
      </w:r>
      <w:r>
        <w:rPr>
          <w:rFonts w:asciiTheme="majorBidi" w:hAnsiTheme="majorBidi" w:cstheme="majorBidi"/>
        </w:rPr>
        <w:t>. Saponins naturally decrease surface tension due to their amphiphilic structure, forming stable foams when agitated in aqueous solution.</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1" w:name="_Toc216080653"/>
      <w:r>
        <w:rPr>
          <w:rStyle w:val="Strong"/>
          <w:rFonts w:asciiTheme="majorBidi" w:hAnsiTheme="majorBidi" w:cstheme="majorBidi"/>
          <w:b/>
          <w:bCs/>
          <w:sz w:val="24"/>
          <w:szCs w:val="24"/>
        </w:rPr>
        <w:t>3.6.4 Test for Glycosides</w:t>
      </w:r>
      <w:bookmarkEnd w:id="31"/>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General glycosides were detected by assessing the liberation of reducing sugars after hydrol</w:t>
      </w:r>
      <w:r>
        <w:rPr>
          <w:rFonts w:asciiTheme="majorBidi" w:hAnsiTheme="majorBidi" w:cstheme="majorBidi"/>
        </w:rPr>
        <w:t xml:space="preserve">ysis. The extract was treated with dilute hydrochloric acid and heated in a water bath to hydrolyze glycosidic bonds. The hydrolysate was then neutralized and tested with Fehling’s or Benedict’s solution. A brick-red precipitate of cuprous oxide indicated </w:t>
      </w:r>
      <w:r>
        <w:rPr>
          <w:rFonts w:asciiTheme="majorBidi" w:hAnsiTheme="majorBidi" w:cstheme="majorBidi"/>
        </w:rPr>
        <w:t xml:space="preserve">the presence of glycosides capable of releasing reducing sugars. This method is based on the principle that glycosides consist of a sugar moiety attached to a non-sugar aglycone; upon hydrolysis, the sugar component behaves as a reducing agent in alkaline </w:t>
      </w:r>
      <w:r>
        <w:rPr>
          <w:rFonts w:asciiTheme="majorBidi" w:hAnsiTheme="majorBidi" w:cstheme="majorBidi"/>
        </w:rPr>
        <w:t>copper solutions.</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2" w:name="_Toc216080654"/>
      <w:r>
        <w:rPr>
          <w:rStyle w:val="Strong"/>
          <w:rFonts w:asciiTheme="majorBidi" w:hAnsiTheme="majorBidi" w:cstheme="majorBidi"/>
          <w:b/>
          <w:bCs/>
          <w:sz w:val="24"/>
          <w:szCs w:val="24"/>
        </w:rPr>
        <w:t>3.6.5 Test for Cardiac Glycosides</w:t>
      </w:r>
      <w:bookmarkEnd w:id="32"/>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Cardiac glycosides were screened using the Keller–Killiani test, which detects deoxysugar components within their structure. The extract was mixed with glacial acetic acid containing traces of ferric chlo</w:t>
      </w:r>
      <w:r>
        <w:rPr>
          <w:rFonts w:asciiTheme="majorBidi" w:hAnsiTheme="majorBidi" w:cstheme="majorBidi"/>
        </w:rPr>
        <w:t>ride, followed by careful layering of concentrated sulfuric acid along the test tube walls. A distinct reddish-brown ring at the interface indicated a positive reaction, while the appearance of a bluish-green color in the acetic acid layer further confirme</w:t>
      </w:r>
      <w:r>
        <w:rPr>
          <w:rFonts w:asciiTheme="majorBidi" w:hAnsiTheme="majorBidi" w:cstheme="majorBidi"/>
        </w:rPr>
        <w:t>d the presence of cardenolides. The color changes are attributed to the formation of ferric–deoxysugar complexes and dehydration reactions characteristic of cardiac glycosides.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w:t>
      </w:r>
    </w:p>
    <w:p w:rsidR="00F71930" w:rsidRDefault="00C07E53">
      <w:pPr>
        <w:pStyle w:val="Heading1"/>
        <w:jc w:val="both"/>
        <w:rPr>
          <w:szCs w:val="24"/>
        </w:rPr>
      </w:pPr>
      <w:bookmarkStart w:id="33" w:name="_Toc216080657"/>
      <w:r>
        <w:rPr>
          <w:rStyle w:val="Strong"/>
          <w:b/>
          <w:bCs w:val="0"/>
          <w:szCs w:val="24"/>
        </w:rPr>
        <w:t>3.7 Quantitative Phytochemical Analysis</w:t>
      </w:r>
      <w:bookmarkEnd w:id="33"/>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Quantitative phytochemical analysis was conducted to determine the concentrations of major bioactive constituents present in the methanol extract of ginger. These analyses were carried out using standard spectrophotometric methods widely employed in natura</w:t>
      </w:r>
      <w:r>
        <w:rPr>
          <w:rFonts w:asciiTheme="majorBidi" w:hAnsiTheme="majorBidi" w:cstheme="majorBidi"/>
        </w:rPr>
        <w:t xml:space="preserve">l product research (Harborne, 1998; Singleton </w:t>
      </w:r>
      <w:r>
        <w:rPr>
          <w:rFonts w:asciiTheme="majorBidi" w:hAnsiTheme="majorBidi" w:cstheme="majorBidi"/>
        </w:rPr>
        <w:t>and</w:t>
      </w:r>
      <w:r>
        <w:rPr>
          <w:rFonts w:asciiTheme="majorBidi" w:hAnsiTheme="majorBidi" w:cstheme="majorBidi"/>
        </w:rPr>
        <w:t xml:space="preserve"> Rossi, 1965). The assays targeted flavonoids, saponins, alkaloids, tannins, glycosides, and total phenolics. Absorbance readings were taken using a UV–Visible spectrophotometer, and concentrations were calc</w:t>
      </w:r>
      <w:r>
        <w:rPr>
          <w:rFonts w:asciiTheme="majorBidi" w:hAnsiTheme="majorBidi" w:cstheme="majorBidi"/>
        </w:rPr>
        <w:t>ulated with reference to appropriate calibration standards. Each determination was performed in triplicate, and results were expressed as mean ± standard deviation.</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4" w:name="_Toc216080659"/>
      <w:r>
        <w:rPr>
          <w:rStyle w:val="Strong"/>
          <w:rFonts w:asciiTheme="majorBidi" w:hAnsiTheme="majorBidi" w:cstheme="majorBidi"/>
          <w:b/>
          <w:bCs/>
          <w:sz w:val="24"/>
          <w:szCs w:val="24"/>
        </w:rPr>
        <w:t>3.7.2 Determination of Saponin Content</w:t>
      </w:r>
      <w:bookmarkEnd w:id="34"/>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Saponin content was quantified using the spectrophot</w:t>
      </w:r>
      <w:r>
        <w:rPr>
          <w:rFonts w:asciiTheme="majorBidi" w:hAnsiTheme="majorBidi" w:cstheme="majorBidi"/>
        </w:rPr>
        <w:t>ometric method based on vanillin–sulfuric acid color formation. This reaction produces a reddish-brown chromophore proportional to saponin concentration. A known volume of the extract was mixed with vanillin reagent and sulfuric acid, followed by incubatio</w:t>
      </w:r>
      <w:r>
        <w:rPr>
          <w:rFonts w:asciiTheme="majorBidi" w:hAnsiTheme="majorBidi" w:cstheme="majorBidi"/>
        </w:rPr>
        <w:t>n in a water bath. The absorbance of the resulting solution was measured at the appropriate wavelength. Diosgenin or similar standards are often employed for calibration. Saponin values were recorded in three common reporting units: g percent, g/g, and mg/</w:t>
      </w:r>
      <w:r>
        <w:rPr>
          <w:rFonts w:asciiTheme="majorBidi" w:hAnsiTheme="majorBidi" w:cstheme="majorBidi"/>
        </w:rPr>
        <w:t>g. The sensitivity of this assay makes it suitable for quantifying saponins even in low concentrations.</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5" w:name="_Toc216080660"/>
      <w:r>
        <w:rPr>
          <w:rStyle w:val="Strong"/>
          <w:rFonts w:asciiTheme="majorBidi" w:hAnsiTheme="majorBidi" w:cstheme="majorBidi"/>
          <w:b/>
          <w:bCs/>
          <w:sz w:val="24"/>
          <w:szCs w:val="24"/>
        </w:rPr>
        <w:t>3.7.3 Determination of Alkaloid Content</w:t>
      </w:r>
      <w:bookmarkEnd w:id="35"/>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Alkaloid concentration was estimated using the gravimetric or spectrophotometric method involving acid-base extr</w:t>
      </w:r>
      <w:r>
        <w:rPr>
          <w:rFonts w:asciiTheme="majorBidi" w:hAnsiTheme="majorBidi" w:cstheme="majorBidi"/>
        </w:rPr>
        <w:t>action. The method typically relies on transforming alkaloids into soluble salts under acidic conditions, followed by precipitation using alkaline reagents. In spectrophotometric determinations, the absorbance of the resulting alkaloid complexes is measure</w:t>
      </w:r>
      <w:r>
        <w:rPr>
          <w:rFonts w:asciiTheme="majorBidi" w:hAnsiTheme="majorBidi" w:cstheme="majorBidi"/>
        </w:rPr>
        <w:t>d at characteristic wavelengths. The concentration values—expressed in g percent, g/g, and mg/g—reflect the abundance of alkaloids within the methanol extract. Alkaloids in ginger contribute to its bioactive profile, including antioxidant and anti-inflamma</w:t>
      </w:r>
      <w:r>
        <w:rPr>
          <w:rFonts w:asciiTheme="majorBidi" w:hAnsiTheme="majorBidi" w:cstheme="majorBidi"/>
        </w:rPr>
        <w:t>tory actions.</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6" w:name="_Toc216080661"/>
      <w:r>
        <w:rPr>
          <w:rStyle w:val="Strong"/>
          <w:rFonts w:asciiTheme="majorBidi" w:hAnsiTheme="majorBidi" w:cstheme="majorBidi"/>
          <w:b/>
          <w:bCs/>
          <w:sz w:val="24"/>
          <w:szCs w:val="24"/>
        </w:rPr>
        <w:t>3.7.4 Determination of Tannin Content</w:t>
      </w:r>
      <w:bookmarkEnd w:id="36"/>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Tannin concentration was measured using the Folin–Denis spectrophotometric method or the ferric chloride method. In the Folin–Denis procedure, tannins react with phosphotungstic–phosphomolybdic acid reage</w:t>
      </w:r>
      <w:r>
        <w:rPr>
          <w:rFonts w:asciiTheme="majorBidi" w:hAnsiTheme="majorBidi" w:cstheme="majorBidi"/>
        </w:rPr>
        <w:t>nt to form a blue-colored complex whose intensity correlates with tannin concentration. Alternatively, the ferric chloride reaction forms blue–black complexes with hydrolysable tannins. Absorbance readings were taken and tannin concentration calculated usi</w:t>
      </w:r>
      <w:r>
        <w:rPr>
          <w:rFonts w:asciiTheme="majorBidi" w:hAnsiTheme="majorBidi" w:cstheme="majorBidi"/>
        </w:rPr>
        <w:t>ng standards such as tannic acid. Results were expressed in mg and mg/g. Tannins, as polyphenolic compounds, play an important role in antioxidant activity.</w:t>
      </w:r>
    </w:p>
    <w:p w:rsidR="00F71930" w:rsidRDefault="00C07E53">
      <w:pPr>
        <w:pStyle w:val="Heading3"/>
        <w:spacing w:before="0" w:beforeAutospacing="0" w:after="0" w:afterAutospacing="0" w:line="480" w:lineRule="auto"/>
        <w:jc w:val="both"/>
        <w:rPr>
          <w:rFonts w:asciiTheme="majorBidi" w:hAnsiTheme="majorBidi" w:cstheme="majorBidi"/>
          <w:sz w:val="24"/>
          <w:szCs w:val="24"/>
        </w:rPr>
      </w:pPr>
      <w:bookmarkStart w:id="37" w:name="_Toc216080662"/>
      <w:r>
        <w:rPr>
          <w:rStyle w:val="Strong"/>
          <w:rFonts w:asciiTheme="majorBidi" w:hAnsiTheme="majorBidi" w:cstheme="majorBidi"/>
          <w:b/>
          <w:bCs/>
          <w:sz w:val="24"/>
          <w:szCs w:val="24"/>
        </w:rPr>
        <w:t>3.7.5 Determination of Glycoside Content</w:t>
      </w:r>
      <w:bookmarkEnd w:id="37"/>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Glycoside content was assessed through acid hydrolysis fol</w:t>
      </w:r>
      <w:r>
        <w:rPr>
          <w:rFonts w:asciiTheme="majorBidi" w:hAnsiTheme="majorBidi" w:cstheme="majorBidi"/>
        </w:rPr>
        <w:t>lowed by spectrophotometric estimation of the released sugars. The extract was hydrolyzed using dilute hydrochloric acid to break glycosidic bonds, releasing the sugar components. The hydrolysate was then treated with alkaline copper sulfate solutions (e.g</w:t>
      </w:r>
      <w:r>
        <w:rPr>
          <w:rFonts w:asciiTheme="majorBidi" w:hAnsiTheme="majorBidi" w:cstheme="majorBidi"/>
        </w:rPr>
        <w:t>., Fehling’s or Benedict’s reagent), and the resulting absorbance was measured. Results were expressed in mg and mg/g. Although glycoside levels in ginger are typically low, their identification contributes to the phytochemical fingerprint of the extract.</w:t>
      </w:r>
    </w:p>
    <w:p w:rsidR="00F71930" w:rsidRDefault="00C07E53">
      <w:pPr>
        <w:pStyle w:val="Heading1"/>
        <w:jc w:val="both"/>
        <w:rPr>
          <w:szCs w:val="24"/>
        </w:rPr>
      </w:pPr>
      <w:bookmarkStart w:id="38" w:name="_Toc216080664"/>
      <w:r>
        <w:rPr>
          <w:rStyle w:val="Strong"/>
          <w:b/>
          <w:bCs w:val="0"/>
          <w:szCs w:val="24"/>
        </w:rPr>
        <w:t>3.8 Antioxidant Activity Assays (DPPH and FRAP)</w:t>
      </w:r>
      <w:bookmarkEnd w:id="38"/>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antioxidant activity of the ginger extract, the naïve chitosan hydrogel, and the chitosan–ginger hydrogel complex was evaluated using two complementary in vitro assays: the DPPH free radical scavenging as</w:t>
      </w:r>
      <w:r>
        <w:rPr>
          <w:rFonts w:asciiTheme="majorBidi" w:hAnsiTheme="majorBidi" w:cstheme="majorBidi"/>
        </w:rPr>
        <w:t>say and the Ferric Reducing Antioxidant Power (FRAP) assay. Both assays were performed using standard spectrophotometric methods described in prior antioxidant studies (Brand-Williams et al., 1995; Benzie &amp; Strain, 1996). All measurements were taken in tri</w:t>
      </w:r>
      <w:r>
        <w:rPr>
          <w:rFonts w:asciiTheme="majorBidi" w:hAnsiTheme="majorBidi" w:cstheme="majorBidi"/>
        </w:rPr>
        <w:t>plicate, and mean values with standard deviations were recorded to ensure reproducibility.</w:t>
      </w:r>
    </w:p>
    <w:p w:rsidR="00F71930" w:rsidRDefault="00C07E53">
      <w:pPr>
        <w:pStyle w:val="Heading2"/>
        <w:spacing w:before="0"/>
        <w:jc w:val="both"/>
        <w:rPr>
          <w:rStyle w:val="Strong"/>
          <w:rFonts w:asciiTheme="majorBidi" w:hAnsiTheme="majorBidi"/>
          <w:color w:val="auto"/>
          <w:sz w:val="24"/>
          <w:szCs w:val="24"/>
        </w:rPr>
      </w:pPr>
      <w:bookmarkStart w:id="39" w:name="_Toc216080665"/>
      <w:r>
        <w:rPr>
          <w:rStyle w:val="Strong"/>
          <w:rFonts w:asciiTheme="majorBidi" w:hAnsiTheme="majorBidi"/>
          <w:color w:val="auto"/>
          <w:sz w:val="24"/>
          <w:szCs w:val="24"/>
        </w:rPr>
        <w:t>3.8.1 DPPH Free Radical Scavenging Assay</w:t>
      </w:r>
      <w:bookmarkEnd w:id="39"/>
    </w:p>
    <w:p w:rsidR="00F71930" w:rsidRDefault="00C07E53">
      <w:pPr>
        <w:rPr>
          <w:lang w:val="en-GB"/>
        </w:rPr>
      </w:pPr>
      <w:r>
        <w:rPr>
          <w:lang w:val="en-GB"/>
        </w:rPr>
        <w:t>Principle</w:t>
      </w:r>
    </w:p>
    <w:p w:rsidR="00F71930" w:rsidRDefault="00C07E53">
      <w:pPr>
        <w:rPr>
          <w:lang w:val="en-GB"/>
        </w:rPr>
      </w:pPr>
      <w:r>
        <w:rPr>
          <w:lang w:val="en-GB"/>
        </w:rPr>
        <w:t>DPPH is a stable free radical that absorbs light at 517 nm, giving it a deep purple colour. When an antioxidant is</w:t>
      </w:r>
      <w:r>
        <w:rPr>
          <w:lang w:val="en-GB"/>
        </w:rPr>
        <w:t xml:space="preserve"> added to the DPPH solution, it donates an electron to the radical to neutralize it. As the DPPH radical is scavenged, the absorbance at 517nm decreases, and the colour change is directly proportional to the antioxidant activity of the substance.</w:t>
      </w:r>
    </w:p>
    <w:p w:rsidR="00F71930" w:rsidRDefault="00C07E53">
      <w:r>
        <w:t>Procedure</w:t>
      </w:r>
      <w:r>
        <w:t xml:space="preserve"> </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A quantity of 0.02mg of each sample (ginger extract, naïve chitosan, and chitosan–ginger hydrogel extract) and 20ml 0f methanol was added to each of these test tubes, of which replicate of different concentration was prepared from it and  mixed with the </w:t>
      </w:r>
      <w:r>
        <w:rPr>
          <w:rFonts w:asciiTheme="majorBidi" w:hAnsiTheme="majorBidi" w:cstheme="majorBidi"/>
        </w:rPr>
        <w:t>1ml of DPPH reagent in clean test tubes. The mixtures were incubated in the dark at room temperature for 30 minutes to allow complete reaction between DPPH radicals and antioxidant components present in the samples.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Absorbance was measured at </w:t>
      </w:r>
      <w:r>
        <w:rPr>
          <w:rStyle w:val="Strong"/>
          <w:rFonts w:asciiTheme="majorBidi" w:hAnsiTheme="majorBidi" w:cstheme="majorBidi"/>
          <w:b w:val="0"/>
          <w:bCs w:val="0"/>
        </w:rPr>
        <w:t>517 nm</w:t>
      </w:r>
      <w:r>
        <w:rPr>
          <w:rFonts w:asciiTheme="majorBidi" w:hAnsiTheme="majorBidi" w:cstheme="majorBidi"/>
        </w:rPr>
        <w:t xml:space="preserve"> using a UV–Visible spectrophotometer. The decrease in absorbance indicated the extent of radical scavenging. Percent inhibition was calculated using the formula below:</w:t>
      </w:r>
    </w:p>
    <w:p w:rsidR="00F71930" w:rsidRDefault="00F71930">
      <w:pPr>
        <w:pStyle w:val="NormalWeb"/>
        <w:spacing w:before="0" w:beforeAutospacing="0" w:after="0" w:afterAutospacing="0" w:line="480" w:lineRule="auto"/>
        <w:jc w:val="both"/>
        <w:rPr>
          <w:rFonts w:asciiTheme="majorBidi" w:hAnsiTheme="majorBidi" w:cstheme="majorBidi"/>
        </w:rPr>
      </w:pPr>
    </w:p>
    <w:p w:rsidR="00F71930" w:rsidRDefault="00F71930">
      <w:pPr>
        <w:pStyle w:val="NormalWeb"/>
        <w:spacing w:before="0" w:beforeAutospacing="0" w:after="0" w:afterAutospacing="0" w:line="480" w:lineRule="auto"/>
        <w:jc w:val="both"/>
        <w:rPr>
          <w:rFonts w:asciiTheme="majorBidi" w:hAnsiTheme="majorBidi" w:cstheme="majorBidi"/>
        </w:rPr>
      </w:pPr>
    </w:p>
    <w:p w:rsidR="00F71930" w:rsidRDefault="00F71930">
      <w:pPr>
        <w:pStyle w:val="NormalWeb"/>
        <w:spacing w:before="0" w:beforeAutospacing="0" w:after="0" w:afterAutospacing="0" w:line="480" w:lineRule="auto"/>
        <w:jc w:val="center"/>
        <w:rPr>
          <w:rFonts w:asciiTheme="majorBidi" w:hAnsiTheme="majorBidi" w:cstheme="majorBidi"/>
        </w:rPr>
      </w:pP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Ascorbic acid served as the reference antioxidant. </w:t>
      </w:r>
    </w:p>
    <w:p w:rsidR="00F71930" w:rsidRDefault="00F71930">
      <w:pPr>
        <w:pStyle w:val="Heading2"/>
        <w:spacing w:before="0"/>
        <w:jc w:val="both"/>
        <w:rPr>
          <w:rStyle w:val="Strong"/>
          <w:rFonts w:asciiTheme="majorBidi" w:hAnsiTheme="majorBidi"/>
          <w:color w:val="auto"/>
          <w:sz w:val="24"/>
          <w:szCs w:val="24"/>
        </w:rPr>
      </w:pPr>
      <w:bookmarkStart w:id="40" w:name="_Toc216080666"/>
    </w:p>
    <w:p w:rsidR="00F71930" w:rsidRDefault="00C07E53">
      <w:pPr>
        <w:pStyle w:val="Heading2"/>
        <w:spacing w:before="0"/>
        <w:jc w:val="both"/>
        <w:rPr>
          <w:rFonts w:asciiTheme="majorBidi" w:hAnsiTheme="majorBidi"/>
          <w:color w:val="auto"/>
          <w:sz w:val="24"/>
          <w:szCs w:val="24"/>
        </w:rPr>
      </w:pPr>
      <w:r>
        <w:rPr>
          <w:rStyle w:val="Strong"/>
          <w:rFonts w:asciiTheme="majorBidi" w:hAnsiTheme="majorBidi"/>
          <w:color w:val="auto"/>
          <w:sz w:val="24"/>
          <w:szCs w:val="24"/>
        </w:rPr>
        <w:t xml:space="preserve">3.8.2 Ferric Reducing </w:t>
      </w:r>
      <w:r>
        <w:rPr>
          <w:rStyle w:val="Strong"/>
          <w:rFonts w:asciiTheme="majorBidi" w:hAnsiTheme="majorBidi"/>
          <w:color w:val="auto"/>
          <w:sz w:val="24"/>
          <w:szCs w:val="24"/>
        </w:rPr>
        <w:t>Antioxidant Power (FRAP) Assay</w:t>
      </w:r>
      <w:bookmarkEnd w:id="40"/>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FRAP assay measures the reducing power of antioxidants based on their ability to convert ferric ions (Fe³⁺) to ferrous ions (Fe²⁺) in the presence of TPTZ (2,4,6-tripyridyl-s-triazine). The Fe²⁺–TPTZ complex forms a blue-</w:t>
      </w:r>
      <w:r>
        <w:rPr>
          <w:rFonts w:asciiTheme="majorBidi" w:hAnsiTheme="majorBidi" w:cstheme="majorBidi"/>
        </w:rPr>
        <w:t xml:space="preserve">colored chromophore that exhibits maximum absorbance at </w:t>
      </w:r>
      <w:r>
        <w:rPr>
          <w:rStyle w:val="Strong"/>
          <w:rFonts w:asciiTheme="majorBidi" w:hAnsiTheme="majorBidi" w:cstheme="majorBidi"/>
          <w:b w:val="0"/>
          <w:bCs w:val="0"/>
        </w:rPr>
        <w:t>593 nm</w:t>
      </w:r>
      <w:r>
        <w:rPr>
          <w:rFonts w:asciiTheme="majorBidi" w:hAnsiTheme="majorBidi" w:cstheme="majorBidi"/>
        </w:rPr>
        <w:t>, allowing quantification of antioxidant capacity.</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FRAP reagent was freshly prepared by mixing acetate buffer (pH 3.6), TPTZ solution, and ferric chloride in the appropriate ratios. 0.02mg o</w:t>
      </w:r>
      <w:r>
        <w:rPr>
          <w:rFonts w:asciiTheme="majorBidi" w:hAnsiTheme="majorBidi" w:cstheme="majorBidi"/>
        </w:rPr>
        <w:t xml:space="preserve">f samples were dissolved in 20ml of methanol and sample concentrations of </w:t>
      </w:r>
      <w:r>
        <w:rPr>
          <w:rStyle w:val="Strong"/>
          <w:rFonts w:asciiTheme="majorBidi" w:hAnsiTheme="majorBidi" w:cstheme="majorBidi"/>
          <w:b w:val="0"/>
          <w:bCs w:val="0"/>
        </w:rPr>
        <w:t>0.4, 0.8, 1.2, 1.6, and 2.0 mg/mL</w:t>
      </w:r>
      <w:r>
        <w:rPr>
          <w:rFonts w:asciiTheme="majorBidi" w:hAnsiTheme="majorBidi" w:cstheme="majorBidi"/>
        </w:rPr>
        <w:t xml:space="preserve"> were prepared for ginger extract, naïve chitosan, and the chitosan–ginger hydrogel to permit comparison across a range of antioxidant potentials.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Ea</w:t>
      </w:r>
      <w:r>
        <w:rPr>
          <w:rFonts w:asciiTheme="majorBidi" w:hAnsiTheme="majorBidi" w:cstheme="majorBidi"/>
        </w:rPr>
        <w:t xml:space="preserve">ch 2ml of sample solution was mixed with 2.5ml of FRAP reagent and incubated at 37 °C for 30 minutes to allow complete reduction of Fe³⁺. Absorbance was read at </w:t>
      </w:r>
      <w:r>
        <w:rPr>
          <w:rStyle w:val="Strong"/>
          <w:rFonts w:asciiTheme="majorBidi" w:hAnsiTheme="majorBidi" w:cstheme="majorBidi"/>
          <w:b w:val="0"/>
          <w:bCs w:val="0"/>
        </w:rPr>
        <w:t>593 nm</w:t>
      </w:r>
      <w:r>
        <w:rPr>
          <w:rFonts w:asciiTheme="majorBidi" w:hAnsiTheme="majorBidi" w:cstheme="majorBidi"/>
        </w:rPr>
        <w:t>. Higher absorbance values indicated stronger reducing power.</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FRAP values were quantified</w:t>
      </w:r>
      <w:r>
        <w:rPr>
          <w:rFonts w:asciiTheme="majorBidi" w:hAnsiTheme="majorBidi" w:cstheme="majorBidi"/>
        </w:rPr>
        <w:t xml:space="preserve"> using a standard calibration curve prepared from plotted from the standard solutions.</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w:t>
      </w:r>
    </w:p>
    <w:p w:rsidR="00F71930" w:rsidRDefault="00C07E53">
      <w:pPr>
        <w:jc w:val="both"/>
        <w:rPr>
          <w:rFonts w:asciiTheme="majorBidi" w:hAnsiTheme="majorBidi" w:cstheme="majorBidi"/>
          <w:szCs w:val="24"/>
        </w:rPr>
      </w:pPr>
      <w:r>
        <w:rPr>
          <w:rFonts w:asciiTheme="majorBidi" w:hAnsiTheme="majorBidi" w:cstheme="majorBidi"/>
          <w:szCs w:val="24"/>
        </w:rPr>
        <w:br w:type="page"/>
      </w:r>
    </w:p>
    <w:p w:rsidR="00F71930" w:rsidRDefault="00C07E53">
      <w:pPr>
        <w:pStyle w:val="Heading1"/>
        <w:rPr>
          <w:rStyle w:val="Strong"/>
          <w:b/>
          <w:bCs w:val="0"/>
          <w:szCs w:val="24"/>
        </w:rPr>
      </w:pPr>
      <w:bookmarkStart w:id="41" w:name="_Toc216080667"/>
      <w:r>
        <w:rPr>
          <w:rStyle w:val="Strong"/>
          <w:b/>
          <w:bCs w:val="0"/>
          <w:szCs w:val="24"/>
        </w:rPr>
        <w:t>CHAPTER FOUR:</w:t>
      </w:r>
      <w:bookmarkEnd w:id="41"/>
      <w:r>
        <w:rPr>
          <w:rStyle w:val="Strong"/>
          <w:b/>
          <w:bCs w:val="0"/>
          <w:szCs w:val="24"/>
        </w:rPr>
        <w:t xml:space="preserve"> </w:t>
      </w:r>
    </w:p>
    <w:p w:rsidR="00F71930" w:rsidRDefault="00C07E53">
      <w:pPr>
        <w:pStyle w:val="Heading1"/>
        <w:rPr>
          <w:szCs w:val="24"/>
        </w:rPr>
      </w:pPr>
      <w:bookmarkStart w:id="42" w:name="_Toc216080668"/>
      <w:r>
        <w:rPr>
          <w:rStyle w:val="Strong"/>
          <w:b/>
          <w:bCs w:val="0"/>
          <w:szCs w:val="24"/>
        </w:rPr>
        <w:t>RESULTS, DISCUSSION, CONCLUSION, AND RECOMMENDATION</w:t>
      </w:r>
      <w:bookmarkEnd w:id="42"/>
    </w:p>
    <w:p w:rsidR="00F71930" w:rsidRDefault="00C07E53">
      <w:pPr>
        <w:pStyle w:val="Heading2"/>
        <w:spacing w:before="0"/>
        <w:jc w:val="both"/>
        <w:rPr>
          <w:rStyle w:val="Strong"/>
          <w:rFonts w:asciiTheme="majorBidi" w:hAnsiTheme="majorBidi"/>
          <w:color w:val="auto"/>
          <w:sz w:val="24"/>
          <w:szCs w:val="24"/>
        </w:rPr>
      </w:pPr>
      <w:bookmarkStart w:id="43" w:name="_Toc216080669"/>
      <w:r>
        <w:rPr>
          <w:rStyle w:val="Strong"/>
          <w:rFonts w:asciiTheme="majorBidi" w:hAnsiTheme="majorBidi"/>
          <w:color w:val="auto"/>
          <w:sz w:val="24"/>
          <w:szCs w:val="24"/>
        </w:rPr>
        <w:t>4.1 Results</w:t>
      </w:r>
      <w:bookmarkEnd w:id="43"/>
      <w:r>
        <w:rPr>
          <w:rStyle w:val="Strong"/>
          <w:rFonts w:asciiTheme="majorBidi" w:hAnsiTheme="majorBidi"/>
          <w:color w:val="auto"/>
          <w:sz w:val="24"/>
          <w:szCs w:val="24"/>
        </w:rPr>
        <w:t xml:space="preserve"> </w:t>
      </w:r>
    </w:p>
    <w:p w:rsidR="00F71930" w:rsidRDefault="00C07E53">
      <w:pPr>
        <w:pStyle w:val="Heading2"/>
        <w:spacing w:before="0"/>
        <w:jc w:val="both"/>
        <w:rPr>
          <w:rStyle w:val="Strong"/>
          <w:rFonts w:asciiTheme="majorBidi" w:hAnsiTheme="majorBidi"/>
          <w:color w:val="auto"/>
          <w:sz w:val="24"/>
          <w:szCs w:val="24"/>
        </w:rPr>
      </w:pPr>
      <w:bookmarkStart w:id="44" w:name="_Toc216080670"/>
      <w:r>
        <w:rPr>
          <w:rStyle w:val="Strong"/>
          <w:rFonts w:asciiTheme="majorBidi" w:hAnsiTheme="majorBidi"/>
          <w:color w:val="auto"/>
          <w:sz w:val="24"/>
          <w:szCs w:val="24"/>
        </w:rPr>
        <w:t>4.1.1 Qualitative Phytochemical Composition of Ginger Extract</w:t>
      </w:r>
      <w:bookmarkEnd w:id="44"/>
    </w:p>
    <w:p w:rsidR="00F71930" w:rsidRDefault="00C07E53">
      <w:pPr>
        <w:rPr>
          <w:rFonts w:asciiTheme="majorBidi" w:hAnsiTheme="majorBidi" w:cstheme="majorBidi"/>
        </w:rPr>
      </w:pPr>
      <w:r>
        <w:rPr>
          <w:rFonts w:asciiTheme="majorBidi" w:hAnsiTheme="majorBidi" w:cstheme="majorBidi"/>
        </w:rPr>
        <w:t>The result of phytochem</w:t>
      </w:r>
      <w:r>
        <w:rPr>
          <w:rFonts w:asciiTheme="majorBidi" w:hAnsiTheme="majorBidi" w:cstheme="majorBidi"/>
        </w:rPr>
        <w:t>ical screening is presented in Table 4.1. The result indicated the presence of saponins, tannins, alkaloids, glycosides, cardiac glycosides, steroids, and saponin glycosides.</w:t>
      </w:r>
      <w:bookmarkStart w:id="45" w:name="_Toc216080671"/>
    </w:p>
    <w:p w:rsidR="00F71930" w:rsidRDefault="00C07E53">
      <w:pPr>
        <w:rPr>
          <w:b/>
          <w:bCs/>
        </w:rPr>
      </w:pPr>
      <w:r>
        <w:rPr>
          <w:rStyle w:val="Strong"/>
          <w:rFonts w:asciiTheme="majorBidi" w:hAnsiTheme="majorBidi" w:cstheme="majorBidi"/>
          <w:szCs w:val="24"/>
        </w:rPr>
        <w:t>Table 4.1: Qualitative Phytochemical Constituents of Ginger Extract</w:t>
      </w:r>
      <w:bookmarkEnd w:id="45"/>
    </w:p>
    <w:tbl>
      <w:tblPr>
        <w:tblW w:w="0" w:type="auto"/>
        <w:tblCellSpacing w:w="15" w:type="dxa"/>
        <w:tblInd w:w="30" w:type="dxa"/>
        <w:tblLayout w:type="fixed"/>
        <w:tblCellMar>
          <w:top w:w="15" w:type="dxa"/>
          <w:left w:w="15" w:type="dxa"/>
          <w:bottom w:w="15" w:type="dxa"/>
          <w:right w:w="15" w:type="dxa"/>
        </w:tblCellMar>
        <w:tblLook w:val="04A0" w:firstRow="1" w:lastRow="0" w:firstColumn="1" w:lastColumn="0" w:noHBand="0" w:noVBand="1"/>
      </w:tblPr>
      <w:tblGrid>
        <w:gridCol w:w="5451"/>
        <w:gridCol w:w="2723"/>
      </w:tblGrid>
      <w:tr w:rsidR="00F71930">
        <w:trPr>
          <w:trHeight w:val="447"/>
          <w:tblHeader/>
          <w:tblCellSpacing w:w="15" w:type="dxa"/>
        </w:trPr>
        <w:tc>
          <w:tcPr>
            <w:tcW w:w="5406" w:type="dxa"/>
            <w:tcBorders>
              <w:top w:val="single" w:sz="4" w:space="0" w:color="auto"/>
              <w:bottom w:val="single" w:sz="4" w:space="0" w:color="auto"/>
            </w:tcBorders>
            <w:vAlign w:val="center"/>
          </w:tcPr>
          <w:p w:rsidR="00F71930" w:rsidRDefault="00C07E53">
            <w:pPr>
              <w:spacing w:line="240" w:lineRule="auto"/>
              <w:jc w:val="both"/>
              <w:rPr>
                <w:rFonts w:asciiTheme="majorBidi" w:hAnsiTheme="majorBidi" w:cstheme="majorBidi"/>
                <w:b/>
                <w:bCs/>
                <w:szCs w:val="24"/>
              </w:rPr>
            </w:pPr>
            <w:r>
              <w:rPr>
                <w:rStyle w:val="Strong"/>
                <w:rFonts w:asciiTheme="majorBidi" w:hAnsiTheme="majorBidi" w:cstheme="majorBidi"/>
                <w:b w:val="0"/>
                <w:bCs w:val="0"/>
                <w:szCs w:val="24"/>
              </w:rPr>
              <w:t>Phytochemical</w:t>
            </w:r>
            <w:r>
              <w:rPr>
                <w:rStyle w:val="Strong"/>
                <w:rFonts w:asciiTheme="majorBidi" w:hAnsiTheme="majorBidi" w:cstheme="majorBidi"/>
                <w:b w:val="0"/>
                <w:bCs w:val="0"/>
                <w:szCs w:val="24"/>
              </w:rPr>
              <w:t xml:space="preserve"> Parameter</w:t>
            </w:r>
          </w:p>
        </w:tc>
        <w:tc>
          <w:tcPr>
            <w:tcW w:w="2678" w:type="dxa"/>
            <w:tcBorders>
              <w:top w:val="single" w:sz="4" w:space="0" w:color="auto"/>
              <w:bottom w:val="single" w:sz="4" w:space="0" w:color="auto"/>
            </w:tcBorders>
            <w:vAlign w:val="center"/>
          </w:tcPr>
          <w:p w:rsidR="00F71930" w:rsidRDefault="00C07E53">
            <w:pPr>
              <w:spacing w:line="240" w:lineRule="auto"/>
              <w:jc w:val="center"/>
              <w:rPr>
                <w:rFonts w:asciiTheme="majorBidi" w:hAnsiTheme="majorBidi" w:cstheme="majorBidi"/>
                <w:b/>
                <w:bCs/>
                <w:szCs w:val="24"/>
              </w:rPr>
            </w:pPr>
            <w:r>
              <w:rPr>
                <w:rStyle w:val="Strong"/>
                <w:rFonts w:asciiTheme="majorBidi" w:hAnsiTheme="majorBidi" w:cstheme="majorBidi"/>
                <w:b w:val="0"/>
                <w:bCs w:val="0"/>
                <w:szCs w:val="24"/>
              </w:rPr>
              <w:t>Observation</w:t>
            </w:r>
          </w:p>
        </w:tc>
      </w:tr>
      <w:tr w:rsidR="00F71930">
        <w:trPr>
          <w:trHeight w:val="463"/>
          <w:tblCellSpacing w:w="15" w:type="dxa"/>
        </w:trPr>
        <w:tc>
          <w:tcPr>
            <w:tcW w:w="5406"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Saponins</w:t>
            </w:r>
          </w:p>
        </w:tc>
        <w:tc>
          <w:tcPr>
            <w:tcW w:w="2678" w:type="dxa"/>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r w:rsidR="00F71930">
        <w:trPr>
          <w:trHeight w:val="479"/>
          <w:tblCellSpacing w:w="15" w:type="dxa"/>
        </w:trPr>
        <w:tc>
          <w:tcPr>
            <w:tcW w:w="5406"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Tannins</w:t>
            </w:r>
          </w:p>
        </w:tc>
        <w:tc>
          <w:tcPr>
            <w:tcW w:w="2678" w:type="dxa"/>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r w:rsidR="00F71930">
        <w:trPr>
          <w:trHeight w:val="463"/>
          <w:tblCellSpacing w:w="15" w:type="dxa"/>
        </w:trPr>
        <w:tc>
          <w:tcPr>
            <w:tcW w:w="5406"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Alkaloids</w:t>
            </w:r>
          </w:p>
        </w:tc>
        <w:tc>
          <w:tcPr>
            <w:tcW w:w="2678" w:type="dxa"/>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r w:rsidR="00F71930">
        <w:trPr>
          <w:trHeight w:val="463"/>
          <w:tblCellSpacing w:w="15" w:type="dxa"/>
        </w:trPr>
        <w:tc>
          <w:tcPr>
            <w:tcW w:w="5406"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Glycosides</w:t>
            </w:r>
          </w:p>
        </w:tc>
        <w:tc>
          <w:tcPr>
            <w:tcW w:w="2678" w:type="dxa"/>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r w:rsidR="00F71930">
        <w:trPr>
          <w:trHeight w:val="463"/>
          <w:tblCellSpacing w:w="15" w:type="dxa"/>
        </w:trPr>
        <w:tc>
          <w:tcPr>
            <w:tcW w:w="5406"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Cardiac glycosides</w:t>
            </w:r>
          </w:p>
        </w:tc>
        <w:tc>
          <w:tcPr>
            <w:tcW w:w="2678" w:type="dxa"/>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r w:rsidR="00F71930">
        <w:trPr>
          <w:trHeight w:val="463"/>
          <w:tblCellSpacing w:w="15" w:type="dxa"/>
        </w:trPr>
        <w:tc>
          <w:tcPr>
            <w:tcW w:w="5406"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Steroids</w:t>
            </w:r>
          </w:p>
        </w:tc>
        <w:tc>
          <w:tcPr>
            <w:tcW w:w="2678" w:type="dxa"/>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r w:rsidR="00F71930">
        <w:trPr>
          <w:trHeight w:val="463"/>
          <w:tblCellSpacing w:w="15" w:type="dxa"/>
        </w:trPr>
        <w:tc>
          <w:tcPr>
            <w:tcW w:w="5406" w:type="dxa"/>
            <w:tcBorders>
              <w:bottom w:val="single" w:sz="4" w:space="0" w:color="auto"/>
            </w:tcBorders>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Saponin glycosides</w:t>
            </w:r>
          </w:p>
        </w:tc>
        <w:tc>
          <w:tcPr>
            <w:tcW w:w="2678" w:type="dxa"/>
            <w:tcBorders>
              <w:bottom w:val="single" w:sz="4" w:space="0" w:color="auto"/>
            </w:tcBorders>
            <w:vAlign w:val="center"/>
          </w:tcPr>
          <w:p w:rsidR="00F71930" w:rsidRDefault="00C07E53">
            <w:pPr>
              <w:spacing w:line="240" w:lineRule="auto"/>
              <w:jc w:val="center"/>
              <w:rPr>
                <w:rFonts w:asciiTheme="majorBidi" w:hAnsiTheme="majorBidi" w:cstheme="majorBidi"/>
                <w:szCs w:val="24"/>
              </w:rPr>
            </w:pPr>
            <w:r>
              <w:rPr>
                <w:rFonts w:asciiTheme="majorBidi" w:hAnsiTheme="majorBidi" w:cstheme="majorBidi"/>
                <w:szCs w:val="24"/>
              </w:rPr>
              <w:t>++</w:t>
            </w:r>
          </w:p>
        </w:tc>
      </w:tr>
    </w:tbl>
    <w:p w:rsidR="00F71930" w:rsidRDefault="00C07E53">
      <w:bookmarkStart w:id="46" w:name="_Toc216080672"/>
      <w:r>
        <w:rPr>
          <w:rStyle w:val="Strong"/>
          <w:rFonts w:asciiTheme="majorBidi" w:hAnsiTheme="majorBidi" w:cstheme="majorBidi"/>
          <w:b w:val="0"/>
          <w:bCs w:val="0"/>
          <w:szCs w:val="24"/>
        </w:rPr>
        <w:t xml:space="preserve">             Key for Interpretation</w:t>
      </w:r>
      <w:bookmarkEnd w:id="46"/>
      <w:r>
        <w:rPr>
          <w:rStyle w:val="Strong"/>
          <w:rFonts w:asciiTheme="majorBidi" w:hAnsiTheme="majorBidi" w:cstheme="majorBidi"/>
          <w:b w:val="0"/>
          <w:bCs w:val="0"/>
          <w:szCs w:val="24"/>
        </w:rPr>
        <w:t xml:space="preserve">: </w:t>
      </w:r>
      <w:r>
        <w:rPr>
          <w:rStyle w:val="Strong"/>
          <w:rFonts w:asciiTheme="majorBidi" w:hAnsiTheme="majorBidi" w:cstheme="majorBidi"/>
          <w:b w:val="0"/>
          <w:bCs w:val="0"/>
        </w:rPr>
        <w:t>+++ = High, ++</w:t>
      </w:r>
      <w:r>
        <w:rPr>
          <w:b/>
          <w:bCs/>
        </w:rPr>
        <w:t xml:space="preserve"> = </w:t>
      </w:r>
      <w:r>
        <w:t>Moderate</w:t>
      </w:r>
      <w:r>
        <w:rPr>
          <w:b/>
          <w:bCs/>
        </w:rPr>
        <w:t xml:space="preserve">, </w:t>
      </w:r>
      <w:r>
        <w:rPr>
          <w:rStyle w:val="Strong"/>
          <w:rFonts w:asciiTheme="majorBidi" w:hAnsiTheme="majorBidi" w:cstheme="majorBidi"/>
          <w:b w:val="0"/>
          <w:bCs w:val="0"/>
        </w:rPr>
        <w:t>+</w:t>
      </w:r>
      <w:r>
        <w:rPr>
          <w:b/>
          <w:bCs/>
        </w:rPr>
        <w:t xml:space="preserve"> = </w:t>
      </w:r>
      <w:r>
        <w:t>Low</w:t>
      </w:r>
    </w:p>
    <w:p w:rsidR="00F71930" w:rsidRDefault="00F71930">
      <w:pPr>
        <w:rPr>
          <w:b/>
          <w:bCs/>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 w:rsidR="00F71930" w:rsidRDefault="00C07E53">
      <w:pPr>
        <w:pStyle w:val="Heading1"/>
        <w:jc w:val="both"/>
        <w:rPr>
          <w:rStyle w:val="Strong"/>
          <w:szCs w:val="24"/>
        </w:rPr>
      </w:pPr>
      <w:bookmarkStart w:id="47" w:name="_Toc216080674"/>
      <w:r>
        <w:rPr>
          <w:rStyle w:val="Strong"/>
          <w:b/>
          <w:bCs w:val="0"/>
          <w:szCs w:val="24"/>
        </w:rPr>
        <w:t>4.2 Quantitative Phytochemical Results</w:t>
      </w:r>
      <w:bookmarkEnd w:id="47"/>
      <w:r>
        <w:rPr>
          <w:rStyle w:val="Strong"/>
          <w:b/>
          <w:bCs w:val="0"/>
          <w:szCs w:val="24"/>
        </w:rPr>
        <w:t xml:space="preserve"> </w:t>
      </w:r>
      <w:bookmarkStart w:id="48" w:name="_Toc216080675"/>
    </w:p>
    <w:p w:rsidR="00F71930" w:rsidRDefault="00C07E53">
      <w:pPr>
        <w:pStyle w:val="Heading3"/>
        <w:spacing w:before="0" w:beforeAutospacing="0" w:after="0" w:afterAutospacing="0" w:line="480" w:lineRule="auto"/>
        <w:jc w:val="both"/>
        <w:rPr>
          <w:rFonts w:asciiTheme="majorBidi" w:hAnsiTheme="majorBidi" w:cstheme="majorBidi"/>
          <w:sz w:val="24"/>
          <w:szCs w:val="24"/>
        </w:rPr>
      </w:pPr>
      <w:r>
        <w:rPr>
          <w:rStyle w:val="Strong"/>
          <w:rFonts w:asciiTheme="majorBidi" w:hAnsiTheme="majorBidi" w:cstheme="majorBidi"/>
          <w:b/>
          <w:bCs/>
          <w:sz w:val="24"/>
          <w:szCs w:val="24"/>
        </w:rPr>
        <w:t xml:space="preserve">Table </w:t>
      </w:r>
      <w:r>
        <w:rPr>
          <w:rStyle w:val="Strong"/>
          <w:rFonts w:asciiTheme="majorBidi" w:hAnsiTheme="majorBidi" w:cstheme="majorBidi"/>
          <w:b/>
          <w:bCs/>
          <w:sz w:val="24"/>
          <w:szCs w:val="24"/>
        </w:rPr>
        <w:t>4.2: Quantitative Phytochemical Composition of Ginger Extract (Standard Units)</w:t>
      </w:r>
      <w:bookmarkEnd w:id="48"/>
    </w:p>
    <w:p w:rsidR="00F71930" w:rsidRDefault="00C07E53">
      <w:r>
        <w:rPr>
          <w:rFonts w:asciiTheme="majorBidi" w:hAnsiTheme="majorBidi" w:cstheme="majorBidi"/>
        </w:rPr>
        <w:t xml:space="preserve">The results indicate that the ginger extract is rich in </w:t>
      </w:r>
      <w:r>
        <w:rPr>
          <w:rStyle w:val="Strong"/>
          <w:rFonts w:asciiTheme="majorBidi" w:hAnsiTheme="majorBidi" w:cstheme="majorBidi"/>
          <w:b w:val="0"/>
          <w:bCs w:val="0"/>
        </w:rPr>
        <w:t>alkaloids and saponins,</w:t>
      </w:r>
      <w:r>
        <w:rPr>
          <w:rFonts w:asciiTheme="majorBidi" w:hAnsiTheme="majorBidi" w:cstheme="majorBidi"/>
        </w:rPr>
        <w:t xml:space="preserve"> each exceeding </w:t>
      </w:r>
      <w:r>
        <w:rPr>
          <w:rStyle w:val="Strong"/>
          <w:rFonts w:asciiTheme="majorBidi" w:hAnsiTheme="majorBidi" w:cstheme="majorBidi"/>
          <w:b w:val="0"/>
          <w:bCs w:val="0"/>
        </w:rPr>
        <w:t>150 mg/g</w:t>
      </w:r>
      <w:r>
        <w:rPr>
          <w:rFonts w:asciiTheme="majorBidi" w:hAnsiTheme="majorBidi" w:cstheme="majorBidi"/>
        </w:rPr>
        <w:t>, demonstrating a high concentration of bioactive metabolites.</w:t>
      </w:r>
    </w:p>
    <w:tbl>
      <w:tblPr>
        <w:tblW w:w="8930" w:type="dxa"/>
        <w:tblCellSpacing w:w="15" w:type="dxa"/>
        <w:tblInd w:w="30" w:type="dxa"/>
        <w:tblLayout w:type="fixed"/>
        <w:tblCellMar>
          <w:top w:w="15" w:type="dxa"/>
          <w:left w:w="15" w:type="dxa"/>
          <w:bottom w:w="15" w:type="dxa"/>
          <w:right w:w="15" w:type="dxa"/>
        </w:tblCellMar>
        <w:tblLook w:val="04A0" w:firstRow="1" w:lastRow="0" w:firstColumn="1" w:lastColumn="0" w:noHBand="0" w:noVBand="1"/>
      </w:tblPr>
      <w:tblGrid>
        <w:gridCol w:w="8930"/>
      </w:tblGrid>
      <w:tr w:rsidR="00F71930">
        <w:trPr>
          <w:trHeight w:val="834"/>
          <w:tblHeader/>
          <w:tblCellSpacing w:w="15" w:type="dxa"/>
        </w:trPr>
        <w:tc>
          <w:tcPr>
            <w:tcW w:w="8930" w:type="dxa"/>
            <w:tcBorders>
              <w:top w:val="single" w:sz="4" w:space="0" w:color="auto"/>
              <w:bottom w:val="single" w:sz="4" w:space="0" w:color="auto"/>
            </w:tcBorders>
            <w:vAlign w:val="center"/>
          </w:tcPr>
          <w:p w:rsidR="00F71930" w:rsidRDefault="00C07E53">
            <w:pPr>
              <w:spacing w:line="240" w:lineRule="auto"/>
              <w:rPr>
                <w:rFonts w:asciiTheme="majorBidi" w:hAnsiTheme="majorBidi" w:cstheme="majorBidi"/>
                <w:b/>
                <w:bCs/>
                <w:szCs w:val="24"/>
              </w:rPr>
            </w:pPr>
            <w:r>
              <w:rPr>
                <w:rStyle w:val="Strong"/>
                <w:rFonts w:asciiTheme="majorBidi" w:hAnsiTheme="majorBidi" w:cstheme="majorBidi"/>
                <w:b w:val="0"/>
                <w:bCs w:val="0"/>
                <w:szCs w:val="24"/>
              </w:rPr>
              <w:t>Phytochemic</w:t>
            </w:r>
            <w:r>
              <w:rPr>
                <w:rStyle w:val="Strong"/>
                <w:rFonts w:asciiTheme="majorBidi" w:hAnsiTheme="majorBidi" w:cstheme="majorBidi"/>
                <w:b w:val="0"/>
                <w:bCs w:val="0"/>
                <w:szCs w:val="24"/>
              </w:rPr>
              <w:t>al Parameter                                        Mean±SD</w:t>
            </w:r>
          </w:p>
        </w:tc>
      </w:tr>
      <w:tr w:rsidR="00F71930">
        <w:trPr>
          <w:trHeight w:val="871"/>
          <w:tblCellSpacing w:w="15" w:type="dxa"/>
        </w:trPr>
        <w:tc>
          <w:tcPr>
            <w:tcW w:w="8930"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 xml:space="preserve"> Saponins (mg/g)                                                     0.08 ± 0.0001</w:t>
            </w:r>
          </w:p>
        </w:tc>
      </w:tr>
      <w:tr w:rsidR="00F71930">
        <w:trPr>
          <w:trHeight w:val="864"/>
          <w:tblCellSpacing w:w="15" w:type="dxa"/>
        </w:trPr>
        <w:tc>
          <w:tcPr>
            <w:tcW w:w="8930"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Alkaloids (mg/g)                                                      216 ± 2.6</w:t>
            </w:r>
            <w:r>
              <w:rPr>
                <w:rFonts w:asciiTheme="majorBidi" w:hAnsiTheme="majorBidi" w:cstheme="majorBidi"/>
                <w:szCs w:val="24"/>
              </w:rPr>
              <w:t>000</w:t>
            </w:r>
          </w:p>
        </w:tc>
      </w:tr>
      <w:tr w:rsidR="00F71930">
        <w:trPr>
          <w:trHeight w:val="864"/>
          <w:tblCellSpacing w:w="15" w:type="dxa"/>
        </w:trPr>
        <w:tc>
          <w:tcPr>
            <w:tcW w:w="8930" w:type="dxa"/>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 xml:space="preserve">Tannins (mg/g)             </w:t>
            </w:r>
            <w:r>
              <w:rPr>
                <w:rFonts w:asciiTheme="majorBidi" w:hAnsiTheme="majorBidi" w:cstheme="majorBidi"/>
                <w:szCs w:val="24"/>
              </w:rPr>
              <w:t xml:space="preserve">                                             233 ± 0.3</w:t>
            </w:r>
            <w:r>
              <w:rPr>
                <w:rFonts w:asciiTheme="majorBidi" w:hAnsiTheme="majorBidi" w:cstheme="majorBidi"/>
                <w:szCs w:val="24"/>
              </w:rPr>
              <w:t>000</w:t>
            </w:r>
          </w:p>
        </w:tc>
      </w:tr>
      <w:tr w:rsidR="00F71930">
        <w:trPr>
          <w:trHeight w:val="864"/>
          <w:tblCellSpacing w:w="15" w:type="dxa"/>
        </w:trPr>
        <w:tc>
          <w:tcPr>
            <w:tcW w:w="8930" w:type="dxa"/>
            <w:tcBorders>
              <w:bottom w:val="single" w:sz="4" w:space="0" w:color="auto"/>
            </w:tcBorders>
            <w:vAlign w:val="center"/>
          </w:tcPr>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Glycosides (mg/g)                                                    0.00 ± 0.000</w:t>
            </w:r>
            <w:r>
              <w:rPr>
                <w:rFonts w:asciiTheme="majorBidi" w:hAnsiTheme="majorBidi" w:cstheme="majorBidi"/>
                <w:szCs w:val="24"/>
              </w:rPr>
              <w:t>1</w:t>
            </w:r>
          </w:p>
        </w:tc>
      </w:tr>
    </w:tbl>
    <w:p w:rsidR="00F71930" w:rsidRDefault="00F71930">
      <w:pPr>
        <w:pStyle w:val="Heading1"/>
        <w:jc w:val="both"/>
        <w:rPr>
          <w:rStyle w:val="Strong"/>
          <w:b/>
          <w:bCs w:val="0"/>
          <w:szCs w:val="24"/>
        </w:rPr>
      </w:pPr>
      <w:bookmarkStart w:id="49" w:name="_Toc216080677"/>
    </w:p>
    <w:p w:rsidR="00F71930" w:rsidRDefault="00F71930">
      <w:pPr>
        <w:pStyle w:val="Heading1"/>
        <w:jc w:val="both"/>
        <w:rPr>
          <w:rStyle w:val="Strong"/>
          <w:b/>
          <w:bCs w:val="0"/>
          <w:szCs w:val="24"/>
        </w:rPr>
      </w:pPr>
    </w:p>
    <w:p w:rsidR="00F71930" w:rsidRDefault="00C07E53">
      <w:pPr>
        <w:pStyle w:val="Heading1"/>
        <w:jc w:val="both"/>
        <w:rPr>
          <w:szCs w:val="24"/>
        </w:rPr>
      </w:pPr>
      <w:r>
        <w:rPr>
          <w:rStyle w:val="Strong"/>
          <w:b/>
          <w:bCs w:val="0"/>
          <w:szCs w:val="24"/>
        </w:rPr>
        <w:t>4.3 Antioxidant Activity Results (DPPH and FRAP)</w:t>
      </w:r>
      <w:bookmarkEnd w:id="49"/>
    </w:p>
    <w:p w:rsidR="00F71930" w:rsidRDefault="00C07E53">
      <w:pPr>
        <w:pStyle w:val="NormalWeb"/>
        <w:spacing w:before="0" w:beforeAutospacing="0" w:after="0" w:afterAutospacing="0" w:line="480" w:lineRule="auto"/>
        <w:jc w:val="both"/>
        <w:rPr>
          <w:rStyle w:val="Strong"/>
          <w:rFonts w:asciiTheme="majorBidi" w:hAnsiTheme="majorBidi" w:cstheme="majorBidi"/>
          <w:b w:val="0"/>
          <w:bCs w:val="0"/>
        </w:rPr>
      </w:pPr>
      <w:r>
        <w:rPr>
          <w:rFonts w:asciiTheme="majorBidi" w:hAnsiTheme="majorBidi" w:cstheme="majorBidi"/>
        </w:rPr>
        <w:t>The antioxidant activity of the ginger extract, naïve chitosan hydrogel, and the chitosan ginger hydrogel complex was evaluated using two standard in vitro assays: the DPPH free radical scavenging assay and the Ferric Reducing Antioxidant Power (FRAP) assa</w:t>
      </w:r>
      <w:r>
        <w:rPr>
          <w:rFonts w:asciiTheme="majorBidi" w:hAnsiTheme="majorBidi" w:cstheme="majorBidi"/>
        </w:rPr>
        <w:t xml:space="preserve">y. </w:t>
      </w:r>
      <w:bookmarkStart w:id="50" w:name="_Toc216080679"/>
    </w:p>
    <w:p w:rsidR="00F71930" w:rsidRDefault="00C07E53">
      <w:pPr>
        <w:pStyle w:val="Heading3"/>
        <w:spacing w:before="0" w:beforeAutospacing="0" w:after="0" w:afterAutospacing="0" w:line="480" w:lineRule="auto"/>
        <w:jc w:val="both"/>
        <w:rPr>
          <w:rStyle w:val="Strong"/>
          <w:sz w:val="24"/>
          <w:szCs w:val="24"/>
        </w:rPr>
      </w:pPr>
      <w:r>
        <w:rPr>
          <w:rStyle w:val="Strong"/>
          <w:rFonts w:asciiTheme="majorBidi" w:hAnsiTheme="majorBidi" w:cstheme="majorBidi"/>
          <w:b/>
          <w:bCs/>
          <w:sz w:val="24"/>
          <w:szCs w:val="24"/>
        </w:rPr>
        <w:t>DPPH Radical Scavenging Activity Results (%)</w:t>
      </w:r>
    </w:p>
    <w:p w:rsidR="00F71930" w:rsidRDefault="00C07E53">
      <w:pPr>
        <w:pStyle w:val="Heading3"/>
        <w:spacing w:before="0" w:beforeAutospacing="0" w:after="0" w:afterAutospacing="0" w:line="480" w:lineRule="auto"/>
        <w:jc w:val="both"/>
        <w:rPr>
          <w:rStyle w:val="Strong"/>
          <w:sz w:val="24"/>
          <w:szCs w:val="24"/>
        </w:rPr>
      </w:pPr>
      <w:r>
        <w:rPr>
          <w:rStyle w:val="Strong"/>
          <w:sz w:val="24"/>
          <w:szCs w:val="24"/>
        </w:rPr>
        <w:t>The results of the DPPH scavenging activity of the</w:t>
      </w:r>
      <w:r>
        <w:rPr>
          <w:b w:val="0"/>
          <w:bCs w:val="0"/>
          <w:sz w:val="24"/>
          <w:szCs w:val="24"/>
        </w:rPr>
        <w:t xml:space="preserve"> ginger extract, chitosan ginger, and the naïve chitosan are shown below.</w:t>
      </w:r>
      <w:r>
        <w:rPr>
          <w:rStyle w:val="Strong"/>
          <w:sz w:val="24"/>
          <w:szCs w:val="24"/>
        </w:rPr>
        <w:t xml:space="preserve"> The ginger extract and the loaded hydrogel showed statistical significance (P&lt;</w:t>
      </w:r>
      <w:r>
        <w:rPr>
          <w:rStyle w:val="Strong"/>
          <w:sz w:val="24"/>
          <w:szCs w:val="24"/>
        </w:rPr>
        <w:t>0.05) when compared with the naïve chitosan and the standard ascorbic acid.</w:t>
      </w:r>
    </w:p>
    <w:p w:rsidR="00F71930" w:rsidRDefault="00F71930"/>
    <w:p w:rsidR="00F71930" w:rsidRDefault="00C07E53">
      <w:pPr>
        <w:pStyle w:val="Heading3"/>
        <w:spacing w:before="0" w:beforeAutospacing="0" w:after="0" w:afterAutospacing="0" w:line="480" w:lineRule="auto"/>
        <w:jc w:val="both"/>
        <w:rPr>
          <w:rFonts w:asciiTheme="majorBidi" w:hAnsiTheme="majorBidi" w:cstheme="majorBidi"/>
          <w:sz w:val="24"/>
          <w:szCs w:val="24"/>
        </w:rPr>
      </w:pPr>
      <w:r>
        <w:rPr>
          <w:rStyle w:val="Strong"/>
          <w:rFonts w:asciiTheme="majorBidi" w:hAnsiTheme="majorBidi" w:cstheme="majorBidi"/>
          <w:b/>
          <w:bCs/>
          <w:sz w:val="24"/>
          <w:szCs w:val="24"/>
        </w:rPr>
        <w:t>Table 4.3.1: DPPH Radical Scavenging Activity (%)</w:t>
      </w:r>
      <w:bookmarkEnd w:id="50"/>
    </w:p>
    <w:tbl>
      <w:tblPr>
        <w:tblpPr w:leftFromText="180" w:rightFromText="180" w:vertAnchor="text" w:horzAnchor="margin" w:tblpY="350"/>
        <w:tblW w:w="8347"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5369"/>
        <w:gridCol w:w="2978"/>
      </w:tblGrid>
      <w:tr w:rsidR="00F71930">
        <w:trPr>
          <w:trHeight w:val="718"/>
          <w:tblHeader/>
          <w:tblCellSpacing w:w="15" w:type="dxa"/>
        </w:trPr>
        <w:tc>
          <w:tcPr>
            <w:tcW w:w="5382" w:type="dxa"/>
            <w:tcBorders>
              <w:top w:val="single" w:sz="4" w:space="0" w:color="auto"/>
              <w:bottom w:val="single" w:sz="4" w:space="0" w:color="auto"/>
            </w:tcBorders>
            <w:vAlign w:val="center"/>
          </w:tcPr>
          <w:p w:rsidR="00F71930" w:rsidRDefault="00C07E53">
            <w:pPr>
              <w:jc w:val="both"/>
              <w:rPr>
                <w:rFonts w:asciiTheme="majorBidi" w:hAnsiTheme="majorBidi" w:cstheme="majorBidi"/>
                <w:b/>
                <w:bCs/>
                <w:szCs w:val="24"/>
              </w:rPr>
            </w:pPr>
            <w:r>
              <w:rPr>
                <w:rStyle w:val="Strong"/>
                <w:rFonts w:asciiTheme="majorBidi" w:hAnsiTheme="majorBidi" w:cstheme="majorBidi"/>
                <w:szCs w:val="24"/>
              </w:rPr>
              <w:t>Sample</w:t>
            </w:r>
          </w:p>
        </w:tc>
        <w:tc>
          <w:tcPr>
            <w:tcW w:w="2965" w:type="dxa"/>
            <w:tcBorders>
              <w:top w:val="single" w:sz="4" w:space="0" w:color="auto"/>
              <w:bottom w:val="single" w:sz="4" w:space="0" w:color="auto"/>
            </w:tcBorders>
            <w:vAlign w:val="center"/>
          </w:tcPr>
          <w:p w:rsidR="00F71930" w:rsidRDefault="00C07E53">
            <w:pPr>
              <w:jc w:val="both"/>
              <w:rPr>
                <w:rFonts w:asciiTheme="majorBidi" w:hAnsiTheme="majorBidi" w:cstheme="majorBidi"/>
                <w:b/>
                <w:bCs/>
                <w:szCs w:val="24"/>
              </w:rPr>
            </w:pPr>
            <w:r>
              <w:rPr>
                <w:rStyle w:val="Strong"/>
                <w:rFonts w:asciiTheme="majorBidi" w:hAnsiTheme="majorBidi" w:cstheme="majorBidi"/>
                <w:szCs w:val="24"/>
              </w:rPr>
              <w:t>% Inhibition</w:t>
            </w:r>
          </w:p>
        </w:tc>
      </w:tr>
      <w:tr w:rsidR="00F71930">
        <w:trPr>
          <w:trHeight w:val="718"/>
          <w:tblCellSpacing w:w="15" w:type="dxa"/>
        </w:trPr>
        <w:tc>
          <w:tcPr>
            <w:tcW w:w="5382" w:type="dxa"/>
            <w:vAlign w:val="center"/>
          </w:tcPr>
          <w:p w:rsidR="00F71930" w:rsidRDefault="00C07E53">
            <w:pPr>
              <w:jc w:val="both"/>
              <w:rPr>
                <w:rFonts w:asciiTheme="majorBidi" w:hAnsiTheme="majorBidi" w:cstheme="majorBidi"/>
                <w:szCs w:val="24"/>
              </w:rPr>
            </w:pPr>
            <w:r>
              <w:rPr>
                <w:rFonts w:asciiTheme="majorBidi" w:hAnsiTheme="majorBidi" w:cstheme="majorBidi"/>
                <w:szCs w:val="24"/>
              </w:rPr>
              <w:t>Ginger Extract</w:t>
            </w:r>
          </w:p>
        </w:tc>
        <w:tc>
          <w:tcPr>
            <w:tcW w:w="2965" w:type="dxa"/>
            <w:vAlign w:val="center"/>
          </w:tcPr>
          <w:p w:rsidR="00F71930" w:rsidRDefault="00C07E53">
            <w:pPr>
              <w:rPr>
                <w:rFonts w:asciiTheme="majorBidi" w:hAnsiTheme="majorBidi" w:cstheme="majorBidi"/>
                <w:szCs w:val="24"/>
              </w:rPr>
            </w:pPr>
            <w:r>
              <w:rPr>
                <w:rFonts w:asciiTheme="majorBidi" w:hAnsiTheme="majorBidi" w:cstheme="majorBidi"/>
                <w:szCs w:val="24"/>
              </w:rPr>
              <w:t xml:space="preserve"> 97.09 ± 0.46</w:t>
            </w:r>
            <w:r>
              <w:rPr>
                <w:rFonts w:asciiTheme="majorBidi" w:hAnsiTheme="majorBidi" w:cstheme="majorBidi"/>
                <w:szCs w:val="24"/>
              </w:rPr>
              <w:t>00a</w:t>
            </w:r>
          </w:p>
        </w:tc>
      </w:tr>
      <w:tr w:rsidR="00F71930">
        <w:trPr>
          <w:trHeight w:val="734"/>
          <w:tblCellSpacing w:w="15" w:type="dxa"/>
        </w:trPr>
        <w:tc>
          <w:tcPr>
            <w:tcW w:w="5382" w:type="dxa"/>
            <w:vAlign w:val="center"/>
          </w:tcPr>
          <w:p w:rsidR="00F71930" w:rsidRDefault="00C07E53">
            <w:pPr>
              <w:jc w:val="both"/>
              <w:rPr>
                <w:rFonts w:asciiTheme="majorBidi" w:hAnsiTheme="majorBidi" w:cstheme="majorBidi"/>
                <w:szCs w:val="24"/>
              </w:rPr>
            </w:pPr>
            <w:r>
              <w:rPr>
                <w:rFonts w:asciiTheme="majorBidi" w:hAnsiTheme="majorBidi" w:cstheme="majorBidi"/>
                <w:szCs w:val="24"/>
              </w:rPr>
              <w:t>Naïve Chitosan</w:t>
            </w:r>
          </w:p>
        </w:tc>
        <w:tc>
          <w:tcPr>
            <w:tcW w:w="2965" w:type="dxa"/>
            <w:vAlign w:val="center"/>
          </w:tcPr>
          <w:p w:rsidR="00F71930" w:rsidRDefault="00C07E53">
            <w:pPr>
              <w:rPr>
                <w:rFonts w:asciiTheme="majorBidi" w:hAnsiTheme="majorBidi" w:cstheme="majorBidi"/>
                <w:szCs w:val="24"/>
              </w:rPr>
            </w:pPr>
            <w:r>
              <w:rPr>
                <w:rFonts w:asciiTheme="majorBidi" w:hAnsiTheme="majorBidi" w:cstheme="majorBidi"/>
                <w:szCs w:val="24"/>
              </w:rPr>
              <w:t xml:space="preserve"> 94.61 ± 0.1774c</w:t>
            </w:r>
          </w:p>
        </w:tc>
      </w:tr>
      <w:tr w:rsidR="00F71930">
        <w:trPr>
          <w:trHeight w:val="718"/>
          <w:tblCellSpacing w:w="15" w:type="dxa"/>
        </w:trPr>
        <w:tc>
          <w:tcPr>
            <w:tcW w:w="5382" w:type="dxa"/>
            <w:vAlign w:val="center"/>
          </w:tcPr>
          <w:p w:rsidR="00F71930" w:rsidRDefault="00C07E53">
            <w:pPr>
              <w:jc w:val="both"/>
              <w:rPr>
                <w:rFonts w:asciiTheme="majorBidi" w:hAnsiTheme="majorBidi" w:cstheme="majorBidi"/>
                <w:szCs w:val="24"/>
              </w:rPr>
            </w:pPr>
            <w:r>
              <w:rPr>
                <w:rFonts w:asciiTheme="majorBidi" w:hAnsiTheme="majorBidi" w:cstheme="majorBidi"/>
                <w:szCs w:val="24"/>
              </w:rPr>
              <w:t>Chitosan + Ginger</w:t>
            </w:r>
          </w:p>
        </w:tc>
        <w:tc>
          <w:tcPr>
            <w:tcW w:w="2965" w:type="dxa"/>
            <w:vAlign w:val="center"/>
          </w:tcPr>
          <w:p w:rsidR="00F71930" w:rsidRDefault="00C07E53">
            <w:pPr>
              <w:rPr>
                <w:rFonts w:asciiTheme="majorBidi" w:hAnsiTheme="majorBidi" w:cstheme="majorBidi"/>
                <w:szCs w:val="24"/>
              </w:rPr>
            </w:pPr>
            <w:r>
              <w:rPr>
                <w:rFonts w:asciiTheme="majorBidi" w:hAnsiTheme="majorBidi" w:cstheme="majorBidi"/>
                <w:szCs w:val="24"/>
              </w:rPr>
              <w:t xml:space="preserve"> 96.25 ± 0.2247b</w:t>
            </w:r>
          </w:p>
        </w:tc>
      </w:tr>
      <w:tr w:rsidR="00F71930">
        <w:trPr>
          <w:trHeight w:val="734"/>
          <w:tblCellSpacing w:w="15" w:type="dxa"/>
        </w:trPr>
        <w:tc>
          <w:tcPr>
            <w:tcW w:w="5382" w:type="dxa"/>
            <w:tcBorders>
              <w:bottom w:val="single" w:sz="4" w:space="0" w:color="auto"/>
            </w:tcBorders>
            <w:vAlign w:val="center"/>
          </w:tcPr>
          <w:p w:rsidR="00F71930" w:rsidRDefault="00C07E53">
            <w:pPr>
              <w:jc w:val="both"/>
              <w:rPr>
                <w:rFonts w:asciiTheme="majorBidi" w:hAnsiTheme="majorBidi" w:cstheme="majorBidi"/>
                <w:szCs w:val="24"/>
              </w:rPr>
            </w:pPr>
            <w:r>
              <w:rPr>
                <w:rFonts w:asciiTheme="majorBidi" w:hAnsiTheme="majorBidi" w:cstheme="majorBidi"/>
                <w:szCs w:val="24"/>
              </w:rPr>
              <w:t>Ascorbic Acid (Standard)</w:t>
            </w:r>
          </w:p>
        </w:tc>
        <w:tc>
          <w:tcPr>
            <w:tcW w:w="2965" w:type="dxa"/>
            <w:tcBorders>
              <w:bottom w:val="single" w:sz="4" w:space="0" w:color="auto"/>
            </w:tcBorders>
            <w:vAlign w:val="center"/>
          </w:tcPr>
          <w:p w:rsidR="00F71930" w:rsidRDefault="00C07E53">
            <w:pPr>
              <w:rPr>
                <w:rFonts w:asciiTheme="majorBidi" w:hAnsiTheme="majorBidi" w:cstheme="majorBidi"/>
                <w:szCs w:val="24"/>
              </w:rPr>
            </w:pPr>
            <w:r>
              <w:rPr>
                <w:rFonts w:asciiTheme="majorBidi" w:hAnsiTheme="majorBidi" w:cstheme="majorBidi"/>
                <w:szCs w:val="24"/>
              </w:rPr>
              <w:t xml:space="preserve"> 94.91 ± 0.1168c</w:t>
            </w:r>
          </w:p>
        </w:tc>
      </w:tr>
    </w:tbl>
    <w:p w:rsidR="00F71930" w:rsidRDefault="00F71930"/>
    <w:p w:rsidR="00F71930" w:rsidRDefault="00F71930"/>
    <w:p w:rsidR="00F71930" w:rsidRDefault="00F71930">
      <w:pPr>
        <w:pStyle w:val="Heading3"/>
        <w:spacing w:before="0" w:beforeAutospacing="0" w:after="0" w:afterAutospacing="0" w:line="480" w:lineRule="auto"/>
        <w:rPr>
          <w:rStyle w:val="Strong"/>
          <w:rFonts w:asciiTheme="majorBidi" w:hAnsiTheme="majorBidi" w:cstheme="majorBidi"/>
          <w:sz w:val="20"/>
          <w:szCs w:val="20"/>
        </w:rPr>
      </w:pPr>
    </w:p>
    <w:p w:rsidR="00F71930" w:rsidRDefault="00F71930">
      <w:pPr>
        <w:pStyle w:val="Heading3"/>
        <w:spacing w:before="0" w:beforeAutospacing="0" w:after="0" w:afterAutospacing="0" w:line="480" w:lineRule="auto"/>
        <w:jc w:val="center"/>
        <w:rPr>
          <w:rStyle w:val="Strong"/>
          <w:rFonts w:asciiTheme="majorBidi" w:hAnsiTheme="majorBidi" w:cstheme="majorBidi"/>
          <w:sz w:val="20"/>
          <w:szCs w:val="20"/>
        </w:rPr>
      </w:pPr>
    </w:p>
    <w:p w:rsidR="00F71930" w:rsidRDefault="00F71930">
      <w:pPr>
        <w:pStyle w:val="Heading3"/>
        <w:spacing w:before="0" w:beforeAutospacing="0" w:after="0" w:afterAutospacing="0" w:line="480" w:lineRule="auto"/>
        <w:jc w:val="center"/>
        <w:rPr>
          <w:rStyle w:val="Strong"/>
          <w:rFonts w:asciiTheme="majorBidi" w:hAnsiTheme="majorBidi" w:cstheme="majorBidi"/>
          <w:sz w:val="20"/>
          <w:szCs w:val="20"/>
        </w:rPr>
      </w:pPr>
    </w:p>
    <w:p w:rsidR="00F71930" w:rsidRDefault="00F71930">
      <w:pPr>
        <w:pStyle w:val="Heading3"/>
        <w:spacing w:before="0" w:beforeAutospacing="0" w:after="0" w:afterAutospacing="0" w:line="480" w:lineRule="auto"/>
        <w:jc w:val="center"/>
        <w:rPr>
          <w:rStyle w:val="Strong"/>
          <w:rFonts w:asciiTheme="majorBidi" w:hAnsiTheme="majorBidi" w:cstheme="majorBidi"/>
          <w:sz w:val="20"/>
          <w:szCs w:val="20"/>
        </w:rPr>
      </w:pPr>
    </w:p>
    <w:p w:rsidR="00F71930" w:rsidRDefault="00F71930">
      <w:pPr>
        <w:pStyle w:val="Heading3"/>
        <w:spacing w:before="0" w:beforeAutospacing="0" w:after="0" w:afterAutospacing="0" w:line="480" w:lineRule="auto"/>
        <w:rPr>
          <w:rStyle w:val="Strong"/>
          <w:rFonts w:asciiTheme="majorBidi" w:hAnsiTheme="majorBidi" w:cstheme="majorBidi"/>
          <w:sz w:val="20"/>
          <w:szCs w:val="20"/>
        </w:rPr>
      </w:pPr>
    </w:p>
    <w:p w:rsidR="00F71930" w:rsidRDefault="00F71930">
      <w:pPr>
        <w:pStyle w:val="Heading3"/>
        <w:spacing w:before="0" w:beforeAutospacing="0" w:after="0" w:afterAutospacing="0" w:line="480" w:lineRule="auto"/>
        <w:jc w:val="center"/>
        <w:rPr>
          <w:rStyle w:val="Strong"/>
          <w:rFonts w:asciiTheme="majorBidi" w:hAnsiTheme="majorBidi" w:cstheme="majorBidi"/>
          <w:sz w:val="20"/>
          <w:szCs w:val="20"/>
        </w:rPr>
      </w:pPr>
    </w:p>
    <w:p w:rsidR="00F71930" w:rsidRDefault="00F71930">
      <w:pPr>
        <w:pStyle w:val="NormalWeb"/>
        <w:spacing w:before="0" w:beforeAutospacing="0" w:after="0" w:afterAutospacing="0" w:line="480" w:lineRule="auto"/>
        <w:jc w:val="both"/>
        <w:rPr>
          <w:rFonts w:asciiTheme="majorBidi" w:hAnsiTheme="majorBidi" w:cstheme="majorBidi"/>
        </w:rPr>
      </w:pPr>
    </w:p>
    <w:p w:rsidR="00F71930" w:rsidRDefault="00C07E53">
      <w:pPr>
        <w:jc w:val="both"/>
        <w:rPr>
          <w:rFonts w:cs="Times New Roman"/>
        </w:rPr>
      </w:pPr>
      <w:bookmarkStart w:id="51" w:name="_Toc216080681"/>
      <w:r>
        <w:rPr>
          <w:rStyle w:val="Strong"/>
          <w:rFonts w:asciiTheme="majorBidi" w:hAnsiTheme="majorBidi"/>
          <w:b w:val="0"/>
          <w:bCs w:val="0"/>
          <w:szCs w:val="24"/>
        </w:rPr>
        <w:t>Values with different letters indicate statistical significance (p&lt;0.05) using</w:t>
      </w:r>
      <w:r>
        <w:rPr>
          <w:rFonts w:cs="Times New Roman"/>
          <w:b/>
          <w:bCs/>
        </w:rPr>
        <w:t xml:space="preserve"> </w:t>
      </w:r>
      <w:r>
        <w:rPr>
          <w:rFonts w:cs="Times New Roman"/>
        </w:rPr>
        <w:t>one-way ANOVA, followed by Tukey-Kramer post hoc tests.</w:t>
      </w:r>
    </w:p>
    <w:p w:rsidR="00F71930" w:rsidRDefault="00F71930">
      <w:pPr>
        <w:pStyle w:val="Heading2"/>
        <w:spacing w:before="0"/>
        <w:jc w:val="both"/>
        <w:rPr>
          <w:rStyle w:val="Strong"/>
          <w:rFonts w:asciiTheme="majorBidi" w:hAnsiTheme="majorBidi"/>
          <w:b w:val="0"/>
          <w:bCs w:val="0"/>
          <w:color w:val="auto"/>
          <w:sz w:val="24"/>
          <w:szCs w:val="24"/>
        </w:rPr>
      </w:pPr>
    </w:p>
    <w:p w:rsidR="00F71930" w:rsidRDefault="00F71930"/>
    <w:p w:rsidR="00F71930" w:rsidRDefault="00F71930"/>
    <w:p w:rsidR="00F71930" w:rsidRDefault="00F71930"/>
    <w:p w:rsidR="00F71930" w:rsidRDefault="00F71930">
      <w:pPr>
        <w:pStyle w:val="Heading2"/>
        <w:spacing w:before="0"/>
        <w:jc w:val="both"/>
        <w:rPr>
          <w:rStyle w:val="Strong"/>
          <w:rFonts w:asciiTheme="majorBidi" w:hAnsiTheme="majorBidi"/>
          <w:color w:val="auto"/>
          <w:sz w:val="24"/>
          <w:szCs w:val="24"/>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 w:rsidR="00F71930" w:rsidRDefault="00F71930">
      <w:pPr>
        <w:pStyle w:val="Heading2"/>
        <w:spacing w:before="0"/>
        <w:jc w:val="both"/>
        <w:rPr>
          <w:rStyle w:val="Strong"/>
          <w:rFonts w:asciiTheme="majorBidi" w:hAnsiTheme="majorBidi"/>
          <w:color w:val="auto"/>
          <w:sz w:val="24"/>
          <w:szCs w:val="24"/>
        </w:rPr>
      </w:pPr>
    </w:p>
    <w:p w:rsidR="00F71930" w:rsidRDefault="00C07E53">
      <w:pPr>
        <w:pStyle w:val="Heading2"/>
        <w:spacing w:before="0"/>
        <w:jc w:val="both"/>
        <w:rPr>
          <w:rStyle w:val="Strong"/>
          <w:rFonts w:asciiTheme="majorBidi" w:hAnsiTheme="majorBidi"/>
          <w:color w:val="auto"/>
          <w:sz w:val="24"/>
          <w:szCs w:val="24"/>
        </w:rPr>
      </w:pPr>
      <w:r>
        <w:rPr>
          <w:rStyle w:val="Strong"/>
          <w:rFonts w:asciiTheme="majorBidi" w:hAnsiTheme="majorBidi"/>
          <w:color w:val="auto"/>
          <w:sz w:val="24"/>
          <w:szCs w:val="24"/>
        </w:rPr>
        <w:t>4.3.2 Ferric Reducing Antioxidant Power (FRAP)</w:t>
      </w:r>
      <w:bookmarkEnd w:id="51"/>
      <w:r>
        <w:rPr>
          <w:rStyle w:val="Strong"/>
          <w:rFonts w:asciiTheme="majorBidi" w:hAnsiTheme="majorBidi"/>
          <w:color w:val="auto"/>
          <w:sz w:val="24"/>
          <w:szCs w:val="24"/>
        </w:rPr>
        <w:t xml:space="preserve"> Results </w:t>
      </w:r>
    </w:p>
    <w:p w:rsidR="00F71930" w:rsidRDefault="00C07E53">
      <w:r>
        <w:t>The results of FRAP assays for the ginger extract, chitosan ginger, and the naïve chitosan is across different concentrations are shown in Figure 2. At both lower and higher concentrations of the test, the ginger extract has (P&lt;0.05) significant higher FRA</w:t>
      </w:r>
      <w:r>
        <w:t xml:space="preserve">P values compared to the naïve chitosan and the chitosan loaded with ginger. </w:t>
      </w:r>
    </w:p>
    <w:p w:rsidR="00F71930" w:rsidRDefault="00C07E53">
      <w:r>
        <w:rPr>
          <w:noProof/>
        </w:rPr>
        <w:drawing>
          <wp:inline distT="0" distB="0" distL="0" distR="0">
            <wp:extent cx="5695950" cy="2695575"/>
            <wp:effectExtent l="0" t="0" r="0" b="9525"/>
            <wp:docPr id="21023171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71930" w:rsidRDefault="00F71930">
      <w:pPr>
        <w:pStyle w:val="Heading3"/>
        <w:spacing w:before="0" w:beforeAutospacing="0" w:after="0" w:afterAutospacing="0" w:line="480" w:lineRule="auto"/>
        <w:jc w:val="both"/>
        <w:rPr>
          <w:rStyle w:val="Strong"/>
          <w:rFonts w:asciiTheme="majorBidi" w:hAnsiTheme="majorBidi" w:cstheme="majorBidi"/>
          <w:b/>
          <w:bCs/>
          <w:sz w:val="24"/>
          <w:szCs w:val="24"/>
        </w:rPr>
      </w:pPr>
      <w:bookmarkStart w:id="52" w:name="_Toc216080682"/>
    </w:p>
    <w:p w:rsidR="00F71930" w:rsidRDefault="00C07E53">
      <w:r>
        <w:t>Figure 2: FRAP scavenging activity</w:t>
      </w:r>
    </w:p>
    <w:p w:rsidR="00F71930" w:rsidRDefault="00F71930"/>
    <w:p w:rsidR="00F71930" w:rsidRDefault="00F71930"/>
    <w:p w:rsidR="00F71930" w:rsidRDefault="00F71930"/>
    <w:p w:rsidR="00F71930" w:rsidRDefault="00F71930"/>
    <w:bookmarkEnd w:id="52"/>
    <w:p w:rsidR="00F71930" w:rsidRDefault="00F71930">
      <w:pPr>
        <w:rPr>
          <w:rStyle w:val="Strong"/>
          <w:rFonts w:asciiTheme="majorBidi" w:eastAsia="Times New Roman" w:hAnsiTheme="majorBidi" w:cstheme="majorBidi"/>
          <w:kern w:val="0"/>
          <w:szCs w:val="24"/>
        </w:rPr>
      </w:pP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w:t>
      </w:r>
    </w:p>
    <w:p w:rsidR="00F71930" w:rsidRDefault="00C07E53">
      <w:pPr>
        <w:pStyle w:val="Heading2"/>
        <w:spacing w:before="0"/>
        <w:jc w:val="both"/>
        <w:rPr>
          <w:rFonts w:asciiTheme="majorBidi" w:hAnsiTheme="majorBidi"/>
          <w:color w:val="auto"/>
          <w:sz w:val="24"/>
          <w:szCs w:val="24"/>
        </w:rPr>
      </w:pPr>
      <w:bookmarkStart w:id="53" w:name="_Toc216080686"/>
      <w:r>
        <w:rPr>
          <w:rStyle w:val="Strong"/>
          <w:rFonts w:asciiTheme="majorBidi" w:hAnsiTheme="majorBidi"/>
          <w:color w:val="auto"/>
          <w:sz w:val="24"/>
          <w:szCs w:val="24"/>
        </w:rPr>
        <w:t>4.4 Discussion</w:t>
      </w:r>
      <w:bookmarkEnd w:id="53"/>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results align with and extend existing literature on the phytochemical richness and antioxidant potential of </w:t>
      </w:r>
      <w:r>
        <w:rPr>
          <w:rStyle w:val="Emphasis"/>
          <w:rFonts w:asciiTheme="majorBidi" w:hAnsiTheme="majorBidi" w:cstheme="majorBidi"/>
        </w:rPr>
        <w:t>Zingi</w:t>
      </w:r>
      <w:r>
        <w:rPr>
          <w:rStyle w:val="Emphasis"/>
          <w:rFonts w:asciiTheme="majorBidi" w:hAnsiTheme="majorBidi" w:cstheme="majorBidi"/>
        </w:rPr>
        <w:t>ber officinale</w:t>
      </w:r>
      <w:r>
        <w:rPr>
          <w:rFonts w:asciiTheme="majorBidi" w:hAnsiTheme="majorBidi" w:cstheme="majorBidi"/>
        </w:rPr>
        <w:t xml:space="preserve">. The high levels of phenolics, alkaloids, and saponins observed in the ginger extract support earlier reports by Olatunde </w:t>
      </w:r>
      <w:r>
        <w:rPr>
          <w:rFonts w:asciiTheme="majorBidi" w:hAnsiTheme="majorBidi" w:cstheme="majorBidi"/>
          <w:i/>
          <w:iCs/>
        </w:rPr>
        <w:t>et al,</w:t>
      </w:r>
      <w:r>
        <w:rPr>
          <w:rFonts w:asciiTheme="majorBidi" w:hAnsiTheme="majorBidi" w:cstheme="majorBidi"/>
        </w:rPr>
        <w:t xml:space="preserve"> (2021), who similarly noted that methanol extracts yield a broad spectrum of antioxidant-rich phytochemicals and</w:t>
      </w:r>
      <w:r>
        <w:rPr>
          <w:rFonts w:asciiTheme="majorBidi" w:hAnsiTheme="majorBidi" w:cstheme="majorBidi"/>
        </w:rPr>
        <w:t xml:space="preserve"> ginger has high concentration of bioactive compounds attributed to its nutritional and therapeutic effects. The strong presence of phenolics, which serve as potent electron donors and radical scavengers, is consistent with the elevated antioxidant activit</w:t>
      </w:r>
      <w:r>
        <w:rPr>
          <w:rFonts w:asciiTheme="majorBidi" w:hAnsiTheme="majorBidi" w:cstheme="majorBidi"/>
        </w:rPr>
        <w:t>y demonstrated in this study.</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highly significant antioxidant activities of the free ginger extract is comparable to findings by Akinyemi </w:t>
      </w:r>
      <w:r>
        <w:rPr>
          <w:rFonts w:asciiTheme="majorBidi" w:hAnsiTheme="majorBidi" w:cstheme="majorBidi"/>
          <w:i/>
          <w:iCs/>
        </w:rPr>
        <w:t>et al, (</w:t>
      </w:r>
      <w:r>
        <w:rPr>
          <w:rFonts w:asciiTheme="majorBidi" w:hAnsiTheme="majorBidi" w:cstheme="majorBidi"/>
        </w:rPr>
        <w:t>2022), who reported over 90 percent radical-scavenging activity in methanolic ginger extracts. This suggest</w:t>
      </w:r>
      <w:r>
        <w:rPr>
          <w:rFonts w:asciiTheme="majorBidi" w:hAnsiTheme="majorBidi" w:cstheme="majorBidi"/>
        </w:rPr>
        <w:t xml:space="preserve">s that ginger’s antioxidant potential is strongly conserved across different geographic sources and preparation methods. </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 The lower values of antioxidant activity in the loaded hydrogel when compared with the ginger extract, as seen in Figure 2, have also</w:t>
      </w:r>
      <w:r>
        <w:rPr>
          <w:rFonts w:asciiTheme="majorBidi" w:hAnsiTheme="majorBidi" w:cstheme="majorBidi"/>
        </w:rPr>
        <w:t xml:space="preserve"> been observed in other encapsulation studies. Rodrigues </w:t>
      </w:r>
      <w:r>
        <w:rPr>
          <w:rFonts w:asciiTheme="majorBidi" w:hAnsiTheme="majorBidi" w:cstheme="majorBidi"/>
          <w:i/>
          <w:iCs/>
        </w:rPr>
        <w:t>et al.,</w:t>
      </w:r>
      <w:r>
        <w:rPr>
          <w:rFonts w:asciiTheme="majorBidi" w:hAnsiTheme="majorBidi" w:cstheme="majorBidi"/>
        </w:rPr>
        <w:t xml:space="preserve"> (2022) reported that encapsulating phenolic-rich extracts often results in reduced immediate antioxidant activity, which is likely due to slow or poor drug release of the extract from the hyd</w:t>
      </w:r>
      <w:r>
        <w:rPr>
          <w:rFonts w:asciiTheme="majorBidi" w:hAnsiTheme="majorBidi" w:cstheme="majorBidi"/>
        </w:rPr>
        <w:t>rogel or due to restricted diffusion of the antioxidant compounds in the chitosan hydrogel imposed by the polymeric matrix. However, they noted that encapsulation enhances stability, protects bioactive compounds from oxidation, and sustains antioxidant rel</w:t>
      </w:r>
      <w:r>
        <w:rPr>
          <w:rFonts w:asciiTheme="majorBidi" w:hAnsiTheme="majorBidi" w:cstheme="majorBidi"/>
        </w:rPr>
        <w:t>ease over longer periods. The similarity between this pattern and the results of the present work supports the conclusion that encapsulation into chitosan hydrogels preserves functional compounds while moderating their instantaneous activity.</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 </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Additionall</w:t>
      </w:r>
      <w:r>
        <w:rPr>
          <w:rFonts w:asciiTheme="majorBidi" w:hAnsiTheme="majorBidi" w:cstheme="majorBidi"/>
        </w:rPr>
        <w:t xml:space="preserve">y, the moderate but notable antioxidant activity of naïve chitosan observed in this study confirms earlier reports that chitosan itself possesses intrinsic antioxidant properties. Goy </w:t>
      </w:r>
      <w:r>
        <w:rPr>
          <w:rFonts w:asciiTheme="majorBidi" w:hAnsiTheme="majorBidi" w:cstheme="majorBidi"/>
          <w:i/>
          <w:iCs/>
        </w:rPr>
        <w:t>et al.,</w:t>
      </w:r>
      <w:r>
        <w:rPr>
          <w:rFonts w:asciiTheme="majorBidi" w:hAnsiTheme="majorBidi" w:cstheme="majorBidi"/>
        </w:rPr>
        <w:t xml:space="preserve"> (2016) and Singh </w:t>
      </w:r>
      <w:r>
        <w:rPr>
          <w:rFonts w:asciiTheme="majorBidi" w:hAnsiTheme="majorBidi" w:cstheme="majorBidi"/>
          <w:i/>
          <w:iCs/>
        </w:rPr>
        <w:t>et al,</w:t>
      </w:r>
      <w:r>
        <w:rPr>
          <w:rFonts w:asciiTheme="majorBidi" w:hAnsiTheme="majorBidi" w:cstheme="majorBidi"/>
        </w:rPr>
        <w:t xml:space="preserve"> (2023) proposed that the amino groups in chitosan can donate electrons or chelate pro-oxidant metal ions, contributing to observable reducing power. This explains why the naïve hydrogel exhibited measurable DPPH inhibition and FRAP activity independent of</w:t>
      </w:r>
      <w:r>
        <w:rPr>
          <w:rFonts w:asciiTheme="majorBidi" w:hAnsiTheme="majorBidi" w:cstheme="majorBidi"/>
        </w:rPr>
        <w:t xml:space="preserve"> ginger.</w:t>
      </w:r>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Moreover, the retention of high DPPH inhibition (96.25%) and FRAP values in the encapsulated extract agrees with studies by Ahmed and Ikram (2017), who demonstrated that chitosan-based hydrogels are effective carriers for maintaining the biologica</w:t>
      </w:r>
      <w:r>
        <w:rPr>
          <w:rFonts w:asciiTheme="majorBidi" w:hAnsiTheme="majorBidi" w:cstheme="majorBidi"/>
        </w:rPr>
        <w:t>l activity of encapsulated plant extracts. The present findings, therefore, reaffirm chitosan’s suitability as a biocompatible encapsulation matrix capable of maintaining antioxidant integrity.</w:t>
      </w:r>
    </w:p>
    <w:p w:rsidR="00F71930" w:rsidRDefault="00C07E53">
      <w:pPr>
        <w:pStyle w:val="Heading2"/>
        <w:spacing w:before="0"/>
        <w:jc w:val="both"/>
        <w:rPr>
          <w:rStyle w:val="Strong"/>
          <w:rFonts w:asciiTheme="majorBidi" w:hAnsiTheme="majorBidi"/>
          <w:color w:val="auto"/>
          <w:sz w:val="24"/>
          <w:szCs w:val="24"/>
        </w:rPr>
      </w:pPr>
      <w:bookmarkStart w:id="54" w:name="_Toc216080687"/>
      <w:r>
        <w:rPr>
          <w:rStyle w:val="Strong"/>
          <w:rFonts w:asciiTheme="majorBidi" w:hAnsiTheme="majorBidi"/>
          <w:color w:val="auto"/>
          <w:sz w:val="24"/>
          <w:szCs w:val="24"/>
        </w:rPr>
        <w:t xml:space="preserve"> </w:t>
      </w:r>
      <w:bookmarkStart w:id="55" w:name="_Toc216080688"/>
      <w:bookmarkEnd w:id="54"/>
    </w:p>
    <w:p w:rsidR="00F71930" w:rsidRDefault="00F71930">
      <w:pPr>
        <w:pStyle w:val="Heading2"/>
        <w:spacing w:before="0"/>
        <w:jc w:val="both"/>
        <w:rPr>
          <w:rStyle w:val="Strong"/>
          <w:rFonts w:asciiTheme="majorBidi" w:hAnsiTheme="majorBidi"/>
          <w:color w:val="auto"/>
          <w:sz w:val="24"/>
          <w:szCs w:val="24"/>
        </w:rPr>
      </w:pPr>
    </w:p>
    <w:p w:rsidR="00F71930" w:rsidRDefault="00F71930"/>
    <w:p w:rsidR="00F71930" w:rsidRDefault="00F71930">
      <w:pPr>
        <w:pStyle w:val="Heading2"/>
        <w:spacing w:before="0"/>
        <w:jc w:val="both"/>
        <w:rPr>
          <w:rStyle w:val="Strong"/>
          <w:rFonts w:asciiTheme="majorBidi" w:hAnsiTheme="majorBidi"/>
          <w:color w:val="auto"/>
          <w:sz w:val="24"/>
          <w:szCs w:val="24"/>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 w:rsidR="00F71930" w:rsidRDefault="00F71930">
      <w:pPr>
        <w:pStyle w:val="Heading2"/>
        <w:spacing w:before="0"/>
        <w:jc w:val="both"/>
        <w:rPr>
          <w:rStyle w:val="Strong"/>
          <w:rFonts w:asciiTheme="majorBidi" w:hAnsiTheme="majorBidi"/>
          <w:color w:val="auto"/>
          <w:sz w:val="24"/>
          <w:szCs w:val="24"/>
        </w:rPr>
      </w:pPr>
    </w:p>
    <w:p w:rsidR="00F71930" w:rsidRDefault="00F71930">
      <w:pPr>
        <w:pStyle w:val="Heading2"/>
        <w:spacing w:before="0"/>
        <w:jc w:val="both"/>
        <w:rPr>
          <w:rStyle w:val="Strong"/>
          <w:rFonts w:asciiTheme="majorBidi" w:hAnsiTheme="majorBidi"/>
          <w:color w:val="auto"/>
          <w:sz w:val="24"/>
          <w:szCs w:val="24"/>
        </w:rPr>
      </w:pPr>
    </w:p>
    <w:p w:rsidR="00F71930" w:rsidRDefault="00F71930"/>
    <w:p w:rsidR="00F71930" w:rsidRDefault="00C07E53">
      <w:pPr>
        <w:pStyle w:val="Heading2"/>
        <w:spacing w:before="0"/>
        <w:jc w:val="both"/>
        <w:rPr>
          <w:rFonts w:asciiTheme="majorBidi" w:hAnsiTheme="majorBidi"/>
          <w:color w:val="auto"/>
          <w:sz w:val="24"/>
          <w:szCs w:val="24"/>
        </w:rPr>
      </w:pPr>
      <w:r>
        <w:rPr>
          <w:rStyle w:val="Strong"/>
          <w:rFonts w:asciiTheme="majorBidi" w:hAnsiTheme="majorBidi"/>
          <w:color w:val="auto"/>
          <w:sz w:val="24"/>
          <w:szCs w:val="24"/>
        </w:rPr>
        <w:t>4.5 Conclusion</w:t>
      </w:r>
      <w:bookmarkEnd w:id="55"/>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study concludes that </w:t>
      </w:r>
      <w:r>
        <w:rPr>
          <w:rFonts w:asciiTheme="majorBidi" w:hAnsiTheme="majorBidi" w:cstheme="majorBidi"/>
        </w:rPr>
        <w:t>methanol-extracted ginger is a potent source of antioxidant phytochemicals, with significant radical scavenging and reducing capabilities attributable to its abundant alkaloids, saponins, and phenolic compounds. Encapsulation of ginger extract into a chito</w:t>
      </w:r>
      <w:r>
        <w:rPr>
          <w:rFonts w:asciiTheme="majorBidi" w:hAnsiTheme="majorBidi" w:cstheme="majorBidi"/>
        </w:rPr>
        <w:t>san hydrogel matrix effectively preserved these bioactive components, maintaining relatively strong antioxidant activity. These findings affirm the potential of chitosan hydrogels as natural, biocompatible carriers for plant-based antioxidants, suitable fo</w:t>
      </w:r>
      <w:r>
        <w:rPr>
          <w:rFonts w:asciiTheme="majorBidi" w:hAnsiTheme="majorBidi" w:cstheme="majorBidi"/>
        </w:rPr>
        <w:t>r applications in food preservation, nutraceutical delivery, and biomedical formulations requiring controlled release or enhanced stability.</w:t>
      </w:r>
    </w:p>
    <w:p w:rsidR="00F71930" w:rsidRDefault="00C07E53">
      <w:pPr>
        <w:pStyle w:val="Heading2"/>
        <w:spacing w:before="0"/>
        <w:jc w:val="both"/>
        <w:rPr>
          <w:rFonts w:asciiTheme="majorBidi" w:hAnsiTheme="majorBidi"/>
          <w:color w:val="auto"/>
          <w:sz w:val="24"/>
          <w:szCs w:val="24"/>
        </w:rPr>
      </w:pPr>
      <w:bookmarkStart w:id="56" w:name="_Toc216080689"/>
      <w:r>
        <w:rPr>
          <w:rStyle w:val="Strong"/>
          <w:rFonts w:asciiTheme="majorBidi" w:hAnsiTheme="majorBidi"/>
          <w:color w:val="auto"/>
          <w:sz w:val="24"/>
          <w:szCs w:val="24"/>
        </w:rPr>
        <w:t>4.6 Recommendations</w:t>
      </w:r>
      <w:bookmarkEnd w:id="56"/>
    </w:p>
    <w:p w:rsidR="00F71930" w:rsidRDefault="00C07E53">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Based on the findings of this work, it is recommended that:</w:t>
      </w:r>
    </w:p>
    <w:p w:rsidR="00F71930" w:rsidRDefault="00C07E53">
      <w:pPr>
        <w:pStyle w:val="NormalWeb"/>
        <w:numPr>
          <w:ilvl w:val="0"/>
          <w:numId w:val="2"/>
        </w:numPr>
        <w:spacing w:before="0" w:beforeAutospacing="0" w:after="0" w:afterAutospacing="0" w:line="480" w:lineRule="auto"/>
        <w:jc w:val="both"/>
        <w:rPr>
          <w:rFonts w:asciiTheme="majorBidi" w:hAnsiTheme="majorBidi" w:cstheme="majorBidi"/>
        </w:rPr>
      </w:pPr>
      <w:r>
        <w:rPr>
          <w:rFonts w:asciiTheme="majorBidi" w:hAnsiTheme="majorBidi" w:cstheme="majorBidi"/>
        </w:rPr>
        <w:t>Future studies explore the long-ter</w:t>
      </w:r>
      <w:r>
        <w:rPr>
          <w:rFonts w:asciiTheme="majorBidi" w:hAnsiTheme="majorBidi" w:cstheme="majorBidi"/>
        </w:rPr>
        <w:t>m stability of ginger-loaded chitosan hydrogels under varying storage conditions to understand how encapsulation influences degradation over time. It would be beneficial to assess the release kinetics of phenolic compounds from the hydrogel matrix to deter</w:t>
      </w:r>
      <w:r>
        <w:rPr>
          <w:rFonts w:asciiTheme="majorBidi" w:hAnsiTheme="majorBidi" w:cstheme="majorBidi"/>
        </w:rPr>
        <w:t xml:space="preserve">mine whether the reduced antioxidant values observed in vitro translate into sustained activity. </w:t>
      </w:r>
    </w:p>
    <w:p w:rsidR="00F71930" w:rsidRDefault="00C07E53">
      <w:pPr>
        <w:pStyle w:val="NormalWeb"/>
        <w:numPr>
          <w:ilvl w:val="0"/>
          <w:numId w:val="2"/>
        </w:numPr>
        <w:spacing w:before="0" w:beforeAutospacing="0" w:after="0" w:afterAutospacing="0" w:line="480" w:lineRule="auto"/>
        <w:jc w:val="both"/>
        <w:rPr>
          <w:rFonts w:asciiTheme="majorBidi" w:hAnsiTheme="majorBidi" w:cstheme="majorBidi"/>
        </w:rPr>
      </w:pPr>
      <w:r>
        <w:rPr>
          <w:rFonts w:asciiTheme="majorBidi" w:hAnsiTheme="majorBidi" w:cstheme="majorBidi"/>
        </w:rPr>
        <w:t>Scaling the encapsulation process for food or pharmaceutical applications should be considered to evaluate industrial feasibility, and the incorporation of cr</w:t>
      </w:r>
      <w:r>
        <w:rPr>
          <w:rFonts w:asciiTheme="majorBidi" w:hAnsiTheme="majorBidi" w:cstheme="majorBidi"/>
        </w:rPr>
        <w:t xml:space="preserve">osslinking enhancers or nanoparticle reinforcements may further improve encapsulation efficiency. </w:t>
      </w:r>
    </w:p>
    <w:p w:rsidR="00F71930" w:rsidRDefault="00C07E53">
      <w:pPr>
        <w:pStyle w:val="NormalWeb"/>
        <w:numPr>
          <w:ilvl w:val="0"/>
          <w:numId w:val="2"/>
        </w:numPr>
        <w:spacing w:before="0" w:beforeAutospacing="0" w:after="0" w:afterAutospacing="0" w:line="480" w:lineRule="auto"/>
        <w:jc w:val="both"/>
        <w:rPr>
          <w:rFonts w:asciiTheme="majorBidi" w:hAnsiTheme="majorBidi" w:cstheme="majorBidi"/>
        </w:rPr>
      </w:pPr>
      <w:r>
        <w:rPr>
          <w:rFonts w:asciiTheme="majorBidi" w:hAnsiTheme="majorBidi" w:cstheme="majorBidi"/>
        </w:rPr>
        <w:t>Additional in vivo or cell-based assays would provide deeper insight into the biological relevance of the encapsulated extract and determine whether chitosan</w:t>
      </w:r>
      <w:r>
        <w:rPr>
          <w:rFonts w:asciiTheme="majorBidi" w:hAnsiTheme="majorBidi" w:cstheme="majorBidi"/>
        </w:rPr>
        <w:t xml:space="preserve"> hydrogels improve bioavailability compared to free ginger extract.</w:t>
      </w:r>
    </w:p>
    <w:p w:rsidR="00F71930" w:rsidRDefault="00C07E53">
      <w:pPr>
        <w:pStyle w:val="Heading1"/>
      </w:pPr>
      <w:r>
        <w:rPr>
          <w:szCs w:val="24"/>
        </w:rPr>
        <w:br w:type="page"/>
      </w:r>
      <w:bookmarkStart w:id="57" w:name="_Toc216080690"/>
      <w:r>
        <w:t>References</w:t>
      </w:r>
      <w:bookmarkEnd w:id="57"/>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Ahmed, S., &amp; Ikram, S. (2017). Chitosan and its derivatives: A review of recent innovations. </w:t>
      </w:r>
      <w:r>
        <w:rPr>
          <w:rFonts w:asciiTheme="majorBidi" w:hAnsiTheme="majorBidi" w:cstheme="majorBidi"/>
          <w:i/>
          <w:iCs/>
          <w:szCs w:val="24"/>
        </w:rPr>
        <w:t>International Journal of Pharmaceutical Sciences and Research</w:t>
      </w:r>
      <w:r>
        <w:rPr>
          <w:rFonts w:asciiTheme="majorBidi" w:hAnsiTheme="majorBidi" w:cstheme="majorBidi"/>
          <w:szCs w:val="24"/>
        </w:rPr>
        <w:t xml:space="preserve">, </w:t>
      </w:r>
      <w:r>
        <w:rPr>
          <w:rFonts w:asciiTheme="majorBidi" w:hAnsiTheme="majorBidi" w:cstheme="majorBidi"/>
          <w:i/>
          <w:iCs/>
          <w:szCs w:val="24"/>
        </w:rPr>
        <w:t>8</w:t>
      </w:r>
      <w:r>
        <w:rPr>
          <w:rFonts w:asciiTheme="majorBidi" w:hAnsiTheme="majorBidi" w:cstheme="majorBidi"/>
          <w:szCs w:val="24"/>
        </w:rPr>
        <w:t>(6), 2542–2551.</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Ali</w:t>
      </w:r>
      <w:r>
        <w:rPr>
          <w:rFonts w:asciiTheme="majorBidi" w:hAnsiTheme="majorBidi" w:cstheme="majorBidi"/>
          <w:szCs w:val="24"/>
        </w:rPr>
        <w:t>, B. H., Blunden, G., Tanira, M. O., &amp; Nemmar, A. (2008). Some phytochemical, pharmacological, and toxicological aspects of ginger (</w:t>
      </w:r>
      <w:r>
        <w:rPr>
          <w:rFonts w:asciiTheme="majorBidi" w:hAnsiTheme="majorBidi" w:cstheme="majorBidi"/>
          <w:i/>
          <w:iCs/>
          <w:szCs w:val="24"/>
        </w:rPr>
        <w:t>Zingiber officinale</w:t>
      </w:r>
      <w:r>
        <w:rPr>
          <w:rFonts w:asciiTheme="majorBidi" w:hAnsiTheme="majorBidi" w:cstheme="majorBidi"/>
          <w:szCs w:val="24"/>
        </w:rPr>
        <w:t xml:space="preserve"> Roscoe): A review of recent research. </w:t>
      </w:r>
      <w:r>
        <w:rPr>
          <w:rFonts w:asciiTheme="majorBidi" w:hAnsiTheme="majorBidi" w:cstheme="majorBidi"/>
          <w:i/>
          <w:iCs/>
          <w:szCs w:val="24"/>
        </w:rPr>
        <w:t>Food and Chemical Toxicology</w:t>
      </w:r>
      <w:r>
        <w:rPr>
          <w:rFonts w:asciiTheme="majorBidi" w:hAnsiTheme="majorBidi" w:cstheme="majorBidi"/>
          <w:szCs w:val="24"/>
        </w:rPr>
        <w:t xml:space="preserve">, </w:t>
      </w:r>
      <w:r>
        <w:rPr>
          <w:rFonts w:asciiTheme="majorBidi" w:hAnsiTheme="majorBidi" w:cstheme="majorBidi"/>
          <w:i/>
          <w:iCs/>
          <w:szCs w:val="24"/>
        </w:rPr>
        <w:t>46</w:t>
      </w:r>
      <w:r>
        <w:rPr>
          <w:rFonts w:asciiTheme="majorBidi" w:hAnsiTheme="majorBidi" w:cstheme="majorBidi"/>
          <w:szCs w:val="24"/>
        </w:rPr>
        <w:t xml:space="preserve">(2), 409–420. </w:t>
      </w:r>
      <w:hyperlink r:id="rId12" w:tgtFrame="_blank" w:history="1">
        <w:r>
          <w:rPr>
            <w:rStyle w:val="Hyperlink"/>
            <w:rFonts w:asciiTheme="majorBidi" w:hAnsiTheme="majorBidi" w:cstheme="majorBidi"/>
            <w:szCs w:val="24"/>
          </w:rPr>
          <w:t>https://doi.org/10.1016/j.fct.2008.01.028</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Antunes, J. C., Domingues, M. R. M., &amp;</w:t>
      </w:r>
      <w:r>
        <w:rPr>
          <w:rFonts w:asciiTheme="majorBidi" w:hAnsiTheme="majorBidi" w:cstheme="majorBidi"/>
          <w:szCs w:val="24"/>
        </w:rPr>
        <w:t xml:space="preserve"> Pintado, M. (2021). Bioactivity of chitosan-based particles loaded with plant-derived extracts for biomedical applications: Emphasis on antimicrobial fiber-based systems. </w:t>
      </w:r>
      <w:r>
        <w:rPr>
          <w:rFonts w:asciiTheme="majorBidi" w:hAnsiTheme="majorBidi" w:cstheme="majorBidi"/>
          <w:i/>
          <w:iCs/>
          <w:szCs w:val="24"/>
        </w:rPr>
        <w:t>Marine Drugs</w:t>
      </w:r>
      <w:r>
        <w:rPr>
          <w:rFonts w:asciiTheme="majorBidi" w:hAnsiTheme="majorBidi" w:cstheme="majorBidi"/>
          <w:szCs w:val="24"/>
        </w:rPr>
        <w:t xml:space="preserve">, </w:t>
      </w:r>
      <w:r>
        <w:rPr>
          <w:rFonts w:asciiTheme="majorBidi" w:hAnsiTheme="majorBidi" w:cstheme="majorBidi"/>
          <w:i/>
          <w:iCs/>
          <w:szCs w:val="24"/>
        </w:rPr>
        <w:t>19</w:t>
      </w:r>
      <w:r>
        <w:rPr>
          <w:rFonts w:asciiTheme="majorBidi" w:hAnsiTheme="majorBidi" w:cstheme="majorBidi"/>
          <w:szCs w:val="24"/>
        </w:rPr>
        <w:t xml:space="preserve">(7), 359. </w:t>
      </w:r>
      <w:hyperlink r:id="rId13" w:tgtFrame="_blank" w:history="1">
        <w:r>
          <w:rPr>
            <w:rStyle w:val="Hyperlink"/>
            <w:rFonts w:asciiTheme="majorBidi" w:hAnsiTheme="majorBidi" w:cstheme="majorBidi"/>
            <w:szCs w:val="24"/>
          </w:rPr>
          <w:t>https://doi.org/10.3390/md19070359</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Ayustaningwarno, F., Anjani, N., &amp; Kusuma, W. H. (2024). A critical review of ginger’s (</w:t>
      </w:r>
      <w:r>
        <w:rPr>
          <w:rFonts w:asciiTheme="majorBidi" w:hAnsiTheme="majorBidi" w:cstheme="majorBidi"/>
          <w:i/>
          <w:iCs/>
          <w:szCs w:val="24"/>
        </w:rPr>
        <w:t>Zingiber officinale</w:t>
      </w:r>
      <w:r>
        <w:rPr>
          <w:rFonts w:asciiTheme="majorBidi" w:hAnsiTheme="majorBidi" w:cstheme="majorBidi"/>
          <w:szCs w:val="24"/>
        </w:rPr>
        <w:t xml:space="preserve">) antioxidant and immunomodulatory properties. </w:t>
      </w:r>
      <w:r>
        <w:rPr>
          <w:rFonts w:asciiTheme="majorBidi" w:hAnsiTheme="majorBidi" w:cstheme="majorBidi"/>
          <w:i/>
          <w:iCs/>
          <w:szCs w:val="24"/>
        </w:rPr>
        <w:t>Frontiers in Nutrition</w:t>
      </w:r>
      <w:r>
        <w:rPr>
          <w:rFonts w:asciiTheme="majorBidi" w:hAnsiTheme="majorBidi" w:cstheme="majorBidi"/>
          <w:szCs w:val="24"/>
        </w:rPr>
        <w:t xml:space="preserve">, </w:t>
      </w:r>
      <w:r>
        <w:rPr>
          <w:rFonts w:asciiTheme="majorBidi" w:hAnsiTheme="majorBidi" w:cstheme="majorBidi"/>
          <w:i/>
          <w:iCs/>
          <w:szCs w:val="24"/>
        </w:rPr>
        <w:t>11</w:t>
      </w:r>
      <w:r>
        <w:rPr>
          <w:rFonts w:asciiTheme="majorBidi" w:hAnsiTheme="majorBidi" w:cstheme="majorBidi"/>
          <w:szCs w:val="24"/>
        </w:rPr>
        <w:t xml:space="preserve">, Article 1364836. </w:t>
      </w:r>
      <w:hyperlink r:id="rId14" w:tgtFrame="_blank" w:history="1">
        <w:r>
          <w:rPr>
            <w:rStyle w:val="Hyperlink"/>
            <w:rFonts w:asciiTheme="majorBidi" w:hAnsiTheme="majorBidi" w:cstheme="majorBidi"/>
            <w:szCs w:val="24"/>
          </w:rPr>
          <w:t>https://doi.org/10.3389/fnut.2024.1364836</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Benzie, I. F., &amp; Strain, J. J. (1996). The ferric reducing ability of plasma (FRAP) as a measure of “antioxidant power”: The FRAP assay. </w:t>
      </w:r>
      <w:r>
        <w:rPr>
          <w:rFonts w:asciiTheme="majorBidi" w:hAnsiTheme="majorBidi" w:cstheme="majorBidi"/>
          <w:i/>
          <w:iCs/>
          <w:szCs w:val="24"/>
        </w:rPr>
        <w:t>Analytical Biochemistry</w:t>
      </w:r>
      <w:r>
        <w:rPr>
          <w:rFonts w:asciiTheme="majorBidi" w:hAnsiTheme="majorBidi" w:cstheme="majorBidi"/>
          <w:szCs w:val="24"/>
        </w:rPr>
        <w:t>,</w:t>
      </w:r>
      <w:r>
        <w:rPr>
          <w:rFonts w:asciiTheme="majorBidi" w:hAnsiTheme="majorBidi" w:cstheme="majorBidi"/>
          <w:szCs w:val="24"/>
        </w:rPr>
        <w:t xml:space="preserve"> </w:t>
      </w:r>
      <w:r>
        <w:rPr>
          <w:rFonts w:asciiTheme="majorBidi" w:hAnsiTheme="majorBidi" w:cstheme="majorBidi"/>
          <w:i/>
          <w:iCs/>
          <w:szCs w:val="24"/>
        </w:rPr>
        <w:t>239</w:t>
      </w:r>
      <w:r>
        <w:rPr>
          <w:rFonts w:asciiTheme="majorBidi" w:hAnsiTheme="majorBidi" w:cstheme="majorBidi"/>
          <w:szCs w:val="24"/>
        </w:rPr>
        <w:t xml:space="preserve">(1), 70–76. </w:t>
      </w:r>
      <w:hyperlink r:id="rId15" w:tgtFrame="_blank" w:history="1">
        <w:r>
          <w:rPr>
            <w:rStyle w:val="Hyperlink"/>
            <w:rFonts w:asciiTheme="majorBidi" w:hAnsiTheme="majorBidi" w:cstheme="majorBidi"/>
            <w:szCs w:val="24"/>
          </w:rPr>
          <w:t>https://doi.org/10.1006/abio.1996.0292</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Brand-Williams, W., Cuvelier, M. E., &amp; Berset, C. (1995). Use of a free radical method to evaluate antioxidant activity. </w:t>
      </w:r>
      <w:r>
        <w:rPr>
          <w:rFonts w:asciiTheme="majorBidi" w:hAnsiTheme="majorBidi" w:cstheme="majorBidi"/>
          <w:i/>
          <w:iCs/>
          <w:szCs w:val="24"/>
        </w:rPr>
        <w:t>LWT — Food Sc</w:t>
      </w:r>
      <w:r>
        <w:rPr>
          <w:rFonts w:asciiTheme="majorBidi" w:hAnsiTheme="majorBidi" w:cstheme="majorBidi"/>
          <w:i/>
          <w:iCs/>
          <w:szCs w:val="24"/>
        </w:rPr>
        <w:t>ience and Technology</w:t>
      </w:r>
      <w:r>
        <w:rPr>
          <w:rFonts w:asciiTheme="majorBidi" w:hAnsiTheme="majorBidi" w:cstheme="majorBidi"/>
          <w:szCs w:val="24"/>
        </w:rPr>
        <w:t xml:space="preserve">, </w:t>
      </w:r>
      <w:r>
        <w:rPr>
          <w:rFonts w:asciiTheme="majorBidi" w:hAnsiTheme="majorBidi" w:cstheme="majorBidi"/>
          <w:i/>
          <w:iCs/>
          <w:szCs w:val="24"/>
        </w:rPr>
        <w:t>28</w:t>
      </w:r>
      <w:r>
        <w:rPr>
          <w:rFonts w:asciiTheme="majorBidi" w:hAnsiTheme="majorBidi" w:cstheme="majorBidi"/>
          <w:szCs w:val="24"/>
        </w:rPr>
        <w:t xml:space="preserve">(1), 25–30. </w:t>
      </w:r>
      <w:hyperlink r:id="rId16" w:tgtFrame="_blank" w:history="1">
        <w:r>
          <w:rPr>
            <w:rStyle w:val="Hyperlink"/>
            <w:rFonts w:asciiTheme="majorBidi" w:hAnsiTheme="majorBidi" w:cstheme="majorBidi"/>
            <w:szCs w:val="24"/>
          </w:rPr>
          <w:t>https://doi.org/10.1016/S0023-6438(95)80008-5</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Chicea, D. (2024). A review of chitosan-based materials for biomedical applications. </w:t>
      </w:r>
      <w:r>
        <w:rPr>
          <w:rFonts w:asciiTheme="majorBidi" w:hAnsiTheme="majorBidi" w:cstheme="majorBidi"/>
          <w:i/>
          <w:iCs/>
          <w:szCs w:val="24"/>
        </w:rPr>
        <w:t>Materials</w:t>
      </w:r>
      <w:r>
        <w:rPr>
          <w:rFonts w:asciiTheme="majorBidi" w:hAnsiTheme="majorBidi" w:cstheme="majorBidi"/>
          <w:szCs w:val="24"/>
        </w:rPr>
        <w:t xml:space="preserve">, </w:t>
      </w:r>
      <w:r>
        <w:rPr>
          <w:rFonts w:asciiTheme="majorBidi" w:hAnsiTheme="majorBidi" w:cstheme="majorBidi"/>
          <w:i/>
          <w:iCs/>
          <w:szCs w:val="24"/>
        </w:rPr>
        <w:t>17</w:t>
      </w:r>
      <w:r>
        <w:rPr>
          <w:rFonts w:asciiTheme="majorBidi" w:hAnsiTheme="majorBidi" w:cstheme="majorBidi"/>
          <w:szCs w:val="24"/>
        </w:rPr>
        <w:t xml:space="preserve">(23), 5770. </w:t>
      </w:r>
      <w:hyperlink r:id="rId17" w:tgtFrame="_blank" w:history="1">
        <w:r>
          <w:rPr>
            <w:rStyle w:val="Hyperlink"/>
            <w:rFonts w:asciiTheme="majorBidi" w:hAnsiTheme="majorBidi" w:cstheme="majorBidi"/>
            <w:szCs w:val="24"/>
          </w:rPr>
          <w:t>https://doi.org/10.3390/ma17235770</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Dash, M., Chiellini, F., Ottenbrite, R. M., &amp; Chiellini, E. (2011). Chitosan: A versatile semi-synthetic polymer in biomedical and pharmaceutical </w:t>
      </w:r>
      <w:r>
        <w:rPr>
          <w:rFonts w:asciiTheme="majorBidi" w:hAnsiTheme="majorBidi" w:cstheme="majorBidi"/>
          <w:szCs w:val="24"/>
        </w:rPr>
        <w:t xml:space="preserve">applications. </w:t>
      </w:r>
      <w:r>
        <w:rPr>
          <w:rFonts w:asciiTheme="majorBidi" w:hAnsiTheme="majorBidi" w:cstheme="majorBidi"/>
          <w:i/>
          <w:iCs/>
          <w:szCs w:val="24"/>
        </w:rPr>
        <w:t>Progress in Polymer Science</w:t>
      </w:r>
      <w:r>
        <w:rPr>
          <w:rFonts w:asciiTheme="majorBidi" w:hAnsiTheme="majorBidi" w:cstheme="majorBidi"/>
          <w:szCs w:val="24"/>
        </w:rPr>
        <w:t xml:space="preserve">, </w:t>
      </w:r>
      <w:r>
        <w:rPr>
          <w:rFonts w:asciiTheme="majorBidi" w:hAnsiTheme="majorBidi" w:cstheme="majorBidi"/>
          <w:i/>
          <w:iCs/>
          <w:szCs w:val="24"/>
        </w:rPr>
        <w:t>36</w:t>
      </w:r>
      <w:r>
        <w:rPr>
          <w:rFonts w:asciiTheme="majorBidi" w:hAnsiTheme="majorBidi" w:cstheme="majorBidi"/>
          <w:szCs w:val="24"/>
        </w:rPr>
        <w:t xml:space="preserve">(8), 981–1014. </w:t>
      </w:r>
      <w:hyperlink r:id="rId18" w:tgtFrame="_blank" w:history="1">
        <w:r>
          <w:rPr>
            <w:rStyle w:val="Hyperlink"/>
            <w:rFonts w:asciiTheme="majorBidi" w:hAnsiTheme="majorBidi" w:cstheme="majorBidi"/>
            <w:szCs w:val="24"/>
          </w:rPr>
          <w:t>https://doi.org/10.1016/j.progpolymsci.2011.02.001</w:t>
        </w:r>
      </w:hyperlink>
    </w:p>
    <w:p w:rsidR="00F71930" w:rsidRDefault="00C07E53">
      <w:pPr>
        <w:spacing w:line="240" w:lineRule="auto"/>
        <w:ind w:left="720" w:hanging="720"/>
        <w:jc w:val="both"/>
        <w:rPr>
          <w:rFonts w:asciiTheme="majorBidi" w:hAnsiTheme="majorBidi" w:cstheme="majorBidi"/>
          <w:color w:val="0070C0"/>
          <w:szCs w:val="24"/>
        </w:rPr>
      </w:pPr>
      <w:r>
        <w:rPr>
          <w:rFonts w:asciiTheme="majorBidi" w:hAnsiTheme="majorBidi" w:cstheme="majorBidi"/>
          <w:szCs w:val="24"/>
        </w:rPr>
        <w:t>Edo, G. I., Igbuku, U. A., Makia, R. S., Isoje, E. F., Gaaz, T. S.</w:t>
      </w:r>
      <w:r>
        <w:rPr>
          <w:rFonts w:asciiTheme="majorBidi" w:hAnsiTheme="majorBidi" w:cstheme="majorBidi"/>
          <w:szCs w:val="24"/>
        </w:rPr>
        <w:t>, Yousif, E., Jikah, A. N., Zainulabdeen, K., Akpoghelie, P. O., Opiti, R. A., Essaghah, A. E. A., Ahmed, D. S., &amp; Umar, H. (2025). Phytochemical profile, therapeutic potentials, nutritional composition, and food applications of ginger: A comprehensive rev</w:t>
      </w:r>
      <w:r>
        <w:rPr>
          <w:rFonts w:asciiTheme="majorBidi" w:hAnsiTheme="majorBidi" w:cstheme="majorBidi"/>
          <w:szCs w:val="24"/>
        </w:rPr>
        <w:t xml:space="preserve">iew. Discover Food, 5, 25. </w:t>
      </w:r>
      <w:r>
        <w:rPr>
          <w:rFonts w:asciiTheme="majorBidi" w:hAnsiTheme="majorBidi" w:cstheme="majorBidi"/>
          <w:color w:val="0070C0"/>
          <w:szCs w:val="24"/>
        </w:rPr>
        <w:t>https://doi.org/10.1007/s44187-025-00280-2</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El-Araby, A., Atta, A. M., Al-Ghamdi, H. O., Al-Hazmi, A., Al-Salihi, O. A., &amp; Badr, A. M. (2024). Eco-friendly materials for advanced applications: A review (focus on polysaccharides an</w:t>
      </w:r>
      <w:r>
        <w:rPr>
          <w:rFonts w:asciiTheme="majorBidi" w:hAnsiTheme="majorBidi" w:cstheme="majorBidi"/>
          <w:szCs w:val="24"/>
        </w:rPr>
        <w:t xml:space="preserve">d chitosan). </w:t>
      </w:r>
      <w:r>
        <w:rPr>
          <w:rFonts w:asciiTheme="majorBidi" w:hAnsiTheme="majorBidi" w:cstheme="majorBidi"/>
          <w:i/>
          <w:iCs/>
          <w:szCs w:val="24"/>
        </w:rPr>
        <w:t>Frontiers in Chemistry</w:t>
      </w:r>
      <w:r>
        <w:rPr>
          <w:rFonts w:asciiTheme="majorBidi" w:hAnsiTheme="majorBidi" w:cstheme="majorBidi"/>
          <w:szCs w:val="24"/>
        </w:rPr>
        <w:t xml:space="preserve">, </w:t>
      </w:r>
      <w:r>
        <w:rPr>
          <w:rFonts w:asciiTheme="majorBidi" w:hAnsiTheme="majorBidi" w:cstheme="majorBidi"/>
          <w:i/>
          <w:iCs/>
          <w:szCs w:val="24"/>
        </w:rPr>
        <w:t>12</w:t>
      </w:r>
      <w:r>
        <w:rPr>
          <w:rFonts w:asciiTheme="majorBidi" w:hAnsiTheme="majorBidi" w:cstheme="majorBidi"/>
          <w:szCs w:val="24"/>
        </w:rPr>
        <w:t xml:space="preserve">, Article 1327426. </w:t>
      </w:r>
      <w:hyperlink r:id="rId19" w:tgtFrame="_blank" w:history="1">
        <w:r>
          <w:rPr>
            <w:rStyle w:val="Hyperlink"/>
            <w:rFonts w:asciiTheme="majorBidi" w:hAnsiTheme="majorBidi" w:cstheme="majorBidi"/>
            <w:szCs w:val="24"/>
          </w:rPr>
          <w:t>https://doi.org/10.3389/fchem.2023.1327426</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Farasati Far, B., Moghbeli, M. R., Bigham, A., Ghani, B. T., &amp;</w:t>
      </w:r>
      <w:r>
        <w:rPr>
          <w:rFonts w:asciiTheme="majorBidi" w:hAnsiTheme="majorBidi" w:cstheme="majorBidi"/>
          <w:szCs w:val="24"/>
        </w:rPr>
        <w:t xml:space="preserve"> Esmaeili, A. (2024). Hydrogel encapsulation techniques and their clinical translational potential: A systematic review. </w:t>
      </w:r>
      <w:r>
        <w:rPr>
          <w:rFonts w:asciiTheme="majorBidi" w:hAnsiTheme="majorBidi" w:cstheme="majorBidi"/>
          <w:i/>
          <w:iCs/>
          <w:szCs w:val="24"/>
        </w:rPr>
        <w:t>ACS Omega</w:t>
      </w:r>
      <w:r>
        <w:rPr>
          <w:rFonts w:asciiTheme="majorBidi" w:hAnsiTheme="majorBidi" w:cstheme="majorBidi"/>
          <w:szCs w:val="24"/>
        </w:rPr>
        <w:t xml:space="preserve">, </w:t>
      </w:r>
      <w:r>
        <w:rPr>
          <w:rFonts w:asciiTheme="majorBidi" w:hAnsiTheme="majorBidi" w:cstheme="majorBidi"/>
          <w:i/>
          <w:iCs/>
          <w:szCs w:val="24"/>
        </w:rPr>
        <w:t>9</w:t>
      </w:r>
      <w:r>
        <w:rPr>
          <w:rFonts w:asciiTheme="majorBidi" w:hAnsiTheme="majorBidi" w:cstheme="majorBidi"/>
          <w:szCs w:val="24"/>
        </w:rPr>
        <w:t xml:space="preserve">(5), 12345–12369. </w:t>
      </w:r>
      <w:hyperlink r:id="rId20" w:tgtFrame="_blank" w:history="1">
        <w:r>
          <w:rPr>
            <w:rStyle w:val="Hyperlink"/>
            <w:rFonts w:asciiTheme="majorBidi" w:hAnsiTheme="majorBidi" w:cstheme="majorBidi"/>
            <w:szCs w:val="24"/>
          </w:rPr>
          <w:t>https://doi.org/10.1021/acsomega.3c1010</w:t>
        </w:r>
        <w:r>
          <w:rPr>
            <w:rStyle w:val="Hyperlink"/>
            <w:rFonts w:asciiTheme="majorBidi" w:hAnsiTheme="majorBidi" w:cstheme="majorBidi"/>
            <w:szCs w:val="24"/>
          </w:rPr>
          <w:t>2</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Ferreira, L. M. B., Santos, A. M., Boni, F. I., dos Santos, K. C., Robusti, L. M. G., Souza, M. P. C., Silva, F. C., &amp; Chorilli, M. (2020). Design of chitosan-based particle systems: A review of the physicochemical foundations for tailored properties.</w:t>
      </w:r>
      <w:r>
        <w:rPr>
          <w:rFonts w:asciiTheme="majorBidi" w:hAnsiTheme="majorBidi" w:cstheme="majorBidi"/>
          <w:szCs w:val="24"/>
        </w:rPr>
        <w:t xml:space="preserve"> </w:t>
      </w:r>
      <w:r>
        <w:rPr>
          <w:rFonts w:asciiTheme="majorBidi" w:hAnsiTheme="majorBidi" w:cstheme="majorBidi"/>
          <w:i/>
          <w:iCs/>
          <w:szCs w:val="24"/>
        </w:rPr>
        <w:t>Carbohydrate Polymers</w:t>
      </w:r>
      <w:r>
        <w:rPr>
          <w:rFonts w:asciiTheme="majorBidi" w:hAnsiTheme="majorBidi" w:cstheme="majorBidi"/>
          <w:szCs w:val="24"/>
        </w:rPr>
        <w:t xml:space="preserve">, </w:t>
      </w:r>
      <w:r>
        <w:rPr>
          <w:rFonts w:asciiTheme="majorBidi" w:hAnsiTheme="majorBidi" w:cstheme="majorBidi"/>
          <w:i/>
          <w:iCs/>
          <w:szCs w:val="24"/>
        </w:rPr>
        <w:t>250</w:t>
      </w:r>
      <w:r>
        <w:rPr>
          <w:rFonts w:asciiTheme="majorBidi" w:hAnsiTheme="majorBidi" w:cstheme="majorBidi"/>
          <w:szCs w:val="24"/>
        </w:rPr>
        <w:t xml:space="preserve">, 116968. </w:t>
      </w:r>
      <w:hyperlink r:id="rId21" w:tgtFrame="_blank" w:history="1">
        <w:r>
          <w:rPr>
            <w:rStyle w:val="Hyperlink"/>
            <w:rFonts w:asciiTheme="majorBidi" w:hAnsiTheme="majorBidi" w:cstheme="majorBidi"/>
            <w:szCs w:val="24"/>
          </w:rPr>
          <w:t>https://doi.org/10.1016/j.carbpol.2020.116968</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Goy, R. C., de Britto, D., &amp; Assis, O. B. G. (2009). A review of the antimicrobial activity of chit</w:t>
      </w:r>
      <w:r>
        <w:rPr>
          <w:rFonts w:asciiTheme="majorBidi" w:hAnsiTheme="majorBidi" w:cstheme="majorBidi"/>
          <w:szCs w:val="24"/>
        </w:rPr>
        <w:t xml:space="preserve">osan. </w:t>
      </w:r>
      <w:r>
        <w:rPr>
          <w:rFonts w:asciiTheme="majorBidi" w:hAnsiTheme="majorBidi" w:cstheme="majorBidi"/>
          <w:i/>
          <w:iCs/>
          <w:szCs w:val="24"/>
        </w:rPr>
        <w:t>Polímeros: Ciência e Tecnologia</w:t>
      </w:r>
      <w:r>
        <w:rPr>
          <w:rFonts w:asciiTheme="majorBidi" w:hAnsiTheme="majorBidi" w:cstheme="majorBidi"/>
          <w:szCs w:val="24"/>
        </w:rPr>
        <w:t xml:space="preserve">, </w:t>
      </w:r>
      <w:r>
        <w:rPr>
          <w:rFonts w:asciiTheme="majorBidi" w:hAnsiTheme="majorBidi" w:cstheme="majorBidi"/>
          <w:i/>
          <w:iCs/>
          <w:szCs w:val="24"/>
        </w:rPr>
        <w:t>19</w:t>
      </w:r>
      <w:r>
        <w:rPr>
          <w:rFonts w:asciiTheme="majorBidi" w:hAnsiTheme="majorBidi" w:cstheme="majorBidi"/>
          <w:szCs w:val="24"/>
        </w:rPr>
        <w:t xml:space="preserve">(3), 241–247. </w:t>
      </w:r>
      <w:hyperlink r:id="rId22" w:tgtFrame="_blank" w:history="1">
        <w:r>
          <w:rPr>
            <w:rStyle w:val="Hyperlink"/>
            <w:rFonts w:asciiTheme="majorBidi" w:hAnsiTheme="majorBidi" w:cstheme="majorBidi"/>
            <w:szCs w:val="24"/>
          </w:rPr>
          <w:t>https://doi.org/10.1590/S0104-14282009000300013</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Gradinaru, L. M., Rusu, A. G., Farte, I. L., Popa, M. M., &amp; Mogosanu, G. D. (</w:t>
      </w:r>
      <w:r>
        <w:rPr>
          <w:rFonts w:asciiTheme="majorBidi" w:hAnsiTheme="majorBidi" w:cstheme="majorBidi"/>
          <w:szCs w:val="24"/>
        </w:rPr>
        <w:t xml:space="preserve">2023). Chitosan membranes containing plant extracts: Preparation, characterization, and antimicrobial properties. </w:t>
      </w:r>
      <w:r>
        <w:rPr>
          <w:rFonts w:asciiTheme="majorBidi" w:hAnsiTheme="majorBidi" w:cstheme="majorBidi"/>
          <w:i/>
          <w:iCs/>
          <w:szCs w:val="24"/>
        </w:rPr>
        <w:t>International Journal of Molecular Sciences</w:t>
      </w:r>
      <w:r>
        <w:rPr>
          <w:rFonts w:asciiTheme="majorBidi" w:hAnsiTheme="majorBidi" w:cstheme="majorBidi"/>
          <w:szCs w:val="24"/>
        </w:rPr>
        <w:t xml:space="preserve">, </w:t>
      </w:r>
      <w:r>
        <w:rPr>
          <w:rFonts w:asciiTheme="majorBidi" w:hAnsiTheme="majorBidi" w:cstheme="majorBidi"/>
          <w:i/>
          <w:iCs/>
          <w:szCs w:val="24"/>
        </w:rPr>
        <w:t>24</w:t>
      </w:r>
      <w:r>
        <w:rPr>
          <w:rFonts w:asciiTheme="majorBidi" w:hAnsiTheme="majorBidi" w:cstheme="majorBidi"/>
          <w:szCs w:val="24"/>
        </w:rPr>
        <w:t xml:space="preserve">(10), 8673. </w:t>
      </w:r>
      <w:hyperlink r:id="rId23" w:tgtFrame="_blank" w:history="1">
        <w:r>
          <w:rPr>
            <w:rStyle w:val="Hyperlink"/>
            <w:rFonts w:asciiTheme="majorBidi" w:hAnsiTheme="majorBidi" w:cstheme="majorBidi"/>
            <w:szCs w:val="24"/>
          </w:rPr>
          <w:t>https://doi.org/10.33</w:t>
        </w:r>
        <w:r>
          <w:rPr>
            <w:rStyle w:val="Hyperlink"/>
            <w:rFonts w:asciiTheme="majorBidi" w:hAnsiTheme="majorBidi" w:cstheme="majorBidi"/>
            <w:szCs w:val="24"/>
          </w:rPr>
          <w:t>90/ijms24108673</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Gulcin, İ. (2023). DPPH radical scavenging assay: Methodology and recent updates. </w:t>
      </w:r>
      <w:r>
        <w:rPr>
          <w:rFonts w:asciiTheme="majorBidi" w:hAnsiTheme="majorBidi" w:cstheme="majorBidi"/>
          <w:i/>
          <w:iCs/>
          <w:szCs w:val="24"/>
        </w:rPr>
        <w:t>Processes</w:t>
      </w:r>
      <w:r>
        <w:rPr>
          <w:rFonts w:asciiTheme="majorBidi" w:hAnsiTheme="majorBidi" w:cstheme="majorBidi"/>
          <w:szCs w:val="24"/>
        </w:rPr>
        <w:t xml:space="preserve">, </w:t>
      </w:r>
      <w:r>
        <w:rPr>
          <w:rFonts w:asciiTheme="majorBidi" w:hAnsiTheme="majorBidi" w:cstheme="majorBidi"/>
          <w:i/>
          <w:iCs/>
          <w:szCs w:val="24"/>
        </w:rPr>
        <w:t>11</w:t>
      </w:r>
      <w:r>
        <w:rPr>
          <w:rFonts w:asciiTheme="majorBidi" w:hAnsiTheme="majorBidi" w:cstheme="majorBidi"/>
          <w:szCs w:val="24"/>
        </w:rPr>
        <w:t xml:space="preserve">(8), 2248. </w:t>
      </w:r>
      <w:hyperlink r:id="rId24" w:tgtFrame="_blank" w:history="1">
        <w:r>
          <w:rPr>
            <w:rStyle w:val="Hyperlink"/>
            <w:rFonts w:asciiTheme="majorBidi" w:hAnsiTheme="majorBidi" w:cstheme="majorBidi"/>
            <w:szCs w:val="24"/>
          </w:rPr>
          <w:t>https://doi.org/10.3390/pr110802248</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Ivanova, D. G., Denev, P. N., &amp; Vlahova, V. (2020). Antioxidant properties and redox-modulating activity of chitosan and its derivatives: Implications for biomedical application. </w:t>
      </w:r>
      <w:r>
        <w:rPr>
          <w:rFonts w:asciiTheme="majorBidi" w:hAnsiTheme="majorBidi" w:cstheme="majorBidi"/>
          <w:i/>
          <w:iCs/>
          <w:szCs w:val="24"/>
        </w:rPr>
        <w:t>Oxidative Medicine and Cellular Longevity</w:t>
      </w:r>
      <w:r>
        <w:rPr>
          <w:rFonts w:asciiTheme="majorBidi" w:hAnsiTheme="majorBidi" w:cstheme="majorBidi"/>
          <w:szCs w:val="24"/>
        </w:rPr>
        <w:t xml:space="preserve">, </w:t>
      </w:r>
      <w:r>
        <w:rPr>
          <w:rFonts w:asciiTheme="majorBidi" w:hAnsiTheme="majorBidi" w:cstheme="majorBidi"/>
          <w:i/>
          <w:iCs/>
          <w:szCs w:val="24"/>
        </w:rPr>
        <w:t>2020</w:t>
      </w:r>
      <w:r>
        <w:rPr>
          <w:rFonts w:asciiTheme="majorBidi" w:hAnsiTheme="majorBidi" w:cstheme="majorBidi"/>
          <w:szCs w:val="24"/>
        </w:rPr>
        <w:t xml:space="preserve">, Article 5403298. </w:t>
      </w:r>
      <w:hyperlink r:id="rId25" w:tgtFrame="_blank" w:history="1">
        <w:r>
          <w:rPr>
            <w:rStyle w:val="Hyperlink"/>
            <w:rFonts w:asciiTheme="majorBidi" w:hAnsiTheme="majorBidi" w:cstheme="majorBidi"/>
            <w:szCs w:val="24"/>
          </w:rPr>
          <w:t>https://doi.org/10.1155/2020/5403298</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Jalali-Jivan, M., Nejatian, M., Fathi, M., &amp; Kadivar, M. (2025). Different delivery systems for improving the bioavailability of ginger bioactive compounds: A compr</w:t>
      </w:r>
      <w:r>
        <w:rPr>
          <w:rFonts w:asciiTheme="majorBidi" w:hAnsiTheme="majorBidi" w:cstheme="majorBidi"/>
          <w:szCs w:val="24"/>
        </w:rPr>
        <w:t xml:space="preserve">ehensive review. </w:t>
      </w:r>
      <w:r>
        <w:rPr>
          <w:rFonts w:asciiTheme="majorBidi" w:hAnsiTheme="majorBidi" w:cstheme="majorBidi"/>
          <w:i/>
          <w:iCs/>
          <w:szCs w:val="24"/>
        </w:rPr>
        <w:t>Phytochemistry Reviews</w:t>
      </w:r>
      <w:r>
        <w:rPr>
          <w:rFonts w:asciiTheme="majorBidi" w:hAnsiTheme="majorBidi" w:cstheme="majorBidi"/>
          <w:szCs w:val="24"/>
        </w:rPr>
        <w:t xml:space="preserve">. Advance online publication. </w:t>
      </w:r>
      <w:hyperlink r:id="rId26" w:tgtFrame="_blank" w:history="1">
        <w:r>
          <w:rPr>
            <w:rStyle w:val="Hyperlink"/>
            <w:rFonts w:asciiTheme="majorBidi" w:hAnsiTheme="majorBidi" w:cstheme="majorBidi"/>
            <w:szCs w:val="24"/>
          </w:rPr>
          <w:t>https://doi.org/10.1007/s11101-025-10083-j</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Kedare, S. B., &amp; Singh, R. P. (2011). Gen</w:t>
      </w:r>
      <w:r>
        <w:rPr>
          <w:rFonts w:asciiTheme="majorBidi" w:hAnsiTheme="majorBidi" w:cstheme="majorBidi"/>
          <w:szCs w:val="24"/>
        </w:rPr>
        <w:t xml:space="preserve">esis and development of the DPPH method of antioxidant assay. </w:t>
      </w:r>
      <w:r>
        <w:rPr>
          <w:rFonts w:asciiTheme="majorBidi" w:hAnsiTheme="majorBidi" w:cstheme="majorBidi"/>
          <w:i/>
          <w:iCs/>
          <w:szCs w:val="24"/>
        </w:rPr>
        <w:t>Journal of Food Science and Technology</w:t>
      </w:r>
      <w:r>
        <w:rPr>
          <w:rFonts w:asciiTheme="majorBidi" w:hAnsiTheme="majorBidi" w:cstheme="majorBidi"/>
          <w:szCs w:val="24"/>
        </w:rPr>
        <w:t xml:space="preserve">, </w:t>
      </w:r>
      <w:r>
        <w:rPr>
          <w:rFonts w:asciiTheme="majorBidi" w:hAnsiTheme="majorBidi" w:cstheme="majorBidi"/>
          <w:i/>
          <w:iCs/>
          <w:szCs w:val="24"/>
        </w:rPr>
        <w:t>48</w:t>
      </w:r>
      <w:r>
        <w:rPr>
          <w:rFonts w:asciiTheme="majorBidi" w:hAnsiTheme="majorBidi" w:cstheme="majorBidi"/>
          <w:szCs w:val="24"/>
        </w:rPr>
        <w:t xml:space="preserve">(4), 412–422. </w:t>
      </w:r>
      <w:hyperlink r:id="rId27" w:tgtFrame="_blank" w:history="1">
        <w:r>
          <w:rPr>
            <w:rStyle w:val="Hyperlink"/>
            <w:rFonts w:asciiTheme="majorBidi" w:hAnsiTheme="majorBidi" w:cstheme="majorBidi"/>
            <w:szCs w:val="24"/>
          </w:rPr>
          <w:t>https://doi.org/10.1007/s13197-011-0251-1</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Kusnadi, T., Murdiati, A.,</w:t>
      </w:r>
      <w:r>
        <w:rPr>
          <w:rFonts w:asciiTheme="majorBidi" w:hAnsiTheme="majorBidi" w:cstheme="majorBidi"/>
          <w:szCs w:val="24"/>
        </w:rPr>
        <w:t xml:space="preserve"> Haryadi, P., &amp; Suparmo. (2023). Effect of chitosan addition on proximate composition, phenolic content and antioxidant capacity of biscuits containing roselle extract. </w:t>
      </w:r>
      <w:r>
        <w:rPr>
          <w:rFonts w:asciiTheme="majorBidi" w:hAnsiTheme="majorBidi" w:cstheme="majorBidi"/>
          <w:i/>
          <w:iCs/>
          <w:szCs w:val="24"/>
        </w:rPr>
        <w:t>Food Research</w:t>
      </w:r>
      <w:r>
        <w:rPr>
          <w:rFonts w:asciiTheme="majorBidi" w:hAnsiTheme="majorBidi" w:cstheme="majorBidi"/>
          <w:szCs w:val="24"/>
        </w:rPr>
        <w:t xml:space="preserve">, </w:t>
      </w:r>
      <w:r>
        <w:rPr>
          <w:rFonts w:asciiTheme="majorBidi" w:hAnsiTheme="majorBidi" w:cstheme="majorBidi"/>
          <w:i/>
          <w:iCs/>
          <w:szCs w:val="24"/>
        </w:rPr>
        <w:t>7</w:t>
      </w:r>
      <w:r>
        <w:rPr>
          <w:rFonts w:asciiTheme="majorBidi" w:hAnsiTheme="majorBidi" w:cstheme="majorBidi"/>
          <w:szCs w:val="24"/>
        </w:rPr>
        <w:t>(5), 181–189.</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Minelgaitė, V., Ragauskas, M., Kaškonienė, V., &amp;</w:t>
      </w:r>
      <w:r>
        <w:rPr>
          <w:rFonts w:asciiTheme="majorBidi" w:hAnsiTheme="majorBidi" w:cstheme="majorBidi"/>
          <w:szCs w:val="24"/>
        </w:rPr>
        <w:t xml:space="preserve"> Jakubaškienė, G. (2025). Advances in food-grade hydrogel encapsulation of bioactives (review). </w:t>
      </w:r>
      <w:r>
        <w:rPr>
          <w:rFonts w:asciiTheme="majorBidi" w:hAnsiTheme="majorBidi" w:cstheme="majorBidi"/>
          <w:i/>
          <w:iCs/>
          <w:szCs w:val="24"/>
        </w:rPr>
        <w:t>Trends in Food Science &amp; Technology</w:t>
      </w:r>
      <w:r>
        <w:rPr>
          <w:rFonts w:asciiTheme="majorBidi" w:hAnsiTheme="majorBidi" w:cstheme="majorBidi"/>
          <w:szCs w:val="24"/>
        </w:rPr>
        <w:t xml:space="preserve">, </w:t>
      </w:r>
      <w:r>
        <w:rPr>
          <w:rFonts w:asciiTheme="majorBidi" w:hAnsiTheme="majorBidi" w:cstheme="majorBidi"/>
          <w:i/>
          <w:iCs/>
          <w:szCs w:val="24"/>
        </w:rPr>
        <w:t>in press</w:t>
      </w:r>
      <w:r>
        <w:rPr>
          <w:rFonts w:asciiTheme="majorBidi" w:hAnsiTheme="majorBidi" w:cstheme="majorBidi"/>
          <w:szCs w:val="24"/>
        </w:rPr>
        <w:t>.</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Mustafa, I., Jaber, A., &amp; Hussein, M. (2023). Antioxidant properties of dried ginger (</w:t>
      </w:r>
      <w:r>
        <w:rPr>
          <w:rFonts w:asciiTheme="majorBidi" w:hAnsiTheme="majorBidi" w:cstheme="majorBidi"/>
          <w:i/>
          <w:iCs/>
          <w:szCs w:val="24"/>
        </w:rPr>
        <w:t>Zingiber officinale</w:t>
      </w:r>
      <w:r>
        <w:rPr>
          <w:rFonts w:asciiTheme="majorBidi" w:hAnsiTheme="majorBidi" w:cstheme="majorBidi"/>
          <w:szCs w:val="24"/>
        </w:rPr>
        <w:t>): Effec</w:t>
      </w:r>
      <w:r>
        <w:rPr>
          <w:rFonts w:asciiTheme="majorBidi" w:hAnsiTheme="majorBidi" w:cstheme="majorBidi"/>
          <w:szCs w:val="24"/>
        </w:rPr>
        <w:t xml:space="preserve">ts of drying methods and solvent extraction. </w:t>
      </w:r>
      <w:r>
        <w:rPr>
          <w:rFonts w:asciiTheme="majorBidi" w:hAnsiTheme="majorBidi" w:cstheme="majorBidi"/>
          <w:i/>
          <w:iCs/>
          <w:szCs w:val="24"/>
        </w:rPr>
        <w:t>Journal of Food Biochemistry</w:t>
      </w:r>
      <w:r>
        <w:rPr>
          <w:rFonts w:asciiTheme="majorBidi" w:hAnsiTheme="majorBidi" w:cstheme="majorBidi"/>
          <w:szCs w:val="24"/>
        </w:rPr>
        <w:t xml:space="preserve">, </w:t>
      </w:r>
      <w:r>
        <w:rPr>
          <w:rFonts w:asciiTheme="majorBidi" w:hAnsiTheme="majorBidi" w:cstheme="majorBidi"/>
          <w:i/>
          <w:iCs/>
          <w:szCs w:val="24"/>
        </w:rPr>
        <w:t>47</w:t>
      </w:r>
      <w:r>
        <w:rPr>
          <w:rFonts w:asciiTheme="majorBidi" w:hAnsiTheme="majorBidi" w:cstheme="majorBidi"/>
          <w:szCs w:val="24"/>
        </w:rPr>
        <w:t xml:space="preserve">(e), Article e13907. </w:t>
      </w:r>
      <w:hyperlink r:id="rId28" w:tgtFrame="_blank" w:history="1">
        <w:r>
          <w:rPr>
            <w:rStyle w:val="Hyperlink"/>
            <w:rFonts w:asciiTheme="majorBidi" w:hAnsiTheme="majorBidi" w:cstheme="majorBidi"/>
            <w:szCs w:val="24"/>
          </w:rPr>
          <w:t>https://doi.org/10.1111/jfbc.13907</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Oliveira Lima, K., De Souza, P. H. S., De Oliveira, L. B., F</w:t>
      </w:r>
      <w:r>
        <w:rPr>
          <w:rFonts w:asciiTheme="majorBidi" w:hAnsiTheme="majorBidi" w:cstheme="majorBidi"/>
          <w:szCs w:val="24"/>
        </w:rPr>
        <w:t xml:space="preserve">ernandes, P. V. C., Mattioli, T., Koshimizu, H. K., Ferreira, H. P., &amp; Mores, G. E. A. (2021). Characterization, antioxidant capacity, and in vitro application of chitosan nanoparticles loaded with bioactive peptides. </w:t>
      </w:r>
      <w:r>
        <w:rPr>
          <w:rFonts w:asciiTheme="majorBidi" w:hAnsiTheme="majorBidi" w:cstheme="majorBidi"/>
          <w:i/>
          <w:iCs/>
          <w:szCs w:val="24"/>
        </w:rPr>
        <w:t>Polymers</w:t>
      </w:r>
      <w:r>
        <w:rPr>
          <w:rFonts w:asciiTheme="majorBidi" w:hAnsiTheme="majorBidi" w:cstheme="majorBidi"/>
          <w:szCs w:val="24"/>
        </w:rPr>
        <w:t xml:space="preserve">, </w:t>
      </w:r>
      <w:r>
        <w:rPr>
          <w:rFonts w:asciiTheme="majorBidi" w:hAnsiTheme="majorBidi" w:cstheme="majorBidi"/>
          <w:i/>
          <w:iCs/>
          <w:szCs w:val="24"/>
        </w:rPr>
        <w:t>13</w:t>
      </w:r>
      <w:r>
        <w:rPr>
          <w:rFonts w:asciiTheme="majorBidi" w:hAnsiTheme="majorBidi" w:cstheme="majorBidi"/>
          <w:szCs w:val="24"/>
        </w:rPr>
        <w:t xml:space="preserve">(19), 3331. </w:t>
      </w:r>
      <w:hyperlink r:id="rId29" w:tgtFrame="_blank" w:history="1">
        <w:r>
          <w:rPr>
            <w:rStyle w:val="Hyperlink"/>
            <w:rFonts w:asciiTheme="majorBidi" w:hAnsiTheme="majorBidi" w:cstheme="majorBidi"/>
            <w:szCs w:val="24"/>
          </w:rPr>
          <w:t>https://doi.org/10.3390/polym13193331</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Plana, L., Pérez, T., Sánchez, R., &amp; García, V. (2025). Characterization, antioxidant capacity, and in vitro biological properties of ginger derivatives (method appli</w:t>
      </w:r>
      <w:r>
        <w:rPr>
          <w:rFonts w:asciiTheme="majorBidi" w:hAnsiTheme="majorBidi" w:cstheme="majorBidi"/>
          <w:szCs w:val="24"/>
        </w:rPr>
        <w:t xml:space="preserve">cation). </w:t>
      </w:r>
      <w:r>
        <w:rPr>
          <w:rFonts w:asciiTheme="majorBidi" w:hAnsiTheme="majorBidi" w:cstheme="majorBidi"/>
          <w:i/>
          <w:iCs/>
          <w:szCs w:val="24"/>
        </w:rPr>
        <w:t>Antioxidants</w:t>
      </w:r>
      <w:r>
        <w:rPr>
          <w:rFonts w:asciiTheme="majorBidi" w:hAnsiTheme="majorBidi" w:cstheme="majorBidi"/>
          <w:szCs w:val="24"/>
        </w:rPr>
        <w:t xml:space="preserve">, </w:t>
      </w:r>
      <w:r>
        <w:rPr>
          <w:rFonts w:asciiTheme="majorBidi" w:hAnsiTheme="majorBidi" w:cstheme="majorBidi"/>
          <w:i/>
          <w:iCs/>
          <w:szCs w:val="24"/>
        </w:rPr>
        <w:t>14</w:t>
      </w:r>
      <w:r>
        <w:rPr>
          <w:rFonts w:asciiTheme="majorBidi" w:hAnsiTheme="majorBidi" w:cstheme="majorBidi"/>
          <w:szCs w:val="24"/>
        </w:rPr>
        <w:t xml:space="preserve">(7), 873. </w:t>
      </w:r>
      <w:hyperlink r:id="rId30" w:tgtFrame="_blank" w:history="1">
        <w:r>
          <w:rPr>
            <w:rStyle w:val="Hyperlink"/>
            <w:rFonts w:asciiTheme="majorBidi" w:hAnsiTheme="majorBidi" w:cstheme="majorBidi"/>
            <w:szCs w:val="24"/>
          </w:rPr>
          <w:t>https://doi.org/10.3390/antiox14070873</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Popescu, L., Burlacu, E., Dima, L., &amp; Popa, M. (2023). The effect of aromatic plant extracts encapsulated in hydrog</w:t>
      </w:r>
      <w:r>
        <w:rPr>
          <w:rFonts w:asciiTheme="majorBidi" w:hAnsiTheme="majorBidi" w:cstheme="majorBidi"/>
          <w:szCs w:val="24"/>
        </w:rPr>
        <w:t xml:space="preserve">el/alginate systems on food properties and antioxidant activity. </w:t>
      </w:r>
      <w:r>
        <w:rPr>
          <w:rFonts w:asciiTheme="majorBidi" w:hAnsiTheme="majorBidi" w:cstheme="majorBidi"/>
          <w:i/>
          <w:iCs/>
          <w:szCs w:val="24"/>
        </w:rPr>
        <w:t>Antioxidants</w:t>
      </w:r>
      <w:r>
        <w:rPr>
          <w:rFonts w:asciiTheme="majorBidi" w:hAnsiTheme="majorBidi" w:cstheme="majorBidi"/>
          <w:szCs w:val="24"/>
        </w:rPr>
        <w:t xml:space="preserve">, </w:t>
      </w:r>
      <w:r>
        <w:rPr>
          <w:rFonts w:asciiTheme="majorBidi" w:hAnsiTheme="majorBidi" w:cstheme="majorBidi"/>
          <w:i/>
          <w:iCs/>
          <w:szCs w:val="24"/>
        </w:rPr>
        <w:t>12</w:t>
      </w:r>
      <w:r>
        <w:rPr>
          <w:rFonts w:asciiTheme="majorBidi" w:hAnsiTheme="majorBidi" w:cstheme="majorBidi"/>
          <w:szCs w:val="24"/>
        </w:rPr>
        <w:t xml:space="preserve">(4), 893. </w:t>
      </w:r>
      <w:hyperlink r:id="rId31" w:tgtFrame="_blank" w:history="1">
        <w:r>
          <w:rPr>
            <w:rStyle w:val="Hyperlink"/>
            <w:rFonts w:asciiTheme="majorBidi" w:hAnsiTheme="majorBidi" w:cstheme="majorBidi"/>
            <w:szCs w:val="24"/>
          </w:rPr>
          <w:t>https://doi.org/10.3390/antiox12040893</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Rabea, E. I., Badawy, M. E. I., &amp; Taktak, A. (2003). Chitos</w:t>
      </w:r>
      <w:r>
        <w:rPr>
          <w:rFonts w:asciiTheme="majorBidi" w:hAnsiTheme="majorBidi" w:cstheme="majorBidi"/>
          <w:szCs w:val="24"/>
        </w:rPr>
        <w:t xml:space="preserve">an as antimicrobial and antioxidant polymer: Mechanisms and applications. </w:t>
      </w:r>
      <w:r>
        <w:rPr>
          <w:rFonts w:asciiTheme="majorBidi" w:hAnsiTheme="majorBidi" w:cstheme="majorBidi"/>
          <w:i/>
          <w:iCs/>
          <w:szCs w:val="24"/>
        </w:rPr>
        <w:t>International Journal of Food Microbiology</w:t>
      </w:r>
      <w:r>
        <w:rPr>
          <w:rFonts w:asciiTheme="majorBidi" w:hAnsiTheme="majorBidi" w:cstheme="majorBidi"/>
          <w:szCs w:val="24"/>
        </w:rPr>
        <w:t xml:space="preserve">, </w:t>
      </w:r>
      <w:r>
        <w:rPr>
          <w:rFonts w:asciiTheme="majorBidi" w:hAnsiTheme="majorBidi" w:cstheme="majorBidi"/>
          <w:i/>
          <w:iCs/>
          <w:szCs w:val="24"/>
        </w:rPr>
        <w:t>84</w:t>
      </w:r>
      <w:r>
        <w:rPr>
          <w:rFonts w:asciiTheme="majorBidi" w:hAnsiTheme="majorBidi" w:cstheme="majorBidi"/>
          <w:szCs w:val="24"/>
        </w:rPr>
        <w:t xml:space="preserve">(1), 1–15. </w:t>
      </w:r>
      <w:hyperlink r:id="rId32" w:tgtFrame="_blank" w:history="1">
        <w:r>
          <w:rPr>
            <w:rStyle w:val="Hyperlink"/>
            <w:rFonts w:asciiTheme="majorBidi" w:hAnsiTheme="majorBidi" w:cstheme="majorBidi"/>
            <w:szCs w:val="24"/>
          </w:rPr>
          <w:t>https://doi.org/10.1016/S0168-1605(02)00445-2</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Rodri</w:t>
      </w:r>
      <w:r>
        <w:rPr>
          <w:rFonts w:asciiTheme="majorBidi" w:hAnsiTheme="majorBidi" w:cstheme="majorBidi"/>
          <w:szCs w:val="24"/>
        </w:rPr>
        <w:t xml:space="preserve">gues, M., Ferreira, H., &amp; Silva, F. (2022). Encapsulation of phenolic extracts in polymeric hydrogels: Stability, release and application (review). </w:t>
      </w:r>
      <w:r>
        <w:rPr>
          <w:rFonts w:asciiTheme="majorBidi" w:hAnsiTheme="majorBidi" w:cstheme="majorBidi"/>
          <w:i/>
          <w:iCs/>
          <w:szCs w:val="24"/>
        </w:rPr>
        <w:t>Journal of Applied Polymer Science</w:t>
      </w:r>
      <w:r>
        <w:rPr>
          <w:rFonts w:asciiTheme="majorBidi" w:hAnsiTheme="majorBidi" w:cstheme="majorBidi"/>
          <w:szCs w:val="24"/>
        </w:rPr>
        <w:t xml:space="preserve">, </w:t>
      </w:r>
      <w:r>
        <w:rPr>
          <w:rFonts w:asciiTheme="majorBidi" w:hAnsiTheme="majorBidi" w:cstheme="majorBidi"/>
          <w:i/>
          <w:iCs/>
          <w:szCs w:val="24"/>
        </w:rPr>
        <w:t>139</w:t>
      </w:r>
      <w:r>
        <w:rPr>
          <w:rFonts w:asciiTheme="majorBidi" w:hAnsiTheme="majorBidi" w:cstheme="majorBidi"/>
          <w:szCs w:val="24"/>
        </w:rPr>
        <w:t xml:space="preserve">(12), Article e52112. </w:t>
      </w:r>
      <w:hyperlink r:id="rId33" w:tgtFrame="_blank" w:history="1">
        <w:r>
          <w:rPr>
            <w:rStyle w:val="Hyperlink"/>
            <w:rFonts w:asciiTheme="majorBidi" w:hAnsiTheme="majorBidi" w:cstheme="majorBidi"/>
            <w:szCs w:val="24"/>
          </w:rPr>
          <w:t>https://doi.org/10.1002/app.52112</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Shaukat, M. N., Nazir, A., &amp; Fallico, B. (2023). Ginger bioactives: A comprehensive review of health benefits and potential food applications. </w:t>
      </w:r>
      <w:r>
        <w:rPr>
          <w:rFonts w:asciiTheme="majorBidi" w:hAnsiTheme="majorBidi" w:cstheme="majorBidi"/>
          <w:i/>
          <w:iCs/>
          <w:szCs w:val="24"/>
        </w:rPr>
        <w:t>Antioxidants</w:t>
      </w:r>
      <w:r>
        <w:rPr>
          <w:rFonts w:asciiTheme="majorBidi" w:hAnsiTheme="majorBidi" w:cstheme="majorBidi"/>
          <w:szCs w:val="24"/>
        </w:rPr>
        <w:t xml:space="preserve">, </w:t>
      </w:r>
      <w:r>
        <w:rPr>
          <w:rFonts w:asciiTheme="majorBidi" w:hAnsiTheme="majorBidi" w:cstheme="majorBidi"/>
          <w:i/>
          <w:iCs/>
          <w:szCs w:val="24"/>
        </w:rPr>
        <w:t>12</w:t>
      </w:r>
      <w:r>
        <w:rPr>
          <w:rFonts w:asciiTheme="majorBidi" w:hAnsiTheme="majorBidi" w:cstheme="majorBidi"/>
          <w:szCs w:val="24"/>
        </w:rPr>
        <w:t xml:space="preserve">(11), Article 2015. </w:t>
      </w:r>
      <w:hyperlink r:id="rId34" w:tgtFrame="_blank" w:history="1">
        <w:r>
          <w:rPr>
            <w:rStyle w:val="Hyperlink"/>
            <w:rFonts w:asciiTheme="majorBidi" w:hAnsiTheme="majorBidi" w:cstheme="majorBidi"/>
            <w:szCs w:val="24"/>
          </w:rPr>
          <w:t>https://doi.org/10.3390/antiox12112015</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Singh, R., Verma, R., &amp; Yadav, R. (2023). New developments in chitosan derivatives and their antioxidant properties. </w:t>
      </w:r>
      <w:r>
        <w:rPr>
          <w:rFonts w:asciiTheme="majorBidi" w:hAnsiTheme="majorBidi" w:cstheme="majorBidi"/>
          <w:i/>
          <w:iCs/>
          <w:szCs w:val="24"/>
        </w:rPr>
        <w:t>Polymers</w:t>
      </w:r>
      <w:r>
        <w:rPr>
          <w:rFonts w:asciiTheme="majorBidi" w:hAnsiTheme="majorBidi" w:cstheme="majorBidi"/>
          <w:szCs w:val="24"/>
        </w:rPr>
        <w:t xml:space="preserve">, </w:t>
      </w:r>
      <w:r>
        <w:rPr>
          <w:rFonts w:asciiTheme="majorBidi" w:hAnsiTheme="majorBidi" w:cstheme="majorBidi"/>
          <w:i/>
          <w:iCs/>
          <w:szCs w:val="24"/>
        </w:rPr>
        <w:t>15</w:t>
      </w:r>
      <w:r>
        <w:rPr>
          <w:rFonts w:asciiTheme="majorBidi" w:hAnsiTheme="majorBidi" w:cstheme="majorBidi"/>
          <w:szCs w:val="24"/>
        </w:rPr>
        <w:t xml:space="preserve">(7), 867. </w:t>
      </w:r>
      <w:hyperlink r:id="rId35" w:tgtFrame="_blank" w:history="1">
        <w:r>
          <w:rPr>
            <w:rStyle w:val="Hyperlink"/>
            <w:rFonts w:asciiTheme="majorBidi" w:hAnsiTheme="majorBidi" w:cstheme="majorBidi"/>
            <w:szCs w:val="24"/>
          </w:rPr>
          <w:t>https://doi.org/10.3390/polym15070867</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Singleton, V. L., &amp; Rossi, J. A. (1965). Colorimetry of total phenolics with phosphomolybdic–phosphotungstic acid reagents. </w:t>
      </w:r>
      <w:r>
        <w:rPr>
          <w:rFonts w:asciiTheme="majorBidi" w:hAnsiTheme="majorBidi" w:cstheme="majorBidi"/>
          <w:i/>
          <w:iCs/>
          <w:szCs w:val="24"/>
        </w:rPr>
        <w:t>American Journal of Enology and Viticulture</w:t>
      </w:r>
      <w:r>
        <w:rPr>
          <w:rFonts w:asciiTheme="majorBidi" w:hAnsiTheme="majorBidi" w:cstheme="majorBidi"/>
          <w:szCs w:val="24"/>
        </w:rPr>
        <w:t xml:space="preserve">, </w:t>
      </w:r>
      <w:r>
        <w:rPr>
          <w:rFonts w:asciiTheme="majorBidi" w:hAnsiTheme="majorBidi" w:cstheme="majorBidi"/>
          <w:i/>
          <w:iCs/>
          <w:szCs w:val="24"/>
        </w:rPr>
        <w:t>16</w:t>
      </w:r>
      <w:r>
        <w:rPr>
          <w:rFonts w:asciiTheme="majorBidi" w:hAnsiTheme="majorBidi" w:cstheme="majorBidi"/>
          <w:szCs w:val="24"/>
        </w:rPr>
        <w:t>(3), 144–158.</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Szymczak, J., Zielińska, A., Chen, J., &amp; Kowalska, J. (2025). Recent advances in the improvement of the bioavailability and therapeutic effect of ginger extracts and its main constituents. </w:t>
      </w:r>
      <w:r>
        <w:rPr>
          <w:rFonts w:asciiTheme="majorBidi" w:hAnsiTheme="majorBidi" w:cstheme="majorBidi"/>
          <w:i/>
          <w:iCs/>
          <w:szCs w:val="24"/>
        </w:rPr>
        <w:t>Food Chemistry</w:t>
      </w:r>
      <w:r>
        <w:rPr>
          <w:rFonts w:asciiTheme="majorBidi" w:hAnsiTheme="majorBidi" w:cstheme="majorBidi"/>
          <w:szCs w:val="24"/>
        </w:rPr>
        <w:t xml:space="preserve">. Advance online publication. </w:t>
      </w:r>
      <w:hyperlink r:id="rId36" w:tgtFrame="_blank" w:history="1">
        <w:r>
          <w:rPr>
            <w:rStyle w:val="Hyperlink"/>
            <w:rFonts w:asciiTheme="majorBidi" w:hAnsiTheme="majorBidi" w:cstheme="majorBidi"/>
            <w:szCs w:val="24"/>
          </w:rPr>
          <w:t>https://doi.org/10.1016/j.foodchem.2025.147161</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 xml:space="preserve">Trease, G. E., &amp; Evans, W. C. (2002). </w:t>
      </w:r>
      <w:r>
        <w:rPr>
          <w:rFonts w:asciiTheme="majorBidi" w:hAnsiTheme="majorBidi" w:cstheme="majorBidi"/>
          <w:i/>
          <w:iCs/>
          <w:szCs w:val="24"/>
        </w:rPr>
        <w:t>Pharmacognosy</w:t>
      </w:r>
      <w:r>
        <w:rPr>
          <w:rFonts w:asciiTheme="majorBidi" w:hAnsiTheme="majorBidi" w:cstheme="majorBidi"/>
          <w:szCs w:val="24"/>
        </w:rPr>
        <w:t xml:space="preserve"> (15th ed.). Saunders.</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Verma, P. K., Bhardwaj, D., &amp; Srivastva, R. (2025). Mechanistic advances and therap</w:t>
      </w:r>
      <w:r>
        <w:rPr>
          <w:rFonts w:asciiTheme="majorBidi" w:hAnsiTheme="majorBidi" w:cstheme="majorBidi"/>
          <w:szCs w:val="24"/>
        </w:rPr>
        <w:t xml:space="preserve">eutic applications of ginger: Phytochemistry to clinic (review). </w:t>
      </w:r>
      <w:r>
        <w:rPr>
          <w:rFonts w:asciiTheme="majorBidi" w:hAnsiTheme="majorBidi" w:cstheme="majorBidi"/>
          <w:i/>
          <w:iCs/>
          <w:szCs w:val="24"/>
        </w:rPr>
        <w:t>Phytomedicine Reports</w:t>
      </w:r>
      <w:r>
        <w:rPr>
          <w:rFonts w:asciiTheme="majorBidi" w:hAnsiTheme="majorBidi" w:cstheme="majorBidi"/>
          <w:szCs w:val="24"/>
        </w:rPr>
        <w:t xml:space="preserve">, </w:t>
      </w:r>
      <w:r>
        <w:rPr>
          <w:rFonts w:asciiTheme="majorBidi" w:hAnsiTheme="majorBidi" w:cstheme="majorBidi"/>
          <w:i/>
          <w:iCs/>
          <w:szCs w:val="24"/>
        </w:rPr>
        <w:t>1</w:t>
      </w:r>
      <w:r>
        <w:rPr>
          <w:rFonts w:asciiTheme="majorBidi" w:hAnsiTheme="majorBidi" w:cstheme="majorBidi"/>
          <w:szCs w:val="24"/>
        </w:rPr>
        <w:t>, 100017. (Preprint/Early online)</w:t>
      </w:r>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Wang, Z., Sun, L., &amp; Li, M. (2024). Effect of chitosan and its water-soluble derivatives on antioxidant activity: Mechanistic insight</w:t>
      </w:r>
      <w:r>
        <w:rPr>
          <w:rFonts w:asciiTheme="majorBidi" w:hAnsiTheme="majorBidi" w:cstheme="majorBidi"/>
          <w:szCs w:val="24"/>
        </w:rPr>
        <w:t xml:space="preserve">s. </w:t>
      </w:r>
      <w:r>
        <w:rPr>
          <w:rFonts w:asciiTheme="majorBidi" w:hAnsiTheme="majorBidi" w:cstheme="majorBidi"/>
          <w:i/>
          <w:iCs/>
          <w:szCs w:val="24"/>
        </w:rPr>
        <w:t>Polymers</w:t>
      </w:r>
      <w:r>
        <w:rPr>
          <w:rFonts w:asciiTheme="majorBidi" w:hAnsiTheme="majorBidi" w:cstheme="majorBidi"/>
          <w:szCs w:val="24"/>
        </w:rPr>
        <w:t xml:space="preserve">, </w:t>
      </w:r>
      <w:r>
        <w:rPr>
          <w:rFonts w:asciiTheme="majorBidi" w:hAnsiTheme="majorBidi" w:cstheme="majorBidi"/>
          <w:i/>
          <w:iCs/>
          <w:szCs w:val="24"/>
        </w:rPr>
        <w:t>16</w:t>
      </w:r>
      <w:r>
        <w:rPr>
          <w:rFonts w:asciiTheme="majorBidi" w:hAnsiTheme="majorBidi" w:cstheme="majorBidi"/>
          <w:szCs w:val="24"/>
        </w:rPr>
        <w:t xml:space="preserve">(7), 867. </w:t>
      </w:r>
      <w:hyperlink r:id="rId37" w:tgtFrame="_blank" w:history="1">
        <w:r>
          <w:rPr>
            <w:rStyle w:val="Hyperlink"/>
            <w:rFonts w:asciiTheme="majorBidi" w:hAnsiTheme="majorBidi" w:cstheme="majorBidi"/>
            <w:szCs w:val="24"/>
          </w:rPr>
          <w:t>https://doi.org/10.3390/polym16070867</w:t>
        </w:r>
      </w:hyperlink>
    </w:p>
    <w:p w:rsidR="00F71930" w:rsidRDefault="00C07E53">
      <w:pPr>
        <w:spacing w:line="240" w:lineRule="auto"/>
        <w:ind w:left="720" w:hanging="720"/>
        <w:jc w:val="both"/>
        <w:rPr>
          <w:rFonts w:asciiTheme="majorBidi" w:hAnsiTheme="majorBidi" w:cstheme="majorBidi"/>
          <w:szCs w:val="24"/>
        </w:rPr>
      </w:pPr>
      <w:r>
        <w:rPr>
          <w:rFonts w:asciiTheme="majorBidi" w:hAnsiTheme="majorBidi" w:cstheme="majorBidi"/>
          <w:szCs w:val="24"/>
        </w:rPr>
        <w:t>Yarahmadi, A., Najafi, N., &amp;</w:t>
      </w:r>
      <w:r>
        <w:rPr>
          <w:rFonts w:asciiTheme="majorBidi" w:hAnsiTheme="majorBidi" w:cstheme="majorBidi"/>
          <w:szCs w:val="24"/>
        </w:rPr>
        <w:t xml:space="preserve"> Vahidi, O. (2024). Materials based on biodegradable polymers chitosan/gelatin: Biomedical applications and antioxidant function. </w:t>
      </w:r>
      <w:r>
        <w:rPr>
          <w:rFonts w:asciiTheme="majorBidi" w:hAnsiTheme="majorBidi" w:cstheme="majorBidi"/>
          <w:i/>
          <w:iCs/>
          <w:szCs w:val="24"/>
        </w:rPr>
        <w:t>Frontiers in Bioengineering and Biotechnology</w:t>
      </w:r>
      <w:r>
        <w:rPr>
          <w:rFonts w:asciiTheme="majorBidi" w:hAnsiTheme="majorBidi" w:cstheme="majorBidi"/>
          <w:szCs w:val="24"/>
        </w:rPr>
        <w:t xml:space="preserve">, </w:t>
      </w:r>
      <w:r>
        <w:rPr>
          <w:rFonts w:asciiTheme="majorBidi" w:hAnsiTheme="majorBidi" w:cstheme="majorBidi"/>
          <w:i/>
          <w:iCs/>
          <w:szCs w:val="24"/>
        </w:rPr>
        <w:t>12</w:t>
      </w:r>
      <w:r>
        <w:rPr>
          <w:rFonts w:asciiTheme="majorBidi" w:hAnsiTheme="majorBidi" w:cstheme="majorBidi"/>
          <w:szCs w:val="24"/>
        </w:rPr>
        <w:t xml:space="preserve">, Article 1397668. </w:t>
      </w:r>
      <w:hyperlink r:id="rId38" w:tgtFrame="_blank" w:history="1">
        <w:r>
          <w:rPr>
            <w:rStyle w:val="Hyperlink"/>
            <w:rFonts w:asciiTheme="majorBidi" w:hAnsiTheme="majorBidi" w:cstheme="majorBidi"/>
            <w:szCs w:val="24"/>
          </w:rPr>
          <w:t>https://doi.org/10.3389/fbioe.2024.1397668</w:t>
        </w:r>
      </w:hyperlink>
    </w:p>
    <w:p w:rsidR="00F71930" w:rsidRDefault="00F71930">
      <w:pPr>
        <w:spacing w:line="240" w:lineRule="auto"/>
        <w:ind w:left="720" w:hanging="720"/>
        <w:jc w:val="both"/>
        <w:rPr>
          <w:rFonts w:asciiTheme="majorBidi" w:hAnsiTheme="majorBidi" w:cstheme="majorBidi"/>
          <w:szCs w:val="24"/>
        </w:rPr>
      </w:pPr>
    </w:p>
    <w:p w:rsidR="00F71930" w:rsidRDefault="00F71930">
      <w:pPr>
        <w:spacing w:line="240" w:lineRule="auto"/>
        <w:ind w:left="720" w:hanging="720"/>
        <w:jc w:val="both"/>
        <w:rPr>
          <w:rFonts w:asciiTheme="majorBidi" w:hAnsiTheme="majorBidi" w:cstheme="majorBidi"/>
          <w:szCs w:val="24"/>
        </w:rPr>
      </w:pPr>
    </w:p>
    <w:p w:rsidR="00F71930" w:rsidRDefault="00F71930">
      <w:pPr>
        <w:spacing w:line="240" w:lineRule="auto"/>
        <w:ind w:left="720" w:hanging="720"/>
        <w:jc w:val="both"/>
        <w:rPr>
          <w:rFonts w:asciiTheme="majorBidi" w:hAnsiTheme="majorBidi" w:cstheme="majorBidi"/>
          <w:szCs w:val="24"/>
        </w:rPr>
      </w:pPr>
    </w:p>
    <w:p w:rsidR="00F71930" w:rsidRDefault="00F71930">
      <w:pPr>
        <w:spacing w:line="240" w:lineRule="auto"/>
        <w:ind w:left="720" w:hanging="720"/>
        <w:jc w:val="both"/>
        <w:rPr>
          <w:rFonts w:asciiTheme="majorBidi" w:hAnsiTheme="majorBidi" w:cstheme="majorBidi"/>
          <w:szCs w:val="24"/>
        </w:rPr>
      </w:pPr>
    </w:p>
    <w:p w:rsidR="00F71930" w:rsidRDefault="00F71930">
      <w:pPr>
        <w:spacing w:line="240" w:lineRule="auto"/>
        <w:ind w:left="720" w:hanging="720"/>
        <w:jc w:val="both"/>
        <w:rPr>
          <w:rFonts w:asciiTheme="majorBidi" w:hAnsiTheme="majorBidi" w:cstheme="majorBidi"/>
          <w:szCs w:val="24"/>
        </w:rPr>
      </w:pPr>
    </w:p>
    <w:p w:rsidR="00F71930" w:rsidRDefault="00F71930">
      <w:pPr>
        <w:jc w:val="both"/>
        <w:rPr>
          <w:rFonts w:asciiTheme="majorBidi" w:hAnsiTheme="majorBidi" w:cstheme="majorBidi"/>
          <w:szCs w:val="24"/>
        </w:rPr>
      </w:pPr>
    </w:p>
    <w:p w:rsidR="00F71930" w:rsidRDefault="00F71930">
      <w:pPr>
        <w:jc w:val="both"/>
        <w:rPr>
          <w:rFonts w:asciiTheme="majorBidi" w:hAnsiTheme="majorBidi" w:cstheme="majorBidi"/>
          <w:szCs w:val="24"/>
        </w:rPr>
      </w:pPr>
    </w:p>
    <w:p w:rsidR="00F71930" w:rsidRDefault="00F71930">
      <w:pPr>
        <w:jc w:val="both"/>
        <w:rPr>
          <w:rFonts w:asciiTheme="majorBidi" w:hAnsiTheme="majorBidi" w:cstheme="majorBidi"/>
          <w:szCs w:val="24"/>
        </w:rPr>
      </w:pPr>
    </w:p>
    <w:p w:rsidR="00F71930" w:rsidRDefault="00F71930">
      <w:pPr>
        <w:jc w:val="both"/>
        <w:rPr>
          <w:rFonts w:asciiTheme="majorBidi" w:hAnsiTheme="majorBidi" w:cstheme="majorBidi"/>
          <w:szCs w:val="24"/>
        </w:rPr>
      </w:pPr>
    </w:p>
    <w:p w:rsidR="00F71930" w:rsidRDefault="00C07E53">
      <w:pPr>
        <w:pStyle w:val="Heading1"/>
        <w:jc w:val="left"/>
      </w:pPr>
      <w:r>
        <w:t xml:space="preserve">                                            APPENDICES </w:t>
      </w:r>
    </w:p>
    <w:p w:rsidR="00F71930" w:rsidRDefault="00C07E53">
      <w:pPr>
        <w:jc w:val="both"/>
        <w:rPr>
          <w:rFonts w:asciiTheme="majorBidi" w:hAnsiTheme="majorBidi" w:cstheme="majorBidi"/>
          <w:b/>
          <w:bCs/>
          <w:szCs w:val="24"/>
        </w:rPr>
      </w:pPr>
      <w:r>
        <w:rPr>
          <w:rFonts w:asciiTheme="majorBidi" w:hAnsiTheme="majorBidi" w:cstheme="majorBidi"/>
          <w:b/>
          <w:bCs/>
          <w:szCs w:val="24"/>
        </w:rPr>
        <w:t>RAW DATA</w:t>
      </w:r>
    </w:p>
    <w:p w:rsidR="00F71930" w:rsidRDefault="00C07E53">
      <w:pPr>
        <w:jc w:val="both"/>
        <w:rPr>
          <w:rFonts w:asciiTheme="majorBidi" w:hAnsiTheme="majorBidi" w:cstheme="majorBidi"/>
          <w:b/>
          <w:bCs/>
          <w:szCs w:val="24"/>
        </w:rPr>
      </w:pPr>
      <w:r>
        <w:rPr>
          <w:rFonts w:asciiTheme="majorBidi" w:hAnsiTheme="majorBidi" w:cstheme="majorBidi"/>
          <w:b/>
          <w:bCs/>
          <w:szCs w:val="24"/>
        </w:rPr>
        <w:t xml:space="preserve">TABLE 4.4: </w:t>
      </w:r>
      <w:r>
        <w:rPr>
          <w:rFonts w:asciiTheme="majorBidi" w:hAnsiTheme="majorBidi" w:cstheme="majorBidi"/>
          <w:szCs w:val="24"/>
        </w:rPr>
        <w:t>Absorbance for</w:t>
      </w:r>
      <w:r>
        <w:rPr>
          <w:rFonts w:asciiTheme="majorBidi" w:hAnsiTheme="majorBidi" w:cstheme="majorBidi"/>
          <w:b/>
          <w:bCs/>
          <w:szCs w:val="24"/>
        </w:rPr>
        <w:t xml:space="preserve"> sa</w:t>
      </w:r>
      <w:r>
        <w:rPr>
          <w:rFonts w:asciiTheme="majorBidi" w:hAnsiTheme="majorBidi" w:cstheme="majorBidi"/>
          <w:szCs w:val="24"/>
        </w:rPr>
        <w:t>mple</w:t>
      </w:r>
      <w:r>
        <w:rPr>
          <w:rFonts w:asciiTheme="majorBidi" w:hAnsiTheme="majorBidi" w:cstheme="majorBidi"/>
          <w:b/>
          <w:bCs/>
          <w:szCs w:val="24"/>
        </w:rPr>
        <w:t xml:space="preserve">s </w:t>
      </w:r>
      <w:r>
        <w:rPr>
          <w:rFonts w:asciiTheme="majorBidi" w:hAnsiTheme="majorBidi" w:cstheme="majorBidi"/>
          <w:szCs w:val="24"/>
        </w:rPr>
        <w:t>in DPPH assays</w:t>
      </w:r>
      <w:r>
        <w:rPr>
          <w:rFonts w:asciiTheme="majorBidi" w:hAnsiTheme="majorBidi" w:cstheme="majorBidi"/>
          <w:b/>
          <w:bCs/>
          <w:szCs w:val="24"/>
        </w:rPr>
        <w:t xml:space="preserve">   </w:t>
      </w:r>
    </w:p>
    <w:tbl>
      <w:tblPr>
        <w:tblpPr w:leftFromText="180" w:rightFromText="180" w:vertAnchor="text" w:horzAnchor="margin" w:tblpY="33"/>
        <w:tblW w:w="9454"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9454"/>
      </w:tblGrid>
      <w:tr w:rsidR="00F71930">
        <w:trPr>
          <w:trHeight w:val="808"/>
          <w:tblHeader/>
          <w:tblCellSpacing w:w="15" w:type="dxa"/>
        </w:trPr>
        <w:tc>
          <w:tcPr>
            <w:tcW w:w="9454" w:type="dxa"/>
            <w:tcBorders>
              <w:top w:val="single" w:sz="4" w:space="0" w:color="auto"/>
              <w:bottom w:val="single" w:sz="4" w:space="0" w:color="auto"/>
            </w:tcBorders>
            <w:vAlign w:val="center"/>
          </w:tcPr>
          <w:p w:rsidR="00F71930" w:rsidRDefault="00C07E53">
            <w:pPr>
              <w:jc w:val="both"/>
              <w:rPr>
                <w:rFonts w:asciiTheme="majorBidi" w:hAnsiTheme="majorBidi" w:cstheme="majorBidi"/>
                <w:b/>
                <w:bCs/>
                <w:szCs w:val="24"/>
              </w:rPr>
            </w:pPr>
            <w:r>
              <w:rPr>
                <w:rStyle w:val="Strong"/>
                <w:rFonts w:asciiTheme="majorBidi" w:hAnsiTheme="majorBidi" w:cstheme="majorBidi"/>
                <w:b w:val="0"/>
                <w:bCs w:val="0"/>
                <w:szCs w:val="24"/>
              </w:rPr>
              <w:t xml:space="preserve">Sample </w:t>
            </w:r>
            <w:r>
              <w:rPr>
                <w:rStyle w:val="Strong"/>
                <w:rFonts w:asciiTheme="majorBidi" w:hAnsiTheme="majorBidi" w:cstheme="majorBidi"/>
                <w:szCs w:val="24"/>
              </w:rPr>
              <w:t xml:space="preserve">                                     </w:t>
            </w:r>
            <w:r>
              <w:rPr>
                <w:rStyle w:val="Strong"/>
                <w:rFonts w:asciiTheme="majorBidi" w:hAnsiTheme="majorBidi" w:cstheme="majorBidi"/>
                <w:b w:val="0"/>
                <w:bCs w:val="0"/>
                <w:szCs w:val="24"/>
              </w:rPr>
              <w:t>Absorbance*(517nm)</w:t>
            </w:r>
          </w:p>
        </w:tc>
      </w:tr>
      <w:tr w:rsidR="00F71930">
        <w:trPr>
          <w:trHeight w:val="808"/>
          <w:tblCellSpacing w:w="15" w:type="dxa"/>
        </w:trPr>
        <w:tc>
          <w:tcPr>
            <w:tcW w:w="9454" w:type="dxa"/>
            <w:vAlign w:val="center"/>
          </w:tcPr>
          <w:p w:rsidR="00F71930" w:rsidRDefault="00C07E53">
            <w:pPr>
              <w:tabs>
                <w:tab w:val="left" w:pos="1068"/>
              </w:tabs>
              <w:spacing w:after="0" w:line="240" w:lineRule="auto"/>
              <w:ind w:left="108"/>
              <w:rPr>
                <w:rFonts w:asciiTheme="majorBidi" w:hAnsiTheme="majorBidi" w:cstheme="majorBidi"/>
                <w:szCs w:val="24"/>
              </w:rPr>
            </w:pPr>
            <w:r>
              <w:rPr>
                <w:rFonts w:asciiTheme="majorBidi" w:hAnsiTheme="majorBidi" w:cstheme="majorBidi"/>
                <w:szCs w:val="24"/>
              </w:rPr>
              <w:t xml:space="preserve">Ginger Extract                85.66         85.74       </w:t>
            </w:r>
            <w:r>
              <w:rPr>
                <w:color w:val="000000"/>
              </w:rPr>
              <w:t xml:space="preserve">85.89       </w:t>
            </w:r>
            <w:r>
              <w:rPr>
                <w:rFonts w:eastAsia="Times New Roman" w:cs="Times New Roman"/>
                <w:color w:val="000000"/>
                <w:kern w:val="0"/>
                <w:szCs w:val="24"/>
              </w:rPr>
              <w:t xml:space="preserve">86.8 </w:t>
            </w:r>
            <w:r>
              <w:rPr>
                <w:rFonts w:asciiTheme="majorBidi" w:hAnsiTheme="majorBidi" w:cstheme="majorBidi"/>
                <w:szCs w:val="24"/>
              </w:rPr>
              <w:t xml:space="preserve">        </w:t>
            </w:r>
            <w:r>
              <w:rPr>
                <w:rFonts w:eastAsia="Times New Roman" w:cs="Times New Roman"/>
                <w:color w:val="000000"/>
                <w:kern w:val="0"/>
                <w:szCs w:val="24"/>
              </w:rPr>
              <w:t>86.88      86.65</w:t>
            </w:r>
            <w:r>
              <w:rPr>
                <w:rFonts w:eastAsia="Times New Roman" w:cs="Times New Roman"/>
                <w:color w:val="000000"/>
                <w:kern w:val="0"/>
                <w:szCs w:val="24"/>
              </w:rPr>
              <w:tab/>
            </w:r>
          </w:p>
        </w:tc>
      </w:tr>
      <w:tr w:rsidR="00F71930">
        <w:trPr>
          <w:trHeight w:val="826"/>
          <w:tblCellSpacing w:w="15" w:type="dxa"/>
        </w:trPr>
        <w:tc>
          <w:tcPr>
            <w:tcW w:w="9454" w:type="dxa"/>
            <w:vAlign w:val="center"/>
          </w:tcPr>
          <w:p w:rsidR="00F71930" w:rsidRDefault="00C07E53">
            <w:pPr>
              <w:tabs>
                <w:tab w:val="left" w:pos="1068"/>
                <w:tab w:val="left" w:pos="2028"/>
              </w:tabs>
              <w:spacing w:after="0" w:line="240" w:lineRule="auto"/>
              <w:ind w:left="108"/>
              <w:rPr>
                <w:rFonts w:eastAsia="Times New Roman" w:cs="Times New Roman"/>
                <w:color w:val="000000"/>
                <w:kern w:val="0"/>
                <w:szCs w:val="24"/>
              </w:rPr>
            </w:pPr>
            <w:r>
              <w:rPr>
                <w:rFonts w:asciiTheme="majorBidi" w:hAnsiTheme="majorBidi" w:cstheme="majorBidi"/>
                <w:szCs w:val="24"/>
              </w:rPr>
              <w:t xml:space="preserve">Naïve Chitosan               </w:t>
            </w:r>
            <w:r>
              <w:rPr>
                <w:rFonts w:eastAsia="Times New Roman" w:cs="Times New Roman"/>
                <w:color w:val="000000"/>
                <w:kern w:val="0"/>
                <w:szCs w:val="24"/>
              </w:rPr>
              <w:t>89.39</w:t>
            </w:r>
            <w:r>
              <w:rPr>
                <w:rFonts w:eastAsia="Times New Roman" w:cs="Times New Roman"/>
                <w:color w:val="000000"/>
                <w:kern w:val="0"/>
                <w:szCs w:val="24"/>
              </w:rPr>
              <w:tab/>
              <w:t>89.47</w:t>
            </w:r>
            <w:r>
              <w:rPr>
                <w:rFonts w:eastAsia="Times New Roman" w:cs="Times New Roman"/>
                <w:color w:val="000000"/>
                <w:kern w:val="0"/>
                <w:szCs w:val="24"/>
              </w:rPr>
              <w:tab/>
              <w:t xml:space="preserve">  90.01         89.63       89.95      89.70</w:t>
            </w:r>
          </w:p>
        </w:tc>
      </w:tr>
      <w:tr w:rsidR="00F71930">
        <w:trPr>
          <w:trHeight w:val="808"/>
          <w:tblCellSpacing w:w="15" w:type="dxa"/>
        </w:trPr>
        <w:tc>
          <w:tcPr>
            <w:tcW w:w="9454" w:type="dxa"/>
            <w:vAlign w:val="center"/>
          </w:tcPr>
          <w:p w:rsidR="00F71930" w:rsidRDefault="00C07E53">
            <w:pPr>
              <w:tabs>
                <w:tab w:val="left" w:pos="1068"/>
                <w:tab w:val="left" w:pos="2028"/>
              </w:tabs>
              <w:spacing w:after="0" w:line="240" w:lineRule="auto"/>
              <w:rPr>
                <w:rFonts w:eastAsia="Times New Roman" w:cs="Times New Roman"/>
                <w:color w:val="000000"/>
                <w:kern w:val="0"/>
                <w:szCs w:val="24"/>
              </w:rPr>
            </w:pPr>
            <w:r>
              <w:rPr>
                <w:rFonts w:asciiTheme="majorBidi" w:hAnsiTheme="majorBidi" w:cstheme="majorBidi"/>
                <w:szCs w:val="24"/>
              </w:rPr>
              <w:t xml:space="preserve">  Chitosan + Ginger            </w:t>
            </w:r>
            <w:r>
              <w:rPr>
                <w:rFonts w:eastAsia="Times New Roman" w:cs="Times New Roman"/>
                <w:color w:val="000000"/>
                <w:kern w:val="0"/>
                <w:szCs w:val="24"/>
              </w:rPr>
              <w:t>90.85</w:t>
            </w:r>
            <w:r>
              <w:rPr>
                <w:rFonts w:eastAsia="Times New Roman" w:cs="Times New Roman"/>
                <w:color w:val="000000"/>
                <w:kern w:val="0"/>
                <w:szCs w:val="24"/>
              </w:rPr>
              <w:tab/>
              <w:t>90.93</w:t>
            </w:r>
            <w:r>
              <w:rPr>
                <w:rFonts w:eastAsia="Times New Roman" w:cs="Times New Roman"/>
                <w:color w:val="000000"/>
                <w:kern w:val="0"/>
                <w:szCs w:val="24"/>
              </w:rPr>
              <w:tab/>
              <w:t xml:space="preserve"> 90.99          90.92</w:t>
            </w:r>
            <w:r>
              <w:rPr>
                <w:rFonts w:eastAsia="Times New Roman" w:cs="Times New Roman"/>
                <w:color w:val="000000"/>
                <w:kern w:val="0"/>
                <w:szCs w:val="24"/>
              </w:rPr>
              <w:tab/>
              <w:t xml:space="preserve"> 91.</w:t>
            </w:r>
            <w:r>
              <w:rPr>
                <w:rFonts w:eastAsia="Times New Roman" w:cs="Times New Roman"/>
                <w:color w:val="000000"/>
                <w:kern w:val="0"/>
                <w:szCs w:val="24"/>
              </w:rPr>
              <w:t>08    91.23</w:t>
            </w:r>
          </w:p>
        </w:tc>
      </w:tr>
      <w:tr w:rsidR="00F71930">
        <w:trPr>
          <w:trHeight w:val="492"/>
          <w:tblCellSpacing w:w="15" w:type="dxa"/>
        </w:trPr>
        <w:tc>
          <w:tcPr>
            <w:tcW w:w="9454" w:type="dxa"/>
            <w:tcBorders>
              <w:bottom w:val="single" w:sz="4" w:space="0" w:color="auto"/>
            </w:tcBorders>
            <w:vAlign w:val="center"/>
          </w:tcPr>
          <w:p w:rsidR="00F71930" w:rsidRDefault="00C07E53">
            <w:pPr>
              <w:tabs>
                <w:tab w:val="left" w:pos="1068"/>
                <w:tab w:val="left" w:pos="2028"/>
              </w:tabs>
              <w:spacing w:after="0" w:line="240" w:lineRule="auto"/>
              <w:rPr>
                <w:rFonts w:eastAsia="Times New Roman" w:cs="Times New Roman"/>
                <w:color w:val="000000"/>
                <w:kern w:val="0"/>
                <w:szCs w:val="24"/>
              </w:rPr>
            </w:pPr>
            <w:r>
              <w:rPr>
                <w:rFonts w:asciiTheme="majorBidi" w:hAnsiTheme="majorBidi" w:cstheme="majorBidi"/>
                <w:szCs w:val="24"/>
              </w:rPr>
              <w:t xml:space="preserve">Ascorbic Acid (Standard)   </w:t>
            </w:r>
            <w:r>
              <w:rPr>
                <w:rFonts w:eastAsia="Times New Roman" w:cs="Times New Roman"/>
                <w:color w:val="000000"/>
                <w:kern w:val="0"/>
                <w:szCs w:val="24"/>
              </w:rPr>
              <w:t>63.23</w:t>
            </w:r>
            <w:r>
              <w:rPr>
                <w:rFonts w:eastAsia="Times New Roman" w:cs="Times New Roman"/>
                <w:color w:val="000000"/>
                <w:kern w:val="0"/>
                <w:szCs w:val="24"/>
              </w:rPr>
              <w:tab/>
              <w:t xml:space="preserve"> 62.62</w:t>
            </w:r>
            <w:r>
              <w:rPr>
                <w:rFonts w:eastAsia="Times New Roman" w:cs="Times New Roman"/>
                <w:color w:val="000000"/>
                <w:kern w:val="0"/>
                <w:szCs w:val="24"/>
              </w:rPr>
              <w:tab/>
              <w:t xml:space="preserve">  62.31</w:t>
            </w:r>
          </w:p>
        </w:tc>
      </w:tr>
    </w:tbl>
    <w:p w:rsidR="00F71930" w:rsidRDefault="00F71930">
      <w:pPr>
        <w:pStyle w:val="ListParagraph1"/>
        <w:spacing w:line="240" w:lineRule="auto"/>
        <w:jc w:val="both"/>
        <w:rPr>
          <w:rFonts w:asciiTheme="majorBidi" w:hAnsiTheme="majorBidi" w:cstheme="majorBidi"/>
          <w:szCs w:val="24"/>
        </w:rPr>
      </w:pPr>
    </w:p>
    <w:p w:rsidR="00F71930" w:rsidRDefault="00C07E53">
      <w:pPr>
        <w:spacing w:line="240" w:lineRule="auto"/>
        <w:jc w:val="both"/>
        <w:rPr>
          <w:rFonts w:asciiTheme="majorBidi" w:hAnsiTheme="majorBidi" w:cstheme="majorBidi"/>
          <w:szCs w:val="24"/>
        </w:rPr>
      </w:pPr>
      <w:r>
        <w:rPr>
          <w:rFonts w:asciiTheme="majorBidi" w:hAnsiTheme="majorBidi" w:cstheme="majorBidi"/>
          <w:szCs w:val="24"/>
        </w:rPr>
        <w:t>Absorbance of control = 0.911</w:t>
      </w:r>
    </w:p>
    <w:p w:rsidR="00F71930" w:rsidRDefault="00F71930">
      <w:pPr>
        <w:spacing w:line="240" w:lineRule="auto"/>
        <w:jc w:val="both"/>
        <w:rPr>
          <w:rFonts w:asciiTheme="majorBidi" w:hAnsiTheme="majorBidi" w:cstheme="majorBidi"/>
          <w:szCs w:val="24"/>
        </w:rPr>
      </w:pPr>
    </w:p>
    <w:p w:rsidR="00F71930" w:rsidRDefault="00F71930">
      <w:pPr>
        <w:pStyle w:val="ListParagraph1"/>
        <w:spacing w:line="240" w:lineRule="auto"/>
        <w:jc w:val="both"/>
        <w:rPr>
          <w:rFonts w:asciiTheme="majorBidi" w:hAnsiTheme="majorBidi" w:cstheme="majorBidi"/>
          <w:szCs w:val="24"/>
        </w:rPr>
      </w:pPr>
    </w:p>
    <w:p w:rsidR="00F71930" w:rsidRDefault="00C07E53">
      <w:pPr>
        <w:jc w:val="both"/>
        <w:rPr>
          <w:rFonts w:asciiTheme="majorBidi" w:hAnsiTheme="majorBidi" w:cstheme="majorBidi"/>
          <w:b/>
          <w:bCs/>
          <w:szCs w:val="24"/>
        </w:rPr>
      </w:pPr>
      <w:r>
        <w:rPr>
          <w:rFonts w:asciiTheme="majorBidi" w:hAnsiTheme="majorBidi" w:cstheme="majorBidi"/>
          <w:b/>
          <w:bCs/>
          <w:szCs w:val="24"/>
        </w:rPr>
        <w:t>RAW VALUES FOR FRAP</w:t>
      </w:r>
    </w:p>
    <w:p w:rsidR="00F71930" w:rsidRDefault="00C07E53">
      <w:pPr>
        <w:jc w:val="both"/>
        <w:rPr>
          <w:rFonts w:asciiTheme="majorBidi" w:hAnsiTheme="majorBidi" w:cstheme="majorBidi"/>
          <w:b/>
          <w:bCs/>
          <w:szCs w:val="24"/>
        </w:rPr>
      </w:pPr>
      <w:r>
        <w:rPr>
          <w:rFonts w:asciiTheme="majorBidi" w:hAnsiTheme="majorBidi" w:cstheme="majorBidi"/>
          <w:b/>
          <w:bCs/>
          <w:szCs w:val="24"/>
        </w:rPr>
        <w:t xml:space="preserve"> Table 4.5 : </w:t>
      </w:r>
      <w:r>
        <w:rPr>
          <w:rFonts w:asciiTheme="majorBidi" w:hAnsiTheme="majorBidi" w:cstheme="majorBidi"/>
          <w:szCs w:val="24"/>
        </w:rPr>
        <w:t>Ginger extracts raw values</w:t>
      </w:r>
      <w:r>
        <w:rPr>
          <w:rFonts w:asciiTheme="majorBidi" w:hAnsiTheme="majorBidi" w:cstheme="majorBidi"/>
          <w:b/>
          <w:bCs/>
          <w:szCs w:val="24"/>
        </w:rPr>
        <w:t xml:space="preserve"> </w:t>
      </w:r>
    </w:p>
    <w:tbl>
      <w:tblPr>
        <w:tblStyle w:val="ListTable6Colorful"/>
        <w:tblW w:w="0" w:type="auto"/>
        <w:tblLayout w:type="fixed"/>
        <w:tblLook w:val="04A0" w:firstRow="1" w:lastRow="0" w:firstColumn="1" w:lastColumn="0" w:noHBand="0" w:noVBand="1"/>
      </w:tblPr>
      <w:tblGrid>
        <w:gridCol w:w="2448"/>
        <w:gridCol w:w="6795"/>
      </w:tblGrid>
      <w:tr w:rsidR="00F71930" w:rsidTr="00F719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Pr>
          <w:p w:rsidR="00F71930" w:rsidRDefault="00C07E53">
            <w:pPr>
              <w:spacing w:after="0"/>
              <w:jc w:val="both"/>
              <w:rPr>
                <w:rFonts w:asciiTheme="majorBidi" w:hAnsiTheme="majorBidi" w:cstheme="majorBidi"/>
                <w:b w:val="0"/>
                <w:bCs w:val="0"/>
                <w:szCs w:val="24"/>
              </w:rPr>
            </w:pPr>
            <w:r>
              <w:rPr>
                <w:rStyle w:val="Strong"/>
                <w:rFonts w:asciiTheme="majorBidi" w:hAnsiTheme="majorBidi" w:cstheme="majorBidi"/>
                <w:szCs w:val="24"/>
              </w:rPr>
              <w:t xml:space="preserve">Concentration(mg/ml)    </w:t>
            </w:r>
          </w:p>
        </w:tc>
        <w:tc>
          <w:tcPr>
            <w:tcW w:w="6795" w:type="dxa"/>
          </w:tcPr>
          <w:p w:rsidR="00F71930" w:rsidRDefault="00C07E53">
            <w:pPr>
              <w:spacing w:after="0"/>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Cs w:val="24"/>
              </w:rPr>
            </w:pPr>
            <w:r>
              <w:rPr>
                <w:rStyle w:val="Strong"/>
                <w:rFonts w:asciiTheme="majorBidi" w:hAnsiTheme="majorBidi" w:cstheme="majorBidi"/>
                <w:szCs w:val="24"/>
              </w:rPr>
              <w:t>Calculated values</w:t>
            </w:r>
          </w:p>
        </w:tc>
      </w:tr>
      <w:tr w:rsidR="00F71930" w:rsidTr="00F71930">
        <w:tc>
          <w:tcPr>
            <w:cnfStyle w:val="001000000000" w:firstRow="0" w:lastRow="0" w:firstColumn="1" w:lastColumn="0" w:oddVBand="0" w:evenVBand="0" w:oddHBand="0" w:evenHBand="0" w:firstRowFirstColumn="0" w:firstRowLastColumn="0" w:lastRowFirstColumn="0" w:lastRowLastColumn="0"/>
            <w:tcW w:w="2448" w:type="dxa"/>
          </w:tcPr>
          <w:p w:rsidR="00F71930" w:rsidRDefault="00C07E53">
            <w:pPr>
              <w:spacing w:after="0"/>
              <w:jc w:val="both"/>
              <w:rPr>
                <w:rFonts w:asciiTheme="majorBidi" w:hAnsiTheme="majorBidi" w:cstheme="majorBidi"/>
                <w:szCs w:val="24"/>
              </w:rPr>
            </w:pPr>
            <w:r>
              <w:rPr>
                <w:rFonts w:asciiTheme="majorBidi" w:hAnsiTheme="majorBidi" w:cstheme="majorBidi"/>
                <w:b w:val="0"/>
                <w:bCs w:val="0"/>
                <w:szCs w:val="24"/>
              </w:rPr>
              <w:t>0.</w:t>
            </w:r>
            <w:r>
              <w:rPr>
                <w:rFonts w:cs="Times New Roman"/>
                <w:b w:val="0"/>
                <w:bCs w:val="0"/>
                <w:szCs w:val="24"/>
              </w:rPr>
              <w:t>4</w:t>
            </w:r>
          </w:p>
        </w:tc>
        <w:tc>
          <w:tcPr>
            <w:tcW w:w="6795"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b/>
                <w:bCs/>
                <w:szCs w:val="24"/>
              </w:rPr>
              <w:t xml:space="preserve"> </w:t>
            </w:r>
            <w:r>
              <w:rPr>
                <w:rFonts w:eastAsia="Times New Roman" w:cs="Times New Roman"/>
                <w:color w:val="000000"/>
                <w:kern w:val="0"/>
                <w:szCs w:val="24"/>
              </w:rPr>
              <w:t>0.812      0.809        0.904        1.234</w:t>
            </w:r>
            <w:r>
              <w:rPr>
                <w:rFonts w:eastAsia="Times New Roman" w:cs="Times New Roman"/>
                <w:color w:val="000000"/>
                <w:kern w:val="0"/>
                <w:szCs w:val="24"/>
              </w:rPr>
              <w:t xml:space="preserve">            1.237           1.231 </w:t>
            </w:r>
          </w:p>
        </w:tc>
      </w:tr>
      <w:tr w:rsidR="00F71930" w:rsidTr="00F71930">
        <w:tc>
          <w:tcPr>
            <w:cnfStyle w:val="001000000000" w:firstRow="0" w:lastRow="0" w:firstColumn="1" w:lastColumn="0" w:oddVBand="0" w:evenVBand="0" w:oddHBand="0" w:evenHBand="0" w:firstRowFirstColumn="0" w:firstRowLastColumn="0" w:lastRowFirstColumn="0" w:lastRowLastColumn="0"/>
            <w:tcW w:w="2448" w:type="dxa"/>
          </w:tcPr>
          <w:p w:rsidR="00F71930" w:rsidRDefault="00C07E53">
            <w:pPr>
              <w:spacing w:after="0"/>
              <w:jc w:val="both"/>
              <w:rPr>
                <w:rFonts w:asciiTheme="majorBidi" w:hAnsiTheme="majorBidi" w:cstheme="majorBidi"/>
                <w:szCs w:val="24"/>
              </w:rPr>
            </w:pPr>
            <w:r>
              <w:rPr>
                <w:rFonts w:cs="Times New Roman"/>
                <w:b w:val="0"/>
                <w:bCs w:val="0"/>
                <w:szCs w:val="24"/>
              </w:rPr>
              <w:t xml:space="preserve">0.8 </w:t>
            </w:r>
          </w:p>
        </w:tc>
        <w:tc>
          <w:tcPr>
            <w:tcW w:w="6795"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Cs w:val="24"/>
              </w:rPr>
            </w:pPr>
            <w:r>
              <w:rPr>
                <w:rFonts w:cs="Times New Roman"/>
                <w:b/>
                <w:bCs/>
                <w:szCs w:val="24"/>
              </w:rPr>
              <w:t xml:space="preserve"> </w:t>
            </w:r>
            <w:r>
              <w:rPr>
                <w:rFonts w:eastAsia="Times New Roman" w:cs="Times New Roman"/>
                <w:color w:val="000000"/>
                <w:kern w:val="0"/>
                <w:szCs w:val="24"/>
              </w:rPr>
              <w:t xml:space="preserve">1.347       1.350       1.338        </w:t>
            </w:r>
            <w:r>
              <w:rPr>
                <w:rFonts w:cs="Times New Roman"/>
                <w:color w:val="000000"/>
                <w:szCs w:val="24"/>
              </w:rPr>
              <w:t>1.555           1.537            1.534</w:t>
            </w:r>
          </w:p>
        </w:tc>
      </w:tr>
      <w:tr w:rsidR="00F71930" w:rsidTr="00F71930">
        <w:tc>
          <w:tcPr>
            <w:cnfStyle w:val="001000000000" w:firstRow="0" w:lastRow="0" w:firstColumn="1" w:lastColumn="0" w:oddVBand="0" w:evenVBand="0" w:oddHBand="0" w:evenHBand="0" w:firstRowFirstColumn="0" w:firstRowLastColumn="0" w:lastRowFirstColumn="0" w:lastRowLastColumn="0"/>
            <w:tcW w:w="2448" w:type="dxa"/>
          </w:tcPr>
          <w:p w:rsidR="00F71930" w:rsidRDefault="00C07E53">
            <w:pPr>
              <w:spacing w:after="0"/>
              <w:jc w:val="both"/>
              <w:rPr>
                <w:rFonts w:asciiTheme="majorBidi" w:hAnsiTheme="majorBidi" w:cstheme="majorBidi"/>
                <w:szCs w:val="24"/>
              </w:rPr>
            </w:pPr>
            <w:r>
              <w:rPr>
                <w:rFonts w:cs="Times New Roman"/>
                <w:b w:val="0"/>
                <w:bCs w:val="0"/>
                <w:szCs w:val="24"/>
              </w:rPr>
              <w:t>1.2</w:t>
            </w:r>
          </w:p>
        </w:tc>
        <w:tc>
          <w:tcPr>
            <w:tcW w:w="6795"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cs="Times New Roman"/>
                <w:b/>
                <w:bCs/>
                <w:szCs w:val="24"/>
              </w:rPr>
            </w:pPr>
            <w:r>
              <w:rPr>
                <w:rFonts w:cs="Times New Roman"/>
                <w:b/>
                <w:bCs/>
                <w:szCs w:val="24"/>
              </w:rPr>
              <w:t xml:space="preserve"> </w:t>
            </w:r>
            <w:r>
              <w:rPr>
                <w:rFonts w:eastAsia="Times New Roman" w:cs="Times New Roman"/>
                <w:color w:val="000000"/>
                <w:kern w:val="0"/>
                <w:szCs w:val="24"/>
              </w:rPr>
              <w:t>2.299      2.296       2.293           2.168           2.156          2.159</w:t>
            </w:r>
          </w:p>
        </w:tc>
      </w:tr>
      <w:tr w:rsidR="00F71930" w:rsidTr="00F71930">
        <w:tc>
          <w:tcPr>
            <w:cnfStyle w:val="001000000000" w:firstRow="0" w:lastRow="0" w:firstColumn="1" w:lastColumn="0" w:oddVBand="0" w:evenVBand="0" w:oddHBand="0" w:evenHBand="0" w:firstRowFirstColumn="0" w:firstRowLastColumn="0" w:lastRowFirstColumn="0" w:lastRowLastColumn="0"/>
            <w:tcW w:w="2448" w:type="dxa"/>
          </w:tcPr>
          <w:p w:rsidR="00F71930" w:rsidRDefault="00C07E53">
            <w:pPr>
              <w:spacing w:after="0"/>
              <w:jc w:val="both"/>
              <w:rPr>
                <w:rFonts w:asciiTheme="majorBidi" w:hAnsiTheme="majorBidi" w:cstheme="majorBidi"/>
                <w:szCs w:val="24"/>
              </w:rPr>
            </w:pPr>
            <w:r>
              <w:rPr>
                <w:rFonts w:cs="Times New Roman"/>
                <w:b w:val="0"/>
                <w:bCs w:val="0"/>
                <w:szCs w:val="24"/>
              </w:rPr>
              <w:t>1.6</w:t>
            </w:r>
          </w:p>
        </w:tc>
        <w:tc>
          <w:tcPr>
            <w:tcW w:w="6795"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Cs w:val="24"/>
              </w:rPr>
            </w:pPr>
            <w:r>
              <w:rPr>
                <w:rFonts w:eastAsia="Times New Roman" w:cs="Times New Roman"/>
                <w:color w:val="000000"/>
                <w:kern w:val="0"/>
                <w:szCs w:val="24"/>
              </w:rPr>
              <w:t>2.513       2.667      2.664          2.667</w:t>
            </w:r>
            <w:r>
              <w:rPr>
                <w:rFonts w:eastAsia="Times New Roman" w:cs="Times New Roman"/>
                <w:color w:val="000000"/>
                <w:kern w:val="0"/>
                <w:szCs w:val="24"/>
              </w:rPr>
              <w:t xml:space="preserve">           2.510            2.507</w:t>
            </w:r>
          </w:p>
        </w:tc>
      </w:tr>
      <w:tr w:rsidR="00F71930" w:rsidTr="00F71930">
        <w:tc>
          <w:tcPr>
            <w:cnfStyle w:val="001000000000" w:firstRow="0" w:lastRow="0" w:firstColumn="1" w:lastColumn="0" w:oddVBand="0" w:evenVBand="0" w:oddHBand="0" w:evenHBand="0" w:firstRowFirstColumn="0" w:firstRowLastColumn="0" w:lastRowFirstColumn="0" w:lastRowLastColumn="0"/>
            <w:tcW w:w="2448" w:type="dxa"/>
          </w:tcPr>
          <w:p w:rsidR="00F71930" w:rsidRDefault="00C07E53">
            <w:pPr>
              <w:spacing w:after="0"/>
              <w:jc w:val="both"/>
              <w:rPr>
                <w:rFonts w:asciiTheme="majorBidi" w:hAnsiTheme="majorBidi" w:cstheme="majorBidi"/>
                <w:szCs w:val="24"/>
              </w:rPr>
            </w:pPr>
            <w:r>
              <w:rPr>
                <w:rFonts w:cs="Times New Roman"/>
                <w:b w:val="0"/>
                <w:bCs w:val="0"/>
                <w:szCs w:val="24"/>
              </w:rPr>
              <w:t xml:space="preserve">2.0 </w:t>
            </w:r>
          </w:p>
        </w:tc>
        <w:tc>
          <w:tcPr>
            <w:tcW w:w="6795"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rPr>
            </w:pPr>
            <w:r>
              <w:rPr>
                <w:rFonts w:eastAsia="Times New Roman" w:cs="Times New Roman"/>
                <w:color w:val="000000"/>
                <w:kern w:val="0"/>
                <w:szCs w:val="24"/>
              </w:rPr>
              <w:t>3.345      3.348     3.351           3.628          3.640            3.637</w:t>
            </w:r>
          </w:p>
        </w:tc>
      </w:tr>
    </w:tbl>
    <w:p w:rsidR="00F71930" w:rsidRDefault="00F71930">
      <w:pPr>
        <w:jc w:val="both"/>
        <w:rPr>
          <w:rFonts w:asciiTheme="majorBidi" w:hAnsiTheme="majorBidi" w:cstheme="majorBidi"/>
          <w:b/>
          <w:bCs/>
          <w:szCs w:val="24"/>
        </w:rPr>
      </w:pPr>
    </w:p>
    <w:p w:rsidR="00F71930" w:rsidRDefault="00F71930">
      <w:pPr>
        <w:jc w:val="both"/>
        <w:rPr>
          <w:rFonts w:eastAsia="Times New Roman" w:cs="Times New Roman"/>
          <w:color w:val="000000"/>
          <w:kern w:val="0"/>
          <w:szCs w:val="24"/>
        </w:rPr>
      </w:pPr>
    </w:p>
    <w:p w:rsidR="00F71930" w:rsidRDefault="00C07E53">
      <w:pPr>
        <w:jc w:val="both"/>
        <w:rPr>
          <w:rFonts w:eastAsia="Times New Roman" w:cs="Times New Roman"/>
          <w:b/>
          <w:bCs/>
          <w:color w:val="000000"/>
          <w:kern w:val="0"/>
          <w:szCs w:val="24"/>
        </w:rPr>
      </w:pPr>
      <w:r>
        <w:rPr>
          <w:rFonts w:eastAsia="Times New Roman" w:cs="Times New Roman"/>
          <w:b/>
          <w:bCs/>
          <w:color w:val="000000"/>
          <w:kern w:val="0"/>
          <w:szCs w:val="24"/>
        </w:rPr>
        <w:t xml:space="preserve"> Table4.6: </w:t>
      </w:r>
      <w:r>
        <w:rPr>
          <w:rFonts w:eastAsia="Times New Roman" w:cs="Times New Roman"/>
          <w:color w:val="000000"/>
          <w:kern w:val="0"/>
          <w:szCs w:val="24"/>
        </w:rPr>
        <w:t>Chitosan ginger raw values</w:t>
      </w:r>
      <w:r>
        <w:rPr>
          <w:rFonts w:eastAsia="Times New Roman" w:cs="Times New Roman"/>
          <w:b/>
          <w:bCs/>
          <w:color w:val="000000"/>
          <w:kern w:val="0"/>
          <w:szCs w:val="24"/>
        </w:rPr>
        <w:t xml:space="preserve"> </w:t>
      </w:r>
    </w:p>
    <w:tbl>
      <w:tblPr>
        <w:tblStyle w:val="ListTable6Colorful"/>
        <w:tblW w:w="9242" w:type="dxa"/>
        <w:tblLayout w:type="fixed"/>
        <w:tblLook w:val="04A0" w:firstRow="1" w:lastRow="0" w:firstColumn="1" w:lastColumn="0" w:noHBand="0" w:noVBand="1"/>
      </w:tblPr>
      <w:tblGrid>
        <w:gridCol w:w="3348"/>
        <w:gridCol w:w="5894"/>
      </w:tblGrid>
      <w:tr w:rsidR="00F71930" w:rsidTr="00F719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b w:val="0"/>
                <w:bCs w:val="0"/>
                <w:color w:val="000000"/>
                <w:kern w:val="0"/>
                <w:szCs w:val="24"/>
              </w:rPr>
            </w:pPr>
            <w:r>
              <w:rPr>
                <w:rStyle w:val="Strong"/>
                <w:rFonts w:asciiTheme="majorBidi" w:hAnsiTheme="majorBidi" w:cstheme="majorBidi"/>
                <w:szCs w:val="24"/>
              </w:rPr>
              <w:t xml:space="preserve">Concentration(mg/ml)             </w:t>
            </w:r>
          </w:p>
        </w:tc>
        <w:tc>
          <w:tcPr>
            <w:tcW w:w="5894" w:type="dxa"/>
          </w:tcPr>
          <w:p w:rsidR="00F71930" w:rsidRDefault="00C07E53">
            <w:pPr>
              <w:spacing w:after="0"/>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rPr>
            </w:pPr>
            <w:r>
              <w:rPr>
                <w:rStyle w:val="Strong"/>
                <w:rFonts w:asciiTheme="majorBidi" w:hAnsiTheme="majorBidi" w:cstheme="majorBidi"/>
                <w:szCs w:val="24"/>
              </w:rPr>
              <w:t xml:space="preserve">Calculated values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cs="Times New Roman"/>
                <w:b w:val="0"/>
                <w:bCs w:val="0"/>
                <w:szCs w:val="24"/>
              </w:rPr>
              <w:t>0.4</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0.390 </w:t>
            </w:r>
            <w:r>
              <w:rPr>
                <w:rFonts w:cs="Times New Roman"/>
                <w:b/>
                <w:bCs/>
                <w:szCs w:val="24"/>
              </w:rPr>
              <w:t xml:space="preserve">      </w:t>
            </w:r>
            <w:r>
              <w:rPr>
                <w:rFonts w:eastAsia="Times New Roman" w:cs="Times New Roman"/>
                <w:color w:val="000000"/>
                <w:kern w:val="0"/>
                <w:szCs w:val="24"/>
              </w:rPr>
              <w:t xml:space="preserve">0.396 </w:t>
            </w:r>
            <w:r>
              <w:rPr>
                <w:rFonts w:cs="Times New Roman"/>
                <w:b/>
                <w:bCs/>
                <w:szCs w:val="24"/>
              </w:rPr>
              <w:t xml:space="preserve">      </w:t>
            </w:r>
            <w:r>
              <w:rPr>
                <w:rFonts w:eastAsia="Times New Roman" w:cs="Times New Roman"/>
                <w:color w:val="000000"/>
                <w:kern w:val="0"/>
                <w:szCs w:val="24"/>
              </w:rPr>
              <w:t xml:space="preserve">0.381 </w:t>
            </w:r>
            <w:r>
              <w:rPr>
                <w:rFonts w:cs="Times New Roman"/>
                <w:b/>
                <w:bCs/>
                <w:szCs w:val="24"/>
              </w:rPr>
              <w:t xml:space="preserve">      </w:t>
            </w:r>
            <w:r>
              <w:rPr>
                <w:rFonts w:eastAsia="Times New Roman" w:cs="Times New Roman"/>
                <w:color w:val="000000"/>
                <w:kern w:val="0"/>
                <w:szCs w:val="24"/>
              </w:rPr>
              <w:t xml:space="preserve">0.515 </w:t>
            </w:r>
            <w:r>
              <w:rPr>
                <w:rFonts w:cs="Times New Roman"/>
                <w:b/>
                <w:bCs/>
                <w:szCs w:val="24"/>
              </w:rPr>
              <w:t xml:space="preserve">         </w:t>
            </w:r>
            <w:r>
              <w:rPr>
                <w:rFonts w:eastAsia="Times New Roman" w:cs="Times New Roman"/>
                <w:color w:val="000000"/>
                <w:kern w:val="0"/>
                <w:szCs w:val="24"/>
              </w:rPr>
              <w:t xml:space="preserve">0.503 </w:t>
            </w:r>
            <w:r>
              <w:rPr>
                <w:rFonts w:cs="Times New Roman"/>
                <w:b/>
                <w:bCs/>
                <w:szCs w:val="24"/>
              </w:rPr>
              <w:t xml:space="preserve">      </w:t>
            </w:r>
            <w:r>
              <w:rPr>
                <w:rFonts w:eastAsia="Times New Roman" w:cs="Times New Roman"/>
                <w:color w:val="000000"/>
                <w:kern w:val="0"/>
                <w:szCs w:val="24"/>
              </w:rPr>
              <w:t>0.467</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cs="Times New Roman"/>
                <w:b w:val="0"/>
                <w:bCs w:val="0"/>
                <w:szCs w:val="24"/>
              </w:rPr>
              <w:t xml:space="preserve">0.8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0.898       0.853       0.851       0.824          0.827        0.830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eastAsia="Times New Roman" w:cs="Times New Roman"/>
                <w:b w:val="0"/>
                <w:bCs w:val="0"/>
                <w:color w:val="000000"/>
                <w:kern w:val="0"/>
                <w:szCs w:val="24"/>
              </w:rPr>
              <w:t xml:space="preserve">1.2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1.077     1.068       1.071         1.088          1.112       1.109</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eastAsia="Times New Roman" w:cs="Times New Roman"/>
                <w:b w:val="0"/>
                <w:bCs w:val="0"/>
                <w:color w:val="000000"/>
                <w:kern w:val="0"/>
                <w:szCs w:val="24"/>
              </w:rPr>
              <w:t xml:space="preserve">1.6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1.445     1.463       1.430         1.418           1.398      1.</w:t>
            </w:r>
            <w:r>
              <w:rPr>
                <w:rFonts w:eastAsia="Times New Roman" w:cs="Times New Roman"/>
                <w:color w:val="000000"/>
                <w:kern w:val="0"/>
                <w:szCs w:val="24"/>
              </w:rPr>
              <w:t>395</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eastAsia="Times New Roman" w:cs="Times New Roman"/>
                <w:b w:val="0"/>
                <w:bCs w:val="0"/>
                <w:color w:val="000000"/>
                <w:kern w:val="0"/>
                <w:szCs w:val="24"/>
              </w:rPr>
              <w:t xml:space="preserve">2.0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1.722     1.731     1.728           1.769          1.775       1.772</w:t>
            </w:r>
          </w:p>
        </w:tc>
      </w:tr>
    </w:tbl>
    <w:p w:rsidR="00F71930" w:rsidRDefault="00F71930">
      <w:pPr>
        <w:jc w:val="both"/>
        <w:rPr>
          <w:rFonts w:eastAsia="Times New Roman" w:cs="Times New Roman"/>
          <w:b/>
          <w:bCs/>
          <w:color w:val="000000"/>
          <w:kern w:val="0"/>
          <w:szCs w:val="24"/>
        </w:rPr>
      </w:pPr>
    </w:p>
    <w:p w:rsidR="00F71930" w:rsidRDefault="00C07E53">
      <w:pPr>
        <w:ind w:right="297"/>
        <w:jc w:val="both"/>
        <w:rPr>
          <w:rFonts w:asciiTheme="majorBidi" w:hAnsiTheme="majorBidi" w:cstheme="majorBidi"/>
          <w:szCs w:val="24"/>
        </w:rPr>
      </w:pPr>
      <w:r>
        <w:rPr>
          <w:rFonts w:asciiTheme="majorBidi" w:hAnsiTheme="majorBidi" w:cstheme="majorBidi"/>
          <w:szCs w:val="24"/>
        </w:rPr>
        <w:t xml:space="preserve"> </w:t>
      </w:r>
      <w:r>
        <w:rPr>
          <w:rFonts w:asciiTheme="majorBidi" w:hAnsiTheme="majorBidi" w:cstheme="majorBidi"/>
          <w:b/>
          <w:bCs/>
          <w:szCs w:val="24"/>
        </w:rPr>
        <w:t>Table 7</w:t>
      </w:r>
      <w:r>
        <w:rPr>
          <w:rFonts w:asciiTheme="majorBidi" w:hAnsiTheme="majorBidi" w:cstheme="majorBidi"/>
          <w:szCs w:val="24"/>
        </w:rPr>
        <w:t xml:space="preserve">: Naïve chitosan values </w:t>
      </w:r>
    </w:p>
    <w:tbl>
      <w:tblPr>
        <w:tblStyle w:val="ListTable6Colorful"/>
        <w:tblW w:w="9242" w:type="dxa"/>
        <w:tblLayout w:type="fixed"/>
        <w:tblLook w:val="04A0" w:firstRow="1" w:lastRow="0" w:firstColumn="1" w:lastColumn="0" w:noHBand="0" w:noVBand="1"/>
      </w:tblPr>
      <w:tblGrid>
        <w:gridCol w:w="3348"/>
        <w:gridCol w:w="5894"/>
      </w:tblGrid>
      <w:tr w:rsidR="00F71930" w:rsidTr="00F719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b w:val="0"/>
                <w:bCs w:val="0"/>
                <w:color w:val="000000"/>
                <w:kern w:val="0"/>
                <w:szCs w:val="24"/>
              </w:rPr>
            </w:pPr>
            <w:r>
              <w:rPr>
                <w:rStyle w:val="Strong"/>
                <w:rFonts w:asciiTheme="majorBidi" w:hAnsiTheme="majorBidi" w:cstheme="majorBidi"/>
                <w:szCs w:val="24"/>
              </w:rPr>
              <w:t xml:space="preserve">Concentration(mg/ml)             </w:t>
            </w:r>
          </w:p>
        </w:tc>
        <w:tc>
          <w:tcPr>
            <w:tcW w:w="5894" w:type="dxa"/>
          </w:tcPr>
          <w:p w:rsidR="00F71930" w:rsidRDefault="00C07E53">
            <w:pPr>
              <w:spacing w:after="0"/>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rPr>
            </w:pPr>
            <w:r>
              <w:rPr>
                <w:rStyle w:val="Strong"/>
                <w:rFonts w:asciiTheme="majorBidi" w:hAnsiTheme="majorBidi" w:cstheme="majorBidi"/>
                <w:szCs w:val="24"/>
              </w:rPr>
              <w:t xml:space="preserve">Calculated values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cs="Times New Roman"/>
                <w:b w:val="0"/>
                <w:bCs w:val="0"/>
                <w:szCs w:val="24"/>
              </w:rPr>
              <w:t>0.4</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1.142     1.136        1.127     0.975       0.964        0.958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cs="Times New Roman"/>
                <w:b w:val="0"/>
                <w:bCs w:val="0"/>
                <w:szCs w:val="24"/>
              </w:rPr>
              <w:t xml:space="preserve">0.8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2.099 </w:t>
            </w:r>
            <w:r>
              <w:rPr>
                <w:rFonts w:eastAsia="Times New Roman" w:cs="Times New Roman"/>
                <w:color w:val="000000"/>
                <w:kern w:val="0"/>
                <w:szCs w:val="24"/>
              </w:rPr>
              <w:t xml:space="preserve">   2.093         2.079     2.013         2.325       2.004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eastAsia="Times New Roman" w:cs="Times New Roman"/>
                <w:b w:val="0"/>
                <w:bCs w:val="0"/>
                <w:color w:val="000000"/>
                <w:kern w:val="0"/>
                <w:szCs w:val="24"/>
              </w:rPr>
              <w:t xml:space="preserve">1.2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2.308    2.287         2.296     2.325        2.316       2.319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eastAsia="Times New Roman" w:cs="Times New Roman"/>
                <w:b w:val="0"/>
                <w:bCs w:val="0"/>
                <w:color w:val="000000"/>
                <w:kern w:val="0"/>
                <w:szCs w:val="24"/>
              </w:rPr>
              <w:t xml:space="preserve">1.6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2.977    2.971       2.983      2.456         2.444        2.447  </w:t>
            </w:r>
          </w:p>
        </w:tc>
      </w:tr>
      <w:tr w:rsidR="00F71930" w:rsidTr="00F71930">
        <w:tc>
          <w:tcPr>
            <w:cnfStyle w:val="001000000000" w:firstRow="0" w:lastRow="0" w:firstColumn="1" w:lastColumn="0" w:oddVBand="0" w:evenVBand="0" w:oddHBand="0" w:evenHBand="0" w:firstRowFirstColumn="0" w:firstRowLastColumn="0" w:lastRowFirstColumn="0" w:lastRowLastColumn="0"/>
            <w:tcW w:w="3348" w:type="dxa"/>
          </w:tcPr>
          <w:p w:rsidR="00F71930" w:rsidRDefault="00C07E53">
            <w:pPr>
              <w:spacing w:after="0"/>
              <w:jc w:val="both"/>
              <w:rPr>
                <w:rFonts w:eastAsia="Times New Roman" w:cs="Times New Roman"/>
                <w:color w:val="000000"/>
                <w:kern w:val="0"/>
                <w:szCs w:val="24"/>
              </w:rPr>
            </w:pPr>
            <w:r>
              <w:rPr>
                <w:rFonts w:eastAsia="Times New Roman" w:cs="Times New Roman"/>
                <w:b w:val="0"/>
                <w:bCs w:val="0"/>
                <w:color w:val="000000"/>
                <w:kern w:val="0"/>
                <w:szCs w:val="24"/>
              </w:rPr>
              <w:t xml:space="preserve">2.0 </w:t>
            </w:r>
          </w:p>
        </w:tc>
        <w:tc>
          <w:tcPr>
            <w:tcW w:w="5894" w:type="dxa"/>
          </w:tcPr>
          <w:p w:rsidR="00F71930" w:rsidRDefault="00C07E53">
            <w:pPr>
              <w:spacing w:after="0"/>
              <w:jc w:val="both"/>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kern w:val="0"/>
                <w:szCs w:val="24"/>
              </w:rPr>
            </w:pPr>
            <w:r>
              <w:rPr>
                <w:rFonts w:eastAsia="Times New Roman" w:cs="Times New Roman"/>
                <w:color w:val="000000"/>
                <w:kern w:val="0"/>
                <w:szCs w:val="24"/>
              </w:rPr>
              <w:t xml:space="preserve">3.045   3.036       3.030      3.087          </w:t>
            </w:r>
            <w:r>
              <w:rPr>
                <w:rFonts w:eastAsia="Times New Roman" w:cs="Times New Roman"/>
                <w:color w:val="000000"/>
                <w:kern w:val="0"/>
                <w:szCs w:val="24"/>
              </w:rPr>
              <w:t>3.081        3.045</w:t>
            </w:r>
          </w:p>
        </w:tc>
      </w:tr>
    </w:tbl>
    <w:p w:rsidR="00F71930" w:rsidRDefault="00F71930">
      <w:pPr>
        <w:jc w:val="both"/>
        <w:rPr>
          <w:rFonts w:asciiTheme="majorBidi" w:hAnsiTheme="majorBidi" w:cstheme="majorBidi"/>
          <w:b/>
          <w:bCs/>
          <w:szCs w:val="24"/>
        </w:rPr>
      </w:pPr>
    </w:p>
    <w:p w:rsidR="00F71930" w:rsidRDefault="00F71930">
      <w:pPr>
        <w:jc w:val="both"/>
        <w:rPr>
          <w:rFonts w:asciiTheme="majorBidi" w:hAnsiTheme="majorBidi" w:cstheme="majorBidi"/>
          <w:b/>
          <w:bCs/>
          <w:szCs w:val="24"/>
        </w:rPr>
      </w:pPr>
    </w:p>
    <w:p w:rsidR="00F71930" w:rsidRDefault="00F71930">
      <w:pPr>
        <w:jc w:val="both"/>
        <w:rPr>
          <w:rFonts w:asciiTheme="majorBidi" w:hAnsiTheme="majorBidi" w:cstheme="majorBidi"/>
          <w:b/>
          <w:bCs/>
          <w:szCs w:val="24"/>
        </w:rPr>
      </w:pPr>
    </w:p>
    <w:p w:rsidR="00F71930" w:rsidRDefault="00F71930">
      <w:pPr>
        <w:jc w:val="both"/>
        <w:rPr>
          <w:rFonts w:asciiTheme="majorBidi" w:hAnsiTheme="majorBidi" w:cstheme="majorBidi"/>
          <w:b/>
          <w:bCs/>
          <w:szCs w:val="24"/>
        </w:rPr>
      </w:pPr>
    </w:p>
    <w:p w:rsidR="00F71930" w:rsidRDefault="00F71930">
      <w:pPr>
        <w:jc w:val="both"/>
        <w:rPr>
          <w:rFonts w:asciiTheme="majorBidi" w:hAnsiTheme="majorBidi" w:cstheme="majorBidi"/>
          <w:b/>
          <w:bCs/>
          <w:szCs w:val="24"/>
        </w:rPr>
      </w:pPr>
    </w:p>
    <w:p w:rsidR="00F71930" w:rsidRDefault="00F71930">
      <w:pPr>
        <w:jc w:val="both"/>
        <w:rPr>
          <w:rFonts w:asciiTheme="majorBidi" w:hAnsiTheme="majorBidi" w:cstheme="majorBidi"/>
          <w:b/>
          <w:bCs/>
          <w:szCs w:val="24"/>
        </w:rPr>
      </w:pPr>
    </w:p>
    <w:p w:rsidR="00F71930" w:rsidRDefault="00F71930">
      <w:pPr>
        <w:jc w:val="both"/>
        <w:rPr>
          <w:rFonts w:asciiTheme="majorBidi" w:hAnsiTheme="majorBidi" w:cstheme="majorBidi"/>
          <w:b/>
          <w:bCs/>
          <w:szCs w:val="24"/>
        </w:rPr>
      </w:pPr>
    </w:p>
    <w:p w:rsidR="00F71930" w:rsidRDefault="00C07E53">
      <w:pPr>
        <w:jc w:val="both"/>
        <w:rPr>
          <w:rFonts w:asciiTheme="majorBidi" w:hAnsiTheme="majorBidi" w:cstheme="majorBidi"/>
          <w:b/>
          <w:bCs/>
          <w:szCs w:val="24"/>
        </w:rPr>
      </w:pPr>
      <w:r>
        <w:rPr>
          <w:noProof/>
        </w:rPr>
        <w:drawing>
          <wp:inline distT="0" distB="0" distL="0" distR="0">
            <wp:extent cx="4972050" cy="2847975"/>
            <wp:effectExtent l="0" t="0" r="0" b="9525"/>
            <wp:docPr id="190947928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71930" w:rsidRDefault="00C07E53">
      <w:pPr>
        <w:jc w:val="both"/>
        <w:rPr>
          <w:rFonts w:asciiTheme="majorBidi" w:hAnsiTheme="majorBidi" w:cstheme="majorBidi"/>
          <w:szCs w:val="24"/>
          <w:lang w:val="en-GB"/>
        </w:rPr>
      </w:pPr>
      <w:r>
        <w:rPr>
          <w:rFonts w:asciiTheme="majorBidi" w:hAnsiTheme="majorBidi" w:cstheme="majorBidi"/>
          <w:szCs w:val="24"/>
        </w:rPr>
        <w:t>Figure 3:</w:t>
      </w:r>
      <w:r>
        <w:rPr>
          <w:rFonts w:asciiTheme="majorBidi" w:hAnsiTheme="majorBidi" w:cstheme="majorBidi"/>
          <w:szCs w:val="24"/>
          <w:lang w:val="en-GB"/>
        </w:rPr>
        <w:t xml:space="preserve"> (FRAP) Scavenging activity of standard ascorbic acid.</w:t>
      </w:r>
    </w:p>
    <w:p w:rsidR="00F71930" w:rsidRDefault="00F71930">
      <w:pPr>
        <w:jc w:val="both"/>
        <w:rPr>
          <w:rFonts w:asciiTheme="majorBidi" w:hAnsiTheme="majorBidi" w:cstheme="majorBidi"/>
          <w:szCs w:val="24"/>
          <w:lang w:val="en-GB"/>
        </w:rPr>
      </w:pPr>
    </w:p>
    <w:p w:rsidR="00F71930" w:rsidRDefault="00F71930">
      <w:pPr>
        <w:jc w:val="both"/>
        <w:rPr>
          <w:rFonts w:asciiTheme="majorBidi" w:hAnsiTheme="majorBidi" w:cstheme="majorBidi"/>
          <w:b/>
          <w:bCs/>
          <w:szCs w:val="24"/>
        </w:rPr>
      </w:pPr>
    </w:p>
    <w:sectPr w:rsidR="00F71930">
      <w:pgSz w:w="11907" w:h="16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7E53" w:rsidRDefault="00C07E53">
      <w:pPr>
        <w:spacing w:after="0" w:line="240" w:lineRule="auto"/>
      </w:pPr>
      <w:r>
        <w:separator/>
      </w:r>
    </w:p>
  </w:endnote>
  <w:endnote w:type="continuationSeparator" w:id="0">
    <w:p w:rsidR="00C07E53" w:rsidRDefault="00C07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ptos">
    <w:altName w:val="Times New Roman"/>
    <w:charset w:val="00"/>
    <w:family w:val="roman"/>
    <w:pitch w:val="variable"/>
    <w:sig w:usb0="20007A87" w:usb1="80000000" w:usb2="00000008" w:usb3="00000000" w:csb0="000001FF" w:csb1="00000000"/>
  </w:font>
  <w:font w:name="Arial">
    <w:panose1 w:val="020B0604020202020204"/>
    <w:charset w:val="00"/>
    <w:family w:val="swiss"/>
    <w:pitch w:val="variable"/>
    <w:sig w:usb0="20002A87" w:usb1="00000000" w:usb2="00000000" w:usb3="00000000" w:csb0="000001FF" w:csb1="00000000"/>
  </w:font>
  <w:font w:name="等线 Light">
    <w:panose1 w:val="00000000000000000000"/>
    <w:charset w:val="80"/>
    <w:family w:val="roman"/>
    <w:notTrueType/>
    <w:pitch w:val="default"/>
  </w:font>
  <w:font w:name="Aptos Display">
    <w:altName w:val="Arial"/>
    <w:charset w:val="00"/>
    <w:family w:val="swiss"/>
    <w:pitch w:val="default"/>
    <w:sig w:usb0="00000000" w:usb1="00000000"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4268261"/>
    </w:sdtPr>
    <w:sdtEndPr/>
    <w:sdtContent>
      <w:p w:rsidR="00F71930" w:rsidRDefault="00C07E53">
        <w:pPr>
          <w:pStyle w:val="Footer"/>
          <w:jc w:val="center"/>
        </w:pPr>
        <w:r>
          <w:fldChar w:fldCharType="begin"/>
        </w:r>
        <w:r>
          <w:instrText xml:space="preserve"> PAGE   \* MERGEFORMAT </w:instrText>
        </w:r>
        <w:r>
          <w:fldChar w:fldCharType="separate"/>
        </w:r>
        <w:r w:rsidR="00455DE7">
          <w:rPr>
            <w:noProof/>
          </w:rPr>
          <w:t>i</w:t>
        </w:r>
        <w:r>
          <w:fldChar w:fldCharType="end"/>
        </w:r>
      </w:p>
    </w:sdtContent>
  </w:sdt>
  <w:p w:rsidR="00F71930" w:rsidRDefault="00F719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7E53" w:rsidRDefault="00C07E53">
      <w:pPr>
        <w:spacing w:after="0" w:line="240" w:lineRule="auto"/>
      </w:pPr>
      <w:r>
        <w:separator/>
      </w:r>
    </w:p>
  </w:footnote>
  <w:footnote w:type="continuationSeparator" w:id="0">
    <w:p w:rsidR="00C07E53" w:rsidRDefault="00C07E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7A6F3A"/>
    <w:multiLevelType w:val="multilevel"/>
    <w:tmpl w:val="4A7A6F3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7EEC0336"/>
    <w:multiLevelType w:val="multilevel"/>
    <w:tmpl w:val="7EEC033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930"/>
    <w:rsid w:val="00455DE7"/>
    <w:rsid w:val="00C07E53"/>
    <w:rsid w:val="00F7193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lsdException w:name="footer" w:semiHidden="0" w:qFormat="1"/>
    <w:lsdException w:name="caption" w:uiPriority="35" w:qFormat="1"/>
    <w:lsdException w:name="annotation reference" w:semiHidden="0"/>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Normal Table" w:semiHidden="0"/>
    <w:lsdException w:name="annotation subject" w:semiHidden="0"/>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480" w:lineRule="auto"/>
    </w:pPr>
    <w:rPr>
      <w:rFonts w:eastAsiaTheme="minorHAnsi" w:cstheme="minorBidi"/>
      <w:kern w:val="2"/>
      <w:sz w:val="24"/>
      <w:szCs w:val="22"/>
    </w:rPr>
  </w:style>
  <w:style w:type="paragraph" w:styleId="Heading1">
    <w:name w:val="heading 1"/>
    <w:basedOn w:val="Normal"/>
    <w:next w:val="Normal"/>
    <w:link w:val="Heading1Char"/>
    <w:uiPriority w:val="9"/>
    <w:qFormat/>
    <w:pPr>
      <w:keepNext/>
      <w:keepLines/>
      <w:jc w:val="center"/>
      <w:outlineLvl w:val="0"/>
    </w:pPr>
    <w:rPr>
      <w:rFonts w:asciiTheme="majorBidi" w:eastAsiaTheme="majorEastAsia" w:hAnsiTheme="majorBidi" w:cstheme="majorBidi"/>
      <w:b/>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qFormat/>
    <w:pPr>
      <w:spacing w:before="100" w:beforeAutospacing="1" w:after="100" w:afterAutospacing="1" w:line="240" w:lineRule="auto"/>
      <w:outlineLvl w:val="2"/>
    </w:pPr>
    <w:rPr>
      <w:rFonts w:eastAsia="Times New Roman" w:cs="Times New Roman"/>
      <w:b/>
      <w:bCs/>
      <w:kern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line="240" w:lineRule="auto"/>
    </w:pPr>
    <w:rPr>
      <w:rFonts w:ascii="Tahoma" w:hAnsi="Tahoma" w:cs="Tahoma"/>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unhideWhenUsed/>
    <w:rPr>
      <w:b/>
      <w:bCs/>
    </w:rPr>
  </w:style>
  <w:style w:type="paragraph" w:styleId="Footer">
    <w:name w:val="footer"/>
    <w:basedOn w:val="Normal"/>
    <w:link w:val="FooterChar"/>
    <w:uiPriority w:val="99"/>
    <w:unhideWhenUsed/>
    <w:qFormat/>
    <w:pPr>
      <w:tabs>
        <w:tab w:val="center" w:pos="4680"/>
        <w:tab w:val="right" w:pos="9360"/>
      </w:tabs>
      <w:spacing w:line="240" w:lineRule="auto"/>
    </w:pPr>
    <w:rPr>
      <w:kern w:val="0"/>
    </w:rPr>
  </w:style>
  <w:style w:type="paragraph" w:styleId="Header">
    <w:name w:val="header"/>
    <w:basedOn w:val="Normal"/>
    <w:link w:val="HeaderChar"/>
    <w:uiPriority w:val="99"/>
    <w:unhideWhenUsed/>
    <w:pPr>
      <w:tabs>
        <w:tab w:val="center" w:pos="4680"/>
        <w:tab w:val="right" w:pos="9360"/>
      </w:tabs>
      <w:spacing w:line="240" w:lineRule="auto"/>
    </w:pPr>
  </w:style>
  <w:style w:type="paragraph" w:styleId="NormalWeb">
    <w:name w:val="Normal (Web)"/>
    <w:basedOn w:val="Normal"/>
    <w:uiPriority w:val="99"/>
    <w:unhideWhenUsed/>
    <w:pPr>
      <w:spacing w:before="100" w:beforeAutospacing="1" w:after="100" w:afterAutospacing="1" w:line="240" w:lineRule="auto"/>
    </w:pPr>
    <w:rPr>
      <w:rFonts w:eastAsia="Times New Roman" w:cs="Times New Roman"/>
      <w:kern w:val="0"/>
      <w:szCs w:val="24"/>
    </w:rPr>
  </w:style>
  <w:style w:type="paragraph" w:styleId="TOC1">
    <w:name w:val="toc 1"/>
    <w:basedOn w:val="Normal"/>
    <w:next w:val="Normal"/>
    <w:uiPriority w:val="39"/>
    <w:unhideWhenUsed/>
    <w:pPr>
      <w:tabs>
        <w:tab w:val="right" w:leader="dot" w:pos="9017"/>
      </w:tabs>
      <w:spacing w:after="100" w:line="240" w:lineRule="auto"/>
    </w:pPr>
    <w:rPr>
      <w:kern w:val="0"/>
    </w:rPr>
  </w:style>
  <w:style w:type="paragraph" w:styleId="TOC2">
    <w:name w:val="toc 2"/>
    <w:basedOn w:val="Normal"/>
    <w:next w:val="Normal"/>
    <w:uiPriority w:val="39"/>
    <w:unhideWhenUsed/>
    <w:pPr>
      <w:tabs>
        <w:tab w:val="right" w:leader="dot" w:pos="9017"/>
      </w:tabs>
      <w:spacing w:after="100"/>
    </w:pPr>
    <w:rPr>
      <w:kern w:val="0"/>
    </w:rPr>
  </w:style>
  <w:style w:type="paragraph" w:styleId="TOC3">
    <w:name w:val="toc 3"/>
    <w:basedOn w:val="Normal"/>
    <w:next w:val="Normal"/>
    <w:uiPriority w:val="39"/>
    <w:unhideWhenUsed/>
    <w:pPr>
      <w:tabs>
        <w:tab w:val="right" w:leader="dot" w:pos="9017"/>
      </w:tabs>
      <w:spacing w:after="100"/>
    </w:pPr>
    <w:rPr>
      <w:rFonts w:eastAsia="Times New Roman" w:cs="Times New Roman"/>
      <w:kern w:val="0"/>
    </w:rPr>
  </w:style>
  <w:style w:type="character" w:styleId="CommentReference">
    <w:name w:val="annotation reference"/>
    <w:basedOn w:val="DefaultParagraphFont"/>
    <w:uiPriority w:val="99"/>
    <w:unhideWhenUsed/>
    <w:rPr>
      <w:sz w:val="16"/>
      <w:szCs w:val="16"/>
    </w:r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character" w:styleId="Strong">
    <w:name w:val="Strong"/>
    <w:basedOn w:val="DefaultParagraphFont"/>
    <w:uiPriority w:val="22"/>
    <w:qFormat/>
    <w:rPr>
      <w:b/>
      <w:bCs/>
    </w:rPr>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Bidi" w:eastAsiaTheme="majorEastAsia" w:hAnsiTheme="majorBidi" w:cstheme="majorBidi"/>
      <w:b/>
      <w:szCs w:val="32"/>
    </w:rPr>
  </w:style>
  <w:style w:type="character" w:customStyle="1" w:styleId="Heading3Char">
    <w:name w:val="Heading 3 Char"/>
    <w:basedOn w:val="DefaultParagraphFont"/>
    <w:link w:val="Heading3"/>
    <w:uiPriority w:val="9"/>
    <w:rPr>
      <w:rFonts w:eastAsia="Times New Roman" w:cs="Times New Roman"/>
      <w:b/>
      <w:bCs/>
      <w:kern w:val="0"/>
      <w:sz w:val="27"/>
      <w:szCs w:val="27"/>
      <w14:ligatures w14:val="none"/>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PlaceholderText1">
    <w:name w:val="Placeholder Text1"/>
    <w:basedOn w:val="DefaultParagraphFont"/>
    <w:uiPriority w:val="99"/>
    <w:semiHidden/>
    <w:rPr>
      <w:color w:val="808080"/>
    </w:rPr>
  </w:style>
  <w:style w:type="character" w:customStyle="1" w:styleId="FooterChar">
    <w:name w:val="Footer Char"/>
    <w:basedOn w:val="DefaultParagraphFont"/>
    <w:link w:val="Footer"/>
    <w:uiPriority w:val="99"/>
    <w:rPr>
      <w:kern w:val="0"/>
      <w14:ligatures w14:val="none"/>
    </w:rPr>
  </w:style>
  <w:style w:type="paragraph" w:customStyle="1" w:styleId="TOCHeading1">
    <w:name w:val="TOC Heading1"/>
    <w:basedOn w:val="Heading1"/>
    <w:next w:val="Normal"/>
    <w:uiPriority w:val="39"/>
    <w:unhideWhenUsed/>
    <w:qFormat/>
    <w:pPr>
      <w:spacing w:before="240" w:line="259" w:lineRule="auto"/>
      <w:jc w:val="left"/>
      <w:outlineLvl w:val="9"/>
    </w:pPr>
    <w:rPr>
      <w:rFonts w:asciiTheme="majorHAnsi" w:hAnsiTheme="majorHAnsi"/>
      <w:b w:val="0"/>
      <w:color w:val="2E74B5" w:themeColor="accent1" w:themeShade="BF"/>
      <w:kern w:val="0"/>
      <w:sz w:val="32"/>
    </w:rPr>
  </w:style>
  <w:style w:type="character" w:customStyle="1" w:styleId="HeaderChar">
    <w:name w:val="Header Char"/>
    <w:basedOn w:val="DefaultParagraphFont"/>
    <w:link w:val="Header"/>
    <w:uiPriority w:val="99"/>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ListParagraph1">
    <w:name w:val="List Paragraph1"/>
    <w:basedOn w:val="Normal"/>
    <w:uiPriority w:val="99"/>
    <w:unhideWhenUsed/>
    <w:pPr>
      <w:ind w:left="720"/>
      <w:contextualSpacing/>
    </w:pPr>
  </w:style>
  <w:style w:type="character" w:customStyle="1" w:styleId="PlaceholderText2">
    <w:name w:val="Placeholder Text2"/>
    <w:basedOn w:val="DefaultParagraphFont"/>
    <w:uiPriority w:val="99"/>
    <w:unhideWhenUsed/>
    <w:rPr>
      <w:color w:val="666666"/>
    </w:rPr>
  </w:style>
  <w:style w:type="character" w:customStyle="1" w:styleId="UnresolvedMention">
    <w:name w:val="Unresolved Mention"/>
    <w:basedOn w:val="DefaultParagraphFont"/>
    <w:uiPriority w:val="99"/>
    <w:unhideWhenUsed/>
    <w:rPr>
      <w:color w:val="605E5C"/>
      <w:shd w:val="clear" w:color="auto" w:fill="E1DFDD"/>
    </w:rPr>
  </w:style>
  <w:style w:type="table" w:customStyle="1" w:styleId="PlainTable1">
    <w:name w:val="Plain Table 1"/>
    <w:basedOn w:val="TableNormal"/>
    <w:uiPriority w:val="4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Table6Colorful">
    <w:name w:val="List Table 6 Colorful"/>
    <w:basedOn w:val="TableNormal"/>
    <w:uiPriority w:val="51"/>
    <w:pPr>
      <w:spacing w:after="0" w:line="240" w:lineRule="auto"/>
    </w:pPr>
    <w:rPr>
      <w:color w:val="000000" w:themeColor="text1"/>
    </w:rPr>
    <w:tblPr>
      <w:tblInd w:w="0" w:type="dxa"/>
      <w:tblBorders>
        <w:top w:val="single" w:sz="4" w:space="0" w:color="000000" w:themeColor="text1"/>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lsdException w:name="footer" w:semiHidden="0" w:qFormat="1"/>
    <w:lsdException w:name="caption" w:uiPriority="35" w:qFormat="1"/>
    <w:lsdException w:name="annotation reference" w:semiHidden="0"/>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Normal Table" w:semiHidden="0"/>
    <w:lsdException w:name="annotation subject" w:semiHidden="0"/>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480" w:lineRule="auto"/>
    </w:pPr>
    <w:rPr>
      <w:rFonts w:eastAsiaTheme="minorHAnsi" w:cstheme="minorBidi"/>
      <w:kern w:val="2"/>
      <w:sz w:val="24"/>
      <w:szCs w:val="22"/>
    </w:rPr>
  </w:style>
  <w:style w:type="paragraph" w:styleId="Heading1">
    <w:name w:val="heading 1"/>
    <w:basedOn w:val="Normal"/>
    <w:next w:val="Normal"/>
    <w:link w:val="Heading1Char"/>
    <w:uiPriority w:val="9"/>
    <w:qFormat/>
    <w:pPr>
      <w:keepNext/>
      <w:keepLines/>
      <w:jc w:val="center"/>
      <w:outlineLvl w:val="0"/>
    </w:pPr>
    <w:rPr>
      <w:rFonts w:asciiTheme="majorBidi" w:eastAsiaTheme="majorEastAsia" w:hAnsiTheme="majorBidi" w:cstheme="majorBidi"/>
      <w:b/>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qFormat/>
    <w:pPr>
      <w:spacing w:before="100" w:beforeAutospacing="1" w:after="100" w:afterAutospacing="1" w:line="240" w:lineRule="auto"/>
      <w:outlineLvl w:val="2"/>
    </w:pPr>
    <w:rPr>
      <w:rFonts w:eastAsia="Times New Roman" w:cs="Times New Roman"/>
      <w:b/>
      <w:bCs/>
      <w:kern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line="240" w:lineRule="auto"/>
    </w:pPr>
    <w:rPr>
      <w:rFonts w:ascii="Tahoma" w:hAnsi="Tahoma" w:cs="Tahoma"/>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unhideWhenUsed/>
    <w:rPr>
      <w:b/>
      <w:bCs/>
    </w:rPr>
  </w:style>
  <w:style w:type="paragraph" w:styleId="Footer">
    <w:name w:val="footer"/>
    <w:basedOn w:val="Normal"/>
    <w:link w:val="FooterChar"/>
    <w:uiPriority w:val="99"/>
    <w:unhideWhenUsed/>
    <w:qFormat/>
    <w:pPr>
      <w:tabs>
        <w:tab w:val="center" w:pos="4680"/>
        <w:tab w:val="right" w:pos="9360"/>
      </w:tabs>
      <w:spacing w:line="240" w:lineRule="auto"/>
    </w:pPr>
    <w:rPr>
      <w:kern w:val="0"/>
    </w:rPr>
  </w:style>
  <w:style w:type="paragraph" w:styleId="Header">
    <w:name w:val="header"/>
    <w:basedOn w:val="Normal"/>
    <w:link w:val="HeaderChar"/>
    <w:uiPriority w:val="99"/>
    <w:unhideWhenUsed/>
    <w:pPr>
      <w:tabs>
        <w:tab w:val="center" w:pos="4680"/>
        <w:tab w:val="right" w:pos="9360"/>
      </w:tabs>
      <w:spacing w:line="240" w:lineRule="auto"/>
    </w:pPr>
  </w:style>
  <w:style w:type="paragraph" w:styleId="NormalWeb">
    <w:name w:val="Normal (Web)"/>
    <w:basedOn w:val="Normal"/>
    <w:uiPriority w:val="99"/>
    <w:unhideWhenUsed/>
    <w:pPr>
      <w:spacing w:before="100" w:beforeAutospacing="1" w:after="100" w:afterAutospacing="1" w:line="240" w:lineRule="auto"/>
    </w:pPr>
    <w:rPr>
      <w:rFonts w:eastAsia="Times New Roman" w:cs="Times New Roman"/>
      <w:kern w:val="0"/>
      <w:szCs w:val="24"/>
    </w:rPr>
  </w:style>
  <w:style w:type="paragraph" w:styleId="TOC1">
    <w:name w:val="toc 1"/>
    <w:basedOn w:val="Normal"/>
    <w:next w:val="Normal"/>
    <w:uiPriority w:val="39"/>
    <w:unhideWhenUsed/>
    <w:pPr>
      <w:tabs>
        <w:tab w:val="right" w:leader="dot" w:pos="9017"/>
      </w:tabs>
      <w:spacing w:after="100" w:line="240" w:lineRule="auto"/>
    </w:pPr>
    <w:rPr>
      <w:kern w:val="0"/>
    </w:rPr>
  </w:style>
  <w:style w:type="paragraph" w:styleId="TOC2">
    <w:name w:val="toc 2"/>
    <w:basedOn w:val="Normal"/>
    <w:next w:val="Normal"/>
    <w:uiPriority w:val="39"/>
    <w:unhideWhenUsed/>
    <w:pPr>
      <w:tabs>
        <w:tab w:val="right" w:leader="dot" w:pos="9017"/>
      </w:tabs>
      <w:spacing w:after="100"/>
    </w:pPr>
    <w:rPr>
      <w:kern w:val="0"/>
    </w:rPr>
  </w:style>
  <w:style w:type="paragraph" w:styleId="TOC3">
    <w:name w:val="toc 3"/>
    <w:basedOn w:val="Normal"/>
    <w:next w:val="Normal"/>
    <w:uiPriority w:val="39"/>
    <w:unhideWhenUsed/>
    <w:pPr>
      <w:tabs>
        <w:tab w:val="right" w:leader="dot" w:pos="9017"/>
      </w:tabs>
      <w:spacing w:after="100"/>
    </w:pPr>
    <w:rPr>
      <w:rFonts w:eastAsia="Times New Roman" w:cs="Times New Roman"/>
      <w:kern w:val="0"/>
    </w:rPr>
  </w:style>
  <w:style w:type="character" w:styleId="CommentReference">
    <w:name w:val="annotation reference"/>
    <w:basedOn w:val="DefaultParagraphFont"/>
    <w:uiPriority w:val="99"/>
    <w:unhideWhenUsed/>
    <w:rPr>
      <w:sz w:val="16"/>
      <w:szCs w:val="16"/>
    </w:r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character" w:styleId="Strong">
    <w:name w:val="Strong"/>
    <w:basedOn w:val="DefaultParagraphFont"/>
    <w:uiPriority w:val="22"/>
    <w:qFormat/>
    <w:rPr>
      <w:b/>
      <w:bCs/>
    </w:rPr>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Bidi" w:eastAsiaTheme="majorEastAsia" w:hAnsiTheme="majorBidi" w:cstheme="majorBidi"/>
      <w:b/>
      <w:szCs w:val="32"/>
    </w:rPr>
  </w:style>
  <w:style w:type="character" w:customStyle="1" w:styleId="Heading3Char">
    <w:name w:val="Heading 3 Char"/>
    <w:basedOn w:val="DefaultParagraphFont"/>
    <w:link w:val="Heading3"/>
    <w:uiPriority w:val="9"/>
    <w:rPr>
      <w:rFonts w:eastAsia="Times New Roman" w:cs="Times New Roman"/>
      <w:b/>
      <w:bCs/>
      <w:kern w:val="0"/>
      <w:sz w:val="27"/>
      <w:szCs w:val="27"/>
      <w14:ligatures w14:val="none"/>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PlaceholderText1">
    <w:name w:val="Placeholder Text1"/>
    <w:basedOn w:val="DefaultParagraphFont"/>
    <w:uiPriority w:val="99"/>
    <w:semiHidden/>
    <w:rPr>
      <w:color w:val="808080"/>
    </w:rPr>
  </w:style>
  <w:style w:type="character" w:customStyle="1" w:styleId="FooterChar">
    <w:name w:val="Footer Char"/>
    <w:basedOn w:val="DefaultParagraphFont"/>
    <w:link w:val="Footer"/>
    <w:uiPriority w:val="99"/>
    <w:rPr>
      <w:kern w:val="0"/>
      <w14:ligatures w14:val="none"/>
    </w:rPr>
  </w:style>
  <w:style w:type="paragraph" w:customStyle="1" w:styleId="TOCHeading1">
    <w:name w:val="TOC Heading1"/>
    <w:basedOn w:val="Heading1"/>
    <w:next w:val="Normal"/>
    <w:uiPriority w:val="39"/>
    <w:unhideWhenUsed/>
    <w:qFormat/>
    <w:pPr>
      <w:spacing w:before="240" w:line="259" w:lineRule="auto"/>
      <w:jc w:val="left"/>
      <w:outlineLvl w:val="9"/>
    </w:pPr>
    <w:rPr>
      <w:rFonts w:asciiTheme="majorHAnsi" w:hAnsiTheme="majorHAnsi"/>
      <w:b w:val="0"/>
      <w:color w:val="2E74B5" w:themeColor="accent1" w:themeShade="BF"/>
      <w:kern w:val="0"/>
      <w:sz w:val="32"/>
    </w:rPr>
  </w:style>
  <w:style w:type="character" w:customStyle="1" w:styleId="HeaderChar">
    <w:name w:val="Header Char"/>
    <w:basedOn w:val="DefaultParagraphFont"/>
    <w:link w:val="Header"/>
    <w:uiPriority w:val="99"/>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ListParagraph1">
    <w:name w:val="List Paragraph1"/>
    <w:basedOn w:val="Normal"/>
    <w:uiPriority w:val="99"/>
    <w:unhideWhenUsed/>
    <w:pPr>
      <w:ind w:left="720"/>
      <w:contextualSpacing/>
    </w:pPr>
  </w:style>
  <w:style w:type="character" w:customStyle="1" w:styleId="PlaceholderText2">
    <w:name w:val="Placeholder Text2"/>
    <w:basedOn w:val="DefaultParagraphFont"/>
    <w:uiPriority w:val="99"/>
    <w:unhideWhenUsed/>
    <w:rPr>
      <w:color w:val="666666"/>
    </w:rPr>
  </w:style>
  <w:style w:type="character" w:customStyle="1" w:styleId="UnresolvedMention">
    <w:name w:val="Unresolved Mention"/>
    <w:basedOn w:val="DefaultParagraphFont"/>
    <w:uiPriority w:val="99"/>
    <w:unhideWhenUsed/>
    <w:rPr>
      <w:color w:val="605E5C"/>
      <w:shd w:val="clear" w:color="auto" w:fill="E1DFDD"/>
    </w:rPr>
  </w:style>
  <w:style w:type="table" w:customStyle="1" w:styleId="PlainTable1">
    <w:name w:val="Plain Table 1"/>
    <w:basedOn w:val="TableNormal"/>
    <w:uiPriority w:val="4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Table6Colorful">
    <w:name w:val="List Table 6 Colorful"/>
    <w:basedOn w:val="TableNormal"/>
    <w:uiPriority w:val="51"/>
    <w:pPr>
      <w:spacing w:after="0" w:line="240" w:lineRule="auto"/>
    </w:pPr>
    <w:rPr>
      <w:color w:val="000000" w:themeColor="text1"/>
    </w:rPr>
    <w:tblPr>
      <w:tblInd w:w="0" w:type="dxa"/>
      <w:tblBorders>
        <w:top w:val="single" w:sz="4" w:space="0" w:color="000000" w:themeColor="text1"/>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3390/md19070359" TargetMode="External"/><Relationship Id="rId18" Type="http://schemas.openxmlformats.org/officeDocument/2006/relationships/hyperlink" Target="https://doi.org/10.1016/j.progpolymsci.2011.02.001" TargetMode="External"/><Relationship Id="rId26" Type="http://schemas.openxmlformats.org/officeDocument/2006/relationships/hyperlink" Target="https://www.google.com/search?q=https://doi.org/10.1007/s11101-025-10083-j" TargetMode="External"/><Relationship Id="rId39"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hyperlink" Target="https://doi.org/10.1016/j.carbpol.2020.116968" TargetMode="External"/><Relationship Id="rId34" Type="http://schemas.openxmlformats.org/officeDocument/2006/relationships/hyperlink" Target="https://doi.org/10.3390/antiox12112015" TargetMode="External"/><Relationship Id="rId7" Type="http://schemas.openxmlformats.org/officeDocument/2006/relationships/footnotes" Target="footnotes.xml"/><Relationship Id="rId12" Type="http://schemas.openxmlformats.org/officeDocument/2006/relationships/hyperlink" Target="https://doi.org/10.1016/j.fct.2008.01.028" TargetMode="External"/><Relationship Id="rId17" Type="http://schemas.openxmlformats.org/officeDocument/2006/relationships/hyperlink" Target="https://doi.org/10.3390/ma17235770" TargetMode="External"/><Relationship Id="rId25" Type="http://schemas.openxmlformats.org/officeDocument/2006/relationships/hyperlink" Target="https://doi.org/10.1155/2020/5403298" TargetMode="External"/><Relationship Id="rId33" Type="http://schemas.openxmlformats.org/officeDocument/2006/relationships/hyperlink" Target="https://doi.org/10.1002/app.52112" TargetMode="External"/><Relationship Id="rId38" Type="http://schemas.openxmlformats.org/officeDocument/2006/relationships/hyperlink" Target="https://doi.org/10.3389/fbioe.2024.1397668" TargetMode="External"/><Relationship Id="rId2" Type="http://schemas.openxmlformats.org/officeDocument/2006/relationships/numbering" Target="numbering.xml"/><Relationship Id="rId16" Type="http://schemas.openxmlformats.org/officeDocument/2006/relationships/hyperlink" Target="https://doi.org/10.1016/S0023-6438(95)80008-5" TargetMode="External"/><Relationship Id="rId20" Type="http://schemas.openxmlformats.org/officeDocument/2006/relationships/hyperlink" Target="https://doi.org/10.1021/acsomega.3c10102" TargetMode="External"/><Relationship Id="rId29" Type="http://schemas.openxmlformats.org/officeDocument/2006/relationships/hyperlink" Target="https://doi.org/10.3390/polym13193331"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www.google.com/search?q=https://doi.org/10.3390/pr110802248" TargetMode="External"/><Relationship Id="rId32" Type="http://schemas.openxmlformats.org/officeDocument/2006/relationships/hyperlink" Target="https://doi.org/10.1016/S0168-1605(02)00445-2" TargetMode="External"/><Relationship Id="rId37" Type="http://schemas.openxmlformats.org/officeDocument/2006/relationships/hyperlink" Target="https://doi.org/10.3390/polym16070867"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i.org/10.1006/abio.1996.0292" TargetMode="External"/><Relationship Id="rId23" Type="http://schemas.openxmlformats.org/officeDocument/2006/relationships/hyperlink" Target="https://doi.org/10.3390/ijms24108673" TargetMode="External"/><Relationship Id="rId28" Type="http://schemas.openxmlformats.org/officeDocument/2006/relationships/hyperlink" Target="https://doi.org/10.1111/jfbc.13907" TargetMode="External"/><Relationship Id="rId36" Type="http://schemas.openxmlformats.org/officeDocument/2006/relationships/hyperlink" Target="https://doi.org/10.1016/j.foodchem.2025.147161" TargetMode="External"/><Relationship Id="rId10" Type="http://schemas.openxmlformats.org/officeDocument/2006/relationships/image" Target="media/image1.jpeg"/><Relationship Id="rId19" Type="http://schemas.openxmlformats.org/officeDocument/2006/relationships/hyperlink" Target="https://doi.org/10.3389/fchem.2023.1327426" TargetMode="External"/><Relationship Id="rId31" Type="http://schemas.openxmlformats.org/officeDocument/2006/relationships/hyperlink" Target="https://doi.org/10.3390/antiox12040893"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doi.org/10.3389/fnut.2024.1364836" TargetMode="External"/><Relationship Id="rId22" Type="http://schemas.openxmlformats.org/officeDocument/2006/relationships/hyperlink" Target="https://doi.org/10.1590/S0104-14282009000300013" TargetMode="External"/><Relationship Id="rId27" Type="http://schemas.openxmlformats.org/officeDocument/2006/relationships/hyperlink" Target="https://doi.org/10.1007/s13197-011-0251-1" TargetMode="External"/><Relationship Id="rId30" Type="http://schemas.openxmlformats.org/officeDocument/2006/relationships/hyperlink" Target="https://doi.org/10.3390/antiox14070873" TargetMode="External"/><Relationship Id="rId35" Type="http://schemas.openxmlformats.org/officeDocument/2006/relationships/hyperlink" Target="https://doi.org/10.3390/polym1507086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frap.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antioxidant%20results%20(Recover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x-none" sz="1400" b="0" i="0" u="none" strike="noStrike" kern="1200" spc="0" baseline="0">
                <a:solidFill>
                  <a:schemeClr val="tx1">
                    <a:lumMod val="65000"/>
                    <a:lumOff val="35000"/>
                  </a:schemeClr>
                </a:solidFill>
                <a:latin typeface="+mn-lt"/>
                <a:ea typeface="+mn-ea"/>
                <a:cs typeface="+mn-cs"/>
              </a:defRPr>
            </a:pPr>
            <a:r>
              <a:rPr lang="en-US" sz="1200" b="1">
                <a:latin typeface="Times New Roman" charset="0"/>
                <a:cs typeface="Times New Roman" charset="0"/>
              </a:rPr>
              <a:t>FRAP</a:t>
            </a:r>
          </a:p>
        </c:rich>
      </c:tx>
      <c:overlay val="0"/>
      <c:spPr>
        <a:noFill/>
        <a:ln>
          <a:noFill/>
        </a:ln>
        <a:effectLst/>
      </c:spPr>
    </c:title>
    <c:autoTitleDeleted val="0"/>
    <c:plotArea>
      <c:layout/>
      <c:lineChart>
        <c:grouping val="standard"/>
        <c:varyColors val="0"/>
        <c:ser>
          <c:idx val="0"/>
          <c:order val="0"/>
          <c:tx>
            <c:strRef>
              <c:f>Sheet2!$AR$527</c:f>
              <c:strCache>
                <c:ptCount val="1"/>
                <c:pt idx="0">
                  <c:v>NAÏVE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errBars>
            <c:errDir val="y"/>
            <c:errBarType val="both"/>
            <c:errValType val="cust"/>
            <c:noEndCap val="0"/>
            <c:plus>
              <c:numRef>
                <c:f>Sheet2!$AU$528:$AU$532</c:f>
                <c:numCache>
                  <c:formatCode>General</c:formatCode>
                  <c:ptCount val="5"/>
                  <c:pt idx="0">
                    <c:v>0.09</c:v>
                  </c:pt>
                  <c:pt idx="1">
                    <c:v>0.17</c:v>
                  </c:pt>
                  <c:pt idx="2">
                    <c:v>0.15</c:v>
                  </c:pt>
                  <c:pt idx="3">
                    <c:v>0.28999999999999998</c:v>
                  </c:pt>
                  <c:pt idx="4">
                    <c:v>2.5000000000000001E-2</c:v>
                  </c:pt>
                </c:numCache>
              </c:numRef>
            </c:plus>
            <c:minus>
              <c:numRef>
                <c:f>Sheet2!$AU$528:$AU$532</c:f>
                <c:numCache>
                  <c:formatCode>General</c:formatCode>
                  <c:ptCount val="5"/>
                  <c:pt idx="0">
                    <c:v>0.09</c:v>
                  </c:pt>
                  <c:pt idx="1">
                    <c:v>0.17</c:v>
                  </c:pt>
                  <c:pt idx="2">
                    <c:v>0.15</c:v>
                  </c:pt>
                  <c:pt idx="3">
                    <c:v>0.28999999999999998</c:v>
                  </c:pt>
                  <c:pt idx="4">
                    <c:v>2.5000000000000001E-2</c:v>
                  </c:pt>
                </c:numCache>
              </c:numRef>
            </c:minus>
            <c:spPr>
              <a:noFill/>
              <a:ln w="9525" cap="flat" cmpd="sng" algn="ctr">
                <a:solidFill>
                  <a:schemeClr val="tx1">
                    <a:lumMod val="65000"/>
                    <a:lumOff val="35000"/>
                  </a:schemeClr>
                </a:solidFill>
                <a:round/>
              </a:ln>
              <a:effectLst/>
            </c:spPr>
          </c:errBars>
          <c:cat>
            <c:numRef>
              <c:f>Sheet2!$AQ$528:$AQ$532</c:f>
              <c:numCache>
                <c:formatCode>General</c:formatCode>
                <c:ptCount val="5"/>
                <c:pt idx="0">
                  <c:v>0.4</c:v>
                </c:pt>
                <c:pt idx="1">
                  <c:v>0.8</c:v>
                </c:pt>
                <c:pt idx="2">
                  <c:v>1.2</c:v>
                </c:pt>
                <c:pt idx="3">
                  <c:v>1.6</c:v>
                </c:pt>
                <c:pt idx="4">
                  <c:v>2</c:v>
                </c:pt>
              </c:numCache>
            </c:numRef>
          </c:cat>
          <c:val>
            <c:numRef>
              <c:f>Sheet2!$AR$528:$AR$532</c:f>
              <c:numCache>
                <c:formatCode>General</c:formatCode>
                <c:ptCount val="5"/>
                <c:pt idx="0">
                  <c:v>1.0507</c:v>
                </c:pt>
                <c:pt idx="1">
                  <c:v>2.1029</c:v>
                </c:pt>
                <c:pt idx="2">
                  <c:v>2.3090000000000002</c:v>
                </c:pt>
                <c:pt idx="3">
                  <c:v>2.7134999999999998</c:v>
                </c:pt>
                <c:pt idx="4">
                  <c:v>3.0598000000000001</c:v>
                </c:pt>
              </c:numCache>
            </c:numRef>
          </c:val>
          <c:smooth val="0"/>
        </c:ser>
        <c:ser>
          <c:idx val="1"/>
          <c:order val="1"/>
          <c:tx>
            <c:strRef>
              <c:f>Sheet2!$AS$527</c:f>
              <c:strCache>
                <c:ptCount val="1"/>
                <c:pt idx="0">
                  <c:v>GINGER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Sheet2!$AV$528:$AV$532</c:f>
                <c:numCache>
                  <c:formatCode>General</c:formatCode>
                  <c:ptCount val="5"/>
                  <c:pt idx="0">
                    <c:v>0.45</c:v>
                  </c:pt>
                  <c:pt idx="1">
                    <c:v>0.11</c:v>
                  </c:pt>
                  <c:pt idx="2">
                    <c:v>7.0000000000000007E-2</c:v>
                  </c:pt>
                  <c:pt idx="3">
                    <c:v>0.09</c:v>
                  </c:pt>
                  <c:pt idx="4">
                    <c:v>0.16</c:v>
                  </c:pt>
                </c:numCache>
              </c:numRef>
            </c:plus>
            <c:minus>
              <c:numRef>
                <c:f>Sheet2!$AV$528:$AV$532</c:f>
                <c:numCache>
                  <c:formatCode>General</c:formatCode>
                  <c:ptCount val="5"/>
                  <c:pt idx="0">
                    <c:v>0.45</c:v>
                  </c:pt>
                  <c:pt idx="1">
                    <c:v>0.11</c:v>
                  </c:pt>
                  <c:pt idx="2">
                    <c:v>7.0000000000000007E-2</c:v>
                  </c:pt>
                  <c:pt idx="3">
                    <c:v>0.09</c:v>
                  </c:pt>
                  <c:pt idx="4">
                    <c:v>0.16</c:v>
                  </c:pt>
                </c:numCache>
              </c:numRef>
            </c:minus>
            <c:spPr>
              <a:noFill/>
              <a:ln w="9525" cap="flat" cmpd="sng" algn="ctr">
                <a:solidFill>
                  <a:schemeClr val="tx1">
                    <a:lumMod val="65000"/>
                    <a:lumOff val="35000"/>
                  </a:schemeClr>
                </a:solidFill>
                <a:round/>
              </a:ln>
              <a:effectLst/>
            </c:spPr>
          </c:errBars>
          <c:cat>
            <c:numRef>
              <c:f>Sheet2!$AQ$528:$AQ$532</c:f>
              <c:numCache>
                <c:formatCode>General</c:formatCode>
                <c:ptCount val="5"/>
                <c:pt idx="0">
                  <c:v>0.4</c:v>
                </c:pt>
                <c:pt idx="1">
                  <c:v>0.8</c:v>
                </c:pt>
                <c:pt idx="2">
                  <c:v>1.2</c:v>
                </c:pt>
                <c:pt idx="3">
                  <c:v>1.6</c:v>
                </c:pt>
                <c:pt idx="4">
                  <c:v>2</c:v>
                </c:pt>
              </c:numCache>
            </c:numRef>
          </c:cat>
          <c:val>
            <c:numRef>
              <c:f>Sheet2!$AS$528:$AS$532</c:f>
              <c:numCache>
                <c:formatCode>General</c:formatCode>
                <c:ptCount val="5"/>
                <c:pt idx="0">
                  <c:v>0.91690000000000005</c:v>
                </c:pt>
                <c:pt idx="1">
                  <c:v>1.4441999999999999</c:v>
                </c:pt>
                <c:pt idx="2">
                  <c:v>2.2286999999999999</c:v>
                </c:pt>
                <c:pt idx="3">
                  <c:v>2.5886</c:v>
                </c:pt>
                <c:pt idx="4">
                  <c:v>3.492</c:v>
                </c:pt>
              </c:numCache>
            </c:numRef>
          </c:val>
          <c:smooth val="0"/>
        </c:ser>
        <c:ser>
          <c:idx val="2"/>
          <c:order val="2"/>
          <c:tx>
            <c:strRef>
              <c:f>Sheet2!$AT$527</c:f>
              <c:strCache>
                <c:ptCount val="1"/>
                <c:pt idx="0">
                  <c:v>CHITOSAN GINGER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errBars>
            <c:errDir val="y"/>
            <c:errBarType val="both"/>
            <c:errValType val="cust"/>
            <c:noEndCap val="0"/>
            <c:plus>
              <c:numRef>
                <c:f>Sheet2!$AW$528:$AW$532</c:f>
                <c:numCache>
                  <c:formatCode>General</c:formatCode>
                  <c:ptCount val="5"/>
                  <c:pt idx="0">
                    <c:v>0.06</c:v>
                  </c:pt>
                  <c:pt idx="1">
                    <c:v>0.03</c:v>
                  </c:pt>
                  <c:pt idx="2">
                    <c:v>0.02</c:v>
                  </c:pt>
                  <c:pt idx="3">
                    <c:v>0.03</c:v>
                  </c:pt>
                  <c:pt idx="4">
                    <c:v>0.03</c:v>
                  </c:pt>
                </c:numCache>
              </c:numRef>
            </c:plus>
            <c:minus>
              <c:numRef>
                <c:f>Sheet2!$AW$528:$AW$532</c:f>
                <c:numCache>
                  <c:formatCode>General</c:formatCode>
                  <c:ptCount val="5"/>
                  <c:pt idx="0">
                    <c:v>0.06</c:v>
                  </c:pt>
                  <c:pt idx="1">
                    <c:v>0.03</c:v>
                  </c:pt>
                  <c:pt idx="2">
                    <c:v>0.02</c:v>
                  </c:pt>
                  <c:pt idx="3">
                    <c:v>0.03</c:v>
                  </c:pt>
                  <c:pt idx="4">
                    <c:v>0.03</c:v>
                  </c:pt>
                </c:numCache>
              </c:numRef>
            </c:minus>
            <c:spPr>
              <a:noFill/>
              <a:ln w="9525" cap="flat" cmpd="sng" algn="ctr">
                <a:solidFill>
                  <a:schemeClr val="tx1">
                    <a:lumMod val="65000"/>
                    <a:lumOff val="35000"/>
                  </a:schemeClr>
                </a:solidFill>
                <a:round/>
              </a:ln>
              <a:effectLst/>
            </c:spPr>
          </c:errBars>
          <c:cat>
            <c:numRef>
              <c:f>Sheet2!$AQ$528:$AQ$532</c:f>
              <c:numCache>
                <c:formatCode>General</c:formatCode>
                <c:ptCount val="5"/>
                <c:pt idx="0">
                  <c:v>0.4</c:v>
                </c:pt>
                <c:pt idx="1">
                  <c:v>0.8</c:v>
                </c:pt>
                <c:pt idx="2">
                  <c:v>1.2</c:v>
                </c:pt>
                <c:pt idx="3">
                  <c:v>1.6</c:v>
                </c:pt>
                <c:pt idx="4">
                  <c:v>2</c:v>
                </c:pt>
              </c:numCache>
            </c:numRef>
          </c:cat>
          <c:val>
            <c:numRef>
              <c:f>Sheet2!$AT$528:$AT$532</c:f>
              <c:numCache>
                <c:formatCode>General</c:formatCode>
                <c:ptCount val="5"/>
                <c:pt idx="0">
                  <c:v>0.435</c:v>
                </c:pt>
                <c:pt idx="1">
                  <c:v>0.84699999999999998</c:v>
                </c:pt>
                <c:pt idx="2">
                  <c:v>1.0879000000000001</c:v>
                </c:pt>
                <c:pt idx="3">
                  <c:v>1.4254</c:v>
                </c:pt>
                <c:pt idx="4">
                  <c:v>1.75</c:v>
                </c:pt>
              </c:numCache>
            </c:numRef>
          </c:val>
          <c:smooth val="0"/>
        </c:ser>
        <c:dLbls>
          <c:showLegendKey val="0"/>
          <c:showVal val="0"/>
          <c:showCatName val="0"/>
          <c:showSerName val="0"/>
          <c:showPercent val="0"/>
          <c:showBubbleSize val="0"/>
        </c:dLbls>
        <c:marker val="1"/>
        <c:smooth val="0"/>
        <c:axId val="206400512"/>
        <c:axId val="206406784"/>
      </c:lineChart>
      <c:catAx>
        <c:axId val="206400512"/>
        <c:scaling>
          <c:orientation val="minMax"/>
        </c:scaling>
        <c:delete val="0"/>
        <c:axPos val="b"/>
        <c:title>
          <c:tx>
            <c:rich>
              <a:bodyPr rot="0" spcFirstLastPara="1" vertOverflow="ellipsis" vert="horz" wrap="square" anchor="ctr" anchorCtr="1"/>
              <a:lstStyle/>
              <a:p>
                <a:pPr>
                  <a:defRPr lang="x-none" sz="1000" b="0" i="0" u="none" strike="noStrike" kern="1200" baseline="0">
                    <a:solidFill>
                      <a:schemeClr val="tx1">
                        <a:lumMod val="65000"/>
                        <a:lumOff val="35000"/>
                      </a:schemeClr>
                    </a:solidFill>
                    <a:latin typeface="+mn-lt"/>
                    <a:ea typeface="+mn-ea"/>
                    <a:cs typeface="+mn-cs"/>
                  </a:defRPr>
                </a:pPr>
                <a:r>
                  <a:rPr lang="en-US" b="1"/>
                  <a:t>Concentratio</a:t>
                </a:r>
                <a:r>
                  <a:rPr lang="en-US" b="1" baseline="0"/>
                  <a:t>n</a:t>
                </a:r>
                <a:endParaRPr lang="en-US" b="1"/>
              </a:p>
            </c:rich>
          </c:tx>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lang="x-none" sz="900" b="0" i="0" u="none" strike="noStrike" kern="1200" baseline="0">
                <a:solidFill>
                  <a:schemeClr val="tx1"/>
                </a:solidFill>
                <a:latin typeface="+mn-lt"/>
                <a:ea typeface="+mn-ea"/>
                <a:cs typeface="+mn-cs"/>
              </a:defRPr>
            </a:pPr>
            <a:endParaRPr lang="en-US"/>
          </a:p>
        </c:txPr>
        <c:crossAx val="206406784"/>
        <c:crosses val="autoZero"/>
        <c:auto val="1"/>
        <c:lblAlgn val="ctr"/>
        <c:lblOffset val="100"/>
        <c:noMultiLvlLbl val="0"/>
      </c:catAx>
      <c:valAx>
        <c:axId val="206406784"/>
        <c:scaling>
          <c:orientation val="minMax"/>
        </c:scaling>
        <c:delete val="0"/>
        <c:axPos val="l"/>
        <c:title>
          <c:tx>
            <c:rich>
              <a:bodyPr rot="-5400000" spcFirstLastPara="1" vertOverflow="ellipsis" vert="horz" wrap="square" anchor="ctr" anchorCtr="1"/>
              <a:lstStyle/>
              <a:p>
                <a:pPr>
                  <a:defRPr lang="x-none" sz="1200" b="1" i="0" u="none" strike="noStrike" kern="1200" baseline="0">
                    <a:solidFill>
                      <a:schemeClr val="tx1">
                        <a:lumMod val="65000"/>
                        <a:lumOff val="35000"/>
                      </a:schemeClr>
                    </a:solidFill>
                    <a:latin typeface="Times New Roman" charset="0"/>
                    <a:ea typeface="+mn-ea"/>
                    <a:cs typeface="Times New Roman" charset="0"/>
                  </a:defRPr>
                </a:pPr>
                <a:r>
                  <a:rPr lang="en-US" sz="1200" b="1">
                    <a:latin typeface="Times New Roman" charset="0"/>
                    <a:cs typeface="Times New Roman" charset="0"/>
                  </a:rPr>
                  <a:t>%Scavenging</a:t>
                </a:r>
                <a:r>
                  <a:rPr lang="en-US" sz="1200" b="1" baseline="0">
                    <a:latin typeface="Times New Roman" charset="0"/>
                    <a:cs typeface="Times New Roman" charset="0"/>
                  </a:rPr>
                  <a:t> activity</a:t>
                </a:r>
                <a:endParaRPr lang="en-US" sz="1200" b="1">
                  <a:latin typeface="Times New Roman" charset="0"/>
                  <a:cs typeface="Times New Roman" charset="0"/>
                </a:endParaRPr>
              </a:p>
            </c:rich>
          </c:tx>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lang="x-none" sz="900" b="0" i="0" u="none" strike="noStrike" kern="1200" baseline="0">
                <a:solidFill>
                  <a:schemeClr val="tx1"/>
                </a:solidFill>
                <a:latin typeface="+mn-lt"/>
                <a:ea typeface="+mn-ea"/>
                <a:cs typeface="+mn-cs"/>
              </a:defRPr>
            </a:pPr>
            <a:endParaRPr lang="en-US"/>
          </a:p>
        </c:txPr>
        <c:crossAx val="2064005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x-none"/>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x-none" sz="1200" b="1" i="0" u="none" strike="noStrike" kern="1200" spc="0" baseline="0">
                <a:solidFill>
                  <a:schemeClr val="tx1">
                    <a:lumMod val="65000"/>
                    <a:lumOff val="35000"/>
                  </a:schemeClr>
                </a:solidFill>
                <a:latin typeface="Times New Roman" charset="0"/>
                <a:ea typeface="+mn-ea"/>
                <a:cs typeface="Times New Roman" charset="0"/>
              </a:defRPr>
            </a:pPr>
            <a:r>
              <a:rPr lang="en-US" sz="1200" b="1">
                <a:latin typeface="Times New Roman" charset="0"/>
                <a:cs typeface="Times New Roman" charset="0"/>
              </a:rPr>
              <a:t>Ascorbic</a:t>
            </a:r>
            <a:r>
              <a:rPr lang="en-US" sz="1200" b="1" baseline="0">
                <a:latin typeface="Times New Roman" charset="0"/>
                <a:cs typeface="Times New Roman" charset="0"/>
              </a:rPr>
              <a:t> acid</a:t>
            </a:r>
            <a:endParaRPr lang="en-US" sz="1200" b="1">
              <a:latin typeface="Times New Roman" charset="0"/>
              <a:cs typeface="Times New Roman" charset="0"/>
            </a:endParaRPr>
          </a:p>
        </c:rich>
      </c:tx>
      <c:overlay val="0"/>
      <c:spPr>
        <a:noFill/>
        <a:ln>
          <a:noFill/>
        </a:ln>
        <a:effectLst/>
      </c:spPr>
    </c:title>
    <c:autoTitleDeleted val="0"/>
    <c:plotArea>
      <c:layout/>
      <c:scatterChart>
        <c:scatterStyle val="lineMarker"/>
        <c:varyColors val="0"/>
        <c:ser>
          <c:idx val="0"/>
          <c:order val="0"/>
          <c:tx>
            <c:strRef>
              <c:f>Sheet6!$E$3</c:f>
              <c:strCache>
                <c:ptCount val="1"/>
                <c:pt idx="0">
                  <c:v>ABSORBANCE</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27287385598539299"/>
                  <c:y val="8.8425925925925894E-3"/>
                </c:manualLayout>
              </c:layout>
              <c:numFmt formatCode="General" sourceLinked="0"/>
              <c:spPr>
                <a:noFill/>
                <a:ln>
                  <a:noFill/>
                </a:ln>
                <a:effectLst/>
              </c:spPr>
              <c:txPr>
                <a:bodyPr rot="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Sheet6!$D$4:$D$8</c:f>
              <c:numCache>
                <c:formatCode>General</c:formatCode>
                <c:ptCount val="5"/>
                <c:pt idx="0">
                  <c:v>0.4</c:v>
                </c:pt>
                <c:pt idx="1">
                  <c:v>0.8</c:v>
                </c:pt>
                <c:pt idx="2">
                  <c:v>1.2</c:v>
                </c:pt>
                <c:pt idx="3">
                  <c:v>1.6</c:v>
                </c:pt>
                <c:pt idx="4">
                  <c:v>2</c:v>
                </c:pt>
              </c:numCache>
            </c:numRef>
          </c:xVal>
          <c:yVal>
            <c:numRef>
              <c:f>Sheet6!$E$4:$E$8</c:f>
              <c:numCache>
                <c:formatCode>General</c:formatCode>
                <c:ptCount val="5"/>
                <c:pt idx="0">
                  <c:v>0.23483333333333301</c:v>
                </c:pt>
                <c:pt idx="1">
                  <c:v>0.34599999999999997</c:v>
                </c:pt>
                <c:pt idx="2">
                  <c:v>0.42766666666666697</c:v>
                </c:pt>
                <c:pt idx="3">
                  <c:v>0.66566666666666696</c:v>
                </c:pt>
                <c:pt idx="4">
                  <c:v>0.74766666666666703</c:v>
                </c:pt>
              </c:numCache>
            </c:numRef>
          </c:yVal>
          <c:smooth val="0"/>
        </c:ser>
        <c:dLbls>
          <c:showLegendKey val="0"/>
          <c:showVal val="0"/>
          <c:showCatName val="0"/>
          <c:showSerName val="0"/>
          <c:showPercent val="0"/>
          <c:showBubbleSize val="0"/>
        </c:dLbls>
        <c:axId val="206428416"/>
        <c:axId val="206430592"/>
      </c:scatterChart>
      <c:valAx>
        <c:axId val="206428416"/>
        <c:scaling>
          <c:orientation val="minMax"/>
        </c:scaling>
        <c:delete val="0"/>
        <c:axPos val="b"/>
        <c:title>
          <c:tx>
            <c:rich>
              <a:bodyPr rot="0" spcFirstLastPara="1" vertOverflow="ellipsis" vert="horz" wrap="square" anchor="ctr" anchorCtr="1"/>
              <a:lstStyle/>
              <a:p>
                <a:pPr>
                  <a:defRPr lang="x-none" sz="1000" b="0" i="0" u="none" strike="noStrike" kern="1200" baseline="0">
                    <a:solidFill>
                      <a:schemeClr val="tx1">
                        <a:lumMod val="65000"/>
                        <a:lumOff val="35000"/>
                      </a:schemeClr>
                    </a:solidFill>
                    <a:latin typeface="+mn-lt"/>
                    <a:ea typeface="+mn-ea"/>
                    <a:cs typeface="+mn-cs"/>
                  </a:defRPr>
                </a:pPr>
                <a:r>
                  <a:rPr lang="en-US" sz="1200" b="1">
                    <a:latin typeface="Times New Roman" charset="0"/>
                    <a:cs typeface="Times New Roman" charset="0"/>
                  </a:rPr>
                  <a:t>Concentration</a:t>
                </a:r>
                <a:r>
                  <a:rPr lang="en-US" baseline="0"/>
                  <a:t> </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crossAx val="206430592"/>
        <c:crosses val="autoZero"/>
        <c:crossBetween val="midCat"/>
      </c:valAx>
      <c:valAx>
        <c:axId val="206430592"/>
        <c:scaling>
          <c:orientation val="minMax"/>
        </c:scaling>
        <c:delete val="0"/>
        <c:axPos val="l"/>
        <c:title>
          <c:tx>
            <c:rich>
              <a:bodyPr rot="-5400000" spcFirstLastPara="1" vertOverflow="ellipsis" vert="horz" wrap="square" anchor="ctr" anchorCtr="1"/>
              <a:lstStyle/>
              <a:p>
                <a:pPr>
                  <a:defRPr lang="x-none" sz="1200" b="1" i="0" u="none" strike="noStrike" kern="1200" baseline="0">
                    <a:solidFill>
                      <a:schemeClr val="tx1">
                        <a:lumMod val="65000"/>
                        <a:lumOff val="35000"/>
                      </a:schemeClr>
                    </a:solidFill>
                    <a:latin typeface="Times New Roman" charset="0"/>
                    <a:ea typeface="+mn-ea"/>
                    <a:cs typeface="Times New Roman" charset="0"/>
                  </a:defRPr>
                </a:pPr>
                <a:r>
                  <a:rPr lang="en-US" sz="1200" b="1">
                    <a:latin typeface="Times New Roman" charset="0"/>
                    <a:cs typeface="Times New Roman" charset="0"/>
                  </a:rPr>
                  <a:t>%</a:t>
                </a:r>
                <a:r>
                  <a:rPr lang="en-US" sz="1200" b="1" baseline="0">
                    <a:latin typeface="Times New Roman" charset="0"/>
                    <a:cs typeface="Times New Roman" charset="0"/>
                  </a:rPr>
                  <a:t> Scavenging activity</a:t>
                </a:r>
                <a:endParaRPr lang="en-US" sz="1200" b="1">
                  <a:latin typeface="Times New Roman" charset="0"/>
                  <a:cs typeface="Times New Roman"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crossAx val="2064284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x-none"/>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10011</Words>
  <Characters>57065</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Aavir</dc:creator>
  <cp:lastModifiedBy>HP</cp:lastModifiedBy>
  <cp:revision>2</cp:revision>
  <dcterms:created xsi:type="dcterms:W3CDTF">2025-12-18T13:02:00Z</dcterms:created>
  <dcterms:modified xsi:type="dcterms:W3CDTF">2025-12-18T13:02:00Z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CCF35DF1FFFEA06594163B69323B45D3_31</vt:lpwstr>
  </property>
  <property fmtid="{D5CDD505-2E9C-101B-9397-08002B2CF9AE}" pid="3" name="KSOProductBuildVer">
    <vt:lpwstr>3081-11.37.10</vt:lpwstr>
  </property>
  <property fmtid="{D5CDD505-2E9C-101B-9397-08002B2CF9AE}" pid="4" name="GrammarlyDocumentId">
    <vt:lpwstr>55734eda-a827-417d-8225-b411b0987a16</vt:lpwstr>
  </property>
</Properties>
</file>