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jpeg" ContentType="image/jpeg"/>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charts/chart1.xml" ContentType="application/vnd.openxmlformats-officedocument.drawingml.chart+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document.xml" ContentType="application/vnd.openxmlformats-officedocument.wordprocessingml.document.main+xml"/>
  <Override PartName="/word/charts/chart2.xml" ContentType="application/vnd.openxmlformats-officedocument.drawingml.chart+xml"/>
  <Override PartName="/customXml/itemProps1.xml" ContentType="application/vnd.openxmlformats-officedocument.customXml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0"/>
        <w:spacing w:lineRule="auto" w:line="360"/>
        <w:jc w:val="center"/>
        <w:rPr>
          <w:rFonts w:ascii="Times New Roman" w:cs="Times New Roman" w:hAnsi="Times New Roman"/>
          <w:b/>
          <w:sz w:val="24"/>
          <w:szCs w:val="24"/>
        </w:rPr>
      </w:pPr>
      <w:r>
        <w:rPr>
          <w:rFonts w:ascii="Times New Roman" w:cs="Times New Roman" w:hAnsi="Times New Roman"/>
          <w:b/>
          <w:sz w:val="24"/>
          <w:szCs w:val="24"/>
        </w:rPr>
        <w:t>DETERMINATION OF ALCOHOLIC CONTENT IN DIFFERENT BRANDS OF      ENERGY DRINKS</w:t>
      </w:r>
    </w:p>
    <w:p>
      <w:pPr>
        <w:pStyle w:val="style0"/>
        <w:spacing w:lineRule="auto" w:line="360"/>
        <w:jc w:val="center"/>
        <w:rPr>
          <w:rFonts w:ascii="Times New Roman" w:cs="Times New Roman" w:hAnsi="Times New Roman"/>
          <w:b/>
          <w:sz w:val="24"/>
          <w:szCs w:val="24"/>
        </w:rPr>
      </w:pPr>
    </w:p>
    <w:p>
      <w:pPr>
        <w:pStyle w:val="style0"/>
        <w:spacing w:lineRule="auto" w:line="360"/>
        <w:jc w:val="center"/>
        <w:rPr>
          <w:rFonts w:ascii="Times New Roman" w:cs="Times New Roman" w:hAnsi="Times New Roman"/>
          <w:b/>
          <w:sz w:val="24"/>
          <w:szCs w:val="24"/>
        </w:rPr>
      </w:pPr>
    </w:p>
    <w:p>
      <w:pPr>
        <w:pStyle w:val="style0"/>
        <w:spacing w:lineRule="auto" w:line="360"/>
        <w:jc w:val="center"/>
        <w:rPr>
          <w:rFonts w:ascii="Times New Roman" w:cs="Times New Roman" w:hAnsi="Times New Roman"/>
          <w:b/>
          <w:sz w:val="24"/>
          <w:szCs w:val="24"/>
        </w:rPr>
      </w:pPr>
      <w:r>
        <w:rPr>
          <w:rFonts w:ascii="Times New Roman" w:cs="Times New Roman" w:hAnsi="Times New Roman"/>
          <w:b/>
          <w:sz w:val="24"/>
          <w:szCs w:val="24"/>
        </w:rPr>
        <w:t>BY</w:t>
      </w:r>
    </w:p>
    <w:p>
      <w:pPr>
        <w:pStyle w:val="style0"/>
        <w:spacing w:lineRule="auto" w:line="360"/>
        <w:jc w:val="center"/>
        <w:rPr>
          <w:rFonts w:ascii="Times New Roman" w:cs="Times New Roman" w:hAnsi="Times New Roman"/>
          <w:b/>
          <w:sz w:val="24"/>
          <w:szCs w:val="24"/>
        </w:rPr>
      </w:pPr>
      <w:r>
        <w:rPr>
          <w:rFonts w:ascii="Times New Roman" w:cs="Times New Roman" w:hAnsi="Times New Roman"/>
          <w:b/>
          <w:sz w:val="24"/>
          <w:szCs w:val="24"/>
        </w:rPr>
        <w:br/>
      </w:r>
      <w:r>
        <w:rPr>
          <w:rFonts w:ascii="Times New Roman" w:cs="Times New Roman" w:hAnsi="Times New Roman"/>
          <w:b/>
          <w:sz w:val="24"/>
          <w:szCs w:val="24"/>
        </w:rPr>
        <w:t>ABDULMUJIB RIDWAN</w:t>
      </w:r>
    </w:p>
    <w:p>
      <w:pPr>
        <w:pStyle w:val="style0"/>
        <w:spacing w:lineRule="auto" w:line="360"/>
        <w:jc w:val="center"/>
        <w:rPr>
          <w:rFonts w:ascii="Times New Roman" w:cs="Times New Roman" w:hAnsi="Times New Roman"/>
          <w:b/>
          <w:sz w:val="24"/>
          <w:szCs w:val="24"/>
        </w:rPr>
      </w:pPr>
      <w:r>
        <w:rPr>
          <w:rFonts w:ascii="Times New Roman" w:cs="Times New Roman" w:hAnsi="Times New Roman"/>
          <w:b/>
          <w:sz w:val="24"/>
          <w:szCs w:val="24"/>
        </w:rPr>
        <w:t>(2010312194)</w:t>
      </w:r>
    </w:p>
    <w:p>
      <w:pPr>
        <w:pStyle w:val="style0"/>
        <w:spacing w:lineRule="auto" w:line="360"/>
        <w:jc w:val="center"/>
        <w:rPr>
          <w:rFonts w:ascii="Times New Roman" w:cs="Times New Roman" w:hAnsi="Times New Roman"/>
          <w:b/>
          <w:sz w:val="24"/>
          <w:szCs w:val="24"/>
        </w:rPr>
      </w:pPr>
    </w:p>
    <w:p>
      <w:pPr>
        <w:pStyle w:val="style0"/>
        <w:spacing w:lineRule="auto" w:line="360"/>
        <w:jc w:val="center"/>
        <w:rPr>
          <w:rFonts w:ascii="Times New Roman" w:cs="Times New Roman" w:hAnsi="Times New Roman"/>
          <w:b/>
          <w:sz w:val="24"/>
          <w:szCs w:val="24"/>
        </w:rPr>
      </w:pPr>
    </w:p>
    <w:p>
      <w:pPr>
        <w:pStyle w:val="style0"/>
        <w:spacing w:lineRule="auto" w:line="360"/>
        <w:jc w:val="center"/>
        <w:rPr>
          <w:rFonts w:ascii="Times New Roman" w:cs="Times New Roman" w:hAnsi="Times New Roman"/>
          <w:b/>
          <w:sz w:val="24"/>
          <w:szCs w:val="24"/>
        </w:rPr>
      </w:pPr>
      <w:r>
        <w:rPr>
          <w:rFonts w:ascii="Times New Roman" w:cs="Times New Roman" w:hAnsi="Times New Roman"/>
          <w:b/>
          <w:sz w:val="24"/>
          <w:szCs w:val="24"/>
        </w:rPr>
        <w:t>A PROJECT RESEARCH SUBMITTED TO THE DEPARTMENT OF ENERGY AND APPLIED CHEMISTRY, FACULTY OF CHEMICAL AND LIFE SCIENCES, USMANU DANFODIYO UNIVERSITY, SOKOTO.</w:t>
      </w:r>
    </w:p>
    <w:p>
      <w:pPr>
        <w:pStyle w:val="style0"/>
        <w:spacing w:lineRule="auto" w:line="360"/>
        <w:jc w:val="center"/>
        <w:rPr>
          <w:rFonts w:ascii="Times New Roman" w:cs="Times New Roman" w:hAnsi="Times New Roman"/>
          <w:b/>
          <w:sz w:val="24"/>
          <w:szCs w:val="24"/>
        </w:rPr>
      </w:pPr>
      <w:r>
        <w:rPr>
          <w:rFonts w:ascii="Times New Roman" w:cs="Times New Roman" w:hAnsi="Times New Roman"/>
          <w:b/>
          <w:sz w:val="24"/>
          <w:szCs w:val="24"/>
        </w:rPr>
        <w:t>IN PARTIAL FULFILMENT OF THE REQUIREMENTS FOR THE AWARD OF BACHELOR OF SCIENCE (B.Sc. HONS) DEGREE IN APPLIED CHEMISTRY.</w:t>
      </w:r>
    </w:p>
    <w:p>
      <w:pPr>
        <w:pStyle w:val="style0"/>
        <w:spacing w:lineRule="auto" w:line="360"/>
        <w:jc w:val="center"/>
        <w:rPr>
          <w:rFonts w:ascii="Times New Roman" w:cs="Times New Roman" w:hAnsi="Times New Roman"/>
          <w:b/>
          <w:sz w:val="24"/>
          <w:szCs w:val="24"/>
        </w:rPr>
      </w:pPr>
    </w:p>
    <w:p>
      <w:pPr>
        <w:pStyle w:val="style0"/>
        <w:spacing w:lineRule="auto" w:line="360"/>
        <w:jc w:val="center"/>
        <w:rPr>
          <w:rFonts w:ascii="Times New Roman" w:cs="Times New Roman" w:hAnsi="Times New Roman"/>
          <w:b/>
          <w:sz w:val="24"/>
          <w:szCs w:val="24"/>
        </w:rPr>
      </w:pPr>
    </w:p>
    <w:p>
      <w:pPr>
        <w:pStyle w:val="style0"/>
        <w:spacing w:lineRule="auto" w:line="360"/>
        <w:jc w:val="center"/>
        <w:rPr>
          <w:rFonts w:ascii="Times New Roman" w:cs="Times New Roman" w:hAnsi="Times New Roman"/>
          <w:b/>
          <w:sz w:val="24"/>
          <w:szCs w:val="24"/>
        </w:rPr>
      </w:pPr>
    </w:p>
    <w:p>
      <w:pPr>
        <w:pStyle w:val="style0"/>
        <w:spacing w:lineRule="auto" w:line="360"/>
        <w:jc w:val="center"/>
        <w:rPr>
          <w:rFonts w:ascii="Times New Roman" w:cs="Times New Roman" w:hAnsi="Times New Roman"/>
          <w:b/>
          <w:sz w:val="24"/>
          <w:szCs w:val="24"/>
        </w:rPr>
      </w:pPr>
      <w:r>
        <w:rPr>
          <w:rFonts w:ascii="Times New Roman" w:cs="Times New Roman" w:hAnsi="Times New Roman"/>
          <w:b/>
          <w:sz w:val="24"/>
          <w:szCs w:val="24"/>
        </w:rPr>
        <w:t>SUPERVISOR: Dr. S.A. ZAURO</w:t>
      </w:r>
    </w:p>
    <w:p>
      <w:pPr>
        <w:pStyle w:val="style0"/>
        <w:spacing w:lineRule="auto" w:line="360"/>
        <w:jc w:val="center"/>
        <w:rPr>
          <w:rFonts w:ascii="Times New Roman" w:cs="Times New Roman" w:hAnsi="Times New Roman"/>
          <w:b/>
          <w:sz w:val="24"/>
          <w:szCs w:val="24"/>
        </w:rPr>
      </w:pPr>
    </w:p>
    <w:p>
      <w:pPr>
        <w:pStyle w:val="style0"/>
        <w:spacing w:lineRule="auto" w:line="360"/>
        <w:jc w:val="center"/>
        <w:rPr>
          <w:rFonts w:ascii="Times New Roman" w:cs="Times New Roman" w:hAnsi="Times New Roman"/>
          <w:b/>
          <w:sz w:val="24"/>
          <w:szCs w:val="24"/>
        </w:rPr>
      </w:pPr>
    </w:p>
    <w:p>
      <w:pPr>
        <w:pStyle w:val="style0"/>
        <w:spacing w:lineRule="auto" w:line="360"/>
        <w:jc w:val="center"/>
        <w:rPr>
          <w:rFonts w:ascii="Times New Roman" w:cs="Times New Roman" w:hAnsi="Times New Roman"/>
          <w:b/>
          <w:sz w:val="24"/>
          <w:szCs w:val="24"/>
        </w:rPr>
      </w:pPr>
    </w:p>
    <w:p>
      <w:pPr>
        <w:pStyle w:val="style0"/>
        <w:spacing w:lineRule="auto" w:line="360"/>
        <w:jc w:val="center"/>
        <w:rPr>
          <w:rFonts w:ascii="Times New Roman" w:cs="Times New Roman" w:hAnsi="Times New Roman"/>
          <w:b/>
          <w:sz w:val="24"/>
          <w:szCs w:val="24"/>
        </w:rPr>
      </w:pPr>
      <w:r>
        <w:rPr>
          <w:rFonts w:ascii="Times New Roman" w:cs="Times New Roman" w:hAnsi="Times New Roman"/>
          <w:b/>
          <w:sz w:val="24"/>
          <w:szCs w:val="24"/>
        </w:rPr>
        <w:t>NOVEMBER, 2025</w:t>
      </w:r>
    </w:p>
    <w:bookmarkStart w:id="0" w:name="_Toc213929851"/>
    <w:p>
      <w:pPr>
        <w:pStyle w:val="style1"/>
        <w:jc w:val="center"/>
        <w:rPr/>
      </w:pPr>
      <w:r>
        <w:t>DEDICATION</w:t>
      </w:r>
      <w:bookmarkEnd w:id="0"/>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This work is dedicated to my beloved parents, whose love, sacrifices, prayers, encouragement</w:t>
      </w:r>
      <w:r>
        <w:rPr>
          <w:rFonts w:ascii="Times New Roman" w:cs="Times New Roman" w:hAnsi="Times New Roman"/>
          <w:sz w:val="24"/>
          <w:szCs w:val="24"/>
        </w:rPr>
        <w:t>,</w:t>
      </w:r>
      <w:r>
        <w:rPr>
          <w:rFonts w:ascii="Times New Roman" w:cs="Times New Roman" w:hAnsi="Times New Roman"/>
          <w:sz w:val="24"/>
          <w:szCs w:val="24"/>
        </w:rPr>
        <w:t xml:space="preserve"> and unwavering support have been the foundation of all my achievements. Your constant encouragement, guidance, and belief have inspired me to remain focused and determined throughout my academic journey and also to strive for excellence.</w:t>
      </w:r>
    </w:p>
    <w:p>
      <w:pPr>
        <w:pStyle w:val="style0"/>
        <w:spacing w:lineRule="auto" w:line="480"/>
        <w:jc w:val="both"/>
        <w:rPr>
          <w:rFonts w:ascii="Times New Roman" w:cs="Times New Roman" w:hAnsi="Times New Roman"/>
          <w:sz w:val="24"/>
          <w:szCs w:val="24"/>
        </w:rPr>
      </w:pPr>
    </w:p>
    <w:p>
      <w:pPr>
        <w:pStyle w:val="style0"/>
        <w:spacing w:lineRule="auto" w:line="480"/>
        <w:jc w:val="both"/>
        <w:rPr>
          <w:rFonts w:ascii="Times New Roman" w:cs="Times New Roman" w:hAnsi="Times New Roman"/>
          <w:sz w:val="24"/>
          <w:szCs w:val="24"/>
        </w:rPr>
      </w:pPr>
    </w:p>
    <w:p>
      <w:pPr>
        <w:pStyle w:val="style0"/>
        <w:spacing w:lineRule="auto" w:line="480"/>
        <w:jc w:val="both"/>
        <w:rPr>
          <w:rFonts w:ascii="Times New Roman" w:cs="Times New Roman" w:hAnsi="Times New Roman"/>
          <w:sz w:val="24"/>
          <w:szCs w:val="24"/>
        </w:rPr>
      </w:pPr>
    </w:p>
    <w:p>
      <w:pPr>
        <w:pStyle w:val="style0"/>
        <w:spacing w:lineRule="auto" w:line="480"/>
        <w:jc w:val="both"/>
        <w:rPr>
          <w:rFonts w:ascii="Times New Roman" w:cs="Times New Roman" w:hAnsi="Times New Roman"/>
          <w:sz w:val="24"/>
          <w:szCs w:val="24"/>
        </w:rPr>
      </w:pPr>
    </w:p>
    <w:p>
      <w:pPr>
        <w:pStyle w:val="style0"/>
        <w:spacing w:lineRule="auto" w:line="480"/>
        <w:jc w:val="both"/>
        <w:rPr>
          <w:rFonts w:ascii="Times New Roman" w:cs="Times New Roman" w:hAnsi="Times New Roman"/>
          <w:sz w:val="24"/>
          <w:szCs w:val="24"/>
        </w:rPr>
      </w:pPr>
    </w:p>
    <w:p>
      <w:pPr>
        <w:pStyle w:val="style0"/>
        <w:spacing w:lineRule="auto" w:line="480"/>
        <w:jc w:val="both"/>
        <w:rPr>
          <w:rFonts w:ascii="Times New Roman" w:cs="Times New Roman" w:hAnsi="Times New Roman"/>
          <w:sz w:val="24"/>
          <w:szCs w:val="24"/>
        </w:rPr>
      </w:pPr>
    </w:p>
    <w:p>
      <w:pPr>
        <w:pStyle w:val="style0"/>
        <w:spacing w:lineRule="auto" w:line="480"/>
        <w:jc w:val="both"/>
        <w:rPr>
          <w:rFonts w:ascii="Times New Roman" w:cs="Times New Roman" w:hAnsi="Times New Roman"/>
          <w:sz w:val="24"/>
          <w:szCs w:val="24"/>
        </w:rPr>
      </w:pPr>
    </w:p>
    <w:p>
      <w:pPr>
        <w:pStyle w:val="style0"/>
        <w:spacing w:lineRule="auto" w:line="480"/>
        <w:jc w:val="both"/>
        <w:rPr>
          <w:rFonts w:ascii="Times New Roman" w:cs="Times New Roman" w:hAnsi="Times New Roman"/>
          <w:sz w:val="24"/>
          <w:szCs w:val="24"/>
        </w:rPr>
      </w:pPr>
    </w:p>
    <w:p>
      <w:pPr>
        <w:pStyle w:val="style0"/>
        <w:spacing w:lineRule="auto" w:line="480"/>
        <w:jc w:val="both"/>
        <w:rPr>
          <w:rFonts w:ascii="Times New Roman" w:cs="Times New Roman" w:hAnsi="Times New Roman"/>
          <w:sz w:val="24"/>
          <w:szCs w:val="24"/>
        </w:rPr>
      </w:pPr>
    </w:p>
    <w:p>
      <w:pPr>
        <w:pStyle w:val="style0"/>
        <w:rPr>
          <w:rFonts w:ascii="Arial" w:cs="Arial" w:hAnsi="Arial"/>
          <w:b/>
          <w:sz w:val="24"/>
          <w:szCs w:val="24"/>
        </w:rPr>
      </w:pPr>
      <w:r>
        <w:rPr>
          <w:rFonts w:ascii="Arial" w:cs="Arial" w:hAnsi="Arial"/>
          <w:b/>
          <w:sz w:val="24"/>
          <w:szCs w:val="24"/>
        </w:rPr>
        <w:br w:type="page"/>
      </w:r>
    </w:p>
    <w:bookmarkStart w:id="1" w:name="_Toc213929852"/>
    <w:p>
      <w:pPr>
        <w:pStyle w:val="style1"/>
        <w:jc w:val="center"/>
        <w:rPr/>
      </w:pPr>
      <w:r>
        <w:t>ACKNOWLEDGEMENTS</w:t>
      </w:r>
      <w:bookmarkEnd w:id="1"/>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 xml:space="preserve">All praises and thanks </w:t>
      </w:r>
      <w:r>
        <w:rPr>
          <w:rFonts w:ascii="Times New Roman" w:cs="Times New Roman" w:hAnsi="Times New Roman"/>
          <w:sz w:val="24"/>
          <w:szCs w:val="24"/>
        </w:rPr>
        <w:t>be</w:t>
      </w:r>
      <w:r>
        <w:rPr>
          <w:rFonts w:ascii="Times New Roman" w:cs="Times New Roman" w:hAnsi="Times New Roman"/>
          <w:sz w:val="24"/>
          <w:szCs w:val="24"/>
        </w:rPr>
        <w:t xml:space="preserve"> to </w:t>
      </w:r>
      <w:r>
        <w:rPr>
          <w:rStyle w:val="style87"/>
          <w:rFonts w:ascii="Times New Roman" w:cs="Times New Roman" w:hAnsi="Times New Roman"/>
          <w:b w:val="false"/>
          <w:sz w:val="24"/>
          <w:szCs w:val="24"/>
        </w:rPr>
        <w:t>Almighty</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Allah</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(S.W.T.)</w:t>
      </w:r>
      <w:r>
        <w:rPr>
          <w:rFonts w:ascii="Times New Roman" w:cs="Times New Roman" w:hAnsi="Times New Roman"/>
          <w:sz w:val="24"/>
          <w:szCs w:val="24"/>
        </w:rPr>
        <w:t xml:space="preserve"> for His infinite mercy, guidance, and protection throughout the course of my study and the successful completion of this project. Without His blessings, none of this would have been possible.</w:t>
      </w:r>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 xml:space="preserve">My deepest appreciation goes to my </w:t>
      </w:r>
      <w:r>
        <w:rPr>
          <w:rStyle w:val="style87"/>
          <w:rFonts w:ascii="Times New Roman" w:cs="Times New Roman" w:hAnsi="Times New Roman"/>
          <w:b w:val="false"/>
          <w:sz w:val="24"/>
          <w:szCs w:val="24"/>
        </w:rPr>
        <w:t>supervisor</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Dr.</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S</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A.</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Zauro</w:t>
      </w:r>
      <w:r>
        <w:rPr>
          <w:rFonts w:ascii="Times New Roman" w:cs="Times New Roman" w:hAnsi="Times New Roman"/>
          <w:sz w:val="24"/>
          <w:szCs w:val="24"/>
        </w:rPr>
        <w:t>, for his exceptional guidance, patience, and continuous support. His mentorship, encouragement, and constructive advice greatly shaped this</w:t>
      </w:r>
      <w:r>
        <w:t xml:space="preserve"> </w:t>
      </w:r>
      <w:r>
        <w:rPr>
          <w:rFonts w:ascii="Times New Roman" w:cs="Times New Roman" w:hAnsi="Times New Roman"/>
          <w:sz w:val="24"/>
          <w:szCs w:val="24"/>
        </w:rPr>
        <w:t>research work and contributed immensely to its success.</w:t>
      </w:r>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I sincerely appreciate the entire</w:t>
      </w:r>
      <w:r>
        <w:rPr>
          <w:rFonts w:ascii="Times New Roman" w:cs="Times New Roman" w:hAnsi="Times New Roman"/>
          <w:b/>
          <w:sz w:val="24"/>
          <w:szCs w:val="24"/>
        </w:rPr>
        <w:t xml:space="preserve"> </w:t>
      </w:r>
      <w:r>
        <w:rPr>
          <w:rStyle w:val="style87"/>
          <w:rFonts w:ascii="Times New Roman" w:cs="Times New Roman" w:hAnsi="Times New Roman"/>
          <w:b w:val="false"/>
          <w:sz w:val="24"/>
          <w:szCs w:val="24"/>
        </w:rPr>
        <w:t>Department of Energy and Applied Chemistry</w:t>
      </w:r>
      <w:r>
        <w:rPr>
          <w:rFonts w:ascii="Times New Roman" w:cs="Times New Roman" w:hAnsi="Times New Roman"/>
          <w:sz w:val="24"/>
          <w:szCs w:val="24"/>
        </w:rPr>
        <w:t xml:space="preserve"> and the management and staff of </w:t>
      </w:r>
      <w:r>
        <w:rPr>
          <w:rStyle w:val="style87"/>
          <w:rFonts w:ascii="Times New Roman" w:cs="Times New Roman" w:hAnsi="Times New Roman"/>
          <w:b w:val="false"/>
          <w:sz w:val="24"/>
          <w:szCs w:val="24"/>
        </w:rPr>
        <w:t>Usmanu</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Danfodiyo</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University</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Sokoto</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(UDUS)</w:t>
      </w:r>
      <w:r>
        <w:rPr>
          <w:rFonts w:ascii="Times New Roman" w:cs="Times New Roman" w:hAnsi="Times New Roman"/>
          <w:sz w:val="24"/>
          <w:szCs w:val="24"/>
        </w:rPr>
        <w:t xml:space="preserve"> for providing a </w:t>
      </w:r>
      <w:r>
        <w:rPr>
          <w:rFonts w:ascii="Times New Roman" w:cs="Times New Roman" w:hAnsi="Times New Roman"/>
          <w:sz w:val="24"/>
          <w:szCs w:val="24"/>
        </w:rPr>
        <w:t>conducive</w:t>
      </w:r>
      <w:r>
        <w:rPr>
          <w:rFonts w:ascii="Times New Roman" w:cs="Times New Roman" w:hAnsi="Times New Roman"/>
          <w:sz w:val="24"/>
          <w:szCs w:val="24"/>
        </w:rPr>
        <w:t xml:space="preserve"> environment and academic support.</w:t>
      </w:r>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 xml:space="preserve">My deepest appreciation goes to my </w:t>
      </w:r>
      <w:r>
        <w:rPr>
          <w:rStyle w:val="style87"/>
          <w:rFonts w:ascii="Times New Roman" w:cs="Times New Roman" w:hAnsi="Times New Roman"/>
          <w:b w:val="false"/>
          <w:sz w:val="24"/>
          <w:szCs w:val="24"/>
        </w:rPr>
        <w:t>beloved</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parents</w:t>
      </w:r>
      <w:r>
        <w:rPr>
          <w:rFonts w:ascii="Times New Roman" w:cs="Times New Roman" w:hAnsi="Times New Roman"/>
          <w:sz w:val="24"/>
          <w:szCs w:val="24"/>
        </w:rPr>
        <w:t xml:space="preserve">, whose love, prayers, and sacrifices have been the greatest source of my strength and success. You have been my constant motivation, my guiding light, and my strongest support through every challenge. I am forever indebted to you for your patience, care, and encouragement. May Almighty Allah continue to bless you with good health, happiness, and long </w:t>
      </w:r>
      <w:r>
        <w:rPr>
          <w:rFonts w:ascii="Times New Roman" w:cs="Times New Roman" w:hAnsi="Times New Roman"/>
          <w:sz w:val="24"/>
          <w:szCs w:val="24"/>
        </w:rPr>
        <w:t>life.</w:t>
      </w:r>
      <w:r>
        <w:rPr>
          <w:rFonts w:ascii="Times New Roman" w:cs="Times New Roman" w:hAnsi="Times New Roman"/>
          <w:sz w:val="24"/>
          <w:szCs w:val="24"/>
        </w:rPr>
        <w:t xml:space="preserve"> I also extend my heartfelt thanks to my </w:t>
      </w:r>
      <w:r>
        <w:rPr>
          <w:rStyle w:val="style87"/>
          <w:rFonts w:ascii="Times New Roman" w:cs="Times New Roman" w:hAnsi="Times New Roman"/>
          <w:b w:val="false"/>
          <w:sz w:val="24"/>
          <w:szCs w:val="24"/>
        </w:rPr>
        <w:t>siblings</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uncles</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aunties</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and all members of my family</w:t>
      </w:r>
      <w:r>
        <w:rPr>
          <w:rStyle w:val="style87"/>
          <w:rFonts w:ascii="Times New Roman" w:cs="Times New Roman" w:hAnsi="Times New Roman"/>
          <w:b w:val="false"/>
          <w:sz w:val="24"/>
          <w:szCs w:val="24"/>
        </w:rPr>
        <w:t>,</w:t>
      </w:r>
      <w:r>
        <w:rPr>
          <w:rStyle w:val="style87"/>
          <w:rFonts w:ascii="Times New Roman" w:cs="Times New Roman" w:hAnsi="Times New Roman"/>
          <w:b w:val="false"/>
          <w:sz w:val="24"/>
          <w:szCs w:val="24"/>
        </w:rPr>
        <w:t xml:space="preserve"> especially </w:t>
      </w:r>
      <w:r>
        <w:rPr>
          <w:rStyle w:val="style87"/>
          <w:rFonts w:ascii="Times New Roman" w:cs="Times New Roman" w:hAnsi="Times New Roman"/>
          <w:b w:val="false"/>
          <w:sz w:val="24"/>
          <w:szCs w:val="24"/>
        </w:rPr>
        <w:t>Alh</w:t>
      </w:r>
      <w:r>
        <w:rPr>
          <w:rStyle w:val="style87"/>
          <w:rFonts w:ascii="Times New Roman" w:cs="Times New Roman" w:hAnsi="Times New Roman"/>
          <w:b w:val="false"/>
          <w:sz w:val="24"/>
          <w:szCs w:val="24"/>
        </w:rPr>
        <w:t xml:space="preserve">. </w:t>
      </w:r>
      <w:r>
        <w:rPr>
          <w:rStyle w:val="style87"/>
          <w:rFonts w:ascii="Times New Roman" w:cs="Times New Roman" w:hAnsi="Times New Roman"/>
          <w:b w:val="false"/>
          <w:sz w:val="24"/>
          <w:szCs w:val="24"/>
        </w:rPr>
        <w:t>Abdulkareem</w:t>
      </w:r>
      <w:r>
        <w:rPr>
          <w:rStyle w:val="style87"/>
          <w:rFonts w:ascii="Times New Roman" w:cs="Times New Roman" w:hAnsi="Times New Roman"/>
          <w:b w:val="false"/>
          <w:sz w:val="24"/>
          <w:szCs w:val="24"/>
        </w:rPr>
        <w:t xml:space="preserve"> and his family</w:t>
      </w:r>
      <w:r>
        <w:rPr>
          <w:rFonts w:ascii="Times New Roman" w:cs="Times New Roman" w:hAnsi="Times New Roman"/>
          <w:b/>
          <w:sz w:val="24"/>
          <w:szCs w:val="24"/>
        </w:rPr>
        <w:t xml:space="preserve"> </w:t>
      </w:r>
      <w:r>
        <w:rPr>
          <w:rFonts w:ascii="Times New Roman" w:cs="Times New Roman" w:hAnsi="Times New Roman"/>
          <w:sz w:val="24"/>
          <w:szCs w:val="24"/>
        </w:rPr>
        <w:t>for their continuous support and prayers.</w:t>
      </w:r>
      <w:r>
        <w:rPr>
          <w:rFonts w:ascii="Times New Roman" w:cs="Times New Roman" w:hAnsi="Times New Roman"/>
          <w:sz w:val="24"/>
          <w:szCs w:val="24"/>
        </w:rPr>
        <w:t xml:space="preserve"> I cannot express enough gratitude to</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Yusuf</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Lawal</w:t>
      </w:r>
      <w:r>
        <w:rPr>
          <w:rStyle w:val="style87"/>
          <w:rFonts w:ascii="Times New Roman" w:cs="Times New Roman" w:hAnsi="Times New Roman"/>
          <w:b w:val="false"/>
          <w:sz w:val="24"/>
          <w:szCs w:val="24"/>
        </w:rPr>
        <w:t>,</w:t>
      </w:r>
      <w:r>
        <w:rPr>
          <w:rFonts w:ascii="Times New Roman" w:cs="Times New Roman" w:hAnsi="Times New Roman"/>
          <w:sz w:val="24"/>
          <w:szCs w:val="24"/>
        </w:rPr>
        <w:t xml:space="preserve"> who</w:t>
      </w:r>
      <w:r>
        <w:rPr>
          <w:rFonts w:ascii="Times New Roman" w:cs="Times New Roman" w:hAnsi="Times New Roman"/>
          <w:sz w:val="24"/>
          <w:szCs w:val="24"/>
        </w:rPr>
        <w:t>,</w:t>
      </w:r>
      <w:r>
        <w:rPr>
          <w:rFonts w:ascii="Times New Roman" w:cs="Times New Roman" w:hAnsi="Times New Roman"/>
          <w:sz w:val="24"/>
          <w:szCs w:val="24"/>
        </w:rPr>
        <w:t xml:space="preserve"> despite not knowing my or</w:t>
      </w:r>
      <w:r>
        <w:rPr>
          <w:rFonts w:ascii="Times New Roman" w:cs="Times New Roman" w:hAnsi="Times New Roman"/>
          <w:sz w:val="24"/>
          <w:szCs w:val="24"/>
        </w:rPr>
        <w:t>i</w:t>
      </w:r>
      <w:r>
        <w:rPr>
          <w:rFonts w:ascii="Times New Roman" w:cs="Times New Roman" w:hAnsi="Times New Roman"/>
          <w:sz w:val="24"/>
          <w:szCs w:val="24"/>
        </w:rPr>
        <w:t xml:space="preserve">gin, has treated me like family. His kindness, generosity, and unwavering support have been priceless. I will forever remain grateful to him. My warm appreciation goes to my </w:t>
      </w:r>
      <w:r>
        <w:rPr>
          <w:rStyle w:val="style87"/>
          <w:rFonts w:ascii="Times New Roman" w:cs="Times New Roman" w:hAnsi="Times New Roman"/>
          <w:b w:val="false"/>
          <w:sz w:val="24"/>
          <w:szCs w:val="24"/>
        </w:rPr>
        <w:t>friends</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and</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brothers</w:t>
      </w:r>
      <w:r>
        <w:rPr>
          <w:rStyle w:val="style87"/>
          <w:rFonts w:ascii="Times New Roman" w:cs="Times New Roman" w:hAnsi="Times New Roman"/>
          <w:b w:val="false"/>
          <w:sz w:val="24"/>
          <w:szCs w:val="24"/>
        </w:rPr>
        <w:t>,</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Yelleng</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and</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Nafiu</w:t>
      </w:r>
      <w:r>
        <w:rPr>
          <w:rStyle w:val="style87"/>
          <w:rFonts w:ascii="Times New Roman" w:cs="Times New Roman" w:hAnsi="Times New Roman"/>
          <w:b w:val="false"/>
          <w:sz w:val="24"/>
          <w:szCs w:val="24"/>
        </w:rPr>
        <w:t>,</w:t>
      </w:r>
      <w:r>
        <w:rPr>
          <w:rStyle w:val="style87"/>
          <w:rFonts w:ascii="Times New Roman" w:cs="Times New Roman" w:hAnsi="Times New Roman"/>
          <w:sz w:val="24"/>
          <w:szCs w:val="24"/>
        </w:rPr>
        <w:t xml:space="preserve"> </w:t>
      </w:r>
      <w:r>
        <w:rPr>
          <w:rFonts w:ascii="Times New Roman" w:cs="Times New Roman" w:hAnsi="Times New Roman"/>
          <w:sz w:val="24"/>
          <w:szCs w:val="24"/>
        </w:rPr>
        <w:t>for their companionship, teamwork, and encouragement throughout this journey.</w:t>
      </w:r>
      <w:r>
        <w:rPr>
          <w:rFonts w:ascii="Times New Roman" w:cs="Times New Roman" w:hAnsi="Times New Roman"/>
          <w:sz w:val="24"/>
          <w:szCs w:val="24"/>
        </w:rPr>
        <w:t xml:space="preserve"> </w:t>
      </w:r>
      <w:r>
        <w:rPr>
          <w:rFonts w:ascii="Times New Roman" w:cs="Times New Roman" w:hAnsi="Times New Roman"/>
          <w:sz w:val="24"/>
          <w:szCs w:val="24"/>
        </w:rPr>
        <w:t xml:space="preserve">May Almighty Allah reward you all </w:t>
      </w:r>
      <w:r>
        <w:rPr>
          <w:rFonts w:ascii="Times New Roman" w:cs="Times New Roman" w:hAnsi="Times New Roman"/>
          <w:sz w:val="24"/>
          <w:szCs w:val="24"/>
        </w:rPr>
        <w:t>abundantly.</w:t>
      </w:r>
    </w:p>
    <w:p>
      <w:pPr>
        <w:pStyle w:val="style0"/>
        <w:rPr>
          <w:rFonts w:ascii="宋体" w:cs="宋体" w:hAnsi="宋体"/>
          <w:b/>
          <w:bCs/>
          <w:sz w:val="24"/>
          <w:szCs w:val="24"/>
        </w:rPr>
      </w:pPr>
      <w:r>
        <w:rPr>
          <w:rFonts w:ascii="宋体" w:cs="宋体" w:hAnsi="宋体"/>
          <w:b/>
          <w:bCs/>
          <w:sz w:val="24"/>
          <w:szCs w:val="24"/>
        </w:rPr>
        <w:br w:type="page"/>
      </w:r>
    </w:p>
    <w:bookmarkStart w:id="2" w:name="_Toc213929853"/>
    <w:p>
      <w:pPr>
        <w:pStyle w:val="style1"/>
        <w:jc w:val="center"/>
        <w:rPr/>
      </w:pPr>
      <w:r>
        <w:t>APPROVAL PAGE</w:t>
      </w:r>
      <w:bookmarkEnd w:id="2"/>
    </w:p>
    <w:p>
      <w:pPr>
        <w:pStyle w:val="style0"/>
        <w:spacing w:lineRule="auto" w:line="360"/>
        <w:jc w:val="both"/>
        <w:rPr>
          <w:rFonts w:ascii="宋体" w:cs="宋体" w:hAnsi="宋体"/>
          <w:sz w:val="24"/>
          <w:szCs w:val="24"/>
        </w:rPr>
      </w:pPr>
      <w:r>
        <w:rPr>
          <w:rFonts w:ascii="宋体" w:cs="宋体" w:hAnsi="宋体"/>
          <w:sz w:val="24"/>
          <w:szCs w:val="24"/>
        </w:rPr>
        <w:t>This is to certify that this project report by (</w:t>
      </w:r>
      <w:r>
        <w:rPr>
          <w:rFonts w:ascii="宋体" w:cs="宋体" w:hAnsi="宋体"/>
          <w:sz w:val="24"/>
          <w:szCs w:val="24"/>
        </w:rPr>
        <w:t>Abdulmujib</w:t>
      </w:r>
      <w:r>
        <w:rPr>
          <w:rFonts w:ascii="宋体" w:cs="宋体" w:hAnsi="宋体"/>
          <w:sz w:val="24"/>
          <w:szCs w:val="24"/>
        </w:rPr>
        <w:t xml:space="preserve"> </w:t>
      </w:r>
      <w:r>
        <w:rPr>
          <w:rFonts w:ascii="宋体" w:cs="宋体" w:hAnsi="宋体"/>
          <w:sz w:val="24"/>
          <w:szCs w:val="24"/>
        </w:rPr>
        <w:t>Ridwan</w:t>
      </w:r>
      <w:r>
        <w:rPr>
          <w:rFonts w:ascii="宋体" w:cs="宋体" w:hAnsi="宋体"/>
          <w:sz w:val="24"/>
          <w:szCs w:val="24"/>
        </w:rPr>
        <w:t xml:space="preserve"> 2010312194) has met the requirements for the Award of the Bachelor of Science Degree in Applied Chemistry of the </w:t>
      </w:r>
      <w:r>
        <w:rPr>
          <w:rFonts w:ascii="宋体" w:cs="宋体" w:hAnsi="宋体"/>
          <w:sz w:val="24"/>
          <w:szCs w:val="24"/>
        </w:rPr>
        <w:t>Usmanu</w:t>
      </w:r>
      <w:r>
        <w:rPr>
          <w:rFonts w:ascii="宋体" w:cs="宋体" w:hAnsi="宋体"/>
          <w:sz w:val="24"/>
          <w:szCs w:val="24"/>
        </w:rPr>
        <w:t xml:space="preserve"> </w:t>
      </w:r>
      <w:r>
        <w:rPr>
          <w:rFonts w:ascii="宋体" w:cs="宋体" w:hAnsi="宋体"/>
          <w:sz w:val="24"/>
          <w:szCs w:val="24"/>
        </w:rPr>
        <w:t>Danfodiyo</w:t>
      </w:r>
      <w:r>
        <w:rPr>
          <w:rFonts w:ascii="宋体" w:cs="宋体" w:hAnsi="宋体"/>
          <w:sz w:val="24"/>
          <w:szCs w:val="24"/>
        </w:rPr>
        <w:t xml:space="preserve"> University, </w:t>
      </w:r>
      <w:r>
        <w:rPr>
          <w:rFonts w:ascii="宋体" w:cs="宋体" w:hAnsi="宋体"/>
          <w:sz w:val="24"/>
          <w:szCs w:val="24"/>
        </w:rPr>
        <w:t>Sokoto</w:t>
      </w:r>
      <w:r>
        <w:rPr>
          <w:rFonts w:ascii="宋体" w:cs="宋体" w:hAnsi="宋体"/>
          <w:sz w:val="24"/>
          <w:szCs w:val="24"/>
        </w:rPr>
        <w:t>,</w:t>
      </w:r>
      <w:r>
        <w:rPr>
          <w:rFonts w:ascii="宋体" w:cs="宋体" w:hAnsi="宋体"/>
          <w:sz w:val="24"/>
          <w:szCs w:val="24"/>
        </w:rPr>
        <w:t xml:space="preserve"> and is approved for its contribution to knowledge. </w:t>
      </w:r>
    </w:p>
    <w:p>
      <w:pPr>
        <w:pStyle w:val="style0"/>
        <w:spacing w:lineRule="auto" w:line="360"/>
        <w:jc w:val="both"/>
        <w:rPr>
          <w:rFonts w:ascii="宋体" w:cs="宋体" w:hAnsi="宋体"/>
          <w:sz w:val="24"/>
          <w:szCs w:val="24"/>
        </w:rPr>
      </w:pPr>
    </w:p>
    <w:p>
      <w:pPr>
        <w:pStyle w:val="style0"/>
        <w:spacing w:lineRule="auto" w:line="360"/>
        <w:jc w:val="both"/>
        <w:rPr>
          <w:rFonts w:ascii="宋体" w:cs="宋体" w:hAnsi="宋体"/>
          <w:sz w:val="24"/>
          <w:szCs w:val="24"/>
        </w:rPr>
      </w:pPr>
    </w:p>
    <w:p>
      <w:pPr>
        <w:pStyle w:val="style0"/>
        <w:spacing w:lineRule="auto" w:line="360"/>
        <w:jc w:val="both"/>
        <w:rPr>
          <w:rFonts w:ascii="宋体" w:cs="宋体" w:hAnsi="宋体"/>
          <w:sz w:val="24"/>
          <w:szCs w:val="24"/>
        </w:rPr>
      </w:pPr>
    </w:p>
    <w:p>
      <w:pPr>
        <w:pStyle w:val="style0"/>
        <w:spacing w:after="0" w:lineRule="auto" w:line="360"/>
        <w:jc w:val="both"/>
        <w:rPr>
          <w:rFonts w:ascii="宋体" w:cs="宋体" w:hAnsi="宋体"/>
          <w:sz w:val="24"/>
          <w:szCs w:val="24"/>
        </w:rPr>
      </w:pPr>
      <w:r>
        <w:rPr>
          <w:rFonts w:ascii="宋体" w:cs="宋体" w:hAnsi="宋体"/>
          <w:sz w:val="24"/>
          <w:szCs w:val="24"/>
        </w:rPr>
        <w:t>_______________________________</w:t>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_____________</w:t>
      </w:r>
    </w:p>
    <w:p>
      <w:pPr>
        <w:pStyle w:val="style0"/>
        <w:spacing w:after="0" w:lineRule="auto" w:line="360"/>
        <w:jc w:val="both"/>
        <w:rPr>
          <w:rFonts w:ascii="宋体" w:cs="宋体" w:hAnsi="宋体"/>
          <w:sz w:val="24"/>
          <w:szCs w:val="24"/>
        </w:rPr>
      </w:pPr>
      <w:r>
        <w:rPr>
          <w:rFonts w:ascii="宋体" w:cs="宋体" w:hAnsi="宋体"/>
          <w:sz w:val="24"/>
          <w:szCs w:val="24"/>
        </w:rPr>
        <w:t xml:space="preserve">Dr. S. A. </w:t>
      </w:r>
      <w:r>
        <w:rPr>
          <w:rFonts w:ascii="宋体" w:cs="宋体" w:hAnsi="宋体"/>
          <w:sz w:val="24"/>
          <w:szCs w:val="24"/>
        </w:rPr>
        <w:t>Zauro</w:t>
      </w:r>
      <w:r>
        <w:rPr>
          <w:rFonts w:ascii="宋体" w:cs="宋体" w:hAnsi="宋体"/>
          <w:sz w:val="24"/>
          <w:szCs w:val="24"/>
        </w:rPr>
        <w:t xml:space="preserve"> </w:t>
      </w:r>
      <w:r>
        <w:rPr>
          <w:rFonts w:ascii="宋体" w:cs="宋体" w:hAnsi="宋体"/>
          <w:sz w:val="24"/>
          <w:szCs w:val="24"/>
        </w:rPr>
        <w:tab/>
      </w:r>
      <w:r>
        <w:rPr>
          <w:rFonts w:ascii="宋体" w:cs="宋体" w:hAnsi="宋体"/>
          <w:sz w:val="24"/>
          <w:szCs w:val="24"/>
        </w:rPr>
        <w:tab/>
      </w:r>
      <w:r>
        <w:rPr>
          <w:rFonts w:ascii="宋体" w:cs="宋体" w:hAnsi="宋体"/>
          <w:sz w:val="24"/>
          <w:szCs w:val="24"/>
        </w:rPr>
        <w:t xml:space="preserve">            </w:t>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 xml:space="preserve">         Date </w:t>
      </w:r>
    </w:p>
    <w:p>
      <w:pPr>
        <w:pStyle w:val="style0"/>
        <w:spacing w:after="0" w:lineRule="auto" w:line="360"/>
        <w:jc w:val="both"/>
        <w:rPr>
          <w:rFonts w:ascii="宋体" w:cs="宋体" w:hAnsi="宋体"/>
          <w:sz w:val="24"/>
          <w:szCs w:val="24"/>
        </w:rPr>
      </w:pPr>
      <w:r>
        <w:rPr>
          <w:rFonts w:ascii="宋体" w:cs="宋体" w:hAnsi="宋体"/>
          <w:sz w:val="24"/>
          <w:szCs w:val="24"/>
        </w:rPr>
        <w:t>(Project Supervisor)</w:t>
      </w:r>
    </w:p>
    <w:p>
      <w:pPr>
        <w:pStyle w:val="style0"/>
        <w:spacing w:after="0" w:lineRule="auto" w:line="360"/>
        <w:jc w:val="both"/>
        <w:rPr>
          <w:rFonts w:ascii="宋体" w:cs="宋体" w:hAnsi="宋体"/>
          <w:sz w:val="24"/>
          <w:szCs w:val="24"/>
        </w:rPr>
      </w:pPr>
    </w:p>
    <w:p>
      <w:pPr>
        <w:pStyle w:val="style0"/>
        <w:spacing w:after="0" w:lineRule="auto" w:line="360"/>
        <w:jc w:val="both"/>
        <w:rPr>
          <w:rFonts w:ascii="宋体" w:cs="宋体" w:hAnsi="宋体"/>
          <w:sz w:val="24"/>
          <w:szCs w:val="24"/>
        </w:rPr>
      </w:pPr>
    </w:p>
    <w:p>
      <w:pPr>
        <w:pStyle w:val="style0"/>
        <w:spacing w:after="0" w:lineRule="auto" w:line="360"/>
        <w:jc w:val="both"/>
        <w:rPr>
          <w:rFonts w:ascii="宋体" w:cs="宋体" w:hAnsi="宋体"/>
          <w:sz w:val="24"/>
          <w:szCs w:val="24"/>
        </w:rPr>
      </w:pPr>
    </w:p>
    <w:p>
      <w:pPr>
        <w:pStyle w:val="style0"/>
        <w:spacing w:after="0" w:lineRule="auto" w:line="360"/>
        <w:jc w:val="both"/>
        <w:rPr>
          <w:rFonts w:ascii="宋体" w:cs="宋体" w:hAnsi="宋体"/>
          <w:sz w:val="24"/>
          <w:szCs w:val="24"/>
        </w:rPr>
      </w:pPr>
    </w:p>
    <w:p>
      <w:pPr>
        <w:pStyle w:val="style0"/>
        <w:spacing w:after="0" w:lineRule="auto" w:line="360"/>
        <w:jc w:val="both"/>
        <w:rPr>
          <w:rFonts w:ascii="宋体" w:cs="宋体" w:hAnsi="宋体"/>
          <w:sz w:val="24"/>
          <w:szCs w:val="24"/>
        </w:rPr>
      </w:pPr>
      <w:r>
        <w:rPr>
          <w:rFonts w:ascii="宋体" w:cs="宋体" w:hAnsi="宋体"/>
          <w:sz w:val="24"/>
          <w:szCs w:val="24"/>
        </w:rPr>
        <w:t>_______________________________</w:t>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_____________</w:t>
      </w:r>
    </w:p>
    <w:p>
      <w:pPr>
        <w:pStyle w:val="style0"/>
        <w:spacing w:after="0" w:lineRule="auto" w:line="360"/>
        <w:jc w:val="both"/>
        <w:rPr>
          <w:rFonts w:ascii="宋体" w:cs="宋体" w:hAnsi="宋体"/>
          <w:sz w:val="24"/>
          <w:szCs w:val="24"/>
        </w:rPr>
      </w:pPr>
      <w:r>
        <w:rPr>
          <w:rFonts w:ascii="宋体" w:cs="宋体" w:hAnsi="宋体"/>
          <w:sz w:val="24"/>
          <w:szCs w:val="24"/>
          <w:lang w:val="en-US"/>
        </w:rPr>
        <w:t>Dr</w:t>
      </w:r>
      <w:r>
        <w:rPr>
          <w:rFonts w:ascii="宋体" w:cs="宋体" w:hAnsi="宋体"/>
          <w:sz w:val="24"/>
          <w:szCs w:val="24"/>
        </w:rPr>
        <w:t xml:space="preserve">. </w:t>
      </w:r>
      <w:r>
        <w:rPr>
          <w:rFonts w:ascii="宋体" w:cs="宋体" w:hAnsi="宋体"/>
          <w:sz w:val="24"/>
          <w:szCs w:val="24"/>
        </w:rPr>
        <w:t>Aliyu</w:t>
      </w:r>
      <w:r>
        <w:rPr>
          <w:rFonts w:ascii="宋体" w:cs="宋体" w:hAnsi="宋体"/>
          <w:sz w:val="24"/>
          <w:szCs w:val="24"/>
        </w:rPr>
        <w:t xml:space="preserve"> Muhammad</w:t>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 xml:space="preserve">           </w:t>
      </w:r>
      <w:r>
        <w:rPr>
          <w:rFonts w:ascii="宋体" w:cs="宋体" w:hAnsi="宋体"/>
          <w:sz w:val="24"/>
          <w:szCs w:val="24"/>
        </w:rPr>
        <w:t>Date</w:t>
      </w:r>
    </w:p>
    <w:p>
      <w:pPr>
        <w:pStyle w:val="style0"/>
        <w:spacing w:after="0" w:lineRule="auto" w:line="360"/>
        <w:jc w:val="both"/>
        <w:rPr>
          <w:rFonts w:ascii="宋体" w:cs="宋体" w:hAnsi="宋体"/>
          <w:sz w:val="24"/>
          <w:szCs w:val="24"/>
        </w:rPr>
      </w:pPr>
      <w:r>
        <w:rPr>
          <w:rFonts w:ascii="宋体" w:cs="宋体" w:hAnsi="宋体"/>
          <w:sz w:val="24"/>
          <w:szCs w:val="24"/>
        </w:rPr>
        <w:t>(</w:t>
      </w:r>
      <w:r>
        <w:rPr>
          <w:rFonts w:ascii="宋体" w:cs="宋体" w:hAnsi="宋体"/>
          <w:sz w:val="24"/>
          <w:szCs w:val="24"/>
        </w:rPr>
        <w:t>External Examiner</w:t>
      </w:r>
      <w:r>
        <w:rPr>
          <w:rFonts w:ascii="宋体" w:cs="宋体" w:hAnsi="宋体"/>
          <w:sz w:val="24"/>
          <w:szCs w:val="24"/>
        </w:rPr>
        <w:t>)</w:t>
      </w:r>
      <w:r>
        <w:rPr>
          <w:rFonts w:ascii="宋体" w:cs="宋体" w:hAnsi="宋体"/>
          <w:sz w:val="24"/>
          <w:szCs w:val="24"/>
        </w:rPr>
        <w:t xml:space="preserve"> </w:t>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 xml:space="preserve"> </w:t>
      </w:r>
    </w:p>
    <w:p>
      <w:pPr>
        <w:pStyle w:val="style0"/>
        <w:spacing w:after="0" w:lineRule="auto" w:line="360"/>
        <w:jc w:val="both"/>
        <w:rPr>
          <w:rFonts w:ascii="宋体" w:cs="宋体" w:hAnsi="宋体"/>
          <w:sz w:val="24"/>
          <w:szCs w:val="24"/>
        </w:rPr>
      </w:pPr>
    </w:p>
    <w:p>
      <w:pPr>
        <w:pStyle w:val="style0"/>
        <w:spacing w:after="0" w:lineRule="auto" w:line="360"/>
        <w:jc w:val="both"/>
        <w:rPr>
          <w:rFonts w:ascii="宋体" w:cs="宋体" w:hAnsi="宋体"/>
          <w:sz w:val="24"/>
          <w:szCs w:val="24"/>
        </w:rPr>
      </w:pPr>
      <w:r>
        <w:rPr>
          <w:rFonts w:ascii="宋体" w:cs="宋体" w:hAnsi="宋体"/>
          <w:sz w:val="24"/>
          <w:szCs w:val="24"/>
        </w:rPr>
        <w:tab/>
      </w:r>
    </w:p>
    <w:p>
      <w:pPr>
        <w:pStyle w:val="style0"/>
        <w:spacing w:after="0" w:lineRule="auto" w:line="360"/>
        <w:jc w:val="both"/>
        <w:rPr>
          <w:rFonts w:ascii="宋体" w:cs="宋体" w:hAnsi="宋体"/>
          <w:sz w:val="24"/>
          <w:szCs w:val="24"/>
        </w:rPr>
      </w:pPr>
    </w:p>
    <w:p>
      <w:pPr>
        <w:pStyle w:val="style0"/>
        <w:spacing w:after="0" w:lineRule="auto" w:line="360"/>
        <w:jc w:val="both"/>
        <w:rPr>
          <w:rFonts w:ascii="宋体" w:cs="宋体" w:hAnsi="宋体"/>
          <w:sz w:val="24"/>
          <w:szCs w:val="24"/>
        </w:rPr>
      </w:pPr>
    </w:p>
    <w:p>
      <w:pPr>
        <w:pStyle w:val="style0"/>
        <w:spacing w:after="0" w:lineRule="auto" w:line="360"/>
        <w:jc w:val="both"/>
        <w:rPr>
          <w:rFonts w:ascii="宋体" w:cs="宋体" w:hAnsi="宋体"/>
          <w:sz w:val="24"/>
          <w:szCs w:val="24"/>
        </w:rPr>
      </w:pPr>
    </w:p>
    <w:p>
      <w:pPr>
        <w:pStyle w:val="style0"/>
        <w:spacing w:after="0" w:lineRule="auto" w:line="360"/>
        <w:jc w:val="both"/>
        <w:rPr>
          <w:rFonts w:ascii="宋体" w:cs="宋体" w:hAnsi="宋体"/>
          <w:sz w:val="24"/>
          <w:szCs w:val="24"/>
        </w:rPr>
      </w:pPr>
      <w:r>
        <w:rPr>
          <w:rFonts w:ascii="宋体" w:cs="宋体" w:hAnsi="宋体"/>
          <w:sz w:val="24"/>
          <w:szCs w:val="24"/>
        </w:rPr>
        <w:t>_______________________________</w:t>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_____________</w:t>
      </w:r>
    </w:p>
    <w:p>
      <w:pPr>
        <w:pStyle w:val="style0"/>
        <w:spacing w:after="0" w:lineRule="auto" w:line="360"/>
        <w:jc w:val="both"/>
        <w:rPr>
          <w:rFonts w:ascii="宋体" w:cs="宋体" w:hAnsi="宋体"/>
          <w:sz w:val="24"/>
          <w:szCs w:val="24"/>
        </w:rPr>
      </w:pPr>
      <w:r>
        <w:rPr>
          <w:rFonts w:ascii="宋体" w:cs="宋体" w:hAnsi="宋体"/>
          <w:sz w:val="24"/>
          <w:szCs w:val="24"/>
        </w:rPr>
        <w:t>Prof. M.</w:t>
      </w:r>
      <w:r>
        <w:rPr>
          <w:rFonts w:ascii="宋体" w:cs="宋体" w:hAnsi="宋体"/>
          <w:sz w:val="24"/>
          <w:szCs w:val="24"/>
        </w:rPr>
        <w:t xml:space="preserve"> L. Mo</w:t>
      </w:r>
      <w:r>
        <w:rPr>
          <w:rFonts w:ascii="宋体" w:cs="宋体" w:hAnsi="宋体"/>
          <w:sz w:val="24"/>
          <w:szCs w:val="24"/>
        </w:rPr>
        <w:t>hamm</w:t>
      </w:r>
      <w:r>
        <w:rPr>
          <w:rFonts w:ascii="宋体" w:cs="宋体" w:hAnsi="宋体"/>
          <w:sz w:val="24"/>
          <w:szCs w:val="24"/>
          <w:lang w:val="en-US"/>
        </w:rPr>
        <w:t>e</w:t>
      </w:r>
      <w:r>
        <w:rPr>
          <w:rFonts w:ascii="宋体" w:cs="宋体" w:hAnsi="宋体"/>
          <w:sz w:val="24"/>
          <w:szCs w:val="24"/>
        </w:rPr>
        <w:t xml:space="preserve">d                        </w:t>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 xml:space="preserve">Date </w:t>
      </w:r>
    </w:p>
    <w:p>
      <w:pPr>
        <w:pStyle w:val="style0"/>
        <w:spacing w:lineRule="auto" w:line="360"/>
        <w:jc w:val="both"/>
        <w:rPr>
          <w:rFonts w:ascii="宋体" w:cs="宋体" w:hAnsi="宋体"/>
          <w:sz w:val="24"/>
          <w:szCs w:val="24"/>
        </w:rPr>
      </w:pPr>
      <w:r>
        <w:rPr>
          <w:rFonts w:ascii="宋体" w:cs="宋体" w:hAnsi="宋体"/>
          <w:sz w:val="24"/>
          <w:szCs w:val="24"/>
        </w:rPr>
        <w:t>(Head of Department)</w:t>
      </w:r>
    </w:p>
    <w:p>
      <w:pPr>
        <w:pStyle w:val="style0"/>
        <w:spacing w:lineRule="auto" w:line="360"/>
        <w:rPr>
          <w:rFonts w:ascii="宋体" w:cs="宋体" w:hAnsi="宋体"/>
          <w:b/>
          <w:bCs/>
          <w:sz w:val="24"/>
          <w:szCs w:val="24"/>
        </w:rPr>
      </w:pPr>
    </w:p>
    <w:p>
      <w:pPr>
        <w:pStyle w:val="style0"/>
        <w:spacing w:lineRule="auto" w:line="360"/>
        <w:rPr>
          <w:rFonts w:ascii="宋体" w:cs="宋体" w:hAnsi="宋体"/>
          <w:b/>
          <w:bCs/>
          <w:sz w:val="24"/>
          <w:szCs w:val="24"/>
        </w:rPr>
      </w:pPr>
    </w:p>
    <w:p>
      <w:pPr>
        <w:pStyle w:val="style0"/>
        <w:spacing w:lineRule="auto" w:line="360"/>
        <w:rPr>
          <w:rFonts w:ascii="宋体" w:cs="宋体" w:hAnsi="宋体"/>
          <w:b/>
          <w:bCs/>
          <w:sz w:val="24"/>
          <w:szCs w:val="24"/>
        </w:rPr>
      </w:pPr>
    </w:p>
    <w:p>
      <w:pPr>
        <w:pStyle w:val="style0"/>
        <w:spacing w:lineRule="auto" w:line="480"/>
        <w:jc w:val="both"/>
        <w:rPr>
          <w:rFonts w:ascii="Times New Roman" w:cs="Times New Roman" w:hAnsi="Times New Roman"/>
          <w:sz w:val="24"/>
          <w:szCs w:val="24"/>
        </w:rPr>
      </w:pPr>
    </w:p>
    <w:p>
      <w:pPr>
        <w:pStyle w:val="style0"/>
        <w:spacing w:lineRule="auto" w:line="480"/>
        <w:jc w:val="both"/>
        <w:rPr>
          <w:rFonts w:ascii="Times New Roman" w:cs="Times New Roman" w:hAnsi="Times New Roman"/>
          <w:sz w:val="24"/>
          <w:szCs w:val="24"/>
        </w:rPr>
      </w:pPr>
    </w:p>
    <w:bookmarkStart w:id="3" w:name="_Toc213929854"/>
    <w:p>
      <w:pPr>
        <w:pStyle w:val="style1"/>
        <w:jc w:val="center"/>
        <w:rPr/>
      </w:pPr>
      <w:r>
        <w:t>DECLARATION</w:t>
      </w:r>
      <w:bookmarkEnd w:id="3"/>
    </w:p>
    <w:p>
      <w:pPr>
        <w:pStyle w:val="style0"/>
        <w:spacing w:lineRule="auto" w:line="360"/>
        <w:jc w:val="both"/>
        <w:rPr>
          <w:rFonts w:ascii="宋体" w:cs="宋体" w:hAnsi="宋体"/>
          <w:sz w:val="24"/>
          <w:szCs w:val="24"/>
        </w:rPr>
      </w:pPr>
      <w:r>
        <w:rPr>
          <w:rFonts w:ascii="宋体" w:cs="宋体" w:hAnsi="宋体"/>
          <w:sz w:val="24"/>
          <w:szCs w:val="24"/>
        </w:rPr>
        <w:t>I hereby declare that this project is based on my original work except for quotations and citations</w:t>
      </w:r>
      <w:r>
        <w:rPr>
          <w:rFonts w:ascii="宋体" w:cs="宋体" w:hAnsi="宋体"/>
          <w:sz w:val="24"/>
          <w:szCs w:val="24"/>
        </w:rPr>
        <w:t>,</w:t>
      </w:r>
      <w:r>
        <w:rPr>
          <w:rFonts w:ascii="宋体" w:cs="宋体" w:hAnsi="宋体"/>
          <w:sz w:val="24"/>
          <w:szCs w:val="24"/>
        </w:rPr>
        <w:t xml:space="preserve"> which have been duly acknowledged. I also declare that it has not been previously of concurrently submitted for any other degree at </w:t>
      </w:r>
      <w:r>
        <w:rPr>
          <w:rFonts w:ascii="宋体" w:cs="宋体" w:hAnsi="宋体"/>
          <w:sz w:val="24"/>
          <w:szCs w:val="24"/>
        </w:rPr>
        <w:t>Usmanu</w:t>
      </w:r>
      <w:r>
        <w:rPr>
          <w:rFonts w:ascii="宋体" w:cs="宋体" w:hAnsi="宋体"/>
          <w:sz w:val="24"/>
          <w:szCs w:val="24"/>
        </w:rPr>
        <w:t xml:space="preserve"> </w:t>
      </w:r>
      <w:r>
        <w:rPr>
          <w:rFonts w:ascii="宋体" w:cs="宋体" w:hAnsi="宋体"/>
          <w:sz w:val="24"/>
          <w:szCs w:val="24"/>
        </w:rPr>
        <w:t>Danfodiyo</w:t>
      </w:r>
      <w:r>
        <w:rPr>
          <w:rFonts w:ascii="宋体" w:cs="宋体" w:hAnsi="宋体"/>
          <w:sz w:val="24"/>
          <w:szCs w:val="24"/>
        </w:rPr>
        <w:t xml:space="preserve"> University, </w:t>
      </w:r>
      <w:r>
        <w:rPr>
          <w:rFonts w:ascii="宋体" w:cs="宋体" w:hAnsi="宋体"/>
          <w:sz w:val="24"/>
          <w:szCs w:val="24"/>
        </w:rPr>
        <w:t>Sokoto</w:t>
      </w:r>
      <w:r>
        <w:rPr>
          <w:rFonts w:ascii="宋体" w:cs="宋体" w:hAnsi="宋体"/>
          <w:sz w:val="24"/>
          <w:szCs w:val="24"/>
        </w:rPr>
        <w:t>.</w:t>
      </w:r>
    </w:p>
    <w:p>
      <w:pPr>
        <w:pStyle w:val="style0"/>
        <w:spacing w:lineRule="auto" w:line="360"/>
        <w:jc w:val="both"/>
        <w:rPr>
          <w:rFonts w:ascii="宋体" w:cs="宋体" w:hAnsi="宋体"/>
          <w:sz w:val="24"/>
          <w:szCs w:val="24"/>
        </w:rPr>
      </w:pPr>
    </w:p>
    <w:p>
      <w:pPr>
        <w:pStyle w:val="style0"/>
        <w:spacing w:lineRule="auto" w:line="360"/>
        <w:jc w:val="both"/>
        <w:rPr>
          <w:rFonts w:ascii="宋体" w:cs="宋体" w:hAnsi="宋体"/>
          <w:sz w:val="24"/>
          <w:szCs w:val="24"/>
        </w:rPr>
      </w:pPr>
    </w:p>
    <w:p>
      <w:pPr>
        <w:pStyle w:val="style0"/>
        <w:spacing w:lineRule="auto" w:line="360"/>
        <w:jc w:val="both"/>
        <w:rPr>
          <w:rFonts w:ascii="宋体" w:cs="宋体" w:hAnsi="宋体"/>
          <w:sz w:val="24"/>
          <w:szCs w:val="24"/>
        </w:rPr>
      </w:pPr>
    </w:p>
    <w:p>
      <w:pPr>
        <w:pStyle w:val="style0"/>
        <w:spacing w:after="0" w:lineRule="auto" w:line="360"/>
        <w:jc w:val="both"/>
        <w:rPr>
          <w:rFonts w:ascii="宋体" w:cs="宋体" w:hAnsi="宋体"/>
          <w:sz w:val="24"/>
          <w:szCs w:val="24"/>
        </w:rPr>
      </w:pPr>
      <w:r>
        <w:rPr>
          <w:rFonts w:ascii="宋体" w:cs="宋体" w:hAnsi="宋体"/>
          <w:sz w:val="24"/>
          <w:szCs w:val="24"/>
        </w:rPr>
        <w:t>__________________________</w:t>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_____________</w:t>
      </w:r>
    </w:p>
    <w:p>
      <w:pPr>
        <w:pStyle w:val="style0"/>
        <w:spacing w:after="0" w:lineRule="auto" w:line="360"/>
        <w:jc w:val="both"/>
        <w:rPr>
          <w:rFonts w:ascii="宋体" w:cs="宋体" w:hAnsi="宋体"/>
          <w:sz w:val="24"/>
          <w:szCs w:val="24"/>
        </w:rPr>
      </w:pPr>
      <w:r>
        <w:rPr>
          <w:rFonts w:ascii="宋体" w:cs="宋体" w:hAnsi="宋体"/>
          <w:sz w:val="24"/>
          <w:szCs w:val="24"/>
        </w:rPr>
        <w:t>Abdulmujib</w:t>
      </w:r>
      <w:r>
        <w:rPr>
          <w:rFonts w:ascii="宋体" w:cs="宋体" w:hAnsi="宋体"/>
          <w:sz w:val="24"/>
          <w:szCs w:val="24"/>
        </w:rPr>
        <w:t xml:space="preserve"> </w:t>
      </w:r>
      <w:r>
        <w:rPr>
          <w:rFonts w:ascii="宋体" w:cs="宋体" w:hAnsi="宋体"/>
          <w:sz w:val="24"/>
          <w:szCs w:val="24"/>
        </w:rPr>
        <w:t>Ridwan</w:t>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ab/>
      </w:r>
      <w:r>
        <w:rPr>
          <w:rFonts w:ascii="宋体" w:cs="宋体" w:hAnsi="宋体"/>
          <w:sz w:val="24"/>
          <w:szCs w:val="24"/>
        </w:rPr>
        <w:t xml:space="preserve">        </w:t>
      </w:r>
      <w:r>
        <w:rPr>
          <w:rFonts w:ascii="宋体" w:cs="宋体" w:hAnsi="宋体"/>
          <w:sz w:val="24"/>
          <w:szCs w:val="24"/>
        </w:rPr>
        <w:tab/>
      </w:r>
      <w:r>
        <w:rPr>
          <w:rFonts w:ascii="宋体" w:cs="宋体" w:hAnsi="宋体"/>
          <w:sz w:val="24"/>
          <w:szCs w:val="24"/>
        </w:rPr>
        <w:t xml:space="preserve">          Date</w:t>
      </w:r>
    </w:p>
    <w:p>
      <w:pPr>
        <w:pStyle w:val="style0"/>
        <w:spacing w:lineRule="auto" w:line="360"/>
        <w:jc w:val="center"/>
        <w:rPr>
          <w:rFonts w:ascii="Times New Roman" w:cs="Times New Roman" w:hAnsi="Times New Roman"/>
          <w:b/>
          <w:sz w:val="24"/>
          <w:szCs w:val="24"/>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bookmarkStart w:id="4" w:name="_Toc213929855"/>
    <w:p>
      <w:pPr>
        <w:pStyle w:val="style1"/>
        <w:jc w:val="center"/>
        <w:rPr/>
      </w:pPr>
      <w:r>
        <w:t>TABLE OF CONTENTS</w:t>
      </w:r>
      <w:bookmarkEnd w:id="4"/>
    </w:p>
    <w:p>
      <w:pPr>
        <w:pStyle w:val="style266"/>
        <w:spacing w:lineRule="auto" w:line="480"/>
        <w:rPr>
          <w:rFonts w:ascii="Times New Roman" w:cs="Times New Roman" w:eastAsia="宋体" w:hAnsi="Times New Roman"/>
          <w:b w:val="false"/>
          <w:bCs w:val="false"/>
          <w:color w:val="auto"/>
          <w:sz w:val="24"/>
          <w:szCs w:val="24"/>
          <w:lang w:eastAsia="en-US"/>
        </w:rPr>
      </w:pPr>
      <w:r>
        <w:rPr>
          <w:rFonts w:ascii="Times New Roman" w:cs="Times New Roman" w:eastAsia="宋体" w:hAnsi="Times New Roman"/>
          <w:b w:val="false"/>
          <w:bCs w:val="false"/>
          <w:color w:val="auto"/>
          <w:sz w:val="24"/>
          <w:szCs w:val="24"/>
          <w:lang w:eastAsia="en-US"/>
        </w:rPr>
        <w:t>TITLE PAGE</w:t>
      </w:r>
      <w:r>
        <w:rPr>
          <w:rFonts w:ascii="Times New Roman" w:cs="Times New Roman" w:eastAsia="宋体" w:hAnsi="Times New Roman"/>
          <w:b w:val="false"/>
          <w:bCs w:val="false"/>
          <w:color w:val="auto"/>
          <w:sz w:val="24"/>
          <w:szCs w:val="24"/>
          <w:lang w:eastAsia="en-US"/>
        </w:rPr>
        <w:tab/>
      </w:r>
      <w:r>
        <w:rPr>
          <w:rFonts w:ascii="Times New Roman" w:cs="Times New Roman" w:eastAsia="宋体" w:hAnsi="Times New Roman"/>
          <w:b w:val="false"/>
          <w:bCs w:val="false"/>
          <w:color w:val="auto"/>
          <w:sz w:val="24"/>
          <w:szCs w:val="24"/>
          <w:lang w:eastAsia="en-US"/>
        </w:rPr>
        <w:tab/>
      </w:r>
      <w:r>
        <w:rPr>
          <w:rFonts w:ascii="Times New Roman" w:cs="Times New Roman" w:eastAsia="宋体" w:hAnsi="Times New Roman"/>
          <w:b w:val="false"/>
          <w:bCs w:val="false"/>
          <w:color w:val="auto"/>
          <w:sz w:val="24"/>
          <w:szCs w:val="24"/>
          <w:lang w:eastAsia="en-US"/>
        </w:rPr>
        <w:tab/>
      </w:r>
      <w:r>
        <w:rPr>
          <w:rFonts w:ascii="Times New Roman" w:cs="Times New Roman" w:eastAsia="宋体" w:hAnsi="Times New Roman"/>
          <w:b w:val="false"/>
          <w:bCs w:val="false"/>
          <w:color w:val="auto"/>
          <w:sz w:val="24"/>
          <w:szCs w:val="24"/>
          <w:lang w:eastAsia="en-US"/>
        </w:rPr>
        <w:tab/>
      </w:r>
      <w:r>
        <w:rPr>
          <w:rFonts w:ascii="Times New Roman" w:cs="Times New Roman" w:eastAsia="宋体" w:hAnsi="Times New Roman"/>
          <w:b w:val="false"/>
          <w:bCs w:val="false"/>
          <w:color w:val="auto"/>
          <w:sz w:val="24"/>
          <w:szCs w:val="24"/>
          <w:lang w:eastAsia="en-US"/>
        </w:rPr>
        <w:tab/>
      </w:r>
      <w:r>
        <w:rPr>
          <w:rFonts w:ascii="Times New Roman" w:cs="Times New Roman" w:eastAsia="宋体" w:hAnsi="Times New Roman"/>
          <w:b w:val="false"/>
          <w:bCs w:val="false"/>
          <w:color w:val="auto"/>
          <w:sz w:val="24"/>
          <w:szCs w:val="24"/>
          <w:lang w:eastAsia="en-US"/>
        </w:rPr>
        <w:tab/>
      </w:r>
      <w:r>
        <w:rPr>
          <w:rFonts w:ascii="Times New Roman" w:cs="Times New Roman" w:eastAsia="宋体" w:hAnsi="Times New Roman"/>
          <w:b w:val="false"/>
          <w:bCs w:val="false"/>
          <w:color w:val="auto"/>
          <w:sz w:val="24"/>
          <w:szCs w:val="24"/>
          <w:lang w:eastAsia="en-US"/>
        </w:rPr>
        <w:tab/>
      </w:r>
      <w:r>
        <w:rPr>
          <w:rFonts w:ascii="Times New Roman" w:cs="Times New Roman" w:eastAsia="宋体" w:hAnsi="Times New Roman"/>
          <w:b w:val="false"/>
          <w:bCs w:val="false"/>
          <w:color w:val="auto"/>
          <w:sz w:val="24"/>
          <w:szCs w:val="24"/>
          <w:lang w:eastAsia="en-US"/>
        </w:rPr>
        <w:tab/>
      </w:r>
      <w:r>
        <w:rPr>
          <w:rFonts w:ascii="Times New Roman" w:cs="Times New Roman" w:eastAsia="宋体" w:hAnsi="Times New Roman"/>
          <w:b w:val="false"/>
          <w:bCs w:val="false"/>
          <w:color w:val="auto"/>
          <w:sz w:val="24"/>
          <w:szCs w:val="24"/>
          <w:lang w:eastAsia="en-US"/>
        </w:rPr>
        <w:tab/>
      </w:r>
      <w:r>
        <w:rPr>
          <w:rFonts w:ascii="Times New Roman" w:cs="Times New Roman" w:eastAsia="宋体" w:hAnsi="Times New Roman"/>
          <w:b w:val="false"/>
          <w:bCs w:val="false"/>
          <w:color w:val="auto"/>
          <w:sz w:val="24"/>
          <w:szCs w:val="24"/>
          <w:lang w:eastAsia="en-US"/>
        </w:rPr>
        <w:tab/>
      </w:r>
      <w:r>
        <w:rPr>
          <w:rFonts w:ascii="Times New Roman" w:cs="Times New Roman" w:eastAsia="宋体" w:hAnsi="Times New Roman"/>
          <w:b w:val="false"/>
          <w:bCs w:val="false"/>
          <w:color w:val="auto"/>
          <w:sz w:val="24"/>
          <w:szCs w:val="24"/>
          <w:lang w:eastAsia="en-US"/>
        </w:rPr>
        <w:tab/>
      </w:r>
      <w:r>
        <w:rPr>
          <w:rFonts w:ascii="Times New Roman" w:cs="Times New Roman" w:eastAsia="宋体" w:hAnsi="Times New Roman"/>
          <w:b w:val="false"/>
          <w:bCs w:val="false"/>
          <w:color w:val="auto"/>
          <w:sz w:val="24"/>
          <w:szCs w:val="24"/>
          <w:lang w:eastAsia="en-US"/>
        </w:rPr>
        <w:t xml:space="preserve">    </w:t>
      </w:r>
      <w:r>
        <w:rPr>
          <w:rFonts w:ascii="Times New Roman" w:cs="Times New Roman" w:eastAsia="宋体" w:hAnsi="Times New Roman"/>
          <w:b w:val="false"/>
          <w:bCs w:val="false"/>
          <w:color w:val="auto"/>
          <w:sz w:val="24"/>
          <w:szCs w:val="24"/>
          <w:lang w:eastAsia="en-US"/>
        </w:rPr>
        <w:t>i</w:t>
      </w:r>
    </w:p>
    <w:p>
      <w:pPr>
        <w:pStyle w:val="style19"/>
        <w:tabs>
          <w:tab w:val="right" w:leader="none" w:pos="9017"/>
        </w:tabs>
        <w:rPr>
          <w:rFonts w:ascii="Calibri" w:hAnsi="Calibri"/>
          <w:noProof/>
          <w:sz w:val="22"/>
        </w:rPr>
      </w:pPr>
      <w:r>
        <w:rPr>
          <w:rFonts w:cs="Times New Roman"/>
          <w:szCs w:val="24"/>
        </w:rPr>
        <w:fldChar w:fldCharType="begin"/>
      </w:r>
      <w:r>
        <w:rPr>
          <w:rFonts w:cs="Times New Roman"/>
          <w:szCs w:val="24"/>
        </w:rPr>
        <w:instrText xml:space="preserve"> TOC \o "1-3" \h \z \u </w:instrText>
      </w:r>
      <w:r>
        <w:rPr>
          <w:rFonts w:cs="Times New Roman"/>
          <w:szCs w:val="24"/>
        </w:rPr>
        <w:fldChar w:fldCharType="separate"/>
      </w:r>
      <w:r>
        <w:rPr/>
        <w:fldChar w:fldCharType="begin"/>
      </w:r>
      <w:r>
        <w:instrText xml:space="preserve"> HYPERLINK \l "_Toc213929851" </w:instrText>
      </w:r>
      <w:r>
        <w:rPr/>
        <w:fldChar w:fldCharType="separate"/>
      </w:r>
      <w:r>
        <w:rPr>
          <w:rStyle w:val="style85"/>
          <w:noProof/>
        </w:rPr>
        <w:t>DEDICATION</w:t>
      </w:r>
      <w:r>
        <w:rPr>
          <w:noProof/>
          <w:webHidden/>
        </w:rPr>
        <w:tab/>
      </w:r>
      <w:r>
        <w:rPr>
          <w:noProof/>
          <w:webHidden/>
        </w:rPr>
        <w:fldChar w:fldCharType="begin"/>
      </w:r>
      <w:r>
        <w:rPr>
          <w:noProof/>
          <w:webHidden/>
        </w:rPr>
        <w:instrText xml:space="preserve"> PAGEREF _Toc213929851 \h </w:instrText>
      </w:r>
      <w:r>
        <w:rPr>
          <w:noProof/>
          <w:webHidden/>
        </w:rPr>
        <w:fldChar w:fldCharType="separate"/>
      </w:r>
      <w:r>
        <w:rPr>
          <w:noProof/>
          <w:webHidden/>
        </w:rPr>
        <w:t>ii</w:t>
      </w:r>
      <w:r>
        <w:rPr>
          <w:noProof/>
          <w:webHidden/>
        </w:rPr>
        <w:fldChar w:fldCharType="end"/>
      </w:r>
      <w:r>
        <w:rPr/>
        <w:fldChar w:fldCharType="end"/>
      </w:r>
    </w:p>
    <w:p>
      <w:pPr>
        <w:pStyle w:val="style19"/>
        <w:tabs>
          <w:tab w:val="right" w:leader="none" w:pos="9017"/>
        </w:tabs>
        <w:rPr>
          <w:rFonts w:ascii="Calibri" w:hAnsi="Calibri"/>
          <w:noProof/>
          <w:sz w:val="22"/>
        </w:rPr>
      </w:pPr>
      <w:r>
        <w:rPr/>
        <w:fldChar w:fldCharType="begin"/>
      </w:r>
      <w:r>
        <w:instrText xml:space="preserve"> HYPERLINK \l "_Toc213929852" </w:instrText>
      </w:r>
      <w:r>
        <w:rPr/>
        <w:fldChar w:fldCharType="separate"/>
      </w:r>
      <w:r>
        <w:rPr>
          <w:rStyle w:val="style85"/>
          <w:noProof/>
        </w:rPr>
        <w:t>ACKNOWLEDGEMENTS</w:t>
      </w:r>
      <w:r>
        <w:rPr>
          <w:noProof/>
          <w:webHidden/>
        </w:rPr>
        <w:tab/>
      </w:r>
      <w:r>
        <w:rPr>
          <w:noProof/>
          <w:webHidden/>
        </w:rPr>
        <w:fldChar w:fldCharType="begin"/>
      </w:r>
      <w:r>
        <w:rPr>
          <w:noProof/>
          <w:webHidden/>
        </w:rPr>
        <w:instrText xml:space="preserve"> PAGEREF _Toc213929852 \h </w:instrText>
      </w:r>
      <w:r>
        <w:rPr>
          <w:noProof/>
          <w:webHidden/>
        </w:rPr>
        <w:fldChar w:fldCharType="separate"/>
      </w:r>
      <w:r>
        <w:rPr>
          <w:noProof/>
          <w:webHidden/>
        </w:rPr>
        <w:t>iii</w:t>
      </w:r>
      <w:r>
        <w:rPr>
          <w:noProof/>
          <w:webHidden/>
        </w:rPr>
        <w:fldChar w:fldCharType="end"/>
      </w:r>
      <w:r>
        <w:rPr/>
        <w:fldChar w:fldCharType="end"/>
      </w:r>
    </w:p>
    <w:p>
      <w:pPr>
        <w:pStyle w:val="style19"/>
        <w:tabs>
          <w:tab w:val="right" w:leader="none" w:pos="9017"/>
        </w:tabs>
        <w:rPr>
          <w:rFonts w:ascii="Calibri" w:hAnsi="Calibri"/>
          <w:noProof/>
          <w:sz w:val="22"/>
        </w:rPr>
      </w:pPr>
      <w:r>
        <w:rPr/>
        <w:fldChar w:fldCharType="begin"/>
      </w:r>
      <w:r>
        <w:instrText xml:space="preserve"> HYPERLINK \l "_Toc213929853" </w:instrText>
      </w:r>
      <w:r>
        <w:rPr/>
        <w:fldChar w:fldCharType="separate"/>
      </w:r>
      <w:r>
        <w:rPr>
          <w:rStyle w:val="style85"/>
          <w:noProof/>
        </w:rPr>
        <w:t>APPROVAL PAGE</w:t>
      </w:r>
      <w:r>
        <w:rPr>
          <w:noProof/>
          <w:webHidden/>
        </w:rPr>
        <w:tab/>
      </w:r>
      <w:r>
        <w:rPr>
          <w:noProof/>
          <w:webHidden/>
        </w:rPr>
        <w:fldChar w:fldCharType="begin"/>
      </w:r>
      <w:r>
        <w:rPr>
          <w:noProof/>
          <w:webHidden/>
        </w:rPr>
        <w:instrText xml:space="preserve"> PAGEREF _Toc213929853 \h </w:instrText>
      </w:r>
      <w:r>
        <w:rPr>
          <w:noProof/>
          <w:webHidden/>
        </w:rPr>
        <w:fldChar w:fldCharType="separate"/>
      </w:r>
      <w:r>
        <w:rPr>
          <w:noProof/>
          <w:webHidden/>
        </w:rPr>
        <w:t>iv</w:t>
      </w:r>
      <w:r>
        <w:rPr>
          <w:noProof/>
          <w:webHidden/>
        </w:rPr>
        <w:fldChar w:fldCharType="end"/>
      </w:r>
      <w:r>
        <w:rPr/>
        <w:fldChar w:fldCharType="end"/>
      </w:r>
    </w:p>
    <w:p>
      <w:pPr>
        <w:pStyle w:val="style19"/>
        <w:tabs>
          <w:tab w:val="right" w:leader="none" w:pos="9017"/>
        </w:tabs>
        <w:rPr>
          <w:rFonts w:ascii="Calibri" w:hAnsi="Calibri"/>
          <w:noProof/>
          <w:sz w:val="22"/>
        </w:rPr>
      </w:pPr>
      <w:r>
        <w:rPr/>
        <w:fldChar w:fldCharType="begin"/>
      </w:r>
      <w:r>
        <w:instrText xml:space="preserve"> HYPERLINK \l "_Toc213929854" </w:instrText>
      </w:r>
      <w:r>
        <w:rPr/>
        <w:fldChar w:fldCharType="separate"/>
      </w:r>
      <w:r>
        <w:rPr>
          <w:rStyle w:val="style85"/>
          <w:noProof/>
        </w:rPr>
        <w:t>DECLARATION</w:t>
      </w:r>
      <w:r>
        <w:rPr>
          <w:noProof/>
          <w:webHidden/>
        </w:rPr>
        <w:tab/>
      </w:r>
      <w:r>
        <w:rPr>
          <w:noProof/>
          <w:webHidden/>
        </w:rPr>
        <w:fldChar w:fldCharType="begin"/>
      </w:r>
      <w:r>
        <w:rPr>
          <w:noProof/>
          <w:webHidden/>
        </w:rPr>
        <w:instrText xml:space="preserve"> PAGEREF _Toc213929854 \h </w:instrText>
      </w:r>
      <w:r>
        <w:rPr>
          <w:noProof/>
          <w:webHidden/>
        </w:rPr>
        <w:fldChar w:fldCharType="separate"/>
      </w:r>
      <w:r>
        <w:rPr>
          <w:noProof/>
          <w:webHidden/>
        </w:rPr>
        <w:t>v</w:t>
      </w:r>
      <w:r>
        <w:rPr>
          <w:noProof/>
          <w:webHidden/>
        </w:rPr>
        <w:fldChar w:fldCharType="end"/>
      </w:r>
      <w:r>
        <w:rPr/>
        <w:fldChar w:fldCharType="end"/>
      </w:r>
    </w:p>
    <w:p>
      <w:pPr>
        <w:pStyle w:val="style19"/>
        <w:tabs>
          <w:tab w:val="right" w:leader="none" w:pos="9017"/>
        </w:tabs>
        <w:rPr>
          <w:rFonts w:ascii="Calibri" w:hAnsi="Calibri"/>
          <w:noProof/>
          <w:sz w:val="22"/>
        </w:rPr>
      </w:pPr>
      <w:r>
        <w:rPr/>
        <w:fldChar w:fldCharType="begin"/>
      </w:r>
      <w:r>
        <w:instrText xml:space="preserve"> HYPERLINK \l "_Toc213929855" </w:instrText>
      </w:r>
      <w:r>
        <w:rPr/>
        <w:fldChar w:fldCharType="separate"/>
      </w:r>
      <w:r>
        <w:rPr>
          <w:rStyle w:val="style85"/>
          <w:noProof/>
        </w:rPr>
        <w:t>TABLE OF CONTENTS</w:t>
      </w:r>
      <w:r>
        <w:rPr>
          <w:noProof/>
          <w:webHidden/>
        </w:rPr>
        <w:tab/>
      </w:r>
      <w:r>
        <w:rPr>
          <w:noProof/>
          <w:webHidden/>
        </w:rPr>
        <w:fldChar w:fldCharType="begin"/>
      </w:r>
      <w:r>
        <w:rPr>
          <w:noProof/>
          <w:webHidden/>
        </w:rPr>
        <w:instrText xml:space="preserve"> PAGEREF _Toc213929855 \h </w:instrText>
      </w:r>
      <w:r>
        <w:rPr>
          <w:noProof/>
          <w:webHidden/>
        </w:rPr>
        <w:fldChar w:fldCharType="separate"/>
      </w:r>
      <w:r>
        <w:rPr>
          <w:noProof/>
          <w:webHidden/>
        </w:rPr>
        <w:t>vi</w:t>
      </w:r>
      <w:r>
        <w:rPr>
          <w:noProof/>
          <w:webHidden/>
        </w:rPr>
        <w:fldChar w:fldCharType="end"/>
      </w:r>
      <w:r>
        <w:rPr/>
        <w:fldChar w:fldCharType="end"/>
      </w:r>
    </w:p>
    <w:p>
      <w:pPr>
        <w:pStyle w:val="style20"/>
        <w:tabs>
          <w:tab w:val="right" w:leader="none" w:pos="9017"/>
        </w:tabs>
        <w:rPr>
          <w:noProof/>
        </w:rPr>
      </w:pPr>
      <w:r>
        <w:rPr/>
        <w:fldChar w:fldCharType="begin"/>
      </w:r>
      <w:r>
        <w:instrText xml:space="preserve"> HYPERLINK \l "_Toc213929856" </w:instrText>
      </w:r>
      <w:r>
        <w:rPr/>
        <w:fldChar w:fldCharType="separate"/>
      </w:r>
      <w:r>
        <w:rPr>
          <w:rStyle w:val="style85"/>
          <w:rFonts w:ascii="Times New Roman" w:cs="Times New Roman" w:eastAsia="Times New Roman" w:hAnsi="Times New Roman"/>
          <w:b/>
          <w:bCs/>
          <w:noProof/>
        </w:rPr>
        <w:t>LIST OF TABLES</w:t>
      </w:r>
      <w:r>
        <w:rPr>
          <w:noProof/>
          <w:webHidden/>
        </w:rPr>
        <w:tab/>
      </w:r>
      <w:r>
        <w:rPr>
          <w:noProof/>
          <w:webHidden/>
        </w:rPr>
        <w:fldChar w:fldCharType="begin"/>
      </w:r>
      <w:r>
        <w:rPr>
          <w:noProof/>
          <w:webHidden/>
        </w:rPr>
        <w:instrText xml:space="preserve"> PAGEREF _Toc213929856 \h </w:instrText>
      </w:r>
      <w:r>
        <w:rPr>
          <w:noProof/>
          <w:webHidden/>
        </w:rPr>
        <w:fldChar w:fldCharType="separate"/>
      </w:r>
      <w:r>
        <w:rPr>
          <w:noProof/>
          <w:webHidden/>
        </w:rPr>
        <w:t>ix</w:t>
      </w:r>
      <w:r>
        <w:rPr>
          <w:noProof/>
          <w:webHidden/>
        </w:rPr>
        <w:fldChar w:fldCharType="end"/>
      </w:r>
      <w:r>
        <w:rPr/>
        <w:fldChar w:fldCharType="end"/>
      </w:r>
    </w:p>
    <w:p>
      <w:pPr>
        <w:pStyle w:val="style20"/>
        <w:tabs>
          <w:tab w:val="right" w:leader="none" w:pos="9017"/>
        </w:tabs>
        <w:rPr>
          <w:noProof/>
        </w:rPr>
      </w:pPr>
      <w:r>
        <w:rPr/>
        <w:fldChar w:fldCharType="begin"/>
      </w:r>
      <w:r>
        <w:instrText xml:space="preserve"> HYPERLINK \l "_Toc213929857" </w:instrText>
      </w:r>
      <w:r>
        <w:rPr/>
        <w:fldChar w:fldCharType="separate"/>
      </w:r>
      <w:r>
        <w:rPr>
          <w:rStyle w:val="style85"/>
          <w:rFonts w:ascii="Times New Roman" w:cs="Times New Roman" w:hAnsi="Times New Roman"/>
          <w:noProof/>
        </w:rPr>
        <w:t>LIST OF FIGURES</w:t>
      </w:r>
      <w:r>
        <w:rPr>
          <w:noProof/>
          <w:webHidden/>
        </w:rPr>
        <w:tab/>
      </w:r>
      <w:r>
        <w:rPr>
          <w:noProof/>
          <w:webHidden/>
        </w:rPr>
        <w:fldChar w:fldCharType="begin"/>
      </w:r>
      <w:r>
        <w:rPr>
          <w:noProof/>
          <w:webHidden/>
        </w:rPr>
        <w:instrText xml:space="preserve"> PAGEREF _Toc213929857 \h </w:instrText>
      </w:r>
      <w:r>
        <w:rPr>
          <w:noProof/>
          <w:webHidden/>
        </w:rPr>
        <w:fldChar w:fldCharType="separate"/>
      </w:r>
      <w:r>
        <w:rPr>
          <w:noProof/>
          <w:webHidden/>
        </w:rPr>
        <w:t>x</w:t>
      </w:r>
      <w:r>
        <w:rPr>
          <w:noProof/>
          <w:webHidden/>
        </w:rPr>
        <w:fldChar w:fldCharType="end"/>
      </w:r>
      <w:r>
        <w:rPr/>
        <w:fldChar w:fldCharType="end"/>
      </w:r>
    </w:p>
    <w:p>
      <w:pPr>
        <w:pStyle w:val="style20"/>
        <w:tabs>
          <w:tab w:val="right" w:leader="none" w:pos="9017"/>
        </w:tabs>
        <w:rPr>
          <w:noProof/>
        </w:rPr>
      </w:pPr>
      <w:r>
        <w:rPr/>
        <w:fldChar w:fldCharType="begin"/>
      </w:r>
      <w:r>
        <w:instrText xml:space="preserve"> HYPERLINK \l "_Toc213929858" </w:instrText>
      </w:r>
      <w:r>
        <w:rPr/>
        <w:fldChar w:fldCharType="separate"/>
      </w:r>
      <w:r>
        <w:rPr>
          <w:rStyle w:val="style85"/>
          <w:rFonts w:ascii="Times New Roman" w:cs="Times New Roman" w:eastAsia="Times New Roman" w:hAnsi="Times New Roman"/>
          <w:b/>
          <w:bCs/>
          <w:noProof/>
        </w:rPr>
        <w:t>LIST OF ABBREVIATIONS / GLOSSARY OF TERMS</w:t>
      </w:r>
      <w:r>
        <w:rPr>
          <w:noProof/>
          <w:webHidden/>
        </w:rPr>
        <w:tab/>
      </w:r>
      <w:r>
        <w:rPr>
          <w:noProof/>
          <w:webHidden/>
        </w:rPr>
        <w:fldChar w:fldCharType="begin"/>
      </w:r>
      <w:r>
        <w:rPr>
          <w:noProof/>
          <w:webHidden/>
        </w:rPr>
        <w:instrText xml:space="preserve"> PAGEREF _Toc213929858 \h </w:instrText>
      </w:r>
      <w:r>
        <w:rPr>
          <w:noProof/>
          <w:webHidden/>
        </w:rPr>
        <w:fldChar w:fldCharType="separate"/>
      </w:r>
      <w:r>
        <w:rPr>
          <w:noProof/>
          <w:webHidden/>
        </w:rPr>
        <w:t>xi</w:t>
      </w:r>
      <w:r>
        <w:rPr>
          <w:noProof/>
          <w:webHidden/>
        </w:rPr>
        <w:fldChar w:fldCharType="end"/>
      </w:r>
      <w:r>
        <w:rPr/>
        <w:fldChar w:fldCharType="end"/>
      </w:r>
    </w:p>
    <w:p>
      <w:pPr>
        <w:pStyle w:val="style20"/>
        <w:tabs>
          <w:tab w:val="right" w:leader="none" w:pos="9017"/>
        </w:tabs>
        <w:rPr>
          <w:noProof/>
        </w:rPr>
      </w:pPr>
      <w:r>
        <w:rPr/>
        <w:fldChar w:fldCharType="begin"/>
      </w:r>
      <w:r>
        <w:instrText xml:space="preserve"> HYPERLINK \l "_Toc213929859" </w:instrText>
      </w:r>
      <w:r>
        <w:rPr/>
        <w:fldChar w:fldCharType="separate"/>
      </w:r>
      <w:r>
        <w:rPr>
          <w:rStyle w:val="style85"/>
          <w:rFonts w:ascii="Times New Roman" w:cs="Times New Roman" w:hAnsi="Times New Roman"/>
          <w:noProof/>
        </w:rPr>
        <w:t>ABSTRACT</w:t>
      </w:r>
      <w:r>
        <w:rPr>
          <w:noProof/>
          <w:webHidden/>
        </w:rPr>
        <w:tab/>
      </w:r>
      <w:r>
        <w:rPr>
          <w:noProof/>
          <w:webHidden/>
        </w:rPr>
        <w:fldChar w:fldCharType="begin"/>
      </w:r>
      <w:r>
        <w:rPr>
          <w:noProof/>
          <w:webHidden/>
        </w:rPr>
        <w:instrText xml:space="preserve"> PAGEREF _Toc213929859 \h </w:instrText>
      </w:r>
      <w:r>
        <w:rPr>
          <w:noProof/>
          <w:webHidden/>
        </w:rPr>
        <w:fldChar w:fldCharType="separate"/>
      </w:r>
      <w:r>
        <w:rPr>
          <w:noProof/>
          <w:webHidden/>
        </w:rPr>
        <w:t>xii</w:t>
      </w:r>
      <w:r>
        <w:rPr>
          <w:noProof/>
          <w:webHidden/>
        </w:rPr>
        <w:fldChar w:fldCharType="end"/>
      </w:r>
      <w:r>
        <w:rPr/>
        <w:fldChar w:fldCharType="end"/>
      </w:r>
    </w:p>
    <w:p>
      <w:pPr>
        <w:pStyle w:val="style19"/>
        <w:tabs>
          <w:tab w:val="right" w:leader="none" w:pos="9017"/>
        </w:tabs>
        <w:rPr>
          <w:rFonts w:ascii="Calibri" w:hAnsi="Calibri"/>
          <w:noProof/>
          <w:sz w:val="22"/>
        </w:rPr>
      </w:pPr>
      <w:r>
        <w:rPr/>
        <w:fldChar w:fldCharType="begin"/>
      </w:r>
      <w:r>
        <w:instrText xml:space="preserve"> HYPERLINK \l "_Toc213929860" </w:instrText>
      </w:r>
      <w:r>
        <w:rPr/>
        <w:fldChar w:fldCharType="separate"/>
      </w:r>
      <w:r>
        <w:rPr>
          <w:rStyle w:val="style85"/>
          <w:rFonts w:eastAsia="Times New Roman"/>
          <w:noProof/>
        </w:rPr>
        <w:t>CHAPTER ONE</w:t>
      </w:r>
      <w:r>
        <w:rPr>
          <w:noProof/>
          <w:webHidden/>
        </w:rPr>
        <w:tab/>
      </w:r>
      <w:r>
        <w:rPr>
          <w:noProof/>
          <w:webHidden/>
        </w:rPr>
        <w:fldChar w:fldCharType="begin"/>
      </w:r>
      <w:r>
        <w:rPr>
          <w:noProof/>
          <w:webHidden/>
        </w:rPr>
        <w:instrText xml:space="preserve"> PAGEREF _Toc213929860 \h </w:instrText>
      </w:r>
      <w:r>
        <w:rPr>
          <w:noProof/>
          <w:webHidden/>
        </w:rPr>
        <w:fldChar w:fldCharType="separate"/>
      </w:r>
      <w:r>
        <w:rPr>
          <w:noProof/>
          <w:webHidden/>
        </w:rPr>
        <w:t>1</w:t>
      </w:r>
      <w:r>
        <w:rPr>
          <w:noProof/>
          <w:webHidden/>
        </w:rPr>
        <w:fldChar w:fldCharType="end"/>
      </w:r>
      <w:r>
        <w:rPr/>
        <w:fldChar w:fldCharType="end"/>
      </w:r>
    </w:p>
    <w:p>
      <w:pPr>
        <w:pStyle w:val="style19"/>
        <w:tabs>
          <w:tab w:val="right" w:leader="none" w:pos="9017"/>
        </w:tabs>
        <w:rPr>
          <w:rFonts w:ascii="Calibri" w:hAnsi="Calibri"/>
          <w:noProof/>
          <w:sz w:val="22"/>
        </w:rPr>
      </w:pPr>
      <w:r>
        <w:rPr/>
        <w:fldChar w:fldCharType="begin"/>
      </w:r>
      <w:r>
        <w:instrText xml:space="preserve"> HYPERLINK \l "_Toc213929861" </w:instrText>
      </w:r>
      <w:r>
        <w:rPr/>
        <w:fldChar w:fldCharType="separate"/>
      </w:r>
      <w:r>
        <w:rPr>
          <w:rStyle w:val="style85"/>
          <w:rFonts w:eastAsia="Times New Roman"/>
          <w:noProof/>
        </w:rPr>
        <w:t>INTRODUCTION</w:t>
      </w:r>
      <w:r>
        <w:rPr>
          <w:noProof/>
          <w:webHidden/>
        </w:rPr>
        <w:tab/>
      </w:r>
      <w:r>
        <w:rPr>
          <w:noProof/>
          <w:webHidden/>
        </w:rPr>
        <w:fldChar w:fldCharType="begin"/>
      </w:r>
      <w:r>
        <w:rPr>
          <w:noProof/>
          <w:webHidden/>
        </w:rPr>
        <w:instrText xml:space="preserve"> PAGEREF _Toc213929861 \h </w:instrText>
      </w:r>
      <w:r>
        <w:rPr>
          <w:noProof/>
          <w:webHidden/>
        </w:rPr>
        <w:fldChar w:fldCharType="separate"/>
      </w:r>
      <w:r>
        <w:rPr>
          <w:noProof/>
          <w:webHidden/>
        </w:rPr>
        <w:t>1</w:t>
      </w:r>
      <w:r>
        <w:rPr>
          <w:noProof/>
          <w:webHidden/>
        </w:rPr>
        <w:fldChar w:fldCharType="end"/>
      </w:r>
      <w:r>
        <w:rPr/>
        <w:fldChar w:fldCharType="end"/>
      </w:r>
    </w:p>
    <w:p>
      <w:pPr>
        <w:pStyle w:val="style19"/>
        <w:tabs>
          <w:tab w:val="left" w:leader="none" w:pos="660"/>
          <w:tab w:val="right" w:leader="none" w:pos="9017"/>
        </w:tabs>
        <w:rPr>
          <w:rFonts w:ascii="Calibri" w:hAnsi="Calibri"/>
          <w:noProof/>
          <w:sz w:val="22"/>
        </w:rPr>
      </w:pPr>
      <w:r>
        <w:rPr/>
        <w:fldChar w:fldCharType="begin"/>
      </w:r>
      <w:r>
        <w:instrText xml:space="preserve"> HYPERLINK \l "_Toc213929862" </w:instrText>
      </w:r>
      <w:r>
        <w:rPr/>
        <w:fldChar w:fldCharType="separate"/>
      </w:r>
      <w:r>
        <w:rPr>
          <w:rStyle w:val="style85"/>
          <w:rFonts w:eastAsia="Times New Roman"/>
          <w:noProof/>
        </w:rPr>
        <w:t>1.1</w:t>
      </w:r>
      <w:r>
        <w:rPr>
          <w:rFonts w:ascii="Calibri" w:hAnsi="Calibri"/>
          <w:noProof/>
          <w:sz w:val="22"/>
        </w:rPr>
        <w:tab/>
      </w:r>
      <w:r>
        <w:rPr>
          <w:rStyle w:val="style85"/>
          <w:rFonts w:eastAsia="Times New Roman"/>
          <w:noProof/>
        </w:rPr>
        <w:t>Background of the Research</w:t>
      </w:r>
      <w:r>
        <w:rPr>
          <w:noProof/>
          <w:webHidden/>
        </w:rPr>
        <w:tab/>
      </w:r>
      <w:r>
        <w:rPr>
          <w:noProof/>
          <w:webHidden/>
        </w:rPr>
        <w:fldChar w:fldCharType="begin"/>
      </w:r>
      <w:r>
        <w:rPr>
          <w:noProof/>
          <w:webHidden/>
        </w:rPr>
        <w:instrText xml:space="preserve"> PAGEREF _Toc213929862 \h </w:instrText>
      </w:r>
      <w:r>
        <w:rPr>
          <w:noProof/>
          <w:webHidden/>
        </w:rPr>
        <w:fldChar w:fldCharType="separate"/>
      </w:r>
      <w:r>
        <w:rPr>
          <w:noProof/>
          <w:webHidden/>
        </w:rPr>
        <w:t>1</w:t>
      </w:r>
      <w:r>
        <w:rPr>
          <w:noProof/>
          <w:webHidden/>
        </w:rPr>
        <w:fldChar w:fldCharType="end"/>
      </w:r>
      <w:r>
        <w:rPr/>
        <w:fldChar w:fldCharType="end"/>
      </w:r>
    </w:p>
    <w:p>
      <w:pPr>
        <w:pStyle w:val="style19"/>
        <w:tabs>
          <w:tab w:val="left" w:leader="none" w:pos="660"/>
          <w:tab w:val="right" w:leader="none" w:pos="9017"/>
        </w:tabs>
        <w:rPr>
          <w:rFonts w:ascii="Calibri" w:hAnsi="Calibri"/>
          <w:noProof/>
          <w:sz w:val="22"/>
        </w:rPr>
      </w:pPr>
      <w:r>
        <w:rPr/>
        <w:fldChar w:fldCharType="begin"/>
      </w:r>
      <w:r>
        <w:instrText xml:space="preserve"> HYPERLINK \l "_Toc213929863" </w:instrText>
      </w:r>
      <w:r>
        <w:rPr/>
        <w:fldChar w:fldCharType="separate"/>
      </w:r>
      <w:r>
        <w:rPr>
          <w:rStyle w:val="style85"/>
          <w:rFonts w:eastAsia="Times New Roman"/>
          <w:noProof/>
        </w:rPr>
        <w:t>1.2</w:t>
      </w:r>
      <w:r>
        <w:rPr>
          <w:rFonts w:ascii="Calibri" w:hAnsi="Calibri"/>
          <w:noProof/>
          <w:sz w:val="22"/>
        </w:rPr>
        <w:tab/>
      </w:r>
      <w:r>
        <w:rPr>
          <w:rStyle w:val="style85"/>
          <w:rFonts w:eastAsia="Times New Roman"/>
          <w:noProof/>
        </w:rPr>
        <w:t>Statement of the Problem</w:t>
      </w:r>
      <w:r>
        <w:rPr>
          <w:noProof/>
          <w:webHidden/>
        </w:rPr>
        <w:tab/>
      </w:r>
      <w:r>
        <w:rPr>
          <w:noProof/>
          <w:webHidden/>
        </w:rPr>
        <w:fldChar w:fldCharType="begin"/>
      </w:r>
      <w:r>
        <w:rPr>
          <w:noProof/>
          <w:webHidden/>
        </w:rPr>
        <w:instrText xml:space="preserve"> PAGEREF _Toc213929863 \h </w:instrText>
      </w:r>
      <w:r>
        <w:rPr>
          <w:noProof/>
          <w:webHidden/>
        </w:rPr>
        <w:fldChar w:fldCharType="separate"/>
      </w:r>
      <w:r>
        <w:rPr>
          <w:noProof/>
          <w:webHidden/>
        </w:rPr>
        <w:t>3</w:t>
      </w:r>
      <w:r>
        <w:rPr>
          <w:noProof/>
          <w:webHidden/>
        </w:rPr>
        <w:fldChar w:fldCharType="end"/>
      </w:r>
      <w:r>
        <w:rPr/>
        <w:fldChar w:fldCharType="end"/>
      </w:r>
    </w:p>
    <w:p>
      <w:pPr>
        <w:pStyle w:val="style19"/>
        <w:tabs>
          <w:tab w:val="left" w:leader="none" w:pos="660"/>
          <w:tab w:val="right" w:leader="none" w:pos="9017"/>
        </w:tabs>
        <w:rPr>
          <w:rFonts w:ascii="Calibri" w:hAnsi="Calibri"/>
          <w:noProof/>
          <w:sz w:val="22"/>
        </w:rPr>
      </w:pPr>
      <w:r>
        <w:rPr/>
        <w:fldChar w:fldCharType="begin"/>
      </w:r>
      <w:r>
        <w:instrText xml:space="preserve"> HYPERLINK \l "_Toc213929864" </w:instrText>
      </w:r>
      <w:r>
        <w:rPr/>
        <w:fldChar w:fldCharType="separate"/>
      </w:r>
      <w:r>
        <w:rPr>
          <w:rStyle w:val="style85"/>
          <w:rFonts w:eastAsia="Times New Roman"/>
          <w:noProof/>
        </w:rPr>
        <w:t>1.3</w:t>
      </w:r>
      <w:r>
        <w:rPr>
          <w:rFonts w:ascii="Calibri" w:hAnsi="Calibri"/>
          <w:noProof/>
          <w:sz w:val="22"/>
        </w:rPr>
        <w:tab/>
      </w:r>
      <w:r>
        <w:rPr>
          <w:rStyle w:val="style85"/>
          <w:rFonts w:eastAsia="Times New Roman"/>
          <w:noProof/>
        </w:rPr>
        <w:t>Justification of the Research</w:t>
      </w:r>
      <w:r>
        <w:rPr>
          <w:noProof/>
          <w:webHidden/>
        </w:rPr>
        <w:tab/>
      </w:r>
      <w:r>
        <w:rPr>
          <w:noProof/>
          <w:webHidden/>
        </w:rPr>
        <w:fldChar w:fldCharType="begin"/>
      </w:r>
      <w:r>
        <w:rPr>
          <w:noProof/>
          <w:webHidden/>
        </w:rPr>
        <w:instrText xml:space="preserve"> PAGEREF _Toc213929864 \h </w:instrText>
      </w:r>
      <w:r>
        <w:rPr>
          <w:noProof/>
          <w:webHidden/>
        </w:rPr>
        <w:fldChar w:fldCharType="separate"/>
      </w:r>
      <w:r>
        <w:rPr>
          <w:noProof/>
          <w:webHidden/>
        </w:rPr>
        <w:t>4</w:t>
      </w:r>
      <w:r>
        <w:rPr>
          <w:noProof/>
          <w:webHidden/>
        </w:rPr>
        <w:fldChar w:fldCharType="end"/>
      </w:r>
      <w:r>
        <w:rPr/>
        <w:fldChar w:fldCharType="end"/>
      </w:r>
    </w:p>
    <w:p>
      <w:pPr>
        <w:pStyle w:val="style19"/>
        <w:tabs>
          <w:tab w:val="left" w:leader="none" w:pos="660"/>
          <w:tab w:val="right" w:leader="none" w:pos="9017"/>
        </w:tabs>
        <w:rPr>
          <w:rFonts w:ascii="Calibri" w:hAnsi="Calibri"/>
          <w:noProof/>
          <w:sz w:val="22"/>
        </w:rPr>
      </w:pPr>
      <w:r>
        <w:rPr/>
        <w:fldChar w:fldCharType="begin"/>
      </w:r>
      <w:r>
        <w:instrText xml:space="preserve"> HYPERLINK \l "_Toc213929865" </w:instrText>
      </w:r>
      <w:r>
        <w:rPr/>
        <w:fldChar w:fldCharType="separate"/>
      </w:r>
      <w:r>
        <w:rPr>
          <w:rStyle w:val="style85"/>
          <w:rFonts w:eastAsia="Times New Roman"/>
          <w:noProof/>
        </w:rPr>
        <w:t>1.4</w:t>
      </w:r>
      <w:r>
        <w:rPr>
          <w:rFonts w:ascii="Calibri" w:hAnsi="Calibri"/>
          <w:noProof/>
          <w:sz w:val="22"/>
        </w:rPr>
        <w:tab/>
      </w:r>
      <w:r>
        <w:rPr>
          <w:rStyle w:val="style85"/>
          <w:rFonts w:eastAsia="Times New Roman"/>
          <w:noProof/>
        </w:rPr>
        <w:t>Aim and Objectives of the Research</w:t>
      </w:r>
      <w:r>
        <w:rPr>
          <w:noProof/>
          <w:webHidden/>
        </w:rPr>
        <w:tab/>
      </w:r>
      <w:r>
        <w:rPr>
          <w:noProof/>
          <w:webHidden/>
        </w:rPr>
        <w:fldChar w:fldCharType="begin"/>
      </w:r>
      <w:r>
        <w:rPr>
          <w:noProof/>
          <w:webHidden/>
        </w:rPr>
        <w:instrText xml:space="preserve"> PAGEREF _Toc213929865 \h </w:instrText>
      </w:r>
      <w:r>
        <w:rPr>
          <w:noProof/>
          <w:webHidden/>
        </w:rPr>
        <w:fldChar w:fldCharType="separate"/>
      </w:r>
      <w:r>
        <w:rPr>
          <w:noProof/>
          <w:webHidden/>
        </w:rPr>
        <w:t>5</w:t>
      </w:r>
      <w:r>
        <w:rPr>
          <w:noProof/>
          <w:webHidden/>
        </w:rPr>
        <w:fldChar w:fldCharType="end"/>
      </w:r>
      <w:r>
        <w:rPr/>
        <w:fldChar w:fldCharType="end"/>
      </w:r>
    </w:p>
    <w:p>
      <w:pPr>
        <w:pStyle w:val="style19"/>
        <w:tabs>
          <w:tab w:val="right" w:leader="none" w:pos="9017"/>
        </w:tabs>
        <w:rPr>
          <w:rFonts w:ascii="Calibri" w:hAnsi="Calibri"/>
          <w:noProof/>
          <w:sz w:val="22"/>
        </w:rPr>
      </w:pPr>
      <w:r>
        <w:rPr/>
        <w:fldChar w:fldCharType="begin"/>
      </w:r>
      <w:r>
        <w:instrText xml:space="preserve"> HYPERLINK \l "_Toc213929866" </w:instrText>
      </w:r>
      <w:r>
        <w:rPr/>
        <w:fldChar w:fldCharType="separate"/>
      </w:r>
      <w:r>
        <w:rPr>
          <w:rStyle w:val="style85"/>
          <w:rFonts w:eastAsia="Times New Roman"/>
          <w:noProof/>
        </w:rPr>
        <w:t>CHAPTER TWO</w:t>
      </w:r>
      <w:r>
        <w:rPr>
          <w:noProof/>
          <w:webHidden/>
        </w:rPr>
        <w:tab/>
      </w:r>
      <w:r>
        <w:rPr>
          <w:noProof/>
          <w:webHidden/>
        </w:rPr>
        <w:fldChar w:fldCharType="begin"/>
      </w:r>
      <w:r>
        <w:rPr>
          <w:noProof/>
          <w:webHidden/>
        </w:rPr>
        <w:instrText xml:space="preserve"> PAGEREF _Toc213929866 \h </w:instrText>
      </w:r>
      <w:r>
        <w:rPr>
          <w:noProof/>
          <w:webHidden/>
        </w:rPr>
        <w:fldChar w:fldCharType="separate"/>
      </w:r>
      <w:r>
        <w:rPr>
          <w:noProof/>
          <w:webHidden/>
        </w:rPr>
        <w:t>6</w:t>
      </w:r>
      <w:r>
        <w:rPr>
          <w:noProof/>
          <w:webHidden/>
        </w:rPr>
        <w:fldChar w:fldCharType="end"/>
      </w:r>
      <w:r>
        <w:rPr/>
        <w:fldChar w:fldCharType="end"/>
      </w:r>
    </w:p>
    <w:p>
      <w:pPr>
        <w:pStyle w:val="style19"/>
        <w:tabs>
          <w:tab w:val="left" w:leader="none" w:pos="660"/>
          <w:tab w:val="right" w:leader="none" w:pos="9017"/>
        </w:tabs>
        <w:rPr>
          <w:rFonts w:ascii="Calibri" w:hAnsi="Calibri"/>
          <w:noProof/>
          <w:sz w:val="22"/>
        </w:rPr>
      </w:pPr>
      <w:r>
        <w:rPr/>
        <w:fldChar w:fldCharType="begin"/>
      </w:r>
      <w:r>
        <w:instrText xml:space="preserve"> HYPERLINK \l "_Toc213929867" </w:instrText>
      </w:r>
      <w:r>
        <w:rPr/>
        <w:fldChar w:fldCharType="separate"/>
      </w:r>
      <w:r>
        <w:rPr>
          <w:rStyle w:val="style85"/>
          <w:rFonts w:eastAsia="Times New Roman"/>
          <w:noProof/>
        </w:rPr>
        <w:t>2.0</w:t>
      </w:r>
      <w:r>
        <w:rPr>
          <w:rFonts w:ascii="Calibri" w:hAnsi="Calibri"/>
          <w:noProof/>
          <w:sz w:val="22"/>
        </w:rPr>
        <w:tab/>
      </w:r>
      <w:r>
        <w:rPr>
          <w:rStyle w:val="style85"/>
          <w:rFonts w:eastAsia="Times New Roman"/>
          <w:noProof/>
        </w:rPr>
        <w:t>LITERATURE REVIEW</w:t>
      </w:r>
      <w:r>
        <w:rPr>
          <w:noProof/>
          <w:webHidden/>
        </w:rPr>
        <w:tab/>
      </w:r>
      <w:r>
        <w:rPr>
          <w:noProof/>
          <w:webHidden/>
        </w:rPr>
        <w:fldChar w:fldCharType="begin"/>
      </w:r>
      <w:r>
        <w:rPr>
          <w:noProof/>
          <w:webHidden/>
        </w:rPr>
        <w:instrText xml:space="preserve"> PAGEREF _Toc213929867 \h </w:instrText>
      </w:r>
      <w:r>
        <w:rPr>
          <w:noProof/>
          <w:webHidden/>
        </w:rPr>
        <w:fldChar w:fldCharType="separate"/>
      </w:r>
      <w:r>
        <w:rPr>
          <w:noProof/>
          <w:webHidden/>
        </w:rPr>
        <w:t>6</w:t>
      </w:r>
      <w:r>
        <w:rPr>
          <w:noProof/>
          <w:webHidden/>
        </w:rPr>
        <w:fldChar w:fldCharType="end"/>
      </w:r>
      <w:r>
        <w:rPr/>
        <w:fldChar w:fldCharType="end"/>
      </w:r>
    </w:p>
    <w:p>
      <w:pPr>
        <w:pStyle w:val="style19"/>
        <w:tabs>
          <w:tab w:val="left" w:leader="none" w:pos="660"/>
          <w:tab w:val="right" w:leader="none" w:pos="9017"/>
        </w:tabs>
        <w:rPr>
          <w:rFonts w:ascii="Calibri" w:hAnsi="Calibri"/>
          <w:noProof/>
          <w:sz w:val="22"/>
        </w:rPr>
      </w:pPr>
      <w:r>
        <w:rPr/>
        <w:fldChar w:fldCharType="begin"/>
      </w:r>
      <w:r>
        <w:instrText xml:space="preserve"> HYPERLINK \l "_Toc213929868" </w:instrText>
      </w:r>
      <w:r>
        <w:rPr/>
        <w:fldChar w:fldCharType="separate"/>
      </w:r>
      <w:r>
        <w:rPr>
          <w:rStyle w:val="style85"/>
          <w:rFonts w:eastAsia="Times New Roman"/>
          <w:noProof/>
        </w:rPr>
        <w:t>2.1</w:t>
      </w:r>
      <w:r>
        <w:rPr>
          <w:rFonts w:ascii="Calibri" w:hAnsi="Calibri"/>
          <w:noProof/>
          <w:sz w:val="22"/>
        </w:rPr>
        <w:tab/>
      </w:r>
      <w:r>
        <w:rPr>
          <w:rStyle w:val="style85"/>
          <w:rFonts w:eastAsia="Times New Roman"/>
          <w:noProof/>
        </w:rPr>
        <w:t>Energy Drinks: Composition and Consumption Trends</w:t>
      </w:r>
      <w:r>
        <w:rPr>
          <w:noProof/>
          <w:webHidden/>
        </w:rPr>
        <w:tab/>
      </w:r>
      <w:r>
        <w:rPr>
          <w:noProof/>
          <w:webHidden/>
        </w:rPr>
        <w:fldChar w:fldCharType="begin"/>
      </w:r>
      <w:r>
        <w:rPr>
          <w:noProof/>
          <w:webHidden/>
        </w:rPr>
        <w:instrText xml:space="preserve"> PAGEREF _Toc213929868 \h </w:instrText>
      </w:r>
      <w:r>
        <w:rPr>
          <w:noProof/>
          <w:webHidden/>
        </w:rPr>
        <w:fldChar w:fldCharType="separate"/>
      </w:r>
      <w:r>
        <w:rPr>
          <w:noProof/>
          <w:webHidden/>
        </w:rPr>
        <w:t>6</w:t>
      </w:r>
      <w:r>
        <w:rPr>
          <w:noProof/>
          <w:webHidden/>
        </w:rPr>
        <w:fldChar w:fldCharType="end"/>
      </w:r>
      <w:r>
        <w:rPr/>
        <w:fldChar w:fldCharType="end"/>
      </w:r>
    </w:p>
    <w:p>
      <w:pPr>
        <w:pStyle w:val="style19"/>
        <w:tabs>
          <w:tab w:val="left" w:leader="none" w:pos="660"/>
          <w:tab w:val="right" w:leader="none" w:pos="9017"/>
        </w:tabs>
        <w:rPr>
          <w:rFonts w:ascii="Calibri" w:hAnsi="Calibri"/>
          <w:noProof/>
          <w:sz w:val="22"/>
        </w:rPr>
      </w:pPr>
      <w:r>
        <w:rPr/>
        <w:fldChar w:fldCharType="begin"/>
      </w:r>
      <w:r>
        <w:instrText xml:space="preserve"> HYPERLINK \l "_Toc213929869" </w:instrText>
      </w:r>
      <w:r>
        <w:rPr/>
        <w:fldChar w:fldCharType="separate"/>
      </w:r>
      <w:r>
        <w:rPr>
          <w:rStyle w:val="style85"/>
          <w:rFonts w:eastAsia="Times New Roman"/>
          <w:noProof/>
        </w:rPr>
        <w:t>2.2</w:t>
      </w:r>
      <w:r>
        <w:rPr>
          <w:rFonts w:ascii="Calibri" w:hAnsi="Calibri"/>
          <w:noProof/>
          <w:sz w:val="22"/>
        </w:rPr>
        <w:tab/>
      </w:r>
      <w:r>
        <w:rPr>
          <w:rStyle w:val="style85"/>
          <w:rFonts w:eastAsia="Times New Roman"/>
          <w:noProof/>
        </w:rPr>
        <w:t>Health Concerns Associated with Energy Drinks</w:t>
      </w:r>
      <w:r>
        <w:rPr>
          <w:noProof/>
          <w:webHidden/>
        </w:rPr>
        <w:tab/>
      </w:r>
      <w:r>
        <w:rPr>
          <w:noProof/>
          <w:webHidden/>
        </w:rPr>
        <w:fldChar w:fldCharType="begin"/>
      </w:r>
      <w:r>
        <w:rPr>
          <w:noProof/>
          <w:webHidden/>
        </w:rPr>
        <w:instrText xml:space="preserve"> PAGEREF _Toc213929869 \h </w:instrText>
      </w:r>
      <w:r>
        <w:rPr>
          <w:noProof/>
          <w:webHidden/>
        </w:rPr>
        <w:fldChar w:fldCharType="separate"/>
      </w:r>
      <w:r>
        <w:rPr>
          <w:noProof/>
          <w:webHidden/>
        </w:rPr>
        <w:t>7</w:t>
      </w:r>
      <w:r>
        <w:rPr>
          <w:noProof/>
          <w:webHidden/>
        </w:rPr>
        <w:fldChar w:fldCharType="end"/>
      </w:r>
      <w:r>
        <w:rPr/>
        <w:fldChar w:fldCharType="end"/>
      </w:r>
    </w:p>
    <w:p>
      <w:pPr>
        <w:pStyle w:val="style19"/>
        <w:tabs>
          <w:tab w:val="left" w:leader="none" w:pos="660"/>
          <w:tab w:val="right" w:leader="none" w:pos="9017"/>
        </w:tabs>
        <w:rPr>
          <w:rFonts w:ascii="Calibri" w:hAnsi="Calibri"/>
          <w:noProof/>
          <w:sz w:val="22"/>
        </w:rPr>
      </w:pPr>
      <w:r>
        <w:rPr/>
        <w:fldChar w:fldCharType="begin"/>
      </w:r>
      <w:r>
        <w:instrText xml:space="preserve"> HYPERLINK \l "_Toc213929870" </w:instrText>
      </w:r>
      <w:r>
        <w:rPr/>
        <w:fldChar w:fldCharType="separate"/>
      </w:r>
      <w:r>
        <w:rPr>
          <w:rStyle w:val="style85"/>
          <w:rFonts w:eastAsia="Times New Roman"/>
          <w:noProof/>
        </w:rPr>
        <w:t>2.3</w:t>
      </w:r>
      <w:r>
        <w:rPr>
          <w:rFonts w:ascii="Calibri" w:hAnsi="Calibri"/>
          <w:noProof/>
          <w:sz w:val="22"/>
        </w:rPr>
        <w:tab/>
      </w:r>
      <w:r>
        <w:rPr>
          <w:rStyle w:val="style85"/>
          <w:rFonts w:eastAsia="Times New Roman"/>
          <w:noProof/>
        </w:rPr>
        <w:t>Ethanol in Non-Alcoholic Beverages</w:t>
      </w:r>
      <w:r>
        <w:rPr>
          <w:noProof/>
          <w:webHidden/>
        </w:rPr>
        <w:tab/>
      </w:r>
      <w:r>
        <w:rPr>
          <w:noProof/>
          <w:webHidden/>
        </w:rPr>
        <w:fldChar w:fldCharType="begin"/>
      </w:r>
      <w:r>
        <w:rPr>
          <w:noProof/>
          <w:webHidden/>
        </w:rPr>
        <w:instrText xml:space="preserve"> PAGEREF _Toc213929870 \h </w:instrText>
      </w:r>
      <w:r>
        <w:rPr>
          <w:noProof/>
          <w:webHidden/>
        </w:rPr>
        <w:fldChar w:fldCharType="separate"/>
      </w:r>
      <w:r>
        <w:rPr>
          <w:noProof/>
          <w:webHidden/>
        </w:rPr>
        <w:t>7</w:t>
      </w:r>
      <w:r>
        <w:rPr>
          <w:noProof/>
          <w:webHidden/>
        </w:rPr>
        <w:fldChar w:fldCharType="end"/>
      </w:r>
      <w:r>
        <w:rPr/>
        <w:fldChar w:fldCharType="end"/>
      </w:r>
    </w:p>
    <w:p>
      <w:pPr>
        <w:pStyle w:val="style19"/>
        <w:tabs>
          <w:tab w:val="left" w:leader="none" w:pos="660"/>
          <w:tab w:val="right" w:leader="none" w:pos="9017"/>
        </w:tabs>
        <w:rPr>
          <w:rFonts w:ascii="Calibri" w:hAnsi="Calibri"/>
          <w:noProof/>
          <w:sz w:val="22"/>
        </w:rPr>
      </w:pPr>
      <w:r>
        <w:rPr/>
        <w:fldChar w:fldCharType="begin"/>
      </w:r>
      <w:r>
        <w:instrText xml:space="preserve"> HYPERLINK \l "_Toc213929872" </w:instrText>
      </w:r>
      <w:r>
        <w:rPr/>
        <w:fldChar w:fldCharType="separate"/>
      </w:r>
      <w:r>
        <w:rPr>
          <w:rStyle w:val="style85"/>
          <w:rFonts w:eastAsia="Times New Roman"/>
          <w:noProof/>
        </w:rPr>
        <w:t>2.4</w:t>
      </w:r>
      <w:r>
        <w:rPr>
          <w:rFonts w:ascii="Calibri" w:hAnsi="Calibri"/>
          <w:noProof/>
          <w:sz w:val="22"/>
        </w:rPr>
        <w:tab/>
      </w:r>
      <w:r>
        <w:rPr>
          <w:rStyle w:val="style85"/>
          <w:rFonts w:eastAsia="Times New Roman"/>
          <w:noProof/>
        </w:rPr>
        <w:t>Regulatory Standards for Ethanol in Beverages</w:t>
      </w:r>
      <w:r>
        <w:rPr>
          <w:noProof/>
          <w:webHidden/>
        </w:rPr>
        <w:tab/>
      </w:r>
      <w:r>
        <w:rPr>
          <w:noProof/>
          <w:webHidden/>
        </w:rPr>
        <w:fldChar w:fldCharType="begin"/>
      </w:r>
      <w:r>
        <w:rPr>
          <w:noProof/>
          <w:webHidden/>
        </w:rPr>
        <w:instrText xml:space="preserve"> PAGEREF _Toc213929872 \h </w:instrText>
      </w:r>
      <w:r>
        <w:rPr>
          <w:noProof/>
          <w:webHidden/>
        </w:rPr>
        <w:fldChar w:fldCharType="separate"/>
      </w:r>
      <w:r>
        <w:rPr>
          <w:noProof/>
          <w:webHidden/>
        </w:rPr>
        <w:t>8</w:t>
      </w:r>
      <w:r>
        <w:rPr>
          <w:noProof/>
          <w:webHidden/>
        </w:rPr>
        <w:fldChar w:fldCharType="end"/>
      </w:r>
      <w:r>
        <w:rPr/>
        <w:fldChar w:fldCharType="end"/>
      </w:r>
    </w:p>
    <w:p>
      <w:pPr>
        <w:pStyle w:val="style19"/>
        <w:tabs>
          <w:tab w:val="right" w:leader="none" w:pos="9017"/>
        </w:tabs>
        <w:rPr>
          <w:rFonts w:ascii="Calibri" w:hAnsi="Calibri"/>
          <w:noProof/>
          <w:sz w:val="22"/>
        </w:rPr>
      </w:pPr>
      <w:r>
        <w:rPr/>
        <w:fldChar w:fldCharType="begin"/>
      </w:r>
      <w:r>
        <w:instrText xml:space="preserve"> HYPERLINK \l "_Toc213929873" </w:instrText>
      </w:r>
      <w:r>
        <w:rPr/>
        <w:fldChar w:fldCharType="separate"/>
      </w:r>
      <w:r>
        <w:rPr>
          <w:rStyle w:val="style85"/>
          <w:noProof/>
        </w:rPr>
        <w:t>2.5   Ethanol Determination in Non-Alcoholic and Energy Drinks</w:t>
      </w:r>
      <w:r>
        <w:rPr>
          <w:noProof/>
          <w:webHidden/>
        </w:rPr>
        <w:tab/>
      </w:r>
      <w:r>
        <w:rPr>
          <w:noProof/>
          <w:webHidden/>
        </w:rPr>
        <w:fldChar w:fldCharType="begin"/>
      </w:r>
      <w:r>
        <w:rPr>
          <w:noProof/>
          <w:webHidden/>
        </w:rPr>
        <w:instrText xml:space="preserve"> PAGEREF _Toc213929873 \h </w:instrText>
      </w:r>
      <w:r>
        <w:rPr>
          <w:noProof/>
          <w:webHidden/>
        </w:rPr>
        <w:fldChar w:fldCharType="separate"/>
      </w:r>
      <w:r>
        <w:rPr>
          <w:noProof/>
          <w:webHidden/>
        </w:rPr>
        <w:t>9</w:t>
      </w:r>
      <w:r>
        <w:rPr>
          <w:noProof/>
          <w:webHidden/>
        </w:rPr>
        <w:fldChar w:fldCharType="end"/>
      </w:r>
      <w:r>
        <w:rPr/>
        <w:fldChar w:fldCharType="end"/>
      </w:r>
    </w:p>
    <w:p>
      <w:pPr>
        <w:pStyle w:val="style19"/>
        <w:tabs>
          <w:tab w:val="right" w:leader="none" w:pos="9017"/>
        </w:tabs>
        <w:rPr>
          <w:rFonts w:ascii="Calibri" w:hAnsi="Calibri"/>
          <w:noProof/>
          <w:sz w:val="22"/>
        </w:rPr>
      </w:pPr>
      <w:r>
        <w:rPr/>
        <w:fldChar w:fldCharType="begin"/>
      </w:r>
      <w:r>
        <w:instrText xml:space="preserve"> HYPERLINK \l "_Toc213929874" </w:instrText>
      </w:r>
      <w:r>
        <w:rPr/>
        <w:fldChar w:fldCharType="separate"/>
      </w:r>
      <w:r>
        <w:rPr>
          <w:rStyle w:val="style85"/>
          <w:rFonts w:eastAsia="Arial"/>
          <w:noProof/>
        </w:rPr>
        <w:t>CHAPTER THREE</w:t>
      </w:r>
      <w:r>
        <w:rPr>
          <w:noProof/>
          <w:webHidden/>
        </w:rPr>
        <w:tab/>
      </w:r>
      <w:r>
        <w:rPr>
          <w:noProof/>
          <w:webHidden/>
        </w:rPr>
        <w:fldChar w:fldCharType="begin"/>
      </w:r>
      <w:r>
        <w:rPr>
          <w:noProof/>
          <w:webHidden/>
        </w:rPr>
        <w:instrText xml:space="preserve"> PAGEREF _Toc213929874 \h </w:instrText>
      </w:r>
      <w:r>
        <w:rPr>
          <w:noProof/>
          <w:webHidden/>
        </w:rPr>
        <w:fldChar w:fldCharType="separate"/>
      </w:r>
      <w:r>
        <w:rPr>
          <w:noProof/>
          <w:webHidden/>
        </w:rPr>
        <w:t>11</w:t>
      </w:r>
      <w:r>
        <w:rPr>
          <w:noProof/>
          <w:webHidden/>
        </w:rPr>
        <w:fldChar w:fldCharType="end"/>
      </w:r>
      <w:r>
        <w:rPr/>
        <w:fldChar w:fldCharType="end"/>
      </w:r>
    </w:p>
    <w:p>
      <w:pPr>
        <w:pStyle w:val="style19"/>
        <w:tabs>
          <w:tab w:val="right" w:leader="none" w:pos="9017"/>
        </w:tabs>
        <w:rPr>
          <w:rFonts w:ascii="Calibri" w:hAnsi="Calibri"/>
          <w:noProof/>
          <w:sz w:val="22"/>
        </w:rPr>
      </w:pPr>
      <w:r>
        <w:rPr/>
        <w:fldChar w:fldCharType="begin"/>
      </w:r>
      <w:r>
        <w:instrText xml:space="preserve"> HYPERLINK \l "_Toc213929875" </w:instrText>
      </w:r>
      <w:r>
        <w:rPr/>
        <w:fldChar w:fldCharType="separate"/>
      </w:r>
      <w:r>
        <w:rPr>
          <w:rStyle w:val="style85"/>
          <w:rFonts w:eastAsia="Arial"/>
          <w:noProof/>
        </w:rPr>
        <w:t>MATERIALS AND METHODS</w:t>
      </w:r>
      <w:r>
        <w:rPr>
          <w:noProof/>
          <w:webHidden/>
        </w:rPr>
        <w:tab/>
      </w:r>
      <w:r>
        <w:rPr>
          <w:noProof/>
          <w:webHidden/>
        </w:rPr>
        <w:fldChar w:fldCharType="begin"/>
      </w:r>
      <w:r>
        <w:rPr>
          <w:noProof/>
          <w:webHidden/>
        </w:rPr>
        <w:instrText xml:space="preserve"> PAGEREF _Toc213929875 \h </w:instrText>
      </w:r>
      <w:r>
        <w:rPr>
          <w:noProof/>
          <w:webHidden/>
        </w:rPr>
        <w:fldChar w:fldCharType="separate"/>
      </w:r>
      <w:r>
        <w:rPr>
          <w:noProof/>
          <w:webHidden/>
        </w:rPr>
        <w:t>11</w:t>
      </w:r>
      <w:r>
        <w:rPr>
          <w:noProof/>
          <w:webHidden/>
        </w:rPr>
        <w:fldChar w:fldCharType="end"/>
      </w:r>
      <w:r>
        <w:rPr/>
        <w:fldChar w:fldCharType="end"/>
      </w:r>
    </w:p>
    <w:p>
      <w:pPr>
        <w:pStyle w:val="style19"/>
        <w:tabs>
          <w:tab w:val="left" w:leader="none" w:pos="660"/>
          <w:tab w:val="right" w:leader="none" w:pos="9017"/>
        </w:tabs>
        <w:rPr>
          <w:rFonts w:ascii="Calibri" w:hAnsi="Calibri"/>
          <w:noProof/>
          <w:sz w:val="22"/>
        </w:rPr>
      </w:pPr>
      <w:r>
        <w:rPr/>
        <w:fldChar w:fldCharType="begin"/>
      </w:r>
      <w:r>
        <w:instrText xml:space="preserve"> HYPERLINK \l "_Toc213929876" </w:instrText>
      </w:r>
      <w:r>
        <w:rPr/>
        <w:fldChar w:fldCharType="separate"/>
      </w:r>
      <w:r>
        <w:rPr>
          <w:rStyle w:val="style85"/>
          <w:rFonts w:cs="Times New Roman"/>
          <w:noProof/>
        </w:rPr>
        <w:t>3.1</w:t>
      </w:r>
      <w:r>
        <w:rPr>
          <w:rFonts w:ascii="Calibri" w:hAnsi="Calibri"/>
          <w:noProof/>
          <w:sz w:val="22"/>
        </w:rPr>
        <w:tab/>
      </w:r>
      <w:r>
        <w:rPr>
          <w:rStyle w:val="style85"/>
          <w:rFonts w:cs="Times New Roman"/>
          <w:noProof/>
        </w:rPr>
        <w:t>Materials</w:t>
      </w:r>
      <w:r>
        <w:rPr>
          <w:noProof/>
          <w:webHidden/>
        </w:rPr>
        <w:tab/>
      </w:r>
      <w:r>
        <w:rPr>
          <w:noProof/>
          <w:webHidden/>
        </w:rPr>
        <w:fldChar w:fldCharType="begin"/>
      </w:r>
      <w:r>
        <w:rPr>
          <w:noProof/>
          <w:webHidden/>
        </w:rPr>
        <w:instrText xml:space="preserve"> PAGEREF _Toc213929876 \h </w:instrText>
      </w:r>
      <w:r>
        <w:rPr>
          <w:noProof/>
          <w:webHidden/>
        </w:rPr>
        <w:fldChar w:fldCharType="separate"/>
      </w:r>
      <w:r>
        <w:rPr>
          <w:noProof/>
          <w:webHidden/>
        </w:rPr>
        <w:t>11</w:t>
      </w:r>
      <w:r>
        <w:rPr>
          <w:noProof/>
          <w:webHidden/>
        </w:rPr>
        <w:fldChar w:fldCharType="end"/>
      </w:r>
      <w:r>
        <w:rPr/>
        <w:fldChar w:fldCharType="end"/>
      </w:r>
    </w:p>
    <w:p>
      <w:pPr>
        <w:pStyle w:val="style19"/>
        <w:tabs>
          <w:tab w:val="left" w:leader="none" w:pos="880"/>
          <w:tab w:val="right" w:leader="none" w:pos="9017"/>
        </w:tabs>
        <w:rPr>
          <w:rFonts w:ascii="Calibri" w:hAnsi="Calibri"/>
          <w:noProof/>
          <w:sz w:val="22"/>
        </w:rPr>
      </w:pPr>
      <w:r>
        <w:rPr/>
        <w:fldChar w:fldCharType="begin"/>
      </w:r>
      <w:r>
        <w:instrText xml:space="preserve"> HYPERLINK \l "_Toc213929877" </w:instrText>
      </w:r>
      <w:r>
        <w:rPr/>
        <w:fldChar w:fldCharType="separate"/>
      </w:r>
      <w:r>
        <w:rPr>
          <w:rStyle w:val="style85"/>
          <w:rFonts w:cs="Times New Roman"/>
          <w:noProof/>
        </w:rPr>
        <w:t>3.1.1</w:t>
      </w:r>
      <w:r>
        <w:rPr>
          <w:rFonts w:ascii="Calibri" w:hAnsi="Calibri"/>
          <w:noProof/>
          <w:sz w:val="22"/>
        </w:rPr>
        <w:tab/>
      </w:r>
      <w:r>
        <w:rPr>
          <w:rStyle w:val="style85"/>
          <w:rFonts w:cs="Times New Roman"/>
          <w:noProof/>
        </w:rPr>
        <w:t>Energy Drink Samples</w:t>
      </w:r>
      <w:r>
        <w:rPr>
          <w:noProof/>
          <w:webHidden/>
        </w:rPr>
        <w:tab/>
      </w:r>
      <w:r>
        <w:rPr>
          <w:noProof/>
          <w:webHidden/>
        </w:rPr>
        <w:fldChar w:fldCharType="begin"/>
      </w:r>
      <w:r>
        <w:rPr>
          <w:noProof/>
          <w:webHidden/>
        </w:rPr>
        <w:instrText xml:space="preserve"> PAGEREF _Toc213929877 \h </w:instrText>
      </w:r>
      <w:r>
        <w:rPr>
          <w:noProof/>
          <w:webHidden/>
        </w:rPr>
        <w:fldChar w:fldCharType="separate"/>
      </w:r>
      <w:r>
        <w:rPr>
          <w:noProof/>
          <w:webHidden/>
        </w:rPr>
        <w:t>11</w:t>
      </w:r>
      <w:r>
        <w:rPr>
          <w:noProof/>
          <w:webHidden/>
        </w:rPr>
        <w:fldChar w:fldCharType="end"/>
      </w:r>
      <w:r>
        <w:rPr/>
        <w:fldChar w:fldCharType="end"/>
      </w:r>
    </w:p>
    <w:p>
      <w:pPr>
        <w:pStyle w:val="style19"/>
        <w:tabs>
          <w:tab w:val="left" w:leader="none" w:pos="1320"/>
          <w:tab w:val="right" w:leader="none" w:pos="9017"/>
        </w:tabs>
        <w:rPr>
          <w:rFonts w:ascii="Calibri" w:hAnsi="Calibri"/>
          <w:noProof/>
          <w:sz w:val="22"/>
        </w:rPr>
      </w:pPr>
      <w:r>
        <w:rPr/>
        <w:fldChar w:fldCharType="begin"/>
      </w:r>
      <w:r>
        <w:instrText xml:space="preserve"> HYPERLINK \l "_Toc213929878" </w:instrText>
      </w:r>
      <w:r>
        <w:rPr/>
        <w:fldChar w:fldCharType="separate"/>
      </w:r>
      <w:r>
        <w:rPr>
          <w:rStyle w:val="style85"/>
          <w:rFonts w:cs="Times New Roman"/>
          <w:noProof/>
        </w:rPr>
        <w:t>Table 3.1</w:t>
      </w:r>
      <w:r>
        <w:rPr>
          <w:rFonts w:ascii="Calibri" w:hAnsi="Calibri"/>
          <w:noProof/>
          <w:sz w:val="22"/>
        </w:rPr>
        <w:tab/>
      </w:r>
      <w:r>
        <w:rPr>
          <w:rStyle w:val="style85"/>
          <w:rFonts w:cs="Times New Roman"/>
          <w:noProof/>
        </w:rPr>
        <w:t>Reagents</w:t>
      </w:r>
      <w:r>
        <w:rPr>
          <w:noProof/>
          <w:webHidden/>
        </w:rPr>
        <w:tab/>
      </w:r>
      <w:r>
        <w:rPr>
          <w:noProof/>
          <w:webHidden/>
        </w:rPr>
        <w:fldChar w:fldCharType="begin"/>
      </w:r>
      <w:r>
        <w:rPr>
          <w:noProof/>
          <w:webHidden/>
        </w:rPr>
        <w:instrText xml:space="preserve"> PAGEREF _Toc213929878 \h </w:instrText>
      </w:r>
      <w:r>
        <w:rPr>
          <w:noProof/>
          <w:webHidden/>
        </w:rPr>
        <w:fldChar w:fldCharType="separate"/>
      </w:r>
      <w:r>
        <w:rPr>
          <w:noProof/>
          <w:webHidden/>
        </w:rPr>
        <w:t>12</w:t>
      </w:r>
      <w:r>
        <w:rPr>
          <w:noProof/>
          <w:webHidden/>
        </w:rPr>
        <w:fldChar w:fldCharType="end"/>
      </w:r>
      <w:r>
        <w:rPr/>
        <w:fldChar w:fldCharType="end"/>
      </w:r>
    </w:p>
    <w:p>
      <w:pPr>
        <w:pStyle w:val="style19"/>
        <w:tabs>
          <w:tab w:val="left" w:leader="none" w:pos="1320"/>
          <w:tab w:val="right" w:leader="none" w:pos="9017"/>
        </w:tabs>
        <w:rPr>
          <w:rFonts w:ascii="Calibri" w:hAnsi="Calibri"/>
          <w:noProof/>
          <w:sz w:val="22"/>
        </w:rPr>
      </w:pPr>
      <w:r>
        <w:rPr/>
        <w:fldChar w:fldCharType="begin"/>
      </w:r>
      <w:r>
        <w:instrText xml:space="preserve"> HYPERLINK \l "_Toc213929879" </w:instrText>
      </w:r>
      <w:r>
        <w:rPr/>
        <w:fldChar w:fldCharType="separate"/>
      </w:r>
      <w:r>
        <w:rPr>
          <w:rStyle w:val="style85"/>
          <w:rFonts w:cs="Times New Roman"/>
          <w:noProof/>
        </w:rPr>
        <w:t>Table 3.2</w:t>
      </w:r>
      <w:r>
        <w:rPr>
          <w:rFonts w:ascii="Calibri" w:hAnsi="Calibri"/>
          <w:noProof/>
          <w:sz w:val="22"/>
        </w:rPr>
        <w:tab/>
      </w:r>
      <w:r>
        <w:rPr>
          <w:rStyle w:val="style85"/>
          <w:rFonts w:cs="Times New Roman"/>
          <w:noProof/>
        </w:rPr>
        <w:t>Instruments and Equipment</w:t>
      </w:r>
      <w:r>
        <w:rPr>
          <w:noProof/>
          <w:webHidden/>
        </w:rPr>
        <w:tab/>
      </w:r>
      <w:r>
        <w:rPr>
          <w:noProof/>
          <w:webHidden/>
        </w:rPr>
        <w:fldChar w:fldCharType="begin"/>
      </w:r>
      <w:r>
        <w:rPr>
          <w:noProof/>
          <w:webHidden/>
        </w:rPr>
        <w:instrText xml:space="preserve"> PAGEREF _Toc213929879 \h </w:instrText>
      </w:r>
      <w:r>
        <w:rPr>
          <w:noProof/>
          <w:webHidden/>
        </w:rPr>
        <w:fldChar w:fldCharType="separate"/>
      </w:r>
      <w:r>
        <w:rPr>
          <w:noProof/>
          <w:webHidden/>
        </w:rPr>
        <w:t>12</w:t>
      </w:r>
      <w:r>
        <w:rPr>
          <w:noProof/>
          <w:webHidden/>
        </w:rPr>
        <w:fldChar w:fldCharType="end"/>
      </w:r>
      <w:r>
        <w:rPr/>
        <w:fldChar w:fldCharType="end"/>
      </w:r>
    </w:p>
    <w:p>
      <w:pPr>
        <w:pStyle w:val="style19"/>
        <w:tabs>
          <w:tab w:val="left" w:leader="none" w:pos="880"/>
          <w:tab w:val="right" w:leader="none" w:pos="9017"/>
        </w:tabs>
        <w:rPr>
          <w:rFonts w:ascii="Calibri" w:hAnsi="Calibri"/>
          <w:noProof/>
          <w:sz w:val="22"/>
        </w:rPr>
      </w:pPr>
      <w:r>
        <w:rPr/>
        <w:fldChar w:fldCharType="begin"/>
      </w:r>
      <w:r>
        <w:instrText xml:space="preserve"> HYPERLINK \l "_Toc213929880" </w:instrText>
      </w:r>
      <w:r>
        <w:rPr/>
        <w:fldChar w:fldCharType="separate"/>
      </w:r>
      <w:r>
        <w:rPr>
          <w:rStyle w:val="style85"/>
          <w:rFonts w:eastAsia="Arial"/>
          <w:noProof/>
        </w:rPr>
        <w:t>3.2.1</w:t>
      </w:r>
      <w:r>
        <w:rPr>
          <w:rFonts w:ascii="Calibri" w:hAnsi="Calibri"/>
          <w:noProof/>
          <w:sz w:val="22"/>
        </w:rPr>
        <w:tab/>
      </w:r>
      <w:r>
        <w:rPr>
          <w:rStyle w:val="style85"/>
          <w:rFonts w:eastAsia="Arial"/>
          <w:noProof/>
        </w:rPr>
        <w:t>Determination of Ethanol Content Using FTIR Spectrometer</w:t>
      </w:r>
      <w:r>
        <w:rPr>
          <w:noProof/>
          <w:webHidden/>
        </w:rPr>
        <w:tab/>
      </w:r>
      <w:r>
        <w:rPr>
          <w:noProof/>
          <w:webHidden/>
        </w:rPr>
        <w:fldChar w:fldCharType="begin"/>
      </w:r>
      <w:r>
        <w:rPr>
          <w:noProof/>
          <w:webHidden/>
        </w:rPr>
        <w:instrText xml:space="preserve"> PAGEREF _Toc213929880 \h </w:instrText>
      </w:r>
      <w:r>
        <w:rPr>
          <w:noProof/>
          <w:webHidden/>
        </w:rPr>
        <w:fldChar w:fldCharType="separate"/>
      </w:r>
      <w:r>
        <w:rPr>
          <w:noProof/>
          <w:webHidden/>
        </w:rPr>
        <w:t>14</w:t>
      </w:r>
      <w:r>
        <w:rPr>
          <w:noProof/>
          <w:webHidden/>
        </w:rPr>
        <w:fldChar w:fldCharType="end"/>
      </w:r>
      <w:r>
        <w:rPr/>
        <w:fldChar w:fldCharType="end"/>
      </w:r>
    </w:p>
    <w:p>
      <w:pPr>
        <w:pStyle w:val="style19"/>
        <w:tabs>
          <w:tab w:val="left" w:leader="none" w:pos="880"/>
          <w:tab w:val="right" w:leader="none" w:pos="9017"/>
        </w:tabs>
        <w:rPr>
          <w:rFonts w:ascii="Calibri" w:hAnsi="Calibri"/>
          <w:noProof/>
          <w:sz w:val="22"/>
        </w:rPr>
      </w:pPr>
      <w:r>
        <w:rPr/>
        <w:fldChar w:fldCharType="begin"/>
      </w:r>
      <w:r>
        <w:instrText xml:space="preserve"> HYPERLINK \l "_Toc213929881" </w:instrText>
      </w:r>
      <w:r>
        <w:rPr/>
        <w:fldChar w:fldCharType="separate"/>
      </w:r>
      <w:r>
        <w:rPr>
          <w:rStyle w:val="style85"/>
          <w:rFonts w:eastAsia="Arial"/>
          <w:noProof/>
        </w:rPr>
        <w:t>3.2.2</w:t>
      </w:r>
      <w:r>
        <w:rPr>
          <w:rFonts w:ascii="Calibri" w:hAnsi="Calibri"/>
          <w:noProof/>
          <w:sz w:val="22"/>
        </w:rPr>
        <w:tab/>
      </w:r>
      <w:r>
        <w:rPr>
          <w:rStyle w:val="style85"/>
          <w:rFonts w:eastAsia="Arial"/>
          <w:noProof/>
        </w:rPr>
        <w:t>Determination of Ethanol Content in Energy Drinks Using UV-Visible Spectrophotometry (Dichromate Oxidation Method)</w:t>
      </w:r>
      <w:r>
        <w:rPr>
          <w:noProof/>
          <w:webHidden/>
        </w:rPr>
        <w:tab/>
      </w:r>
      <w:r>
        <w:rPr>
          <w:noProof/>
          <w:webHidden/>
        </w:rPr>
        <w:fldChar w:fldCharType="begin"/>
      </w:r>
      <w:r>
        <w:rPr>
          <w:noProof/>
          <w:webHidden/>
        </w:rPr>
        <w:instrText xml:space="preserve"> PAGEREF _Toc213929881 \h </w:instrText>
      </w:r>
      <w:r>
        <w:rPr>
          <w:noProof/>
          <w:webHidden/>
        </w:rPr>
        <w:fldChar w:fldCharType="separate"/>
      </w:r>
      <w:r>
        <w:rPr>
          <w:noProof/>
          <w:webHidden/>
        </w:rPr>
        <w:t>14</w:t>
      </w:r>
      <w:r>
        <w:rPr>
          <w:noProof/>
          <w:webHidden/>
        </w:rPr>
        <w:fldChar w:fldCharType="end"/>
      </w:r>
      <w:r>
        <w:rPr/>
        <w:fldChar w:fldCharType="end"/>
      </w:r>
    </w:p>
    <w:p>
      <w:pPr>
        <w:pStyle w:val="style19"/>
        <w:tabs>
          <w:tab w:val="left" w:leader="none" w:pos="660"/>
          <w:tab w:val="right" w:leader="none" w:pos="9017"/>
        </w:tabs>
        <w:rPr>
          <w:rFonts w:ascii="Calibri" w:hAnsi="Calibri"/>
          <w:noProof/>
          <w:sz w:val="22"/>
        </w:rPr>
      </w:pPr>
      <w:r>
        <w:rPr/>
        <w:fldChar w:fldCharType="begin"/>
      </w:r>
      <w:r>
        <w:instrText xml:space="preserve"> HYPERLINK \l "_Toc213929882" </w:instrText>
      </w:r>
      <w:r>
        <w:rPr/>
        <w:fldChar w:fldCharType="separate"/>
      </w:r>
      <w:r>
        <w:rPr>
          <w:rStyle w:val="style85"/>
          <w:rFonts w:cs="Times New Roman"/>
          <w:noProof/>
        </w:rPr>
        <w:t>3.3</w:t>
      </w:r>
      <w:r>
        <w:rPr>
          <w:rFonts w:ascii="Calibri" w:hAnsi="Calibri"/>
          <w:noProof/>
          <w:sz w:val="22"/>
        </w:rPr>
        <w:tab/>
      </w:r>
      <w:r>
        <w:rPr>
          <w:rStyle w:val="style85"/>
          <w:rFonts w:cs="Times New Roman"/>
          <w:noProof/>
        </w:rPr>
        <w:t>Preparation of Reagents</w:t>
      </w:r>
      <w:r>
        <w:rPr>
          <w:noProof/>
          <w:webHidden/>
        </w:rPr>
        <w:tab/>
      </w:r>
      <w:r>
        <w:rPr>
          <w:noProof/>
          <w:webHidden/>
        </w:rPr>
        <w:fldChar w:fldCharType="begin"/>
      </w:r>
      <w:r>
        <w:rPr>
          <w:noProof/>
          <w:webHidden/>
        </w:rPr>
        <w:instrText xml:space="preserve"> PAGEREF _Toc213929882 \h </w:instrText>
      </w:r>
      <w:r>
        <w:rPr>
          <w:noProof/>
          <w:webHidden/>
        </w:rPr>
        <w:fldChar w:fldCharType="separate"/>
      </w:r>
      <w:r>
        <w:rPr>
          <w:noProof/>
          <w:webHidden/>
        </w:rPr>
        <w:t>15</w:t>
      </w:r>
      <w:r>
        <w:rPr>
          <w:noProof/>
          <w:webHidden/>
        </w:rPr>
        <w:fldChar w:fldCharType="end"/>
      </w:r>
      <w:r>
        <w:rPr/>
        <w:fldChar w:fldCharType="end"/>
      </w:r>
    </w:p>
    <w:p>
      <w:pPr>
        <w:pStyle w:val="style19"/>
        <w:tabs>
          <w:tab w:val="left" w:leader="none" w:pos="880"/>
          <w:tab w:val="right" w:leader="none" w:pos="9017"/>
        </w:tabs>
        <w:rPr>
          <w:rFonts w:ascii="Calibri" w:hAnsi="Calibri"/>
          <w:noProof/>
          <w:sz w:val="22"/>
        </w:rPr>
      </w:pPr>
      <w:r>
        <w:rPr/>
        <w:fldChar w:fldCharType="begin"/>
      </w:r>
      <w:r>
        <w:instrText xml:space="preserve"> HYPERLINK \l "_Toc213929883" </w:instrText>
      </w:r>
      <w:r>
        <w:rPr/>
        <w:fldChar w:fldCharType="separate"/>
      </w:r>
      <w:r>
        <w:rPr>
          <w:rStyle w:val="style85"/>
          <w:noProof/>
        </w:rPr>
        <w:t>3.3.1</w:t>
      </w:r>
      <w:r>
        <w:rPr>
          <w:rFonts w:ascii="Calibri" w:hAnsi="Calibri"/>
          <w:noProof/>
          <w:sz w:val="22"/>
        </w:rPr>
        <w:tab/>
      </w:r>
      <w:r>
        <w:rPr>
          <w:rStyle w:val="style85"/>
          <w:rFonts w:cs="Times New Roman"/>
          <w:noProof/>
        </w:rPr>
        <w:t>Preparation of 0.02 M Potassium Dichromate (K₂Cr₂O₇) Solution</w:t>
      </w:r>
      <w:r>
        <w:rPr>
          <w:noProof/>
          <w:webHidden/>
        </w:rPr>
        <w:tab/>
      </w:r>
      <w:r>
        <w:rPr>
          <w:noProof/>
          <w:webHidden/>
        </w:rPr>
        <w:fldChar w:fldCharType="begin"/>
      </w:r>
      <w:r>
        <w:rPr>
          <w:noProof/>
          <w:webHidden/>
        </w:rPr>
        <w:instrText xml:space="preserve"> PAGEREF _Toc213929883 \h </w:instrText>
      </w:r>
      <w:r>
        <w:rPr>
          <w:noProof/>
          <w:webHidden/>
        </w:rPr>
        <w:fldChar w:fldCharType="separate"/>
      </w:r>
      <w:r>
        <w:rPr>
          <w:noProof/>
          <w:webHidden/>
        </w:rPr>
        <w:t>16</w:t>
      </w:r>
      <w:r>
        <w:rPr>
          <w:noProof/>
          <w:webHidden/>
        </w:rPr>
        <w:fldChar w:fldCharType="end"/>
      </w:r>
      <w:r>
        <w:rPr/>
        <w:fldChar w:fldCharType="end"/>
      </w:r>
    </w:p>
    <w:p>
      <w:pPr>
        <w:pStyle w:val="style19"/>
        <w:tabs>
          <w:tab w:val="left" w:leader="none" w:pos="880"/>
          <w:tab w:val="right" w:leader="none" w:pos="9017"/>
        </w:tabs>
        <w:rPr>
          <w:rFonts w:ascii="Calibri" w:hAnsi="Calibri"/>
          <w:noProof/>
          <w:sz w:val="22"/>
        </w:rPr>
      </w:pPr>
      <w:r>
        <w:rPr/>
        <w:fldChar w:fldCharType="begin"/>
      </w:r>
      <w:r>
        <w:instrText xml:space="preserve"> HYPERLINK \l "_Toc213929884" </w:instrText>
      </w:r>
      <w:r>
        <w:rPr/>
        <w:fldChar w:fldCharType="separate"/>
      </w:r>
      <w:r>
        <w:rPr>
          <w:rStyle w:val="style85"/>
          <w:noProof/>
        </w:rPr>
        <w:t>3.3.2</w:t>
      </w:r>
      <w:r>
        <w:rPr>
          <w:rFonts w:ascii="Calibri" w:hAnsi="Calibri"/>
          <w:noProof/>
          <w:sz w:val="22"/>
        </w:rPr>
        <w:tab/>
      </w:r>
      <w:r>
        <w:rPr>
          <w:rStyle w:val="style85"/>
          <w:rFonts w:cs="Times New Roman"/>
          <w:noProof/>
        </w:rPr>
        <w:t>Preparation of 1.0 M Sulphuric Acid (H₂SO₄)</w:t>
      </w:r>
      <w:r>
        <w:rPr>
          <w:noProof/>
          <w:webHidden/>
        </w:rPr>
        <w:tab/>
      </w:r>
      <w:r>
        <w:rPr>
          <w:noProof/>
          <w:webHidden/>
        </w:rPr>
        <w:fldChar w:fldCharType="begin"/>
      </w:r>
      <w:r>
        <w:rPr>
          <w:noProof/>
          <w:webHidden/>
        </w:rPr>
        <w:instrText xml:space="preserve"> PAGEREF _Toc213929884 \h </w:instrText>
      </w:r>
      <w:r>
        <w:rPr>
          <w:noProof/>
          <w:webHidden/>
        </w:rPr>
        <w:fldChar w:fldCharType="separate"/>
      </w:r>
      <w:r>
        <w:rPr>
          <w:noProof/>
          <w:webHidden/>
        </w:rPr>
        <w:t>16</w:t>
      </w:r>
      <w:r>
        <w:rPr>
          <w:noProof/>
          <w:webHidden/>
        </w:rPr>
        <w:fldChar w:fldCharType="end"/>
      </w:r>
      <w:r>
        <w:rPr/>
        <w:fldChar w:fldCharType="end"/>
      </w:r>
    </w:p>
    <w:p>
      <w:pPr>
        <w:pStyle w:val="style19"/>
        <w:tabs>
          <w:tab w:val="left" w:leader="none" w:pos="880"/>
          <w:tab w:val="right" w:leader="none" w:pos="9017"/>
        </w:tabs>
        <w:rPr>
          <w:rFonts w:ascii="Calibri" w:hAnsi="Calibri"/>
          <w:noProof/>
          <w:sz w:val="22"/>
        </w:rPr>
      </w:pPr>
      <w:r>
        <w:rPr/>
        <w:fldChar w:fldCharType="begin"/>
      </w:r>
      <w:r>
        <w:instrText xml:space="preserve"> HYPERLINK \l "_Toc213929885" </w:instrText>
      </w:r>
      <w:r>
        <w:rPr/>
        <w:fldChar w:fldCharType="separate"/>
      </w:r>
      <w:r>
        <w:rPr>
          <w:rStyle w:val="style85"/>
          <w:noProof/>
        </w:rPr>
        <w:t>3.3.3</w:t>
      </w:r>
      <w:r>
        <w:rPr>
          <w:rFonts w:ascii="Calibri" w:hAnsi="Calibri"/>
          <w:noProof/>
          <w:sz w:val="22"/>
        </w:rPr>
        <w:tab/>
      </w:r>
      <w:r>
        <w:rPr>
          <w:rStyle w:val="style85"/>
          <w:rFonts w:cs="Times New Roman"/>
          <w:noProof/>
        </w:rPr>
        <w:t>Preparation of Acidified Dichromate Reagent</w:t>
      </w:r>
      <w:r>
        <w:rPr>
          <w:noProof/>
          <w:webHidden/>
        </w:rPr>
        <w:tab/>
      </w:r>
      <w:r>
        <w:rPr>
          <w:noProof/>
          <w:webHidden/>
        </w:rPr>
        <w:fldChar w:fldCharType="begin"/>
      </w:r>
      <w:r>
        <w:rPr>
          <w:noProof/>
          <w:webHidden/>
        </w:rPr>
        <w:instrText xml:space="preserve"> PAGEREF _Toc213929885 \h </w:instrText>
      </w:r>
      <w:r>
        <w:rPr>
          <w:noProof/>
          <w:webHidden/>
        </w:rPr>
        <w:fldChar w:fldCharType="separate"/>
      </w:r>
      <w:r>
        <w:rPr>
          <w:noProof/>
          <w:webHidden/>
        </w:rPr>
        <w:t>16</w:t>
      </w:r>
      <w:r>
        <w:rPr>
          <w:noProof/>
          <w:webHidden/>
        </w:rPr>
        <w:fldChar w:fldCharType="end"/>
      </w:r>
      <w:r>
        <w:rPr/>
        <w:fldChar w:fldCharType="end"/>
      </w:r>
    </w:p>
    <w:p>
      <w:pPr>
        <w:pStyle w:val="style19"/>
        <w:tabs>
          <w:tab w:val="left" w:leader="none" w:pos="880"/>
          <w:tab w:val="right" w:leader="none" w:pos="9017"/>
        </w:tabs>
        <w:rPr>
          <w:rFonts w:ascii="Calibri" w:hAnsi="Calibri"/>
          <w:noProof/>
          <w:sz w:val="22"/>
        </w:rPr>
      </w:pPr>
      <w:r>
        <w:rPr/>
        <w:fldChar w:fldCharType="begin"/>
      </w:r>
      <w:r>
        <w:instrText xml:space="preserve"> HYPERLINK \l "_Toc213929886" </w:instrText>
      </w:r>
      <w:r>
        <w:rPr/>
        <w:fldChar w:fldCharType="separate"/>
      </w:r>
      <w:r>
        <w:rPr>
          <w:rStyle w:val="style85"/>
          <w:noProof/>
        </w:rPr>
        <w:t>3.3.4</w:t>
      </w:r>
      <w:r>
        <w:rPr>
          <w:rFonts w:ascii="Calibri" w:hAnsi="Calibri"/>
          <w:noProof/>
          <w:sz w:val="22"/>
        </w:rPr>
        <w:tab/>
      </w:r>
      <w:r>
        <w:rPr>
          <w:rStyle w:val="style85"/>
          <w:rFonts w:cs="Times New Roman"/>
          <w:noProof/>
        </w:rPr>
        <w:t>Preparation of Ethanol Standard Solutions (0.01–1.00 % v/v)</w:t>
      </w:r>
      <w:r>
        <w:rPr>
          <w:noProof/>
          <w:webHidden/>
        </w:rPr>
        <w:tab/>
      </w:r>
      <w:r>
        <w:rPr>
          <w:noProof/>
          <w:webHidden/>
        </w:rPr>
        <w:fldChar w:fldCharType="begin"/>
      </w:r>
      <w:r>
        <w:rPr>
          <w:noProof/>
          <w:webHidden/>
        </w:rPr>
        <w:instrText xml:space="preserve"> PAGEREF _Toc213929886 \h </w:instrText>
      </w:r>
      <w:r>
        <w:rPr>
          <w:noProof/>
          <w:webHidden/>
        </w:rPr>
        <w:fldChar w:fldCharType="separate"/>
      </w:r>
      <w:r>
        <w:rPr>
          <w:noProof/>
          <w:webHidden/>
        </w:rPr>
        <w:t>17</w:t>
      </w:r>
      <w:r>
        <w:rPr>
          <w:noProof/>
          <w:webHidden/>
        </w:rPr>
        <w:fldChar w:fldCharType="end"/>
      </w:r>
      <w:r>
        <w:rPr/>
        <w:fldChar w:fldCharType="end"/>
      </w:r>
    </w:p>
    <w:p>
      <w:pPr>
        <w:pStyle w:val="style19"/>
        <w:tabs>
          <w:tab w:val="left" w:leader="none" w:pos="660"/>
          <w:tab w:val="right" w:leader="none" w:pos="9017"/>
        </w:tabs>
        <w:rPr>
          <w:rFonts w:ascii="Calibri" w:hAnsi="Calibri"/>
          <w:noProof/>
          <w:sz w:val="22"/>
        </w:rPr>
      </w:pPr>
      <w:r>
        <w:rPr/>
        <w:fldChar w:fldCharType="begin"/>
      </w:r>
      <w:r>
        <w:instrText xml:space="preserve"> HYPERLINK \l "_Toc213929887" </w:instrText>
      </w:r>
      <w:r>
        <w:rPr/>
        <w:fldChar w:fldCharType="separate"/>
      </w:r>
      <w:r>
        <w:rPr>
          <w:rStyle w:val="style85"/>
          <w:rFonts w:eastAsia="Arial"/>
          <w:noProof/>
        </w:rPr>
        <w:t>3.4</w:t>
      </w:r>
      <w:r>
        <w:rPr>
          <w:rFonts w:ascii="Calibri" w:hAnsi="Calibri"/>
          <w:noProof/>
          <w:sz w:val="22"/>
        </w:rPr>
        <w:tab/>
      </w:r>
      <w:r>
        <w:rPr>
          <w:rStyle w:val="style85"/>
          <w:rFonts w:eastAsia="Arial"/>
          <w:noProof/>
        </w:rPr>
        <w:t>Calibration Curve and Calculation</w:t>
      </w:r>
      <w:r>
        <w:rPr>
          <w:noProof/>
          <w:webHidden/>
        </w:rPr>
        <w:tab/>
      </w:r>
      <w:r>
        <w:rPr>
          <w:noProof/>
          <w:webHidden/>
        </w:rPr>
        <w:fldChar w:fldCharType="begin"/>
      </w:r>
      <w:r>
        <w:rPr>
          <w:noProof/>
          <w:webHidden/>
        </w:rPr>
        <w:instrText xml:space="preserve"> PAGEREF _Toc213929887 \h </w:instrText>
      </w:r>
      <w:r>
        <w:rPr>
          <w:noProof/>
          <w:webHidden/>
        </w:rPr>
        <w:fldChar w:fldCharType="separate"/>
      </w:r>
      <w:r>
        <w:rPr>
          <w:noProof/>
          <w:webHidden/>
        </w:rPr>
        <w:t>18</w:t>
      </w:r>
      <w:r>
        <w:rPr>
          <w:noProof/>
          <w:webHidden/>
        </w:rPr>
        <w:fldChar w:fldCharType="end"/>
      </w:r>
      <w:r>
        <w:rPr/>
        <w:fldChar w:fldCharType="end"/>
      </w:r>
    </w:p>
    <w:p>
      <w:pPr>
        <w:pStyle w:val="style19"/>
        <w:tabs>
          <w:tab w:val="right" w:leader="none" w:pos="9017"/>
        </w:tabs>
        <w:rPr>
          <w:rFonts w:ascii="Calibri" w:hAnsi="Calibri"/>
          <w:noProof/>
          <w:sz w:val="22"/>
        </w:rPr>
      </w:pPr>
      <w:r>
        <w:rPr/>
        <w:fldChar w:fldCharType="begin"/>
      </w:r>
      <w:r>
        <w:instrText xml:space="preserve"> HYPERLINK \l "_Toc213929888" </w:instrText>
      </w:r>
      <w:r>
        <w:rPr/>
        <w:fldChar w:fldCharType="separate"/>
      </w:r>
      <w:r>
        <w:rPr>
          <w:rStyle w:val="style85"/>
          <w:rFonts w:eastAsia="Times New Roman"/>
          <w:noProof/>
        </w:rPr>
        <w:t>CHAPTER FOUR</w:t>
      </w:r>
      <w:r>
        <w:rPr>
          <w:noProof/>
          <w:webHidden/>
        </w:rPr>
        <w:tab/>
      </w:r>
      <w:r>
        <w:rPr>
          <w:noProof/>
          <w:webHidden/>
        </w:rPr>
        <w:fldChar w:fldCharType="begin"/>
      </w:r>
      <w:r>
        <w:rPr>
          <w:noProof/>
          <w:webHidden/>
        </w:rPr>
        <w:instrText xml:space="preserve"> PAGEREF _Toc213929888 \h </w:instrText>
      </w:r>
      <w:r>
        <w:rPr>
          <w:noProof/>
          <w:webHidden/>
        </w:rPr>
        <w:fldChar w:fldCharType="separate"/>
      </w:r>
      <w:r>
        <w:rPr>
          <w:noProof/>
          <w:webHidden/>
        </w:rPr>
        <w:t>19</w:t>
      </w:r>
      <w:r>
        <w:rPr>
          <w:noProof/>
          <w:webHidden/>
        </w:rPr>
        <w:fldChar w:fldCharType="end"/>
      </w:r>
      <w:r>
        <w:rPr/>
        <w:fldChar w:fldCharType="end"/>
      </w:r>
    </w:p>
    <w:p>
      <w:pPr>
        <w:pStyle w:val="style19"/>
        <w:tabs>
          <w:tab w:val="right" w:leader="none" w:pos="9017"/>
        </w:tabs>
        <w:rPr>
          <w:rFonts w:ascii="Calibri" w:hAnsi="Calibri"/>
          <w:noProof/>
          <w:sz w:val="22"/>
        </w:rPr>
      </w:pPr>
      <w:r>
        <w:rPr/>
        <w:fldChar w:fldCharType="begin"/>
      </w:r>
      <w:r>
        <w:instrText xml:space="preserve"> HYPERLINK \l "_Toc213929889" </w:instrText>
      </w:r>
      <w:r>
        <w:rPr/>
        <w:fldChar w:fldCharType="separate"/>
      </w:r>
      <w:r>
        <w:rPr>
          <w:rStyle w:val="style85"/>
          <w:rFonts w:eastAsia="Times New Roman"/>
          <w:noProof/>
        </w:rPr>
        <w:t>RESULTS AND DISCUSSION</w:t>
      </w:r>
      <w:r>
        <w:rPr>
          <w:noProof/>
          <w:webHidden/>
        </w:rPr>
        <w:tab/>
      </w:r>
      <w:r>
        <w:rPr>
          <w:noProof/>
          <w:webHidden/>
        </w:rPr>
        <w:fldChar w:fldCharType="begin"/>
      </w:r>
      <w:r>
        <w:rPr>
          <w:noProof/>
          <w:webHidden/>
        </w:rPr>
        <w:instrText xml:space="preserve"> PAGEREF _Toc213929889 \h </w:instrText>
      </w:r>
      <w:r>
        <w:rPr>
          <w:noProof/>
          <w:webHidden/>
        </w:rPr>
        <w:fldChar w:fldCharType="separate"/>
      </w:r>
      <w:r>
        <w:rPr>
          <w:noProof/>
          <w:webHidden/>
        </w:rPr>
        <w:t>19</w:t>
      </w:r>
      <w:r>
        <w:rPr>
          <w:noProof/>
          <w:webHidden/>
        </w:rPr>
        <w:fldChar w:fldCharType="end"/>
      </w:r>
      <w:r>
        <w:rPr/>
        <w:fldChar w:fldCharType="end"/>
      </w:r>
    </w:p>
    <w:p>
      <w:pPr>
        <w:pStyle w:val="style19"/>
        <w:tabs>
          <w:tab w:val="left" w:leader="none" w:pos="660"/>
          <w:tab w:val="right" w:leader="none" w:pos="9017"/>
        </w:tabs>
        <w:rPr>
          <w:rFonts w:ascii="Calibri" w:hAnsi="Calibri"/>
          <w:noProof/>
          <w:sz w:val="22"/>
        </w:rPr>
      </w:pPr>
      <w:r>
        <w:rPr/>
        <w:fldChar w:fldCharType="begin"/>
      </w:r>
      <w:r>
        <w:instrText xml:space="preserve"> HYPERLINK \l "_Toc213929890" </w:instrText>
      </w:r>
      <w:r>
        <w:rPr/>
        <w:fldChar w:fldCharType="separate"/>
      </w:r>
      <w:r>
        <w:rPr>
          <w:rStyle w:val="style85"/>
          <w:rFonts w:eastAsia="Times New Roman"/>
          <w:noProof/>
        </w:rPr>
        <w:t>4.1</w:t>
      </w:r>
      <w:r>
        <w:rPr>
          <w:rFonts w:ascii="Calibri" w:hAnsi="Calibri"/>
          <w:noProof/>
          <w:sz w:val="22"/>
        </w:rPr>
        <w:tab/>
      </w:r>
      <w:r>
        <w:rPr>
          <w:rStyle w:val="style85"/>
          <w:rFonts w:eastAsia="Times New Roman"/>
          <w:noProof/>
        </w:rPr>
        <w:t>Results</w:t>
      </w:r>
      <w:r>
        <w:rPr>
          <w:noProof/>
          <w:webHidden/>
        </w:rPr>
        <w:tab/>
      </w:r>
      <w:r>
        <w:rPr>
          <w:noProof/>
          <w:webHidden/>
        </w:rPr>
        <w:fldChar w:fldCharType="begin"/>
      </w:r>
      <w:r>
        <w:rPr>
          <w:noProof/>
          <w:webHidden/>
        </w:rPr>
        <w:instrText xml:space="preserve"> PAGEREF _Toc213929890 \h </w:instrText>
      </w:r>
      <w:r>
        <w:rPr>
          <w:noProof/>
          <w:webHidden/>
        </w:rPr>
        <w:fldChar w:fldCharType="separate"/>
      </w:r>
      <w:r>
        <w:rPr>
          <w:noProof/>
          <w:webHidden/>
        </w:rPr>
        <w:t>19</w:t>
      </w:r>
      <w:r>
        <w:rPr>
          <w:noProof/>
          <w:webHidden/>
        </w:rPr>
        <w:fldChar w:fldCharType="end"/>
      </w:r>
      <w:r>
        <w:rPr/>
        <w:fldChar w:fldCharType="end"/>
      </w:r>
    </w:p>
    <w:p>
      <w:pPr>
        <w:pStyle w:val="style19"/>
        <w:tabs>
          <w:tab w:val="left" w:leader="none" w:pos="880"/>
          <w:tab w:val="right" w:leader="none" w:pos="9017"/>
        </w:tabs>
        <w:rPr>
          <w:rFonts w:ascii="Calibri" w:hAnsi="Calibri"/>
          <w:noProof/>
          <w:sz w:val="22"/>
        </w:rPr>
      </w:pPr>
      <w:r>
        <w:rPr/>
        <w:fldChar w:fldCharType="begin"/>
      </w:r>
      <w:r>
        <w:instrText xml:space="preserve"> HYPERLINK \l "_Toc213929891" </w:instrText>
      </w:r>
      <w:r>
        <w:rPr/>
        <w:fldChar w:fldCharType="separate"/>
      </w:r>
      <w:r>
        <w:rPr>
          <w:rStyle w:val="style85"/>
          <w:rFonts w:eastAsia="Times New Roman"/>
          <w:noProof/>
        </w:rPr>
        <w:t>4.1.1</w:t>
      </w:r>
      <w:r>
        <w:rPr>
          <w:rFonts w:ascii="Calibri" w:hAnsi="Calibri"/>
          <w:noProof/>
          <w:sz w:val="22"/>
        </w:rPr>
        <w:tab/>
      </w:r>
      <w:r>
        <w:rPr>
          <w:rStyle w:val="style85"/>
          <w:rFonts w:eastAsia="Times New Roman"/>
          <w:noProof/>
        </w:rPr>
        <w:t>FTIR Spectrometer Results</w:t>
      </w:r>
      <w:r>
        <w:rPr>
          <w:noProof/>
          <w:webHidden/>
        </w:rPr>
        <w:tab/>
      </w:r>
      <w:r>
        <w:rPr>
          <w:noProof/>
          <w:webHidden/>
        </w:rPr>
        <w:fldChar w:fldCharType="begin"/>
      </w:r>
      <w:r>
        <w:rPr>
          <w:noProof/>
          <w:webHidden/>
        </w:rPr>
        <w:instrText xml:space="preserve"> PAGEREF _Toc213929891 \h </w:instrText>
      </w:r>
      <w:r>
        <w:rPr>
          <w:noProof/>
          <w:webHidden/>
        </w:rPr>
        <w:fldChar w:fldCharType="separate"/>
      </w:r>
      <w:r>
        <w:rPr>
          <w:noProof/>
          <w:webHidden/>
        </w:rPr>
        <w:t>19</w:t>
      </w:r>
      <w:r>
        <w:rPr>
          <w:noProof/>
          <w:webHidden/>
        </w:rPr>
        <w:fldChar w:fldCharType="end"/>
      </w:r>
      <w:r>
        <w:rPr/>
        <w:fldChar w:fldCharType="end"/>
      </w:r>
    </w:p>
    <w:p>
      <w:pPr>
        <w:pStyle w:val="style19"/>
        <w:tabs>
          <w:tab w:val="left" w:leader="none" w:pos="880"/>
          <w:tab w:val="right" w:leader="none" w:pos="9017"/>
        </w:tabs>
        <w:rPr>
          <w:rFonts w:ascii="Calibri" w:hAnsi="Calibri"/>
          <w:noProof/>
          <w:sz w:val="22"/>
        </w:rPr>
      </w:pPr>
      <w:r>
        <w:rPr/>
        <w:fldChar w:fldCharType="begin"/>
      </w:r>
      <w:r>
        <w:instrText xml:space="preserve"> HYPERLINK \l "_Toc213929892" </w:instrText>
      </w:r>
      <w:r>
        <w:rPr/>
        <w:fldChar w:fldCharType="separate"/>
      </w:r>
      <w:r>
        <w:rPr>
          <w:rStyle w:val="style85"/>
          <w:rFonts w:eastAsia="Times New Roman"/>
          <w:noProof/>
        </w:rPr>
        <w:t>34.1.2</w:t>
      </w:r>
      <w:r>
        <w:rPr>
          <w:rFonts w:ascii="Calibri" w:hAnsi="Calibri"/>
          <w:noProof/>
          <w:sz w:val="22"/>
        </w:rPr>
        <w:tab/>
      </w:r>
      <w:r>
        <w:rPr>
          <w:rStyle w:val="style85"/>
          <w:rFonts w:eastAsia="Times New Roman"/>
          <w:noProof/>
        </w:rPr>
        <w:t>UV–Visible Spectrophotometric Results</w:t>
      </w:r>
      <w:r>
        <w:rPr>
          <w:noProof/>
          <w:webHidden/>
        </w:rPr>
        <w:tab/>
      </w:r>
      <w:r>
        <w:rPr>
          <w:noProof/>
          <w:webHidden/>
        </w:rPr>
        <w:fldChar w:fldCharType="begin"/>
      </w:r>
      <w:r>
        <w:rPr>
          <w:noProof/>
          <w:webHidden/>
        </w:rPr>
        <w:instrText xml:space="preserve"> PAGEREF _Toc213929892 \h </w:instrText>
      </w:r>
      <w:r>
        <w:rPr>
          <w:noProof/>
          <w:webHidden/>
        </w:rPr>
        <w:fldChar w:fldCharType="separate"/>
      </w:r>
      <w:r>
        <w:rPr>
          <w:noProof/>
          <w:webHidden/>
        </w:rPr>
        <w:t>22</w:t>
      </w:r>
      <w:r>
        <w:rPr>
          <w:noProof/>
          <w:webHidden/>
        </w:rPr>
        <w:fldChar w:fldCharType="end"/>
      </w:r>
      <w:r>
        <w:rPr/>
        <w:fldChar w:fldCharType="end"/>
      </w:r>
    </w:p>
    <w:p>
      <w:pPr>
        <w:pStyle w:val="style19"/>
        <w:tabs>
          <w:tab w:val="left" w:leader="none" w:pos="660"/>
          <w:tab w:val="right" w:leader="none" w:pos="9017"/>
        </w:tabs>
        <w:rPr>
          <w:rFonts w:ascii="Calibri" w:hAnsi="Calibri"/>
          <w:noProof/>
          <w:sz w:val="22"/>
        </w:rPr>
      </w:pPr>
      <w:r>
        <w:rPr/>
        <w:fldChar w:fldCharType="begin"/>
      </w:r>
      <w:r>
        <w:instrText xml:space="preserve"> HYPERLINK \l "_Toc213929893" </w:instrText>
      </w:r>
      <w:r>
        <w:rPr/>
        <w:fldChar w:fldCharType="separate"/>
      </w:r>
      <w:r>
        <w:rPr>
          <w:rStyle w:val="style85"/>
          <w:rFonts w:eastAsia="Times New Roman"/>
          <w:noProof/>
        </w:rPr>
        <w:t>4.2</w:t>
      </w:r>
      <w:r>
        <w:rPr>
          <w:rFonts w:ascii="Calibri" w:hAnsi="Calibri"/>
          <w:noProof/>
          <w:sz w:val="22"/>
        </w:rPr>
        <w:tab/>
      </w:r>
      <w:r>
        <w:rPr>
          <w:rStyle w:val="style85"/>
          <w:rFonts w:eastAsia="Times New Roman"/>
          <w:noProof/>
        </w:rPr>
        <w:t>Discussion</w:t>
      </w:r>
      <w:r>
        <w:rPr>
          <w:noProof/>
          <w:webHidden/>
        </w:rPr>
        <w:tab/>
      </w:r>
      <w:r>
        <w:rPr>
          <w:noProof/>
          <w:webHidden/>
        </w:rPr>
        <w:fldChar w:fldCharType="begin"/>
      </w:r>
      <w:r>
        <w:rPr>
          <w:noProof/>
          <w:webHidden/>
        </w:rPr>
        <w:instrText xml:space="preserve"> PAGEREF _Toc213929893 \h </w:instrText>
      </w:r>
      <w:r>
        <w:rPr>
          <w:noProof/>
          <w:webHidden/>
        </w:rPr>
        <w:fldChar w:fldCharType="separate"/>
      </w:r>
      <w:r>
        <w:rPr>
          <w:noProof/>
          <w:webHidden/>
        </w:rPr>
        <w:t>25</w:t>
      </w:r>
      <w:r>
        <w:rPr>
          <w:noProof/>
          <w:webHidden/>
        </w:rPr>
        <w:fldChar w:fldCharType="end"/>
      </w:r>
      <w:r>
        <w:rPr/>
        <w:fldChar w:fldCharType="end"/>
      </w:r>
    </w:p>
    <w:p>
      <w:pPr>
        <w:pStyle w:val="style19"/>
        <w:tabs>
          <w:tab w:val="left" w:leader="none" w:pos="880"/>
          <w:tab w:val="right" w:leader="none" w:pos="9017"/>
        </w:tabs>
        <w:rPr>
          <w:rFonts w:ascii="Calibri" w:hAnsi="Calibri"/>
          <w:noProof/>
          <w:sz w:val="22"/>
        </w:rPr>
      </w:pPr>
      <w:r>
        <w:rPr/>
        <w:fldChar w:fldCharType="begin"/>
      </w:r>
      <w:r>
        <w:instrText xml:space="preserve"> HYPERLINK \l "_Toc213929894" </w:instrText>
      </w:r>
      <w:r>
        <w:rPr/>
        <w:fldChar w:fldCharType="separate"/>
      </w:r>
      <w:r>
        <w:rPr>
          <w:rStyle w:val="style85"/>
          <w:rFonts w:eastAsia="Times New Roman"/>
          <w:noProof/>
        </w:rPr>
        <w:t>4.2.1</w:t>
      </w:r>
      <w:r>
        <w:rPr>
          <w:rFonts w:ascii="Calibri" w:hAnsi="Calibri"/>
          <w:noProof/>
          <w:sz w:val="22"/>
        </w:rPr>
        <w:tab/>
      </w:r>
      <w:r>
        <w:rPr>
          <w:rStyle w:val="style85"/>
          <w:rFonts w:eastAsia="Times New Roman"/>
          <w:noProof/>
        </w:rPr>
        <w:t>FTIR Spectroscopic Analysis</w:t>
      </w:r>
      <w:r>
        <w:rPr>
          <w:noProof/>
          <w:webHidden/>
        </w:rPr>
        <w:tab/>
      </w:r>
      <w:r>
        <w:rPr>
          <w:noProof/>
          <w:webHidden/>
        </w:rPr>
        <w:fldChar w:fldCharType="begin"/>
      </w:r>
      <w:r>
        <w:rPr>
          <w:noProof/>
          <w:webHidden/>
        </w:rPr>
        <w:instrText xml:space="preserve"> PAGEREF _Toc213929894 \h </w:instrText>
      </w:r>
      <w:r>
        <w:rPr>
          <w:noProof/>
          <w:webHidden/>
        </w:rPr>
        <w:fldChar w:fldCharType="separate"/>
      </w:r>
      <w:r>
        <w:rPr>
          <w:noProof/>
          <w:webHidden/>
        </w:rPr>
        <w:t>25</w:t>
      </w:r>
      <w:r>
        <w:rPr>
          <w:noProof/>
          <w:webHidden/>
        </w:rPr>
        <w:fldChar w:fldCharType="end"/>
      </w:r>
      <w:r>
        <w:rPr/>
        <w:fldChar w:fldCharType="end"/>
      </w:r>
    </w:p>
    <w:p>
      <w:pPr>
        <w:pStyle w:val="style19"/>
        <w:tabs>
          <w:tab w:val="left" w:leader="none" w:pos="880"/>
          <w:tab w:val="right" w:leader="none" w:pos="9017"/>
        </w:tabs>
        <w:rPr>
          <w:rFonts w:ascii="Calibri" w:hAnsi="Calibri"/>
          <w:noProof/>
          <w:sz w:val="22"/>
        </w:rPr>
      </w:pPr>
      <w:r>
        <w:rPr/>
        <w:fldChar w:fldCharType="begin"/>
      </w:r>
      <w:r>
        <w:instrText xml:space="preserve"> HYPERLINK \l "_Toc213929895" </w:instrText>
      </w:r>
      <w:r>
        <w:rPr/>
        <w:fldChar w:fldCharType="separate"/>
      </w:r>
      <w:r>
        <w:rPr>
          <w:rStyle w:val="style85"/>
          <w:rFonts w:eastAsia="Times New Roman"/>
          <w:noProof/>
        </w:rPr>
        <w:t>4.2.2</w:t>
      </w:r>
      <w:r>
        <w:rPr>
          <w:rFonts w:ascii="Calibri" w:hAnsi="Calibri"/>
          <w:noProof/>
          <w:sz w:val="22"/>
        </w:rPr>
        <w:tab/>
      </w:r>
      <w:r>
        <w:rPr>
          <w:rStyle w:val="style85"/>
          <w:rFonts w:eastAsia="Times New Roman"/>
          <w:noProof/>
        </w:rPr>
        <w:t>UV–Visible Spectrophotometric Analysis</w:t>
      </w:r>
      <w:r>
        <w:rPr>
          <w:noProof/>
          <w:webHidden/>
        </w:rPr>
        <w:tab/>
      </w:r>
      <w:r>
        <w:rPr>
          <w:noProof/>
          <w:webHidden/>
        </w:rPr>
        <w:fldChar w:fldCharType="begin"/>
      </w:r>
      <w:r>
        <w:rPr>
          <w:noProof/>
          <w:webHidden/>
        </w:rPr>
        <w:instrText xml:space="preserve"> PAGEREF _Toc213929895 \h </w:instrText>
      </w:r>
      <w:r>
        <w:rPr>
          <w:noProof/>
          <w:webHidden/>
        </w:rPr>
        <w:fldChar w:fldCharType="separate"/>
      </w:r>
      <w:r>
        <w:rPr>
          <w:noProof/>
          <w:webHidden/>
        </w:rPr>
        <w:t>26</w:t>
      </w:r>
      <w:r>
        <w:rPr>
          <w:noProof/>
          <w:webHidden/>
        </w:rPr>
        <w:fldChar w:fldCharType="end"/>
      </w:r>
      <w:r>
        <w:rPr/>
        <w:fldChar w:fldCharType="end"/>
      </w:r>
    </w:p>
    <w:p>
      <w:pPr>
        <w:pStyle w:val="style19"/>
        <w:tabs>
          <w:tab w:val="right" w:leader="none" w:pos="9017"/>
        </w:tabs>
        <w:rPr>
          <w:rFonts w:ascii="Calibri" w:hAnsi="Calibri"/>
          <w:noProof/>
          <w:sz w:val="22"/>
        </w:rPr>
      </w:pPr>
      <w:r>
        <w:rPr/>
        <w:fldChar w:fldCharType="begin"/>
      </w:r>
      <w:r>
        <w:instrText xml:space="preserve"> HYPERLINK \l "_Toc213929896" </w:instrText>
      </w:r>
      <w:r>
        <w:rPr/>
        <w:fldChar w:fldCharType="separate"/>
      </w:r>
      <w:r>
        <w:rPr>
          <w:rStyle w:val="style85"/>
          <w:noProof/>
        </w:rPr>
        <w:t xml:space="preserve">4.2.3    </w:t>
      </w:r>
      <w:r>
        <w:rPr>
          <w:rStyle w:val="style85"/>
          <w:rFonts w:eastAsia="Times New Roman"/>
          <w:noProof/>
        </w:rPr>
        <w:t>Comparison of FTIR and UV–Visible Methods</w:t>
      </w:r>
      <w:r>
        <w:rPr>
          <w:noProof/>
          <w:webHidden/>
        </w:rPr>
        <w:tab/>
      </w:r>
      <w:r>
        <w:rPr>
          <w:noProof/>
          <w:webHidden/>
        </w:rPr>
        <w:fldChar w:fldCharType="begin"/>
      </w:r>
      <w:r>
        <w:rPr>
          <w:noProof/>
          <w:webHidden/>
        </w:rPr>
        <w:instrText xml:space="preserve"> PAGEREF _Toc213929896 \h </w:instrText>
      </w:r>
      <w:r>
        <w:rPr>
          <w:noProof/>
          <w:webHidden/>
        </w:rPr>
        <w:fldChar w:fldCharType="separate"/>
      </w:r>
      <w:r>
        <w:rPr>
          <w:noProof/>
          <w:webHidden/>
        </w:rPr>
        <w:t>27</w:t>
      </w:r>
      <w:r>
        <w:rPr>
          <w:noProof/>
          <w:webHidden/>
        </w:rPr>
        <w:fldChar w:fldCharType="end"/>
      </w:r>
      <w:r>
        <w:rPr/>
        <w:fldChar w:fldCharType="end"/>
      </w:r>
    </w:p>
    <w:p>
      <w:pPr>
        <w:pStyle w:val="style19"/>
        <w:tabs>
          <w:tab w:val="left" w:leader="none" w:pos="880"/>
          <w:tab w:val="right" w:leader="none" w:pos="9017"/>
        </w:tabs>
        <w:rPr>
          <w:rFonts w:ascii="Calibri" w:hAnsi="Calibri"/>
          <w:noProof/>
          <w:sz w:val="22"/>
        </w:rPr>
      </w:pPr>
      <w:r>
        <w:rPr/>
        <w:fldChar w:fldCharType="begin"/>
      </w:r>
      <w:r>
        <w:instrText xml:space="preserve"> HYPERLINK \l "_Toc213929897" </w:instrText>
      </w:r>
      <w:r>
        <w:rPr/>
        <w:fldChar w:fldCharType="separate"/>
      </w:r>
      <w:r>
        <w:rPr>
          <w:rStyle w:val="style85"/>
          <w:rFonts w:eastAsia="Times New Roman"/>
          <w:noProof/>
        </w:rPr>
        <w:t>4.2.4</w:t>
      </w:r>
      <w:r>
        <w:rPr>
          <w:rFonts w:ascii="Calibri" w:hAnsi="Calibri"/>
          <w:noProof/>
          <w:sz w:val="22"/>
        </w:rPr>
        <w:tab/>
      </w:r>
      <w:r>
        <w:rPr>
          <w:rStyle w:val="style85"/>
          <w:rFonts w:eastAsia="Times New Roman"/>
          <w:noProof/>
        </w:rPr>
        <w:t>Compliance with Regulatory Standards</w:t>
      </w:r>
      <w:r>
        <w:rPr>
          <w:noProof/>
          <w:webHidden/>
        </w:rPr>
        <w:tab/>
      </w:r>
      <w:r>
        <w:rPr>
          <w:noProof/>
          <w:webHidden/>
        </w:rPr>
        <w:fldChar w:fldCharType="begin"/>
      </w:r>
      <w:r>
        <w:rPr>
          <w:noProof/>
          <w:webHidden/>
        </w:rPr>
        <w:instrText xml:space="preserve"> PAGEREF _Toc213929897 \h </w:instrText>
      </w:r>
      <w:r>
        <w:rPr>
          <w:noProof/>
          <w:webHidden/>
        </w:rPr>
        <w:fldChar w:fldCharType="separate"/>
      </w:r>
      <w:r>
        <w:rPr>
          <w:noProof/>
          <w:webHidden/>
        </w:rPr>
        <w:t>27</w:t>
      </w:r>
      <w:r>
        <w:rPr>
          <w:noProof/>
          <w:webHidden/>
        </w:rPr>
        <w:fldChar w:fldCharType="end"/>
      </w:r>
      <w:r>
        <w:rPr/>
        <w:fldChar w:fldCharType="end"/>
      </w:r>
    </w:p>
    <w:p>
      <w:pPr>
        <w:pStyle w:val="style19"/>
        <w:tabs>
          <w:tab w:val="right" w:leader="none" w:pos="9017"/>
        </w:tabs>
        <w:rPr>
          <w:rFonts w:ascii="Calibri" w:hAnsi="Calibri"/>
          <w:noProof/>
          <w:sz w:val="22"/>
        </w:rPr>
      </w:pPr>
      <w:r>
        <w:rPr/>
        <w:fldChar w:fldCharType="begin"/>
      </w:r>
      <w:r>
        <w:instrText xml:space="preserve"> HYPERLINK \l "_Toc213929898" </w:instrText>
      </w:r>
      <w:r>
        <w:rPr/>
        <w:fldChar w:fldCharType="separate"/>
      </w:r>
      <w:r>
        <w:rPr>
          <w:rStyle w:val="style85"/>
          <w:rFonts w:eastAsia="Times New Roman"/>
          <w:noProof/>
        </w:rPr>
        <w:t>CHAPTER FIVE</w:t>
      </w:r>
      <w:r>
        <w:rPr>
          <w:noProof/>
          <w:webHidden/>
        </w:rPr>
        <w:tab/>
      </w:r>
      <w:r>
        <w:rPr>
          <w:noProof/>
          <w:webHidden/>
        </w:rPr>
        <w:fldChar w:fldCharType="begin"/>
      </w:r>
      <w:r>
        <w:rPr>
          <w:noProof/>
          <w:webHidden/>
        </w:rPr>
        <w:instrText xml:space="preserve"> PAGEREF _Toc213929898 \h </w:instrText>
      </w:r>
      <w:r>
        <w:rPr>
          <w:noProof/>
          <w:webHidden/>
        </w:rPr>
        <w:fldChar w:fldCharType="separate"/>
      </w:r>
      <w:r>
        <w:rPr>
          <w:noProof/>
          <w:webHidden/>
        </w:rPr>
        <w:t>29</w:t>
      </w:r>
      <w:r>
        <w:rPr>
          <w:noProof/>
          <w:webHidden/>
        </w:rPr>
        <w:fldChar w:fldCharType="end"/>
      </w:r>
      <w:r>
        <w:rPr/>
        <w:fldChar w:fldCharType="end"/>
      </w:r>
    </w:p>
    <w:p>
      <w:pPr>
        <w:pStyle w:val="style19"/>
        <w:tabs>
          <w:tab w:val="right" w:leader="none" w:pos="9017"/>
        </w:tabs>
        <w:rPr>
          <w:rFonts w:ascii="Calibri" w:hAnsi="Calibri"/>
          <w:noProof/>
          <w:sz w:val="22"/>
        </w:rPr>
      </w:pPr>
      <w:r>
        <w:rPr/>
        <w:fldChar w:fldCharType="begin"/>
      </w:r>
      <w:r>
        <w:instrText xml:space="preserve"> HYPERLINK \l "_Toc213929899" </w:instrText>
      </w:r>
      <w:r>
        <w:rPr/>
        <w:fldChar w:fldCharType="separate"/>
      </w:r>
      <w:r>
        <w:rPr>
          <w:rStyle w:val="style85"/>
          <w:rFonts w:eastAsia="Times New Roman"/>
          <w:noProof/>
        </w:rPr>
        <w:t>CONCLUSION AND RECOMMENDATIONS</w:t>
      </w:r>
      <w:r>
        <w:rPr>
          <w:noProof/>
          <w:webHidden/>
        </w:rPr>
        <w:tab/>
      </w:r>
      <w:r>
        <w:rPr>
          <w:noProof/>
          <w:webHidden/>
        </w:rPr>
        <w:fldChar w:fldCharType="begin"/>
      </w:r>
      <w:r>
        <w:rPr>
          <w:noProof/>
          <w:webHidden/>
        </w:rPr>
        <w:instrText xml:space="preserve"> PAGEREF _Toc213929899 \h </w:instrText>
      </w:r>
      <w:r>
        <w:rPr>
          <w:noProof/>
          <w:webHidden/>
        </w:rPr>
        <w:fldChar w:fldCharType="separate"/>
      </w:r>
      <w:r>
        <w:rPr>
          <w:noProof/>
          <w:webHidden/>
        </w:rPr>
        <w:t>29</w:t>
      </w:r>
      <w:r>
        <w:rPr>
          <w:noProof/>
          <w:webHidden/>
        </w:rPr>
        <w:fldChar w:fldCharType="end"/>
      </w:r>
      <w:r>
        <w:rPr/>
        <w:fldChar w:fldCharType="end"/>
      </w:r>
    </w:p>
    <w:p>
      <w:pPr>
        <w:pStyle w:val="style19"/>
        <w:tabs>
          <w:tab w:val="left" w:leader="none" w:pos="660"/>
          <w:tab w:val="right" w:leader="none" w:pos="9017"/>
        </w:tabs>
        <w:rPr>
          <w:rFonts w:ascii="Calibri" w:hAnsi="Calibri"/>
          <w:noProof/>
          <w:sz w:val="22"/>
        </w:rPr>
      </w:pPr>
      <w:r>
        <w:rPr/>
        <w:fldChar w:fldCharType="begin"/>
      </w:r>
      <w:r>
        <w:instrText xml:space="preserve"> HYPERLINK \l "_Toc213929900" </w:instrText>
      </w:r>
      <w:r>
        <w:rPr/>
        <w:fldChar w:fldCharType="separate"/>
      </w:r>
      <w:r>
        <w:rPr>
          <w:rStyle w:val="style85"/>
          <w:rFonts w:eastAsia="Times New Roman"/>
          <w:noProof/>
        </w:rPr>
        <w:t>5.1</w:t>
      </w:r>
      <w:r>
        <w:rPr>
          <w:rFonts w:ascii="Calibri" w:hAnsi="Calibri"/>
          <w:noProof/>
          <w:sz w:val="22"/>
        </w:rPr>
        <w:tab/>
      </w:r>
      <w:r>
        <w:rPr>
          <w:rStyle w:val="style85"/>
          <w:rFonts w:eastAsia="Times New Roman"/>
          <w:noProof/>
        </w:rPr>
        <w:t>Conclusion</w:t>
      </w:r>
      <w:r>
        <w:rPr>
          <w:noProof/>
          <w:webHidden/>
        </w:rPr>
        <w:tab/>
      </w:r>
      <w:r>
        <w:rPr>
          <w:noProof/>
          <w:webHidden/>
        </w:rPr>
        <w:fldChar w:fldCharType="begin"/>
      </w:r>
      <w:r>
        <w:rPr>
          <w:noProof/>
          <w:webHidden/>
        </w:rPr>
        <w:instrText xml:space="preserve"> PAGEREF _Toc213929900 \h </w:instrText>
      </w:r>
      <w:r>
        <w:rPr>
          <w:noProof/>
          <w:webHidden/>
        </w:rPr>
        <w:fldChar w:fldCharType="separate"/>
      </w:r>
      <w:r>
        <w:rPr>
          <w:noProof/>
          <w:webHidden/>
        </w:rPr>
        <w:t>29</w:t>
      </w:r>
      <w:r>
        <w:rPr>
          <w:noProof/>
          <w:webHidden/>
        </w:rPr>
        <w:fldChar w:fldCharType="end"/>
      </w:r>
      <w:r>
        <w:rPr/>
        <w:fldChar w:fldCharType="end"/>
      </w:r>
    </w:p>
    <w:p>
      <w:pPr>
        <w:pStyle w:val="style19"/>
        <w:tabs>
          <w:tab w:val="left" w:leader="none" w:pos="660"/>
          <w:tab w:val="right" w:leader="none" w:pos="9017"/>
        </w:tabs>
        <w:rPr>
          <w:rFonts w:ascii="Calibri" w:hAnsi="Calibri"/>
          <w:noProof/>
          <w:sz w:val="22"/>
        </w:rPr>
      </w:pPr>
      <w:r>
        <w:rPr/>
        <w:fldChar w:fldCharType="begin"/>
      </w:r>
      <w:r>
        <w:instrText xml:space="preserve"> HYPERLINK \l "_Toc213929901" </w:instrText>
      </w:r>
      <w:r>
        <w:rPr/>
        <w:fldChar w:fldCharType="separate"/>
      </w:r>
      <w:r>
        <w:rPr>
          <w:rStyle w:val="style85"/>
          <w:rFonts w:eastAsia="Times New Roman"/>
          <w:noProof/>
        </w:rPr>
        <w:t>5.2</w:t>
      </w:r>
      <w:r>
        <w:rPr>
          <w:rFonts w:ascii="Calibri" w:hAnsi="Calibri"/>
          <w:noProof/>
          <w:sz w:val="22"/>
        </w:rPr>
        <w:tab/>
      </w:r>
      <w:r>
        <w:rPr>
          <w:rStyle w:val="style85"/>
          <w:rFonts w:eastAsia="Times New Roman"/>
          <w:noProof/>
        </w:rPr>
        <w:t>Recommendations</w:t>
      </w:r>
      <w:r>
        <w:rPr>
          <w:rStyle w:val="style85"/>
          <w:rFonts w:cs="Times New Roman"/>
          <w:noProof/>
        </w:rPr>
        <w:t>:</w:t>
      </w:r>
      <w:r>
        <w:rPr>
          <w:noProof/>
          <w:webHidden/>
        </w:rPr>
        <w:tab/>
      </w:r>
      <w:r>
        <w:rPr>
          <w:noProof/>
          <w:webHidden/>
        </w:rPr>
        <w:fldChar w:fldCharType="begin"/>
      </w:r>
      <w:r>
        <w:rPr>
          <w:noProof/>
          <w:webHidden/>
        </w:rPr>
        <w:instrText xml:space="preserve"> PAGEREF _Toc213929901 \h </w:instrText>
      </w:r>
      <w:r>
        <w:rPr>
          <w:noProof/>
          <w:webHidden/>
        </w:rPr>
        <w:fldChar w:fldCharType="separate"/>
      </w:r>
      <w:r>
        <w:rPr>
          <w:noProof/>
          <w:webHidden/>
        </w:rPr>
        <w:t>30</w:t>
      </w:r>
      <w:r>
        <w:rPr>
          <w:noProof/>
          <w:webHidden/>
        </w:rPr>
        <w:fldChar w:fldCharType="end"/>
      </w:r>
      <w:r>
        <w:rPr/>
        <w:fldChar w:fldCharType="end"/>
      </w:r>
    </w:p>
    <w:p>
      <w:pPr>
        <w:pStyle w:val="style20"/>
        <w:tabs>
          <w:tab w:val="right" w:leader="none" w:pos="9017"/>
        </w:tabs>
        <w:rPr>
          <w:noProof/>
        </w:rPr>
      </w:pPr>
      <w:r>
        <w:rPr/>
        <w:fldChar w:fldCharType="begin"/>
      </w:r>
      <w:r>
        <w:instrText xml:space="preserve"> HYPERLINK \l "_Toc213929902" </w:instrText>
      </w:r>
      <w:r>
        <w:rPr/>
        <w:fldChar w:fldCharType="separate"/>
      </w:r>
      <w:r>
        <w:rPr>
          <w:rStyle w:val="style85"/>
          <w:rFonts w:ascii="Times New Roman" w:cs="Times New Roman" w:eastAsia="Times New Roman" w:hAnsi="Times New Roman"/>
          <w:b/>
          <w:bCs/>
          <w:noProof/>
        </w:rPr>
        <w:t>REFERENCES</w:t>
      </w:r>
      <w:r>
        <w:rPr>
          <w:noProof/>
          <w:webHidden/>
        </w:rPr>
        <w:tab/>
      </w:r>
      <w:r>
        <w:rPr>
          <w:noProof/>
          <w:webHidden/>
        </w:rPr>
        <w:fldChar w:fldCharType="begin"/>
      </w:r>
      <w:r>
        <w:rPr>
          <w:noProof/>
          <w:webHidden/>
        </w:rPr>
        <w:instrText xml:space="preserve"> PAGEREF _Toc213929902 \h </w:instrText>
      </w:r>
      <w:r>
        <w:rPr>
          <w:noProof/>
          <w:webHidden/>
        </w:rPr>
        <w:fldChar w:fldCharType="separate"/>
      </w:r>
      <w:r>
        <w:rPr>
          <w:noProof/>
          <w:webHidden/>
        </w:rPr>
        <w:t>31</w:t>
      </w:r>
      <w:r>
        <w:rPr>
          <w:noProof/>
          <w:webHidden/>
        </w:rPr>
        <w:fldChar w:fldCharType="end"/>
      </w:r>
      <w:r>
        <w:rPr/>
        <w:fldChar w:fldCharType="end"/>
      </w:r>
    </w:p>
    <w:p>
      <w:pPr>
        <w:pStyle w:val="style21"/>
        <w:rPr>
          <w:rFonts w:ascii="Calibri" w:cs="宋体" w:eastAsia="宋体" w:hAnsi="Calibri"/>
          <w:sz w:val="22"/>
          <w:szCs w:val="22"/>
        </w:rPr>
      </w:pPr>
      <w:r>
        <w:rPr/>
        <w:fldChar w:fldCharType="begin"/>
      </w:r>
      <w:r>
        <w:instrText xml:space="preserve"> HYPERLINK \l "_Toc213929903" </w:instrText>
      </w:r>
      <w:r>
        <w:rPr/>
        <w:fldChar w:fldCharType="separate"/>
      </w:r>
      <w:r>
        <w:rPr>
          <w:rStyle w:val="style85"/>
          <w:b/>
        </w:rPr>
        <w:t>Appendix A: Calibration Data and Curve for Ethanol Standards</w:t>
      </w:r>
      <w:r>
        <w:rPr>
          <w:webHidden/>
        </w:rPr>
        <w:tab/>
      </w:r>
      <w:r>
        <w:rPr>
          <w:webHidden/>
        </w:rPr>
        <w:fldChar w:fldCharType="begin"/>
      </w:r>
      <w:r>
        <w:rPr>
          <w:webHidden/>
        </w:rPr>
        <w:instrText xml:space="preserve"> PAGEREF _Toc213929903 \h </w:instrText>
      </w:r>
      <w:r>
        <w:rPr>
          <w:webHidden/>
        </w:rPr>
        <w:fldChar w:fldCharType="separate"/>
      </w:r>
      <w:r>
        <w:rPr>
          <w:webHidden/>
        </w:rPr>
        <w:t>34</w:t>
      </w:r>
      <w:r>
        <w:rPr>
          <w:webHidden/>
        </w:rPr>
        <w:fldChar w:fldCharType="end"/>
      </w:r>
      <w:r>
        <w:rPr/>
        <w:fldChar w:fldCharType="end"/>
      </w:r>
    </w:p>
    <w:p>
      <w:pPr>
        <w:pStyle w:val="style21"/>
        <w:rPr>
          <w:rFonts w:ascii="Calibri" w:cs="宋体" w:eastAsia="宋体" w:hAnsi="Calibri"/>
          <w:sz w:val="22"/>
          <w:szCs w:val="22"/>
        </w:rPr>
      </w:pPr>
      <w:r>
        <w:rPr/>
        <w:fldChar w:fldCharType="begin"/>
      </w:r>
      <w:r>
        <w:instrText xml:space="preserve"> HYPERLINK \l "_Toc213929904" </w:instrText>
      </w:r>
      <w:r>
        <w:rPr/>
        <w:fldChar w:fldCharType="separate"/>
      </w:r>
      <w:r>
        <w:rPr>
          <w:rStyle w:val="style85"/>
          <w:b/>
        </w:rPr>
        <w:t>Appendix B: FTIR Absorption Peaks of Analyzed Energy Drinks</w:t>
      </w:r>
      <w:r>
        <w:rPr>
          <w:webHidden/>
        </w:rPr>
        <w:tab/>
      </w:r>
      <w:r>
        <w:rPr>
          <w:webHidden/>
        </w:rPr>
        <w:fldChar w:fldCharType="begin"/>
      </w:r>
      <w:r>
        <w:rPr>
          <w:webHidden/>
        </w:rPr>
        <w:instrText xml:space="preserve"> PAGEREF _Toc213929904 \h </w:instrText>
      </w:r>
      <w:r>
        <w:rPr>
          <w:webHidden/>
        </w:rPr>
        <w:fldChar w:fldCharType="separate"/>
      </w:r>
      <w:r>
        <w:rPr>
          <w:webHidden/>
        </w:rPr>
        <w:t>35</w:t>
      </w:r>
      <w:r>
        <w:rPr>
          <w:webHidden/>
        </w:rPr>
        <w:fldChar w:fldCharType="end"/>
      </w:r>
      <w:r>
        <w:rPr/>
        <w:fldChar w:fldCharType="end"/>
      </w:r>
    </w:p>
    <w:p>
      <w:pPr>
        <w:pStyle w:val="style21"/>
        <w:rPr>
          <w:rFonts w:ascii="Calibri" w:cs="宋体" w:eastAsia="宋体" w:hAnsi="Calibri"/>
          <w:sz w:val="22"/>
          <w:szCs w:val="22"/>
        </w:rPr>
      </w:pPr>
      <w:r>
        <w:rPr/>
        <w:fldChar w:fldCharType="begin"/>
      </w:r>
      <w:r>
        <w:instrText xml:space="preserve"> HYPERLINK \l "_Toc213929905" </w:instrText>
      </w:r>
      <w:r>
        <w:rPr/>
        <w:fldChar w:fldCharType="separate"/>
      </w:r>
      <w:r>
        <w:rPr>
          <w:rStyle w:val="style85"/>
          <w:b/>
        </w:rPr>
        <w:t>Appendix C: UV–Visible Spectrophotometric Determination of Ethanol</w:t>
      </w:r>
      <w:r>
        <w:rPr>
          <w:webHidden/>
        </w:rPr>
        <w:tab/>
      </w:r>
      <w:r>
        <w:rPr>
          <w:webHidden/>
        </w:rPr>
        <w:fldChar w:fldCharType="begin"/>
      </w:r>
      <w:r>
        <w:rPr>
          <w:webHidden/>
        </w:rPr>
        <w:instrText xml:space="preserve"> PAGEREF _Toc213929905 \h </w:instrText>
      </w:r>
      <w:r>
        <w:rPr>
          <w:webHidden/>
        </w:rPr>
        <w:fldChar w:fldCharType="separate"/>
      </w:r>
      <w:r>
        <w:rPr>
          <w:webHidden/>
        </w:rPr>
        <w:t>38</w:t>
      </w:r>
      <w:r>
        <w:rPr>
          <w:webHidden/>
        </w:rPr>
        <w:fldChar w:fldCharType="end"/>
      </w:r>
      <w:r>
        <w:rPr/>
        <w:fldChar w:fldCharType="end"/>
      </w:r>
    </w:p>
    <w:p>
      <w:pPr>
        <w:pStyle w:val="style21"/>
        <w:rPr>
          <w:rFonts w:ascii="Calibri" w:cs="宋体" w:eastAsia="宋体" w:hAnsi="Calibri"/>
          <w:sz w:val="22"/>
          <w:szCs w:val="22"/>
        </w:rPr>
      </w:pPr>
      <w:r>
        <w:rPr/>
        <w:fldChar w:fldCharType="begin"/>
      </w:r>
      <w:r>
        <w:instrText xml:space="preserve"> HYPERLINK \l "_Toc213929906" </w:instrText>
      </w:r>
      <w:r>
        <w:rPr/>
        <w:fldChar w:fldCharType="separate"/>
      </w:r>
      <w:r>
        <w:rPr>
          <w:rStyle w:val="style85"/>
          <w:b/>
        </w:rPr>
        <w:t>Appendix D: Sample Preparation and Analytical Procedures</w:t>
      </w:r>
      <w:r>
        <w:rPr>
          <w:webHidden/>
        </w:rPr>
        <w:tab/>
      </w:r>
      <w:r>
        <w:rPr>
          <w:webHidden/>
        </w:rPr>
        <w:fldChar w:fldCharType="begin"/>
      </w:r>
      <w:r>
        <w:rPr>
          <w:webHidden/>
        </w:rPr>
        <w:instrText xml:space="preserve"> PAGEREF _Toc213929906 \h </w:instrText>
      </w:r>
      <w:r>
        <w:rPr>
          <w:webHidden/>
        </w:rPr>
        <w:fldChar w:fldCharType="separate"/>
      </w:r>
      <w:r>
        <w:rPr>
          <w:webHidden/>
        </w:rPr>
        <w:t>39</w:t>
      </w:r>
      <w:r>
        <w:rPr>
          <w:webHidden/>
        </w:rPr>
        <w:fldChar w:fldCharType="end"/>
      </w:r>
      <w:r>
        <w:rPr/>
        <w:fldChar w:fldCharType="end"/>
      </w:r>
    </w:p>
    <w:p>
      <w:pPr>
        <w:pStyle w:val="style21"/>
        <w:rPr>
          <w:rFonts w:ascii="Calibri" w:cs="宋体" w:eastAsia="宋体" w:hAnsi="Calibri"/>
          <w:sz w:val="22"/>
          <w:szCs w:val="22"/>
        </w:rPr>
      </w:pPr>
      <w:r>
        <w:rPr/>
        <w:fldChar w:fldCharType="begin"/>
      </w:r>
      <w:r>
        <w:instrText xml:space="preserve"> HYPERLINK \l "_Toc213929907" </w:instrText>
      </w:r>
      <w:r>
        <w:rPr/>
        <w:fldChar w:fldCharType="separate"/>
      </w:r>
      <w:r>
        <w:rPr>
          <w:rStyle w:val="style85"/>
          <w:b/>
        </w:rPr>
        <w:t>Appendix F: Laboratory Equipment and Reagents</w:t>
      </w:r>
      <w:r>
        <w:rPr>
          <w:webHidden/>
        </w:rPr>
        <w:tab/>
      </w:r>
      <w:r>
        <w:rPr>
          <w:webHidden/>
        </w:rPr>
        <w:fldChar w:fldCharType="begin"/>
      </w:r>
      <w:r>
        <w:rPr>
          <w:webHidden/>
        </w:rPr>
        <w:instrText xml:space="preserve"> PAGEREF _Toc213929907 \h </w:instrText>
      </w:r>
      <w:r>
        <w:rPr>
          <w:webHidden/>
        </w:rPr>
        <w:fldChar w:fldCharType="separate"/>
      </w:r>
      <w:r>
        <w:rPr>
          <w:webHidden/>
        </w:rPr>
        <w:t>41</w:t>
      </w:r>
      <w:r>
        <w:rPr>
          <w:webHidden/>
        </w:rPr>
        <w:fldChar w:fldCharType="end"/>
      </w:r>
      <w:r>
        <w:rPr/>
        <w:fldChar w:fldCharType="end"/>
      </w:r>
    </w:p>
    <w:p>
      <w:pPr>
        <w:pStyle w:val="style0"/>
        <w:spacing w:lineRule="auto" w:line="480"/>
        <w:rPr>
          <w:rFonts w:ascii="Times New Roman" w:cs="Times New Roman" w:hAnsi="Times New Roman"/>
          <w:sz w:val="24"/>
          <w:szCs w:val="24"/>
        </w:rPr>
      </w:pPr>
      <w:r>
        <w:rPr>
          <w:rFonts w:ascii="Times New Roman" w:cs="Times New Roman" w:hAnsi="Times New Roman"/>
          <w:sz w:val="24"/>
          <w:szCs w:val="24"/>
        </w:rPr>
        <w:fldChar w:fldCharType="end"/>
      </w:r>
    </w:p>
    <w:p>
      <w:pPr>
        <w:pStyle w:val="style0"/>
        <w:rPr>
          <w:rFonts w:ascii="Times New Roman" w:cs="Times New Roman" w:hAnsi="Times New Roman"/>
          <w:sz w:val="24"/>
          <w:szCs w:val="24"/>
        </w:rPr>
      </w:pPr>
    </w:p>
    <w:p>
      <w:pPr>
        <w:pStyle w:val="style0"/>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br w:type="page"/>
      </w:r>
    </w:p>
    <w:bookmarkStart w:id="5" w:name="_Toc213929856"/>
    <w:p>
      <w:pPr>
        <w:pStyle w:val="style0"/>
        <w:spacing w:before="100" w:beforeAutospacing="true" w:after="100" w:afterAutospacing="true" w:lineRule="auto" w:line="360"/>
        <w:jc w:val="center"/>
        <w:outlineLvl w:val="1"/>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LIST OF TABLES</w:t>
      </w:r>
      <w:bookmarkEnd w:id="5"/>
    </w:p>
    <w:p>
      <w:pPr>
        <w:pStyle w:val="style0"/>
        <w:spacing w:before="100" w:beforeAutospacing="true" w:after="100" w:afterAutospacing="true" w:lineRule="auto" w:line="480"/>
        <w:rPr>
          <w:rFonts w:ascii="Times New Roman" w:cs="Times New Roman" w:eastAsia="Times New Roman" w:hAnsi="Times New Roman"/>
          <w:sz w:val="24"/>
          <w:szCs w:val="24"/>
        </w:rPr>
      </w:pPr>
      <w:r>
        <w:rPr>
          <w:rFonts w:ascii="Times New Roman" w:cs="Times New Roman" w:eastAsia="Times New Roman" w:hAnsi="Times New Roman"/>
          <w:sz w:val="24"/>
          <w:szCs w:val="24"/>
        </w:rPr>
        <w:t>Table 3.1: Reagents Us</w:t>
      </w:r>
      <w:r>
        <w:rPr>
          <w:rFonts w:ascii="Times New Roman" w:cs="Times New Roman" w:eastAsia="Times New Roman" w:hAnsi="Times New Roman"/>
          <w:sz w:val="24"/>
          <w:szCs w:val="24"/>
        </w:rPr>
        <w:t>ed for the Analysis</w:t>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12</w:t>
      </w:r>
      <w:r>
        <w:rPr>
          <w:rFonts w:ascii="Times New Roman" w:cs="Times New Roman" w:eastAsia="Times New Roman" w:hAnsi="Times New Roman"/>
          <w:sz w:val="24"/>
          <w:szCs w:val="24"/>
        </w:rPr>
        <w:br/>
      </w:r>
      <w:r>
        <w:rPr>
          <w:rFonts w:ascii="Times New Roman" w:cs="Times New Roman" w:eastAsia="Times New Roman" w:hAnsi="Times New Roman"/>
          <w:sz w:val="24"/>
          <w:szCs w:val="24"/>
        </w:rPr>
        <w:t>Table 3.2: Instruments and Equipment Used in the</w:t>
      </w:r>
      <w:r>
        <w:rPr>
          <w:rFonts w:ascii="Times New Roman" w:cs="Times New Roman" w:eastAsia="Times New Roman" w:hAnsi="Times New Roman"/>
          <w:sz w:val="24"/>
          <w:szCs w:val="24"/>
        </w:rPr>
        <w:t xml:space="preserve"> Study </w:t>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12</w:t>
      </w:r>
      <w:r>
        <w:rPr>
          <w:rFonts w:ascii="Times New Roman" w:cs="Times New Roman" w:eastAsia="Times New Roman" w:hAnsi="Times New Roman"/>
          <w:sz w:val="24"/>
          <w:szCs w:val="24"/>
        </w:rPr>
        <w:br/>
      </w:r>
      <w:r>
        <w:rPr>
          <w:rFonts w:ascii="Times New Roman" w:cs="Times New Roman" w:eastAsia="Times New Roman" w:hAnsi="Times New Roman"/>
          <w:sz w:val="24"/>
          <w:szCs w:val="24"/>
        </w:rPr>
        <w:t>Table 4.1a: FTIR Absorption Peaks for Mons</w:t>
      </w:r>
      <w:r>
        <w:rPr>
          <w:rFonts w:ascii="Times New Roman" w:cs="Times New Roman" w:eastAsia="Times New Roman" w:hAnsi="Times New Roman"/>
          <w:sz w:val="24"/>
          <w:szCs w:val="24"/>
        </w:rPr>
        <w:t xml:space="preserve">ter Energy </w:t>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20</w:t>
      </w:r>
      <w:r>
        <w:rPr>
          <w:rFonts w:ascii="Times New Roman" w:cs="Times New Roman" w:eastAsia="Times New Roman" w:hAnsi="Times New Roman"/>
          <w:sz w:val="24"/>
          <w:szCs w:val="24"/>
        </w:rPr>
        <w:br/>
      </w:r>
      <w:r>
        <w:rPr>
          <w:rFonts w:ascii="Times New Roman" w:cs="Times New Roman" w:eastAsia="Times New Roman" w:hAnsi="Times New Roman"/>
          <w:sz w:val="24"/>
          <w:szCs w:val="24"/>
        </w:rPr>
        <w:t>Table 4.1b: FTIR Absor</w:t>
      </w:r>
      <w:r>
        <w:rPr>
          <w:rFonts w:ascii="Times New Roman" w:cs="Times New Roman" w:eastAsia="Times New Roman" w:hAnsi="Times New Roman"/>
          <w:sz w:val="24"/>
          <w:szCs w:val="24"/>
        </w:rPr>
        <w:t xml:space="preserve">ption Peaks for Predator </w:t>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20</w:t>
      </w:r>
      <w:r>
        <w:rPr>
          <w:rFonts w:ascii="Times New Roman" w:cs="Times New Roman" w:eastAsia="Times New Roman" w:hAnsi="Times New Roman"/>
          <w:sz w:val="24"/>
          <w:szCs w:val="24"/>
        </w:rPr>
        <w:br/>
      </w:r>
      <w:r>
        <w:rPr>
          <w:rFonts w:ascii="Times New Roman" w:cs="Times New Roman" w:eastAsia="Times New Roman" w:hAnsi="Times New Roman"/>
          <w:sz w:val="24"/>
          <w:szCs w:val="24"/>
        </w:rPr>
        <w:t xml:space="preserve">Table 4.1c: FTIR </w:t>
      </w:r>
      <w:r>
        <w:rPr>
          <w:rFonts w:ascii="Times New Roman" w:cs="Times New Roman" w:eastAsia="Times New Roman" w:hAnsi="Times New Roman"/>
          <w:sz w:val="24"/>
          <w:szCs w:val="24"/>
        </w:rPr>
        <w:t xml:space="preserve">Absorption Peaks for Climax </w:t>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21</w:t>
      </w:r>
      <w:r>
        <w:rPr>
          <w:rFonts w:ascii="Times New Roman" w:cs="Times New Roman" w:eastAsia="Times New Roman" w:hAnsi="Times New Roman"/>
          <w:sz w:val="24"/>
          <w:szCs w:val="24"/>
        </w:rPr>
        <w:br/>
      </w:r>
      <w:r>
        <w:rPr>
          <w:rFonts w:ascii="Times New Roman" w:cs="Times New Roman" w:eastAsia="Times New Roman" w:hAnsi="Times New Roman"/>
          <w:sz w:val="24"/>
          <w:szCs w:val="24"/>
        </w:rPr>
        <w:t xml:space="preserve">Table 4.1d: FTIR </w:t>
      </w:r>
      <w:r>
        <w:rPr>
          <w:rFonts w:ascii="Times New Roman" w:cs="Times New Roman" w:eastAsia="Times New Roman" w:hAnsi="Times New Roman"/>
          <w:sz w:val="24"/>
          <w:szCs w:val="24"/>
        </w:rPr>
        <w:t xml:space="preserve">Absorption Peaks for Red Bull </w:t>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21</w:t>
      </w:r>
      <w:r>
        <w:rPr>
          <w:rFonts w:ascii="Times New Roman" w:cs="Times New Roman" w:eastAsia="Times New Roman" w:hAnsi="Times New Roman"/>
          <w:sz w:val="24"/>
          <w:szCs w:val="24"/>
        </w:rPr>
        <w:br/>
      </w:r>
      <w:r>
        <w:rPr>
          <w:rFonts w:ascii="Times New Roman" w:cs="Times New Roman" w:eastAsia="Times New Roman" w:hAnsi="Times New Roman"/>
          <w:sz w:val="24"/>
          <w:szCs w:val="24"/>
        </w:rPr>
        <w:t xml:space="preserve">Table 4.1e: FTIR Absorption Peaks for Power </w:t>
      </w:r>
      <w:r>
        <w:rPr>
          <w:rFonts w:ascii="Times New Roman" w:cs="Times New Roman" w:eastAsia="Times New Roman" w:hAnsi="Times New Roman"/>
          <w:sz w:val="24"/>
          <w:szCs w:val="24"/>
        </w:rPr>
        <w:t xml:space="preserve">Horse </w:t>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21</w:t>
      </w:r>
      <w:r>
        <w:rPr>
          <w:rFonts w:ascii="Times New Roman" w:cs="Times New Roman" w:eastAsia="Times New Roman" w:hAnsi="Times New Roman"/>
          <w:sz w:val="24"/>
          <w:szCs w:val="24"/>
        </w:rPr>
        <w:br/>
      </w:r>
      <w:r>
        <w:rPr>
          <w:rFonts w:ascii="Times New Roman" w:cs="Times New Roman" w:eastAsia="Times New Roman" w:hAnsi="Times New Roman"/>
          <w:sz w:val="24"/>
          <w:szCs w:val="24"/>
        </w:rPr>
        <w:t>Table 4.2: Calibration Data for Ethanol Standards</w:t>
      </w:r>
      <w:r>
        <w:rPr>
          <w:rFonts w:ascii="Times New Roman" w:cs="Times New Roman" w:eastAsia="Times New Roman" w:hAnsi="Times New Roman"/>
          <w:sz w:val="24"/>
          <w:szCs w:val="24"/>
        </w:rPr>
        <w:t xml:space="preserve"> </w:t>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22</w:t>
      </w:r>
      <w:r>
        <w:rPr>
          <w:rFonts w:ascii="Times New Roman" w:cs="Times New Roman" w:eastAsia="Times New Roman" w:hAnsi="Times New Roman"/>
          <w:sz w:val="24"/>
          <w:szCs w:val="24"/>
        </w:rPr>
        <w:br/>
      </w:r>
      <w:r>
        <w:rPr>
          <w:rFonts w:ascii="Times New Roman" w:cs="Times New Roman" w:eastAsia="Times New Roman" w:hAnsi="Times New Roman"/>
          <w:sz w:val="24"/>
          <w:szCs w:val="24"/>
        </w:rPr>
        <w:t xml:space="preserve">Table 4.3: Absorbance and Calculated Ethanol Concentrations </w:t>
      </w:r>
      <w:r>
        <w:rPr>
          <w:rFonts w:ascii="Times New Roman" w:cs="Times New Roman" w:eastAsia="Times New Roman" w:hAnsi="Times New Roman"/>
          <w:sz w:val="24"/>
          <w:szCs w:val="24"/>
        </w:rPr>
        <w:t xml:space="preserve">of Energy Drinks </w:t>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24</w:t>
      </w: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Style w:val="style87"/>
          <w:rFonts w:ascii="Cambria" w:cs="宋体" w:eastAsia="宋体" w:hAnsi="Cambria"/>
          <w:sz w:val="24"/>
          <w:szCs w:val="24"/>
        </w:rPr>
      </w:pPr>
      <w:r>
        <w:rPr>
          <w:rStyle w:val="style87"/>
          <w:b w:val="false"/>
          <w:bCs w:val="false"/>
          <w:sz w:val="24"/>
          <w:szCs w:val="24"/>
        </w:rPr>
        <w:br w:type="page"/>
      </w:r>
    </w:p>
    <w:bookmarkStart w:id="6" w:name="_Toc213929857"/>
    <w:p>
      <w:pPr>
        <w:pStyle w:val="style2"/>
        <w:spacing w:lineRule="auto" w:line="360"/>
        <w:jc w:val="center"/>
        <w:rPr>
          <w:rFonts w:ascii="Times New Roman" w:cs="Times New Roman" w:hAnsi="Times New Roman"/>
          <w:color w:val="auto"/>
          <w:sz w:val="24"/>
          <w:szCs w:val="24"/>
        </w:rPr>
      </w:pPr>
      <w:r>
        <w:rPr>
          <w:rStyle w:val="style87"/>
          <w:rFonts w:ascii="Times New Roman" w:cs="Times New Roman" w:hAnsi="Times New Roman"/>
          <w:b/>
          <w:bCs/>
          <w:color w:val="auto"/>
          <w:sz w:val="24"/>
          <w:szCs w:val="24"/>
        </w:rPr>
        <w:t>LIST OF FIGURES</w:t>
      </w:r>
      <w:bookmarkEnd w:id="6"/>
    </w:p>
    <w:p>
      <w:pPr>
        <w:pStyle w:val="style94"/>
        <w:spacing w:lineRule="auto" w:line="480"/>
        <w:jc w:val="both"/>
        <w:rPr/>
      </w:pPr>
      <w:r>
        <w:t xml:space="preserve">Figure 4.1: Calibration Curve Showing the Linear Relationship </w:t>
      </w:r>
      <w:r>
        <w:t>Between</w:t>
      </w:r>
      <w:r>
        <w:t xml:space="preserve"> Absorbance and Ethanol Concentration for Standard E</w:t>
      </w:r>
      <w:r>
        <w:t>thanol Solutions</w:t>
      </w:r>
      <w:r>
        <w:tab/>
      </w:r>
      <w:r>
        <w:tab/>
      </w:r>
      <w:r>
        <w:tab/>
      </w:r>
      <w:r>
        <w:tab/>
      </w:r>
      <w:r>
        <w:tab/>
      </w:r>
      <w:r>
        <w:t>23</w:t>
      </w:r>
      <w:r>
        <w:br/>
      </w:r>
      <w:r>
        <w:t>Figure 4.2: Comparative Ethanol Concentrations in Analyzed Energy Drinks Determined by UV–Visible Spectrophotom</w:t>
      </w:r>
      <w:r>
        <w:t xml:space="preserve">etry </w:t>
      </w:r>
      <w:r>
        <w:tab/>
      </w:r>
      <w:r>
        <w:tab/>
      </w:r>
      <w:r>
        <w:tab/>
      </w:r>
      <w:r>
        <w:tab/>
      </w:r>
      <w:r>
        <w:tab/>
      </w:r>
      <w:r>
        <w:tab/>
      </w:r>
      <w:r>
        <w:tab/>
      </w:r>
      <w:r>
        <w:tab/>
      </w:r>
      <w:r>
        <w:t>24</w:t>
      </w:r>
      <w:bookmarkStart w:id="7" w:name="_GoBack"/>
      <w:bookmarkEnd w:id="7"/>
    </w:p>
    <w:p>
      <w:pPr>
        <w:pStyle w:val="style0"/>
        <w:spacing w:lineRule="auto" w:line="360"/>
        <w:jc w:val="both"/>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br w:type="page"/>
      </w:r>
    </w:p>
    <w:bookmarkStart w:id="8" w:name="_Toc213929858"/>
    <w:p>
      <w:pPr>
        <w:pStyle w:val="style0"/>
        <w:spacing w:before="100" w:beforeAutospacing="true" w:after="100" w:afterAutospacing="true" w:lineRule="auto" w:line="240"/>
        <w:jc w:val="center"/>
        <w:outlineLvl w:val="1"/>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LIST OF ABBREVIATIONS / GLOSSARY OF TERMS</w:t>
      </w:r>
      <w:bookmarkEnd w:id="8"/>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00"/>
        <w:gridCol w:w="7355"/>
      </w:tblGrid>
      <w:tr>
        <w:trPr>
          <w:tblHeade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Abbreviation</w:t>
            </w:r>
          </w:p>
        </w:tc>
        <w:tc>
          <w:tcPr>
            <w:tcW w:w="0" w:type="auto"/>
            <w:tcBorders/>
            <w:vAlign w:val="center"/>
            <w:hideMark/>
          </w:tcPr>
          <w:p>
            <w:pPr>
              <w:pStyle w:val="style0"/>
              <w:spacing w:after="0" w:lineRule="auto" w:line="360"/>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 xml:space="preserve">                         Full Meaning</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AOAC</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Association of Official Analytical Chemists</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ATR</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Attenuated Total Reflectance</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B.Sc.</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Bachelor of Science</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CASRAS</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Center for Analytical Services and Research Advancement, </w:t>
            </w:r>
            <w:r>
              <w:rPr>
                <w:rFonts w:ascii="Times New Roman" w:cs="Times New Roman" w:eastAsia="Times New Roman" w:hAnsi="Times New Roman"/>
                <w:sz w:val="24"/>
                <w:szCs w:val="24"/>
              </w:rPr>
              <w:t>Sokoto</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cm⁻¹</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Wavenumber (reciprocal centimeters), a unit of infrared frequency</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FTIR</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Fourier Transform Infrared Spectroscopy</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GC</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Gas Chromatography</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GC–FID</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Gas Chromatography–Flame Ionization Detection</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H₂SO₄</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Sulfuric Acid</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K₂Cr₂O</w:t>
            </w:r>
            <w:r>
              <w:rPr>
                <w:rFonts w:ascii="Times New Roman" w:cs="Times New Roman" w:eastAsia="Times New Roman" w:hAnsi="Times New Roman"/>
                <w:b/>
                <w:bCs/>
                <w:sz w:val="24"/>
                <w:szCs w:val="24"/>
              </w:rPr>
              <w:t>₇</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Potassium Dichromate</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NAFDAC</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National Agency for Food and Drug Administration and Control</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O–H</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Hydroxyl Functional Group (Oxygen–Hydrogen Bond)</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R²</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Coefficient of Determination (Correlation Coefficient)</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UV–Vis</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Ultraviolet–Visible Spectrophotometry</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v/v</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Volume per Volume (Concentration Expression)</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WHO</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World Health Organization</w:t>
            </w:r>
          </w:p>
        </w:tc>
      </w:tr>
    </w:tbl>
    <w:p>
      <w:pPr>
        <w:pStyle w:val="style0"/>
        <w:spacing w:lineRule="auto" w:line="360"/>
        <w:rPr>
          <w:rFonts w:ascii="Times New Roman" w:cs="Times New Roman" w:hAnsi="Times New Roman"/>
          <w:b/>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Style w:val="style87"/>
          <w:rFonts w:ascii="Cambria" w:cs="宋体" w:eastAsia="宋体" w:hAnsi="Cambria"/>
          <w:sz w:val="24"/>
          <w:szCs w:val="24"/>
        </w:rPr>
      </w:pPr>
      <w:r>
        <w:rPr>
          <w:rStyle w:val="style87"/>
          <w:b w:val="false"/>
          <w:bCs w:val="false"/>
          <w:sz w:val="24"/>
          <w:szCs w:val="24"/>
        </w:rPr>
        <w:br w:type="page"/>
      </w:r>
    </w:p>
    <w:bookmarkStart w:id="9" w:name="_Toc213929859"/>
    <w:p>
      <w:pPr>
        <w:pStyle w:val="style2"/>
        <w:jc w:val="center"/>
        <w:rPr>
          <w:rFonts w:ascii="Times New Roman" w:cs="Times New Roman" w:hAnsi="Times New Roman"/>
          <w:b w:val="false"/>
          <w:color w:val="auto"/>
          <w:sz w:val="24"/>
          <w:szCs w:val="24"/>
        </w:rPr>
      </w:pPr>
      <w:r>
        <w:rPr>
          <w:rStyle w:val="style87"/>
          <w:rFonts w:ascii="Times New Roman" w:cs="Times New Roman" w:hAnsi="Times New Roman"/>
          <w:b/>
          <w:bCs/>
          <w:color w:val="auto"/>
          <w:sz w:val="24"/>
          <w:szCs w:val="24"/>
        </w:rPr>
        <w:t>ABSTRACT</w:t>
      </w:r>
      <w:bookmarkEnd w:id="9"/>
    </w:p>
    <w:p>
      <w:pPr>
        <w:pStyle w:val="style94"/>
        <w:jc w:val="both"/>
        <w:rPr/>
      </w:pPr>
      <w:r>
        <w:t xml:space="preserve">Energy drinks are among the most consumed beverages globally, designed to improve alertness, endurance, and performance. Although labeled as non-alcoholic, trace amounts of ethanol may be present due to natural fermentation, flavor additives, or processing contamination. This study determined the ethanol content of five popular energy drink brands (Monster Energy, Predator, Climax, Red Bull, and Power Horse) commonly sold in </w:t>
      </w:r>
      <w:r>
        <w:t>Sokoto</w:t>
      </w:r>
      <w:r>
        <w:t xml:space="preserve"> Metropolis, Nigeria, using Fourier Transform Infrared (FTIR) spectroscopy and Ultraviolet–Visible (UV–Vis) spectrophotometry. FTIR spectroscopy was employed for qualitative identification of ethanol functional groups, while quantitative analysis was performed using the acidified potassium dichromate oxidation method at 350 nm. Calibration of ethanol standards produced a linear regression equation, A = 0.0647C + 0.0028 (R² = 0.9989), confirming adherence to Beer–Lambert’s law. Characteristic FTIR absorption peaks were observed around 3300 cm⁻¹ (O–H stretching) and 1030–1100 cm⁻¹ (C–O stretching</w:t>
      </w:r>
      <w:r>
        <w:rPr>
          <w:b/>
          <w:bCs/>
        </w:rPr>
        <w:t>)</w:t>
      </w:r>
      <w:r>
        <w:t xml:space="preserve">, indicating the presence of ethanol in all samples. Quantitative results showed ethanol concentrations ranging from 0.04% to 0.28% v/v, with Power Horse exhibiting the highest value and Red Bull the lowest. All concentrations were below the </w:t>
      </w:r>
      <w:r>
        <w:rPr>
          <w:b/>
          <w:bCs/>
        </w:rPr>
        <w:t>0.5% v/v</w:t>
      </w:r>
      <w:r>
        <w:t xml:space="preserve"> regulatory limit set by the National Agency for Food and Drug Administration and Control (NAFDAC, 2021) and the World Health Organization (WHO, 2014) for non-alcoholic beverages. The results confirm that the analyzed energy drinks meet the required non-alcoholic standard and are safe for consumption.</w:t>
      </w:r>
      <w:r>
        <w:t xml:space="preserve"> The concurrent application of FTIR and UV–Vis spectrophotometry demonstrated to be efficient, swift, and complementary for both qualitative and quantitative assessment of ethanol content. </w:t>
      </w:r>
      <w:r>
        <w:t>This study provides baseline data that can support regulatory monitoring, promote accurate labeling, and enhance consumer protection within Nigeria’s beverage industry.</w:t>
      </w:r>
    </w:p>
    <w:p>
      <w:pPr>
        <w:pStyle w:val="style94"/>
        <w:jc w:val="both"/>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rPr>
          <w:rFonts w:ascii="Times New Roman" w:cs="Times New Roman" w:hAnsi="Times New Roman"/>
          <w:sz w:val="24"/>
          <w:szCs w:val="24"/>
        </w:rPr>
        <w:sectPr>
          <w:footerReference w:type="default" r:id="rId2"/>
          <w:pgSz w:w="11907" w:h="16839" w:orient="portrait" w:code="9"/>
          <w:pgMar w:top="1440" w:right="1440" w:bottom="1440" w:left="1440" w:header="720" w:footer="720" w:gutter="0"/>
          <w:pgNumType w:fmt="lowerRoman"/>
          <w:cols w:space="720"/>
          <w:docGrid w:linePitch="360"/>
        </w:sectPr>
      </w:pPr>
    </w:p>
    <w:bookmarkStart w:id="10" w:name="_Toc213929860"/>
    <w:p>
      <w:pPr>
        <w:pStyle w:val="style1"/>
        <w:jc w:val="center"/>
        <w:rPr>
          <w:rFonts w:eastAsia="Times New Roman"/>
        </w:rPr>
      </w:pPr>
      <w:r>
        <w:rPr>
          <w:rFonts w:eastAsia="Times New Roman"/>
        </w:rPr>
        <w:t>CHAPTER ONE</w:t>
      </w:r>
      <w:bookmarkEnd w:id="10"/>
    </w:p>
    <w:bookmarkStart w:id="11" w:name="_Toc213929861"/>
    <w:p>
      <w:pPr>
        <w:pStyle w:val="style1"/>
        <w:jc w:val="center"/>
        <w:rPr>
          <w:rFonts w:eastAsia="Times New Roman"/>
        </w:rPr>
      </w:pPr>
      <w:r>
        <w:rPr>
          <w:rFonts w:eastAsia="Times New Roman"/>
        </w:rPr>
        <w:t>INTRODUCTION</w:t>
      </w:r>
      <w:bookmarkEnd w:id="11"/>
    </w:p>
    <w:bookmarkStart w:id="12" w:name="_Toc213929862"/>
    <w:p>
      <w:pPr>
        <w:pStyle w:val="style1"/>
        <w:rPr>
          <w:rFonts w:eastAsia="Times New Roman"/>
        </w:rPr>
      </w:pPr>
      <w:r>
        <w:rPr>
          <w:rFonts w:eastAsia="Times New Roman"/>
        </w:rPr>
        <w:t>1.1</w:t>
      </w:r>
      <w:r>
        <w:rPr>
          <w:rFonts w:eastAsia="Times New Roman"/>
        </w:rPr>
        <w:tab/>
      </w:r>
      <w:r>
        <w:rPr>
          <w:rFonts w:eastAsia="Times New Roman"/>
        </w:rPr>
        <w:t>Background of the Research</w:t>
      </w:r>
      <w:bookmarkEnd w:id="12"/>
    </w:p>
    <w:p>
      <w:pPr>
        <w:pStyle w:val="style94"/>
        <w:spacing w:lineRule="auto" w:line="480"/>
        <w:jc w:val="both"/>
        <w:rPr/>
      </w:pPr>
      <w:r>
        <w:t xml:space="preserve">Over the past three decades, energy drinks have developed into a major international consumer trend. Originating in Japan in the 1960s, their global popularity increased significantly following the European release of Red Bull in 1987, resulting in the emergence of a multi-billion-dollar industry (Heckman </w:t>
      </w:r>
      <w:r>
        <w:rPr>
          <w:i/>
        </w:rPr>
        <w:t>et</w:t>
      </w:r>
      <w:r>
        <w:t xml:space="preserve"> </w:t>
      </w:r>
      <w:r>
        <w:rPr>
          <w:i/>
        </w:rPr>
        <w:t>al</w:t>
      </w:r>
      <w:r>
        <w:t xml:space="preserve">., 2010). Consumption of these beverages is especially prevalent among adolescents, university students, and athletes, who use them to enhance focus, endurance, and both physical and mental performance (Higgins </w:t>
      </w:r>
      <w:r>
        <w:rPr>
          <w:i/>
        </w:rPr>
        <w:t>et</w:t>
      </w:r>
      <w:r>
        <w:t xml:space="preserve"> </w:t>
      </w:r>
      <w:r>
        <w:rPr>
          <w:i/>
        </w:rPr>
        <w:t>al</w:t>
      </w:r>
      <w:r>
        <w:t>., 2018).</w:t>
      </w:r>
    </w:p>
    <w:p>
      <w:pPr>
        <w:pStyle w:val="style94"/>
        <w:spacing w:lineRule="auto" w:line="480"/>
        <w:jc w:val="both"/>
        <w:rPr/>
      </w:pPr>
      <w:r>
        <w:t>Today, the global energy drink market is valued at approximately</w:t>
      </w:r>
      <w:r>
        <w:rPr>
          <w:b/>
        </w:rPr>
        <w:t xml:space="preserve"> </w:t>
      </w:r>
      <w:r>
        <w:rPr>
          <w:rStyle w:val="style87"/>
          <w:rFonts w:eastAsia="宋体"/>
          <w:b w:val="false"/>
        </w:rPr>
        <w:t>USD 79.39 billion in 2024</w:t>
      </w:r>
      <w:r>
        <w:t xml:space="preserve"> and is expected</w:t>
      </w:r>
      <w:r>
        <w:t xml:space="preserve"> to reach </w:t>
      </w:r>
      <w:r>
        <w:rPr>
          <w:rStyle w:val="style87"/>
          <w:rFonts w:eastAsia="宋体"/>
          <w:b w:val="false"/>
        </w:rPr>
        <w:t>USD</w:t>
      </w:r>
      <w:r>
        <w:rPr>
          <w:rStyle w:val="style87"/>
          <w:rFonts w:eastAsia="宋体"/>
        </w:rPr>
        <w:t xml:space="preserve"> </w:t>
      </w:r>
      <w:r>
        <w:rPr>
          <w:rStyle w:val="style87"/>
          <w:rFonts w:eastAsia="宋体"/>
          <w:b w:val="false"/>
        </w:rPr>
        <w:t>125.11 billion by 2030</w:t>
      </w:r>
      <w:r>
        <w:t xml:space="preserve"> (Grand View Research, 2024). In Nigeria, the popularity of energy drinks has surged in the past decade, with brands like Predator, Monster, Climax, Power Horse, and Red Bull dominating the market. Factors such as affordability, intense marketing campaigns, and broad availability have contributed to the popularity of energy drinks among young adults, drivers, and manual laborers seeking short-term energy enhancement (</w:t>
      </w:r>
      <w:r>
        <w:t>Adepoju</w:t>
      </w:r>
      <w:r>
        <w:t xml:space="preserve"> &amp; </w:t>
      </w:r>
      <w:r>
        <w:t>Ojo</w:t>
      </w:r>
      <w:r>
        <w:t xml:space="preserve">, 2014; Ibrahim </w:t>
      </w:r>
      <w:r>
        <w:rPr>
          <w:i/>
        </w:rPr>
        <w:t>et</w:t>
      </w:r>
      <w:r>
        <w:t xml:space="preserve"> </w:t>
      </w:r>
      <w:r>
        <w:rPr>
          <w:i/>
        </w:rPr>
        <w:t>al</w:t>
      </w:r>
      <w:r>
        <w:t>., 2021).</w:t>
      </w:r>
    </w:p>
    <w:p>
      <w:pPr>
        <w:pStyle w:val="style94"/>
        <w:spacing w:lineRule="auto" w:line="480"/>
        <w:jc w:val="both"/>
        <w:rPr/>
      </w:pPr>
      <w:r>
        <w:t xml:space="preserve">The typical composition of energy drinks includes high levels of caffeine, </w:t>
      </w:r>
      <w:r>
        <w:t>taurine</w:t>
      </w:r>
      <w:r>
        <w:t xml:space="preserve">, sugars, B-complex vitamins, and herbal extracts such as </w:t>
      </w:r>
      <w:r>
        <w:t>guarana</w:t>
      </w:r>
      <w:r>
        <w:t xml:space="preserve"> and ginseng (</w:t>
      </w:r>
      <w:r>
        <w:t>Ishak</w:t>
      </w:r>
      <w:r>
        <w:t xml:space="preserve"> et al., 2012). While these ingredients are legally permitted, their combined effects raise health concerns. Excessive caffeine intake has been linked to insomnia, anxiety, hypertension, and cardiovascular complications (</w:t>
      </w:r>
      <w:r>
        <w:t>Nawrot</w:t>
      </w:r>
      <w:r>
        <w:t xml:space="preserve"> et al., 2003). Furthermore, the high sugar content of most energy drinks contributes to obesity and metabolic disorders such as diabetes.</w:t>
      </w:r>
    </w:p>
    <w:p>
      <w:pPr>
        <w:pStyle w:val="style94"/>
        <w:spacing w:lineRule="auto" w:line="480"/>
        <w:jc w:val="both"/>
        <w:rPr/>
      </w:pPr>
      <w:r>
        <w:t>Recent research has also indicated that certain energy drinks may contain ethanol, either through deliberate formulation or unintentional fermentation processes. Ethanol can form in sugary beverages during storage, particularly under warm conditions, or may be introduced as part of flavoring components (</w:t>
      </w:r>
      <w:r>
        <w:t>Rehm</w:t>
      </w:r>
      <w:r>
        <w:t xml:space="preserve"> </w:t>
      </w:r>
      <w:r>
        <w:rPr>
          <w:i/>
        </w:rPr>
        <w:t>et</w:t>
      </w:r>
      <w:r>
        <w:t xml:space="preserve"> </w:t>
      </w:r>
      <w:r>
        <w:rPr>
          <w:i/>
        </w:rPr>
        <w:t>al</w:t>
      </w:r>
      <w:r>
        <w:t xml:space="preserve">., 2016; Mansur </w:t>
      </w:r>
      <w:r>
        <w:rPr>
          <w:i/>
        </w:rPr>
        <w:t>et</w:t>
      </w:r>
      <w:r>
        <w:t xml:space="preserve"> </w:t>
      </w:r>
      <w:r>
        <w:rPr>
          <w:i/>
        </w:rPr>
        <w:t>al</w:t>
      </w:r>
      <w:r>
        <w:t>., 2022). Even trace amounts can be problematic in societies where alcohol consumption is restricted by cultural, medical, or religious standards.</w:t>
      </w:r>
    </w:p>
    <w:p>
      <w:pPr>
        <w:pStyle w:val="style94"/>
        <w:spacing w:lineRule="auto" w:line="480"/>
        <w:jc w:val="both"/>
        <w:rPr/>
      </w:pPr>
      <w:r>
        <w:t>In Nigeria and many other countries, non-alcoholic beverages are defined by law as drinks containing less than 0.5% ethanol by volume (NAFDAC, 2</w:t>
      </w:r>
      <w:r>
        <w:t>021; WHO</w:t>
      </w:r>
      <w:r>
        <w:t>, 2014). Concentrations above this threshold require classification as alcoholic beverages, which in turn carry labeling restrictions and age limitations for purchase. Mislabeling of such products could mislead consumers, undermine regulatory frameworks, and create public health risks.</w:t>
      </w:r>
    </w:p>
    <w:p>
      <w:pPr>
        <w:pStyle w:val="style0"/>
        <w:spacing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Therefore, precise and validated analytical techniques are essential to evaluate whether these beverages conform to established safety and regulatory requirements.</w:t>
      </w:r>
      <w:r>
        <w:rPr>
          <w:rFonts w:ascii="Times New Roman" w:cs="Times New Roman" w:hAnsi="Times New Roman"/>
          <w:sz w:val="24"/>
          <w:szCs w:val="24"/>
        </w:rPr>
        <w:t xml:space="preserve"> Traditional techniques such as distillation and titration can detect ethanol but may lack the sensitivity to quantify trace levels effectively (Lau &amp; </w:t>
      </w:r>
      <w:r>
        <w:rPr>
          <w:rFonts w:ascii="Times New Roman" w:cs="Times New Roman" w:hAnsi="Times New Roman"/>
          <w:sz w:val="24"/>
          <w:szCs w:val="24"/>
        </w:rPr>
        <w:t>Luk</w:t>
      </w:r>
      <w:r>
        <w:rPr>
          <w:rFonts w:ascii="Times New Roman" w:cs="Times New Roman" w:hAnsi="Times New Roman"/>
          <w:sz w:val="24"/>
          <w:szCs w:val="24"/>
        </w:rPr>
        <w:t xml:space="preserve">, 1994; </w:t>
      </w:r>
      <w:r>
        <w:rPr>
          <w:rFonts w:ascii="Times New Roman" w:cs="Times New Roman" w:hAnsi="Times New Roman"/>
          <w:sz w:val="24"/>
          <w:szCs w:val="24"/>
        </w:rPr>
        <w:t>Morad</w:t>
      </w:r>
      <w:r>
        <w:rPr>
          <w:rFonts w:ascii="Times New Roman" w:cs="Times New Roman" w:hAnsi="Times New Roman"/>
          <w:sz w:val="24"/>
          <w:szCs w:val="24"/>
        </w:rPr>
        <w:t xml:space="preserve"> </w:t>
      </w:r>
      <w:r>
        <w:rPr>
          <w:rFonts w:ascii="Times New Roman" w:cs="Times New Roman" w:hAnsi="Times New Roman"/>
          <w:i/>
          <w:sz w:val="24"/>
          <w:szCs w:val="24"/>
        </w:rPr>
        <w:t>et</w:t>
      </w:r>
      <w:r>
        <w:rPr>
          <w:rFonts w:ascii="Times New Roman" w:cs="Times New Roman" w:hAnsi="Times New Roman"/>
          <w:sz w:val="24"/>
          <w:szCs w:val="24"/>
        </w:rPr>
        <w:t xml:space="preserve"> </w:t>
      </w:r>
      <w:r>
        <w:rPr>
          <w:rFonts w:ascii="Times New Roman" w:cs="Times New Roman" w:hAnsi="Times New Roman"/>
          <w:i/>
          <w:sz w:val="24"/>
          <w:szCs w:val="24"/>
        </w:rPr>
        <w:t>al</w:t>
      </w:r>
      <w:r>
        <w:rPr>
          <w:rFonts w:ascii="Times New Roman" w:cs="Times New Roman" w:hAnsi="Times New Roman"/>
          <w:sz w:val="24"/>
          <w:szCs w:val="24"/>
        </w:rPr>
        <w:t>.,</w:t>
      </w:r>
      <w:r>
        <w:rPr>
          <w:rFonts w:ascii="Times New Roman" w:cs="Times New Roman" w:hAnsi="Times New Roman"/>
          <w:sz w:val="24"/>
          <w:szCs w:val="24"/>
        </w:rPr>
        <w:t xml:space="preserve"> </w:t>
      </w:r>
      <w:r>
        <w:rPr>
          <w:rFonts w:ascii="Times New Roman" w:cs="Times New Roman" w:hAnsi="Times New Roman"/>
          <w:sz w:val="24"/>
          <w:szCs w:val="24"/>
        </w:rPr>
        <w:t>1980).</w:t>
      </w:r>
    </w:p>
    <w:p>
      <w:pPr>
        <w:pStyle w:val="style94"/>
        <w:spacing w:lineRule="auto" w:line="480"/>
        <w:jc w:val="both"/>
        <w:rPr/>
      </w:pPr>
      <w:r>
        <w:t>Modern analytical methods, particularly Fourier Transform Infrared (FTIR) spectroscopy and Ultraviolet (UV) spectrophotometry, offer significant advantages in terms of precision, reproducibility, and speed. FTIR spectroscopy detects ethanol based on its distinctive infrared absorbance patterns, notably the O–H stretching vibration around 3300 cm⁻¹ and the C–O stretching near 1050 cm⁻¹ (Rodriguez-</w:t>
      </w:r>
      <w:r>
        <w:t>Saona</w:t>
      </w:r>
      <w:r>
        <w:t xml:space="preserve"> &amp; </w:t>
      </w:r>
      <w:r>
        <w:t>Allendorf</w:t>
      </w:r>
      <w:r>
        <w:t>, 2011). UV spectrophotometry, on the other hand, allows for the quantification of ethanol concentration through calibration with st</w:t>
      </w:r>
      <w:r>
        <w:t>andard solutions, applying Beer-</w:t>
      </w:r>
      <w:r>
        <w:t xml:space="preserve">Lambert’s law to establish absorbance and concentration relationships (Mansur </w:t>
      </w:r>
      <w:r>
        <w:rPr>
          <w:i/>
        </w:rPr>
        <w:t>et</w:t>
      </w:r>
      <w:r>
        <w:t xml:space="preserve"> </w:t>
      </w:r>
      <w:r>
        <w:rPr>
          <w:i/>
        </w:rPr>
        <w:t>al</w:t>
      </w:r>
      <w:r>
        <w:t>., 2022).</w:t>
      </w:r>
    </w:p>
    <w:p>
      <w:pPr>
        <w:pStyle w:val="style94"/>
        <w:spacing w:lineRule="auto" w:line="480"/>
        <w:jc w:val="both"/>
        <w:rPr/>
      </w:pPr>
      <w:r>
        <w:t>Due to the increasing consumption of energy drinks in Nigeria and the potential risks associated with undisclosed ethanol content, this research seeks to determine the alcoholic content of five commonly available brands (Monster Energy, Predator, Climax, Red Bull, and Power Horse) using FTIR and UV instruments.</w:t>
      </w:r>
    </w:p>
    <w:p>
      <w:pPr>
        <w:pStyle w:val="style94"/>
        <w:spacing w:lineRule="auto" w:line="480"/>
        <w:jc w:val="both"/>
        <w:rPr/>
      </w:pPr>
      <w:r>
        <w:t>This study, therefore, focuses on the detection and quantification of ethanol in selected energy drinks to evaluate compliance with non-alcoholic beverage standards.</w:t>
      </w:r>
    </w:p>
    <w:bookmarkStart w:id="13" w:name="_Toc213929863"/>
    <w:p>
      <w:pPr>
        <w:pStyle w:val="style1"/>
        <w:rPr>
          <w:rFonts w:eastAsia="Times New Roman"/>
        </w:rPr>
      </w:pPr>
      <w:r>
        <w:rPr>
          <w:rFonts w:eastAsia="Times New Roman"/>
        </w:rPr>
        <w:t>1.2</w:t>
      </w:r>
      <w:r>
        <w:rPr>
          <w:rFonts w:eastAsia="Times New Roman"/>
        </w:rPr>
        <w:tab/>
      </w:r>
      <w:r>
        <w:rPr>
          <w:rFonts w:eastAsia="Times New Roman"/>
        </w:rPr>
        <w:t>Statement of the Problem</w:t>
      </w:r>
      <w:bookmarkEnd w:id="13"/>
    </w:p>
    <w:p>
      <w:pPr>
        <w:pStyle w:val="style0"/>
        <w:spacing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Many consumers believe that energy drinks contain no alcohol; however, this assumption is not always </w:t>
      </w:r>
      <w:r>
        <w:rPr>
          <w:rFonts w:ascii="Times New Roman" w:cs="Times New Roman" w:eastAsia="Times New Roman" w:hAnsi="Times New Roman"/>
          <w:sz w:val="24"/>
          <w:szCs w:val="24"/>
        </w:rPr>
        <w:t>accurate</w:t>
      </w:r>
      <w:r>
        <w:rPr>
          <w:rFonts w:ascii="Times New Roman" w:cs="Times New Roman" w:eastAsia="Times New Roman" w:hAnsi="Times New Roman"/>
          <w:sz w:val="24"/>
          <w:szCs w:val="24"/>
        </w:rPr>
        <w:t>, as trace</w:t>
      </w:r>
      <w:r>
        <w:rPr>
          <w:rFonts w:ascii="Times New Roman" w:cs="Times New Roman" w:eastAsia="Times New Roman" w:hAnsi="Times New Roman"/>
          <w:sz w:val="24"/>
          <w:szCs w:val="24"/>
        </w:rPr>
        <w:t xml:space="preserve"> amounts of</w:t>
      </w:r>
      <w:r>
        <w:rPr>
          <w:rFonts w:ascii="Times New Roman" w:cs="Times New Roman" w:eastAsia="Times New Roman" w:hAnsi="Times New Roman"/>
          <w:sz w:val="24"/>
          <w:szCs w:val="24"/>
        </w:rPr>
        <w:t xml:space="preserve"> ethanol may be present</w:t>
      </w:r>
      <w:r>
        <w:rPr>
          <w:rFonts w:ascii="Times New Roman" w:cs="Times New Roman" w:eastAsia="Times New Roman" w:hAnsi="Times New Roman"/>
          <w:sz w:val="24"/>
          <w:szCs w:val="24"/>
        </w:rPr>
        <w:t xml:space="preserve"> in some products</w:t>
      </w:r>
      <w:r>
        <w:rPr>
          <w:rFonts w:ascii="Times New Roman" w:cs="Times New Roman" w:eastAsia="Times New Roman" w:hAnsi="Times New Roman"/>
          <w:sz w:val="24"/>
          <w:szCs w:val="24"/>
        </w:rPr>
        <w:t xml:space="preserve">. </w:t>
      </w:r>
      <w:r>
        <w:rPr>
          <w:rFonts w:ascii="Times New Roman" w:cs="Times New Roman" w:hAnsi="Times New Roman"/>
          <w:sz w:val="24"/>
          <w:szCs w:val="24"/>
        </w:rPr>
        <w:t xml:space="preserve">However, if ethanol is present above the 0.5% threshold, this has several consequences. First, public health risks may arise for individuals with medical conditions requiring avoidance </w:t>
      </w:r>
      <w:r>
        <w:rPr>
          <w:rFonts w:ascii="Times New Roman" w:cs="Times New Roman" w:hAnsi="Times New Roman"/>
          <w:sz w:val="24"/>
          <w:szCs w:val="24"/>
        </w:rPr>
        <w:t>of</w:t>
      </w:r>
      <w:r>
        <w:rPr>
          <w:rFonts w:ascii="Times New Roman" w:cs="Times New Roman" w:hAnsi="Times New Roman"/>
          <w:sz w:val="24"/>
          <w:szCs w:val="24"/>
        </w:rPr>
        <w:t xml:space="preserve"> alcohol, such as liver disease or diabetes. Second, there are religious implications, as alcohol consumption is strictly prohibited in many faiths practiced in Nigeria. Third, legal issues arise because underage consumers may unknowingly ingest alcohol, and manufacturers may face penalties for mislabeling. Finally, the lack of routine regulatory surveillance in Nigeria compared to Europe or North America increases the risk that substandard or mislabeled products remain on the market (NAFDAC, 2021; WHO, 2014). Despite the widespread consumption of these beverages, there is currently little to no regulatory monitoring or published data on their ethanol levels in Nigeria.</w:t>
      </w:r>
    </w:p>
    <w:p>
      <w:pPr>
        <w:pStyle w:val="style94"/>
        <w:spacing w:lineRule="auto" w:line="480"/>
        <w:jc w:val="both"/>
        <w:rPr/>
      </w:pPr>
      <w:r>
        <w:t xml:space="preserve">At present, there is limited empirical data on the ethanol content of energy drinks sold in Nigeria. Without proper chemical investigation, regulators cannot make informed decisions, and consumers remain vulnerable to health and ethical risks. This creates an urgent need for systematic and scientifically sound analysis of these products using sensitive and reliable </w:t>
      </w:r>
      <w:r>
        <w:t>techniques such as FTIR and UV spectrophotometry (Rodriguez-</w:t>
      </w:r>
      <w:r>
        <w:t>Saona</w:t>
      </w:r>
      <w:r>
        <w:t xml:space="preserve"> &amp; </w:t>
      </w:r>
      <w:r>
        <w:t>Allendorf</w:t>
      </w:r>
      <w:r>
        <w:t xml:space="preserve">, 2011; Mansur </w:t>
      </w:r>
      <w:r>
        <w:rPr>
          <w:i/>
        </w:rPr>
        <w:t>et</w:t>
      </w:r>
      <w:r>
        <w:t xml:space="preserve"> </w:t>
      </w:r>
      <w:r>
        <w:rPr>
          <w:i/>
        </w:rPr>
        <w:t>al</w:t>
      </w:r>
      <w:r>
        <w:t>., 2022).</w:t>
      </w:r>
    </w:p>
    <w:bookmarkStart w:id="14" w:name="_Toc213929864"/>
    <w:p>
      <w:pPr>
        <w:pStyle w:val="style1"/>
        <w:rPr>
          <w:rFonts w:eastAsia="Times New Roman"/>
        </w:rPr>
      </w:pPr>
      <w:r>
        <w:rPr>
          <w:rFonts w:eastAsia="Times New Roman"/>
        </w:rPr>
        <w:t>1</w:t>
      </w:r>
      <w:r>
        <w:rPr>
          <w:rFonts w:eastAsia="Times New Roman"/>
        </w:rPr>
        <w:t>.3</w:t>
      </w:r>
      <w:r>
        <w:rPr>
          <w:rFonts w:eastAsia="Times New Roman"/>
        </w:rPr>
        <w:tab/>
      </w:r>
      <w:r>
        <w:rPr>
          <w:rFonts w:eastAsia="Times New Roman"/>
        </w:rPr>
        <w:t>Justification of the Research</w:t>
      </w:r>
      <w:bookmarkEnd w:id="14"/>
    </w:p>
    <w:p>
      <w:pPr>
        <w:pStyle w:val="style94"/>
        <w:spacing w:lineRule="auto" w:line="480"/>
        <w:jc w:val="both"/>
        <w:rPr/>
      </w:pPr>
      <w:r>
        <w:t>This research is justified on multiple grounds:</w:t>
      </w:r>
    </w:p>
    <w:p>
      <w:pPr>
        <w:pStyle w:val="style179"/>
        <w:numPr>
          <w:ilvl w:val="0"/>
          <w:numId w:val="1"/>
        </w:numPr>
        <w:spacing w:beforeAutospacing="true" w:after="100" w:afterAutospacing="true" w:lineRule="auto" w:line="480"/>
        <w:jc w:val="both"/>
        <w:rPr>
          <w:rFonts w:ascii="Times New Roman" w:cs="Times New Roman" w:eastAsia="Times New Roman" w:hAnsi="Times New Roman"/>
          <w:sz w:val="24"/>
          <w:szCs w:val="24"/>
        </w:rPr>
      </w:pPr>
      <w:r>
        <w:rPr>
          <w:rStyle w:val="style87"/>
          <w:rFonts w:ascii="Times New Roman" w:cs="Times New Roman" w:eastAsia="宋体" w:hAnsi="Times New Roman"/>
          <w:sz w:val="24"/>
          <w:szCs w:val="24"/>
        </w:rPr>
        <w:t>Consumer Protection:</w:t>
      </w:r>
      <w:r>
        <w:rPr>
          <w:rFonts w:ascii="Times New Roman" w:cs="Times New Roman" w:hAnsi="Times New Roman"/>
          <w:sz w:val="24"/>
          <w:szCs w:val="24"/>
        </w:rPr>
        <w:t xml:space="preserve"> </w:t>
      </w:r>
      <w:r>
        <w:rPr>
          <w:rFonts w:ascii="Times New Roman" w:cs="Times New Roman" w:eastAsia="Times New Roman" w:hAnsi="Times New Roman"/>
          <w:sz w:val="24"/>
          <w:szCs w:val="24"/>
        </w:rPr>
        <w:t>This study seeks to generate scientific data that will inform consumers about the true composition of energy drinks, allowing for more informed and safer consumption decisions (WHO, 2014).</w:t>
      </w:r>
    </w:p>
    <w:p>
      <w:pPr>
        <w:pStyle w:val="style179"/>
        <w:numPr>
          <w:ilvl w:val="0"/>
          <w:numId w:val="1"/>
        </w:numPr>
        <w:spacing w:beforeAutospacing="true" w:after="100" w:afterAutospacing="true" w:lineRule="auto" w:line="480"/>
        <w:jc w:val="both"/>
        <w:rPr>
          <w:rFonts w:ascii="Times New Roman" w:cs="Times New Roman" w:eastAsia="Times New Roman" w:hAnsi="Times New Roman"/>
          <w:sz w:val="24"/>
          <w:szCs w:val="24"/>
        </w:rPr>
      </w:pPr>
      <w:r>
        <w:rPr>
          <w:rStyle w:val="style87"/>
          <w:rFonts w:ascii="Times New Roman" w:cs="Times New Roman" w:eastAsia="宋体" w:hAnsi="Times New Roman"/>
          <w:sz w:val="24"/>
          <w:szCs w:val="24"/>
        </w:rPr>
        <w:t>Regulatory Enforcement:</w:t>
      </w:r>
      <w:r>
        <w:rPr>
          <w:rFonts w:ascii="Times New Roman" w:cs="Times New Roman" w:hAnsi="Times New Roman"/>
          <w:sz w:val="24"/>
          <w:szCs w:val="24"/>
        </w:rPr>
        <w:t xml:space="preserve"> Findings will aid agencies such as NAFDAC in evaluating whether energy drink manufacturers comply with legal definitions of non-alcoholic beverages (NAFDAC, 2021).</w:t>
      </w:r>
    </w:p>
    <w:p>
      <w:pPr>
        <w:pStyle w:val="style179"/>
        <w:numPr>
          <w:ilvl w:val="0"/>
          <w:numId w:val="1"/>
        </w:numPr>
        <w:spacing w:beforeAutospacing="true" w:after="100" w:afterAutospacing="true" w:lineRule="auto" w:line="480"/>
        <w:jc w:val="both"/>
        <w:rPr>
          <w:rFonts w:ascii="Times New Roman" w:cs="Times New Roman" w:eastAsia="Times New Roman" w:hAnsi="Times New Roman"/>
          <w:sz w:val="24"/>
          <w:szCs w:val="24"/>
        </w:rPr>
      </w:pPr>
      <w:r>
        <w:rPr>
          <w:rStyle w:val="style87"/>
          <w:rFonts w:ascii="Times New Roman" w:cs="Times New Roman" w:eastAsia="宋体" w:hAnsi="Times New Roman"/>
          <w:sz w:val="24"/>
          <w:szCs w:val="24"/>
        </w:rPr>
        <w:t>Public Health Significance:</w:t>
      </w:r>
      <w:r>
        <w:rPr>
          <w:rFonts w:ascii="Times New Roman" w:cs="Times New Roman" w:hAnsi="Times New Roman"/>
          <w:sz w:val="24"/>
          <w:szCs w:val="24"/>
        </w:rPr>
        <w:t xml:space="preserve"> Identifying ethanol content contributes to reducing hidden alcohol exposure, particularly among vulnerable groups such as adolescents, pregnant women, and drivers.</w:t>
      </w:r>
    </w:p>
    <w:p>
      <w:pPr>
        <w:pStyle w:val="style179"/>
        <w:numPr>
          <w:ilvl w:val="0"/>
          <w:numId w:val="1"/>
        </w:numPr>
        <w:spacing w:beforeAutospacing="true" w:after="100" w:afterAutospacing="true" w:lineRule="auto" w:line="480"/>
        <w:jc w:val="both"/>
        <w:rPr>
          <w:rFonts w:ascii="Times New Roman" w:cs="Times New Roman" w:eastAsia="Times New Roman" w:hAnsi="Times New Roman"/>
          <w:sz w:val="24"/>
          <w:szCs w:val="24"/>
        </w:rPr>
      </w:pPr>
      <w:r>
        <w:rPr>
          <w:rStyle w:val="style87"/>
          <w:rFonts w:ascii="Times New Roman" w:cs="Times New Roman" w:eastAsia="宋体" w:hAnsi="Times New Roman"/>
          <w:sz w:val="24"/>
          <w:szCs w:val="24"/>
        </w:rPr>
        <w:t>Academic and Analytical Relevance:</w:t>
      </w:r>
      <w:r>
        <w:rPr>
          <w:rFonts w:ascii="Times New Roman" w:cs="Times New Roman" w:hAnsi="Times New Roman"/>
          <w:sz w:val="24"/>
          <w:szCs w:val="24"/>
        </w:rPr>
        <w:t xml:space="preserve"> The research will demonstrate the practical application of FTIR and UV spectroscopy in analytical chemistry, providing a learning opportunity for undergraduate students (Rodriguez-</w:t>
      </w:r>
      <w:r>
        <w:rPr>
          <w:rFonts w:ascii="Times New Roman" w:cs="Times New Roman" w:hAnsi="Times New Roman"/>
          <w:sz w:val="24"/>
          <w:szCs w:val="24"/>
        </w:rPr>
        <w:t>Saona</w:t>
      </w:r>
      <w:r>
        <w:rPr>
          <w:rFonts w:ascii="Times New Roman" w:cs="Times New Roman" w:hAnsi="Times New Roman"/>
          <w:sz w:val="24"/>
          <w:szCs w:val="24"/>
        </w:rPr>
        <w:t xml:space="preserve"> &amp; </w:t>
      </w:r>
      <w:r>
        <w:rPr>
          <w:rFonts w:ascii="Times New Roman" w:cs="Times New Roman" w:hAnsi="Times New Roman"/>
          <w:sz w:val="24"/>
          <w:szCs w:val="24"/>
        </w:rPr>
        <w:t>Allendorf</w:t>
      </w:r>
      <w:r>
        <w:rPr>
          <w:rFonts w:ascii="Times New Roman" w:cs="Times New Roman" w:hAnsi="Times New Roman"/>
          <w:sz w:val="24"/>
          <w:szCs w:val="24"/>
        </w:rPr>
        <w:t>, 2011).</w:t>
      </w:r>
    </w:p>
    <w:p>
      <w:pPr>
        <w:pStyle w:val="style179"/>
        <w:numPr>
          <w:ilvl w:val="0"/>
          <w:numId w:val="1"/>
        </w:numPr>
        <w:spacing w:beforeAutospacing="true" w:after="100" w:afterAutospacing="true" w:lineRule="auto" w:line="480"/>
        <w:jc w:val="both"/>
        <w:rPr>
          <w:rFonts w:ascii="Times New Roman" w:cs="Times New Roman" w:eastAsia="Times New Roman" w:hAnsi="Times New Roman"/>
          <w:sz w:val="24"/>
          <w:szCs w:val="24"/>
        </w:rPr>
      </w:pPr>
      <w:r>
        <w:rPr>
          <w:rStyle w:val="style87"/>
          <w:rFonts w:ascii="Times New Roman" w:cs="Times New Roman" w:eastAsia="宋体" w:hAnsi="Times New Roman"/>
          <w:sz w:val="24"/>
          <w:szCs w:val="24"/>
        </w:rPr>
        <w:t>Industrial Relevance:</w:t>
      </w:r>
      <w:r>
        <w:rPr>
          <w:rFonts w:ascii="Times New Roman" w:cs="Times New Roman" w:hAnsi="Times New Roman"/>
          <w:sz w:val="24"/>
          <w:szCs w:val="24"/>
        </w:rPr>
        <w:t xml:space="preserve"> The results could guide beverage companies in improving quality control and compliance with food safety standards (Mansur </w:t>
      </w:r>
      <w:r>
        <w:rPr>
          <w:rFonts w:ascii="Times New Roman" w:cs="Times New Roman" w:hAnsi="Times New Roman"/>
          <w:i/>
          <w:sz w:val="24"/>
          <w:szCs w:val="24"/>
        </w:rPr>
        <w:t>et</w:t>
      </w:r>
      <w:r>
        <w:rPr>
          <w:rFonts w:ascii="Times New Roman" w:cs="Times New Roman" w:hAnsi="Times New Roman"/>
          <w:sz w:val="24"/>
          <w:szCs w:val="24"/>
        </w:rPr>
        <w:t xml:space="preserve"> </w:t>
      </w:r>
      <w:r>
        <w:rPr>
          <w:rFonts w:ascii="Times New Roman" w:cs="Times New Roman" w:hAnsi="Times New Roman"/>
          <w:i/>
          <w:sz w:val="24"/>
          <w:szCs w:val="24"/>
        </w:rPr>
        <w:t>al</w:t>
      </w:r>
      <w:r>
        <w:rPr>
          <w:rFonts w:ascii="Times New Roman" w:cs="Times New Roman" w:hAnsi="Times New Roman"/>
          <w:sz w:val="24"/>
          <w:szCs w:val="24"/>
        </w:rPr>
        <w:t>., 2022).</w:t>
      </w:r>
    </w:p>
    <w:p>
      <w:pPr>
        <w:pStyle w:val="style0"/>
        <w:rPr>
          <w:rFonts w:ascii="Times New Roman" w:cs="宋体" w:eastAsia="Times New Roman" w:hAnsi="Times New Roman"/>
          <w:b/>
          <w:bCs/>
          <w:sz w:val="24"/>
          <w:szCs w:val="28"/>
        </w:rPr>
      </w:pPr>
      <w:r>
        <w:rPr>
          <w:rFonts w:eastAsia="Times New Roman"/>
        </w:rPr>
        <w:br w:type="page"/>
      </w:r>
    </w:p>
    <w:bookmarkStart w:id="15" w:name="_Toc213929865"/>
    <w:p>
      <w:pPr>
        <w:pStyle w:val="style1"/>
        <w:rPr>
          <w:rFonts w:eastAsia="Times New Roman"/>
        </w:rPr>
      </w:pPr>
      <w:r>
        <w:rPr>
          <w:rFonts w:eastAsia="Times New Roman"/>
        </w:rPr>
        <w:t>1.4</w:t>
      </w:r>
      <w:r>
        <w:rPr>
          <w:rFonts w:eastAsia="Times New Roman"/>
        </w:rPr>
        <w:tab/>
      </w:r>
      <w:r>
        <w:rPr>
          <w:rFonts w:eastAsia="Times New Roman"/>
        </w:rPr>
        <w:t>Aim and Objectives of the Research</w:t>
      </w:r>
      <w:bookmarkEnd w:id="15"/>
    </w:p>
    <w:p>
      <w:pPr>
        <w:pStyle w:val="style0"/>
        <w:spacing w:beforeAutospacing="true" w:after="100" w:afterAutospacing="true" w:lineRule="auto" w:line="480"/>
        <w:jc w:val="both"/>
        <w:rPr>
          <w:rFonts w:ascii="Times New Roman" w:cs="Times New Roman" w:hAnsi="Times New Roman"/>
          <w:sz w:val="24"/>
          <w:szCs w:val="24"/>
        </w:rPr>
      </w:pPr>
      <w:r>
        <w:rPr>
          <w:rStyle w:val="style87"/>
          <w:rFonts w:ascii="Times New Roman" w:cs="Times New Roman" w:eastAsia="宋体" w:hAnsi="Times New Roman"/>
          <w:sz w:val="24"/>
          <w:szCs w:val="24"/>
        </w:rPr>
        <w:t xml:space="preserve">1.4.1    </w:t>
      </w:r>
      <w:r>
        <w:rPr>
          <w:rStyle w:val="style87"/>
          <w:rFonts w:ascii="Times New Roman" w:cs="Times New Roman" w:eastAsia="宋体" w:hAnsi="Times New Roman"/>
          <w:sz w:val="24"/>
          <w:szCs w:val="24"/>
        </w:rPr>
        <w:t>Aim</w:t>
      </w:r>
      <w:r>
        <w:rPr>
          <w:rStyle w:val="style87"/>
          <w:rFonts w:ascii="Times New Roman" w:cs="Times New Roman" w:eastAsia="宋体" w:hAnsi="Times New Roman"/>
          <w:sz w:val="24"/>
          <w:szCs w:val="24"/>
        </w:rPr>
        <w:t xml:space="preserve"> of the study</w:t>
      </w:r>
    </w:p>
    <w:p>
      <w:pPr>
        <w:pStyle w:val="style0"/>
        <w:spacing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This study</w:t>
      </w:r>
      <w:r>
        <w:rPr>
          <w:rFonts w:ascii="Times New Roman" w:cs="Times New Roman" w:eastAsia="Times New Roman" w:hAnsi="Times New Roman"/>
          <w:sz w:val="24"/>
          <w:szCs w:val="24"/>
        </w:rPr>
        <w:t xml:space="preserve"> aims</w:t>
      </w:r>
      <w:r>
        <w:rPr>
          <w:rFonts w:ascii="Times New Roman" w:cs="Times New Roman" w:eastAsia="Times New Roman" w:hAnsi="Times New Roman"/>
          <w:sz w:val="24"/>
          <w:szCs w:val="24"/>
        </w:rPr>
        <w:t xml:space="preserve"> to determine and compare the ethanol content of selected energy drink brands (Monster Energy, Predator, Climax, Red Bull, and Power Horse) using Fourier Transform Infrared (FTIR) and Ultraviolet–Visible (UV–Vis) spectroscopic methods.</w:t>
      </w:r>
    </w:p>
    <w:p>
      <w:pPr>
        <w:pStyle w:val="style94"/>
        <w:spacing w:lineRule="auto" w:line="480"/>
        <w:jc w:val="both"/>
        <w:rPr/>
      </w:pPr>
      <w:r>
        <w:rPr>
          <w:rStyle w:val="style87"/>
          <w:rFonts w:eastAsia="宋体"/>
        </w:rPr>
        <w:t>1.4.2</w:t>
      </w:r>
      <w:r>
        <w:rPr>
          <w:rStyle w:val="style87"/>
          <w:rFonts w:eastAsia="宋体"/>
        </w:rPr>
        <w:tab/>
      </w:r>
      <w:r>
        <w:rPr>
          <w:rStyle w:val="style87"/>
          <w:rFonts w:eastAsia="宋体"/>
        </w:rPr>
        <w:t>Objectives</w:t>
      </w:r>
      <w:r>
        <w:rPr>
          <w:rStyle w:val="style87"/>
          <w:rFonts w:eastAsia="宋体"/>
        </w:rPr>
        <w:t xml:space="preserve"> of the study </w:t>
      </w:r>
    </w:p>
    <w:p>
      <w:pPr>
        <w:pStyle w:val="style94"/>
        <w:numPr>
          <w:ilvl w:val="0"/>
          <w:numId w:val="2"/>
        </w:numPr>
        <w:spacing w:lineRule="auto" w:line="480"/>
        <w:jc w:val="both"/>
        <w:rPr/>
      </w:pPr>
      <w:r>
        <w:t>To quantify ethanol concentration in the samples using UV spectrophotometry with calibration standards.</w:t>
      </w:r>
    </w:p>
    <w:p>
      <w:pPr>
        <w:pStyle w:val="style94"/>
        <w:numPr>
          <w:ilvl w:val="0"/>
          <w:numId w:val="2"/>
        </w:numPr>
        <w:spacing w:lineRule="auto" w:line="480"/>
        <w:jc w:val="both"/>
        <w:rPr/>
      </w:pPr>
      <w:r>
        <w:t>To compare the alcohol levels across the five brands.</w:t>
      </w:r>
    </w:p>
    <w:p>
      <w:pPr>
        <w:pStyle w:val="style94"/>
        <w:numPr>
          <w:ilvl w:val="0"/>
          <w:numId w:val="2"/>
        </w:numPr>
        <w:spacing w:lineRule="auto" w:line="480"/>
        <w:jc w:val="both"/>
        <w:rPr/>
      </w:pPr>
      <w:r>
        <w:t>To evaluate compliance of the selected brands with regulatory alcohol limits for non-alcoholic beverages.</w:t>
      </w:r>
    </w:p>
    <w:p>
      <w:pPr>
        <w:pStyle w:val="style0"/>
        <w:spacing w:lineRule="auto" w:line="480"/>
        <w:jc w:val="both"/>
        <w:rPr>
          <w:rFonts w:ascii="Times New Roman" w:cs="Times New Roman" w:hAnsi="Times New Roman"/>
          <w:sz w:val="24"/>
          <w:szCs w:val="24"/>
        </w:rPr>
      </w:pPr>
    </w:p>
    <w:p>
      <w:pPr>
        <w:pStyle w:val="style0"/>
        <w:spacing w:lineRule="auto" w:line="480"/>
        <w:jc w:val="both"/>
        <w:rPr>
          <w:rFonts w:ascii="Times New Roman" w:cs="Times New Roman" w:hAnsi="Times New Roman"/>
          <w:sz w:val="24"/>
          <w:szCs w:val="24"/>
        </w:rPr>
      </w:pPr>
    </w:p>
    <w:p>
      <w:pPr>
        <w:pStyle w:val="style0"/>
        <w:spacing w:lineRule="auto" w:line="480"/>
        <w:jc w:val="both"/>
        <w:rPr>
          <w:rFonts w:ascii="Times New Roman" w:cs="Times New Roman" w:hAnsi="Times New Roman"/>
          <w:sz w:val="24"/>
          <w:szCs w:val="24"/>
        </w:rPr>
      </w:pPr>
    </w:p>
    <w:p>
      <w:pPr>
        <w:pStyle w:val="style0"/>
        <w:spacing w:lineRule="auto" w:line="480"/>
        <w:jc w:val="both"/>
        <w:rPr>
          <w:rFonts w:ascii="Times New Roman" w:cs="Times New Roman" w:hAnsi="Times New Roman"/>
          <w:sz w:val="24"/>
          <w:szCs w:val="24"/>
        </w:rPr>
      </w:pPr>
    </w:p>
    <w:p>
      <w:pPr>
        <w:pStyle w:val="style0"/>
        <w:spacing w:lineRule="auto" w:line="480"/>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br w:type="page"/>
      </w:r>
    </w:p>
    <w:bookmarkStart w:id="16" w:name="_Toc213929866"/>
    <w:p>
      <w:pPr>
        <w:pStyle w:val="style1"/>
        <w:jc w:val="center"/>
        <w:rPr>
          <w:rFonts w:eastAsia="Times New Roman"/>
        </w:rPr>
      </w:pPr>
      <w:r>
        <w:rPr>
          <w:rFonts w:eastAsia="Times New Roman"/>
        </w:rPr>
        <w:t>CHAPTER TWO</w:t>
      </w:r>
      <w:bookmarkEnd w:id="16"/>
    </w:p>
    <w:bookmarkStart w:id="17" w:name="_Toc213929867"/>
    <w:p>
      <w:pPr>
        <w:pStyle w:val="style1"/>
        <w:rPr>
          <w:rFonts w:eastAsia="Times New Roman"/>
        </w:rPr>
      </w:pPr>
      <w:r>
        <w:rPr>
          <w:rFonts w:eastAsia="Times New Roman"/>
        </w:rPr>
        <w:t>2.0</w:t>
      </w:r>
      <w:r>
        <w:rPr>
          <w:rFonts w:eastAsia="Times New Roman"/>
        </w:rPr>
        <w:tab/>
      </w:r>
      <w:r>
        <w:rPr>
          <w:rFonts w:eastAsia="Times New Roman"/>
        </w:rPr>
        <w:t>LITERATURE REVIEW</w:t>
      </w:r>
      <w:bookmarkEnd w:id="17"/>
      <w:r>
        <w:rPr>
          <w:rFonts w:eastAsia="Times New Roman"/>
        </w:rPr>
        <w:tab/>
      </w:r>
    </w:p>
    <w:p>
      <w:pPr>
        <w:pStyle w:val="style0"/>
        <w:spacing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This chapter critically examines existing literature related to the study, focusing on the formulation and usage trends of energy drinks, the detection of ethanol in beverages labeled as non-alcoholic</w:t>
      </w:r>
      <w:r>
        <w:rPr>
          <w:rFonts w:ascii="Times New Roman" w:cs="Times New Roman" w:eastAsia="Times New Roman" w:hAnsi="Times New Roman"/>
          <w:sz w:val="24"/>
          <w:szCs w:val="24"/>
        </w:rPr>
        <w:t>, and</w:t>
      </w:r>
      <w:r>
        <w:rPr>
          <w:rFonts w:ascii="Times New Roman" w:cs="Times New Roman" w:eastAsia="Times New Roman" w:hAnsi="Times New Roman"/>
          <w:sz w:val="24"/>
          <w:szCs w:val="24"/>
        </w:rPr>
        <w:t xml:space="preserve"> applicable regulatory frameworks</w:t>
      </w:r>
      <w:r>
        <w:rPr>
          <w:rFonts w:ascii="Times New Roman" w:cs="Times New Roman" w:eastAsia="Times New Roman" w:hAnsi="Times New Roman"/>
          <w:sz w:val="24"/>
          <w:szCs w:val="24"/>
        </w:rPr>
        <w:t>.</w:t>
      </w:r>
      <w:r>
        <w:rPr>
          <w:rFonts w:ascii="Times New Roman" w:cs="Times New Roman" w:eastAsia="Times New Roman" w:hAnsi="Times New Roman"/>
          <w:sz w:val="24"/>
          <w:szCs w:val="24"/>
        </w:rPr>
        <w:t xml:space="preserve"> This background establishes the scientific basis and justifies the methodology adopted in this project.</w:t>
      </w:r>
      <w:r>
        <w:rPr>
          <w:rFonts w:ascii="Times New Roman" w:cs="Times New Roman" w:hAnsi="Times New Roman"/>
          <w:sz w:val="24"/>
          <w:szCs w:val="24"/>
        </w:rPr>
        <w:t xml:space="preserve"> This review</w:t>
      </w:r>
      <w:r>
        <w:rPr>
          <w:rFonts w:ascii="Times New Roman" w:cs="Times New Roman" w:hAnsi="Times New Roman"/>
          <w:sz w:val="24"/>
          <w:szCs w:val="24"/>
        </w:rPr>
        <w:t>,</w:t>
      </w:r>
      <w:r>
        <w:rPr>
          <w:rFonts w:ascii="Times New Roman" w:cs="Times New Roman" w:hAnsi="Times New Roman"/>
          <w:sz w:val="24"/>
          <w:szCs w:val="24"/>
        </w:rPr>
        <w:t xml:space="preserve"> therefore</w:t>
      </w:r>
      <w:r>
        <w:rPr>
          <w:rFonts w:ascii="Times New Roman" w:cs="Times New Roman" w:hAnsi="Times New Roman"/>
          <w:sz w:val="24"/>
          <w:szCs w:val="24"/>
        </w:rPr>
        <w:t>,</w:t>
      </w:r>
      <w:r>
        <w:rPr>
          <w:rFonts w:ascii="Times New Roman" w:cs="Times New Roman" w:hAnsi="Times New Roman"/>
          <w:sz w:val="24"/>
          <w:szCs w:val="24"/>
        </w:rPr>
        <w:t xml:space="preserve"> provides a scientific foundation for the analytical procedures employed in this study.</w:t>
      </w:r>
    </w:p>
    <w:bookmarkStart w:id="18" w:name="_Toc213929868"/>
    <w:p>
      <w:pPr>
        <w:pStyle w:val="style1"/>
        <w:rPr>
          <w:rFonts w:eastAsia="Times New Roman"/>
        </w:rPr>
      </w:pPr>
      <w:r>
        <w:rPr>
          <w:rFonts w:eastAsia="Times New Roman"/>
        </w:rPr>
        <w:t>2.</w:t>
      </w:r>
      <w:r>
        <w:rPr>
          <w:rFonts w:eastAsia="Times New Roman"/>
        </w:rPr>
        <w:t>1</w:t>
      </w:r>
      <w:r>
        <w:rPr>
          <w:rFonts w:eastAsia="Times New Roman"/>
        </w:rPr>
        <w:tab/>
      </w:r>
      <w:r>
        <w:rPr>
          <w:rFonts w:eastAsia="Times New Roman"/>
        </w:rPr>
        <w:t>Energy Drinks: Composition and Consumption Trends</w:t>
      </w:r>
      <w:bookmarkEnd w:id="18"/>
    </w:p>
    <w:p>
      <w:pPr>
        <w:pStyle w:val="style0"/>
        <w:spacing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Energy drinks are categorized as functional beverages promoted for enhancing alertness, endurance, and mental focus. Their formulations usually consist of caffeine, </w:t>
      </w:r>
      <w:r>
        <w:rPr>
          <w:rFonts w:ascii="Times New Roman" w:cs="Times New Roman" w:eastAsia="Times New Roman" w:hAnsi="Times New Roman"/>
          <w:sz w:val="24"/>
          <w:szCs w:val="24"/>
        </w:rPr>
        <w:t>taurine</w:t>
      </w:r>
      <w:r>
        <w:rPr>
          <w:rFonts w:ascii="Times New Roman" w:cs="Times New Roman" w:eastAsia="Times New Roman" w:hAnsi="Times New Roman"/>
          <w:sz w:val="24"/>
          <w:szCs w:val="24"/>
        </w:rPr>
        <w:t xml:space="preserve">, </w:t>
      </w:r>
      <w:r>
        <w:rPr>
          <w:rFonts w:ascii="Times New Roman" w:cs="Times New Roman" w:eastAsia="Times New Roman" w:hAnsi="Times New Roman"/>
          <w:sz w:val="24"/>
          <w:szCs w:val="24"/>
        </w:rPr>
        <w:t>glucuronolactone</w:t>
      </w:r>
      <w:r>
        <w:rPr>
          <w:rFonts w:ascii="Times New Roman" w:cs="Times New Roman" w:eastAsia="Times New Roman" w:hAnsi="Times New Roman"/>
          <w:sz w:val="24"/>
          <w:szCs w:val="24"/>
        </w:rPr>
        <w:t>, sugars, amino acids, herbal components, and vitamin additives (</w:t>
      </w:r>
      <w:r>
        <w:rPr>
          <w:rFonts w:ascii="Times New Roman" w:cs="Times New Roman" w:eastAsia="Times New Roman" w:hAnsi="Times New Roman"/>
          <w:sz w:val="24"/>
          <w:szCs w:val="24"/>
        </w:rPr>
        <w:t>Ishak</w:t>
      </w:r>
      <w:r>
        <w:rPr>
          <w:rFonts w:ascii="Times New Roman" w:cs="Times New Roman" w:eastAsia="Times New Roman" w:hAnsi="Times New Roman"/>
          <w:sz w:val="24"/>
          <w:szCs w:val="24"/>
        </w:rPr>
        <w:t xml:space="preserve"> </w:t>
      </w:r>
      <w:r>
        <w:rPr>
          <w:rFonts w:ascii="Times New Roman" w:cs="Times New Roman" w:eastAsia="Times New Roman" w:hAnsi="Times New Roman"/>
          <w:i/>
          <w:sz w:val="24"/>
          <w:szCs w:val="24"/>
        </w:rPr>
        <w:t>et</w:t>
      </w:r>
      <w:r>
        <w:rPr>
          <w:rFonts w:ascii="Times New Roman" w:cs="Times New Roman" w:eastAsia="Times New Roman" w:hAnsi="Times New Roman"/>
          <w:sz w:val="24"/>
          <w:szCs w:val="24"/>
        </w:rPr>
        <w:t xml:space="preserve"> </w:t>
      </w:r>
      <w:r>
        <w:rPr>
          <w:rFonts w:ascii="Times New Roman" w:cs="Times New Roman" w:eastAsia="Times New Roman" w:hAnsi="Times New Roman"/>
          <w:i/>
          <w:sz w:val="24"/>
          <w:szCs w:val="24"/>
        </w:rPr>
        <w:t>al</w:t>
      </w:r>
      <w:r>
        <w:rPr>
          <w:rFonts w:ascii="Times New Roman" w:cs="Times New Roman" w:eastAsia="Times New Roman" w:hAnsi="Times New Roman"/>
          <w:sz w:val="24"/>
          <w:szCs w:val="24"/>
        </w:rPr>
        <w:t xml:space="preserve">., 2012). Caffeine is the principal active </w:t>
      </w:r>
      <w:r>
        <w:rPr>
          <w:rFonts w:ascii="Times New Roman" w:cs="Times New Roman" w:eastAsia="Times New Roman" w:hAnsi="Times New Roman"/>
          <w:sz w:val="24"/>
          <w:szCs w:val="24"/>
        </w:rPr>
        <w:t>stimulant,</w:t>
      </w:r>
      <w:r>
        <w:rPr>
          <w:rFonts w:ascii="Times New Roman" w:cs="Times New Roman" w:eastAsia="Times New Roman" w:hAnsi="Times New Roman"/>
          <w:sz w:val="24"/>
          <w:szCs w:val="24"/>
        </w:rPr>
        <w:t xml:space="preserve"> with concentrations ranging from 80 mg per 250 mL can to over 300 mg in larger servings (Higgins </w:t>
      </w:r>
      <w:r>
        <w:rPr>
          <w:rFonts w:ascii="Times New Roman" w:cs="Times New Roman" w:eastAsia="Times New Roman" w:hAnsi="Times New Roman"/>
          <w:i/>
          <w:sz w:val="24"/>
          <w:szCs w:val="24"/>
        </w:rPr>
        <w:t>et</w:t>
      </w:r>
      <w:r>
        <w:rPr>
          <w:rFonts w:ascii="Times New Roman" w:cs="Times New Roman" w:eastAsia="Times New Roman" w:hAnsi="Times New Roman"/>
          <w:sz w:val="24"/>
          <w:szCs w:val="24"/>
        </w:rPr>
        <w:t xml:space="preserve"> </w:t>
      </w:r>
      <w:r>
        <w:rPr>
          <w:rFonts w:ascii="Times New Roman" w:cs="Times New Roman" w:eastAsia="Times New Roman" w:hAnsi="Times New Roman"/>
          <w:i/>
          <w:sz w:val="24"/>
          <w:szCs w:val="24"/>
        </w:rPr>
        <w:t>al</w:t>
      </w:r>
      <w:r>
        <w:rPr>
          <w:rFonts w:ascii="Times New Roman" w:cs="Times New Roman" w:eastAsia="Times New Roman" w:hAnsi="Times New Roman"/>
          <w:sz w:val="24"/>
          <w:szCs w:val="24"/>
        </w:rPr>
        <w:t>., 2018).</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The consumption of energy drinks has grown significantly in the past two decades. </w:t>
      </w:r>
      <w:r>
        <w:rPr>
          <w:rFonts w:ascii="Times New Roman" w:cs="Times New Roman" w:hAnsi="Times New Roman"/>
          <w:sz w:val="24"/>
          <w:szCs w:val="24"/>
        </w:rPr>
        <w:t xml:space="preserve">Globally, the market was valued at approximately </w:t>
      </w:r>
      <w:r>
        <w:rPr>
          <w:rStyle w:val="style87"/>
          <w:rFonts w:ascii="Times New Roman" w:cs="Times New Roman" w:hAnsi="Times New Roman"/>
          <w:b w:val="false"/>
          <w:sz w:val="24"/>
          <w:szCs w:val="24"/>
        </w:rPr>
        <w:t>USD 79.39 billion in 2024</w:t>
      </w:r>
      <w:r>
        <w:rPr>
          <w:rFonts w:ascii="Times New Roman" w:cs="Times New Roman" w:hAnsi="Times New Roman"/>
          <w:sz w:val="24"/>
          <w:szCs w:val="24"/>
        </w:rPr>
        <w:t xml:space="preserve"> and is expected</w:t>
      </w:r>
      <w:r>
        <w:rPr>
          <w:rFonts w:ascii="Times New Roman" w:cs="Times New Roman" w:hAnsi="Times New Roman"/>
          <w:sz w:val="24"/>
          <w:szCs w:val="24"/>
        </w:rPr>
        <w:t xml:space="preserve"> to reach </w:t>
      </w:r>
      <w:r>
        <w:rPr>
          <w:rStyle w:val="style87"/>
          <w:rFonts w:ascii="Times New Roman" w:cs="Times New Roman" w:hAnsi="Times New Roman"/>
          <w:b w:val="false"/>
          <w:sz w:val="24"/>
          <w:szCs w:val="24"/>
        </w:rPr>
        <w:t>USD</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125.11 billion by 2030</w:t>
      </w:r>
      <w:r>
        <w:rPr>
          <w:rStyle w:val="style87"/>
          <w:rFonts w:ascii="Times New Roman" w:cs="Times New Roman" w:hAnsi="Times New Roman"/>
          <w:sz w:val="24"/>
          <w:szCs w:val="24"/>
        </w:rPr>
        <w:t xml:space="preserve"> </w:t>
      </w:r>
      <w:r>
        <w:rPr>
          <w:rFonts w:ascii="Times New Roman" w:cs="Times New Roman" w:hAnsi="Times New Roman"/>
          <w:sz w:val="24"/>
          <w:szCs w:val="24"/>
        </w:rPr>
        <w:t>(Grand View Research, 2024).</w:t>
      </w:r>
      <w:r>
        <w:rPr>
          <w:rFonts w:ascii="Times New Roman" w:cs="Times New Roman" w:eastAsia="Times New Roman" w:hAnsi="Times New Roman"/>
          <w:sz w:val="24"/>
          <w:szCs w:val="24"/>
        </w:rPr>
        <w:t xml:space="preserve"> </w:t>
      </w:r>
      <w:r>
        <w:rPr>
          <w:rFonts w:ascii="Times New Roman" w:cs="Times New Roman" w:hAnsi="Times New Roman"/>
          <w:sz w:val="24"/>
          <w:szCs w:val="24"/>
        </w:rPr>
        <w:t>While in Nigeria, this global trend is reflected in rising local consumption patterns.</w:t>
      </w:r>
      <w:r>
        <w:rPr>
          <w:rFonts w:ascii="Times New Roman" w:cs="Times New Roman" w:eastAsia="Times New Roman" w:hAnsi="Times New Roman"/>
          <w:sz w:val="24"/>
          <w:szCs w:val="24"/>
        </w:rPr>
        <w:t xml:space="preserve"> In Nigeria, energy drinks are among the most commonly consumed soft beverages, particularly by young adults, drivers, and student</w:t>
      </w:r>
      <w:r>
        <w:rPr>
          <w:rFonts w:ascii="Times New Roman" w:cs="Times New Roman" w:eastAsia="Times New Roman" w:hAnsi="Times New Roman"/>
          <w:sz w:val="24"/>
          <w:szCs w:val="24"/>
        </w:rPr>
        <w:t>s. Studies have shown that approximately</w:t>
      </w:r>
      <w:r>
        <w:rPr>
          <w:rFonts w:ascii="Times New Roman" w:cs="Times New Roman" w:eastAsia="Times New Roman" w:hAnsi="Times New Roman"/>
          <w:sz w:val="24"/>
          <w:szCs w:val="24"/>
        </w:rPr>
        <w:t xml:space="preserve"> 60% of Nigerian university students consume energy drinks regularly, often to enhance concentration during examinations (</w:t>
      </w:r>
      <w:r>
        <w:rPr>
          <w:rFonts w:ascii="Times New Roman" w:cs="Times New Roman" w:eastAsia="Times New Roman" w:hAnsi="Times New Roman"/>
          <w:sz w:val="24"/>
          <w:szCs w:val="24"/>
        </w:rPr>
        <w:t>Adepoju</w:t>
      </w:r>
      <w:r>
        <w:rPr>
          <w:rFonts w:ascii="Times New Roman" w:cs="Times New Roman" w:eastAsia="Times New Roman" w:hAnsi="Times New Roman"/>
          <w:sz w:val="24"/>
          <w:szCs w:val="24"/>
        </w:rPr>
        <w:t xml:space="preserve"> &amp; </w:t>
      </w:r>
      <w:r>
        <w:rPr>
          <w:rFonts w:ascii="Times New Roman" w:cs="Times New Roman" w:eastAsia="Times New Roman" w:hAnsi="Times New Roman"/>
          <w:sz w:val="24"/>
          <w:szCs w:val="24"/>
        </w:rPr>
        <w:t>Ojo</w:t>
      </w:r>
      <w:r>
        <w:rPr>
          <w:rFonts w:ascii="Times New Roman" w:cs="Times New Roman" w:eastAsia="Times New Roman" w:hAnsi="Times New Roman"/>
          <w:sz w:val="24"/>
          <w:szCs w:val="24"/>
        </w:rPr>
        <w:t xml:space="preserve">, 2014; Ibrahim </w:t>
      </w:r>
      <w:r>
        <w:rPr>
          <w:rFonts w:ascii="Times New Roman" w:cs="Times New Roman" w:eastAsia="Times New Roman" w:hAnsi="Times New Roman"/>
          <w:i/>
          <w:sz w:val="24"/>
          <w:szCs w:val="24"/>
        </w:rPr>
        <w:t>et</w:t>
      </w:r>
      <w:r>
        <w:rPr>
          <w:rFonts w:ascii="Times New Roman" w:cs="Times New Roman" w:eastAsia="Times New Roman" w:hAnsi="Times New Roman"/>
          <w:sz w:val="24"/>
          <w:szCs w:val="24"/>
        </w:rPr>
        <w:t xml:space="preserve"> </w:t>
      </w:r>
      <w:r>
        <w:rPr>
          <w:rFonts w:ascii="Times New Roman" w:cs="Times New Roman" w:eastAsia="Times New Roman" w:hAnsi="Times New Roman"/>
          <w:i/>
          <w:sz w:val="24"/>
          <w:szCs w:val="24"/>
        </w:rPr>
        <w:t>al</w:t>
      </w:r>
      <w:r>
        <w:rPr>
          <w:rFonts w:ascii="Times New Roman" w:cs="Times New Roman" w:eastAsia="Times New Roman" w:hAnsi="Times New Roman"/>
          <w:sz w:val="24"/>
          <w:szCs w:val="24"/>
        </w:rPr>
        <w:t>., 2021).</w:t>
      </w:r>
    </w:p>
    <w:bookmarkStart w:id="19" w:name="_Toc213929869"/>
    <w:p>
      <w:pPr>
        <w:pStyle w:val="style1"/>
        <w:rPr>
          <w:rFonts w:eastAsia="Times New Roman"/>
        </w:rPr>
      </w:pPr>
      <w:r>
        <w:rPr>
          <w:rFonts w:eastAsia="Times New Roman"/>
        </w:rPr>
        <w:t>2.</w:t>
      </w:r>
      <w:r>
        <w:rPr>
          <w:rFonts w:eastAsia="Times New Roman"/>
        </w:rPr>
        <w:t>2</w:t>
      </w:r>
      <w:r>
        <w:rPr>
          <w:rFonts w:eastAsia="Times New Roman"/>
        </w:rPr>
        <w:tab/>
      </w:r>
      <w:r>
        <w:rPr>
          <w:rFonts w:eastAsia="Times New Roman"/>
        </w:rPr>
        <w:t>Health Concerns Associated with Energy Drinks</w:t>
      </w:r>
      <w:bookmarkEnd w:id="19"/>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Overconsumption of energy drinks poses numerous health risks, including sleep disturbances, anxiety, elevated blood pressure, and rapid heart rate due to their high caffeine content (</w:t>
      </w:r>
      <w:r>
        <w:rPr>
          <w:rFonts w:ascii="Times New Roman" w:cs="Times New Roman" w:eastAsia="Times New Roman" w:hAnsi="Times New Roman"/>
          <w:sz w:val="24"/>
          <w:szCs w:val="24"/>
        </w:rPr>
        <w:t>Nawrot</w:t>
      </w:r>
      <w:r>
        <w:rPr>
          <w:rFonts w:ascii="Times New Roman" w:cs="Times New Roman" w:eastAsia="Times New Roman" w:hAnsi="Times New Roman"/>
          <w:sz w:val="24"/>
          <w:szCs w:val="24"/>
        </w:rPr>
        <w:t xml:space="preserve"> et al., 2003). The large sugar content contributes to obesity and metabolic disorders, while </w:t>
      </w:r>
      <w:r>
        <w:rPr>
          <w:rFonts w:ascii="Times New Roman" w:cs="Times New Roman" w:eastAsia="Times New Roman" w:hAnsi="Times New Roman"/>
          <w:sz w:val="24"/>
          <w:szCs w:val="24"/>
        </w:rPr>
        <w:t>taurine</w:t>
      </w:r>
      <w:r>
        <w:rPr>
          <w:rFonts w:ascii="Times New Roman" w:cs="Times New Roman" w:eastAsia="Times New Roman" w:hAnsi="Times New Roman"/>
          <w:sz w:val="24"/>
          <w:szCs w:val="24"/>
        </w:rPr>
        <w:t xml:space="preserve"> and herbal extracts may interact unpredictably with other stimulants </w:t>
      </w:r>
      <w:r>
        <w:rPr>
          <w:rFonts w:ascii="Times New Roman" w:cs="Times New Roman" w:hAnsi="Times New Roman"/>
          <w:sz w:val="24"/>
          <w:szCs w:val="24"/>
        </w:rPr>
        <w:t>(</w:t>
      </w:r>
      <w:r>
        <w:rPr>
          <w:rFonts w:ascii="Times New Roman" w:cs="Times New Roman" w:hAnsi="Times New Roman"/>
          <w:sz w:val="24"/>
          <w:szCs w:val="24"/>
        </w:rPr>
        <w:t>Adepoju</w:t>
      </w:r>
      <w:r>
        <w:rPr>
          <w:rFonts w:ascii="Times New Roman" w:cs="Times New Roman" w:hAnsi="Times New Roman"/>
          <w:sz w:val="24"/>
          <w:szCs w:val="24"/>
        </w:rPr>
        <w:t xml:space="preserve"> &amp; </w:t>
      </w:r>
      <w:r>
        <w:rPr>
          <w:rFonts w:ascii="Times New Roman" w:cs="Times New Roman" w:hAnsi="Times New Roman"/>
          <w:sz w:val="24"/>
          <w:szCs w:val="24"/>
        </w:rPr>
        <w:t>Ojo</w:t>
      </w:r>
      <w:r>
        <w:rPr>
          <w:rFonts w:ascii="Times New Roman" w:cs="Times New Roman" w:hAnsi="Times New Roman"/>
          <w:sz w:val="24"/>
          <w:szCs w:val="24"/>
        </w:rPr>
        <w:t>, 2014).</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An emerging concern is the detection of ethanol in some energy drinks. Even when present in small amounts, ethanol can interact synergistically with caffeine, potentially masking the sedative effects of alcohol while enhancing stimulation. This can increase the risk of cardiovascular strain and impaired judgment (Ferreira et al., 2006). </w:t>
      </w:r>
      <w:r>
        <w:rPr>
          <w:rFonts w:ascii="Times New Roman" w:cs="Times New Roman" w:hAnsi="Times New Roman"/>
          <w:sz w:val="24"/>
          <w:szCs w:val="24"/>
        </w:rPr>
        <w:t>These health concerns underline the importance of verifying the true chemical composition of energy drinks available in local markets.</w:t>
      </w:r>
    </w:p>
    <w:bookmarkStart w:id="20" w:name="_Toc213929870"/>
    <w:p>
      <w:pPr>
        <w:pStyle w:val="style1"/>
        <w:rPr>
          <w:rFonts w:eastAsia="Times New Roman"/>
        </w:rPr>
      </w:pPr>
      <w:r>
        <w:rPr>
          <w:rFonts w:eastAsia="Times New Roman"/>
        </w:rPr>
        <w:t>2.</w:t>
      </w:r>
      <w:r>
        <w:rPr>
          <w:rFonts w:eastAsia="Times New Roman"/>
        </w:rPr>
        <w:t>3</w:t>
      </w:r>
      <w:r>
        <w:rPr>
          <w:rFonts w:eastAsia="Times New Roman"/>
        </w:rPr>
        <w:tab/>
      </w:r>
      <w:r>
        <w:rPr>
          <w:rFonts w:eastAsia="Times New Roman"/>
        </w:rPr>
        <w:t>Ethanol in Non-Alcoholic Beverages</w:t>
      </w:r>
      <w:bookmarkEnd w:id="20"/>
    </w:p>
    <w:bookmarkStart w:id="21" w:name="_Toc213063347"/>
    <w:bookmarkStart w:id="22" w:name="_Toc213321469"/>
    <w:bookmarkStart w:id="23" w:name="_Toc213926189"/>
    <w:bookmarkStart w:id="24" w:name="_Toc213929871"/>
    <w:p>
      <w:pPr>
        <w:pStyle w:val="style0"/>
        <w:spacing w:before="100" w:beforeAutospacing="true" w:after="100" w:afterAutospacing="true" w:lineRule="auto" w:line="480"/>
        <w:jc w:val="both"/>
        <w:outlineLvl w:val="2"/>
        <w:rPr>
          <w:rFonts w:ascii="Times New Roman" w:cs="Times New Roman" w:eastAsia="Times New Roman" w:hAnsi="Times New Roman"/>
          <w:b/>
          <w:bCs/>
          <w:sz w:val="24"/>
          <w:szCs w:val="24"/>
        </w:rPr>
      </w:pPr>
      <w:r>
        <w:rPr>
          <w:rFonts w:ascii="Times New Roman" w:cs="Times New Roman" w:hAnsi="Times New Roman"/>
          <w:sz w:val="24"/>
          <w:szCs w:val="24"/>
        </w:rPr>
        <w:t>The presence of ethanol in beverages labeled as “non-alcoholic” has been documented globally and remains a key concern for food safety authorities.</w:t>
      </w:r>
      <w:bookmarkEnd w:id="21"/>
      <w:bookmarkEnd w:id="22"/>
      <w:bookmarkEnd w:id="23"/>
      <w:bookmarkEnd w:id="24"/>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Ethanol may be present in non-alcoholic beverages for several reasons:</w:t>
      </w:r>
    </w:p>
    <w:p>
      <w:pPr>
        <w:pStyle w:val="style0"/>
        <w:numPr>
          <w:ilvl w:val="0"/>
          <w:numId w:val="4"/>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Natural Fermentation:</w:t>
      </w:r>
      <w:r>
        <w:rPr>
          <w:rFonts w:ascii="Times New Roman" w:cs="Times New Roman" w:eastAsia="Times New Roman" w:hAnsi="Times New Roman"/>
          <w:sz w:val="24"/>
          <w:szCs w:val="24"/>
        </w:rPr>
        <w:t xml:space="preserve"> Sugars present in the drink may undergo microbial fermentation during storage, producing ethanol </w:t>
      </w:r>
      <w:r>
        <w:rPr>
          <w:rFonts w:ascii="Times New Roman" w:cs="Times New Roman" w:hAnsi="Times New Roman"/>
          <w:sz w:val="24"/>
          <w:szCs w:val="24"/>
        </w:rPr>
        <w:t>(</w:t>
      </w:r>
      <w:r>
        <w:rPr>
          <w:rFonts w:ascii="Times New Roman" w:cs="Times New Roman" w:hAnsi="Times New Roman"/>
          <w:sz w:val="24"/>
          <w:szCs w:val="24"/>
        </w:rPr>
        <w:t>Rehm</w:t>
      </w:r>
      <w:r>
        <w:rPr>
          <w:rFonts w:ascii="Times New Roman" w:cs="Times New Roman" w:hAnsi="Times New Roman"/>
          <w:sz w:val="24"/>
          <w:szCs w:val="24"/>
        </w:rPr>
        <w:t xml:space="preserve"> </w:t>
      </w:r>
      <w:r>
        <w:rPr>
          <w:rFonts w:ascii="Times New Roman" w:cs="Times New Roman" w:hAnsi="Times New Roman"/>
          <w:i/>
          <w:sz w:val="24"/>
          <w:szCs w:val="24"/>
        </w:rPr>
        <w:t>et</w:t>
      </w:r>
      <w:r>
        <w:rPr>
          <w:rFonts w:ascii="Times New Roman" w:cs="Times New Roman" w:hAnsi="Times New Roman"/>
          <w:sz w:val="24"/>
          <w:szCs w:val="24"/>
        </w:rPr>
        <w:t xml:space="preserve"> </w:t>
      </w:r>
      <w:r>
        <w:rPr>
          <w:rFonts w:ascii="Times New Roman" w:cs="Times New Roman" w:hAnsi="Times New Roman"/>
          <w:i/>
          <w:sz w:val="24"/>
          <w:szCs w:val="24"/>
        </w:rPr>
        <w:t>al</w:t>
      </w:r>
      <w:r>
        <w:rPr>
          <w:rFonts w:ascii="Times New Roman" w:cs="Times New Roman" w:hAnsi="Times New Roman"/>
          <w:sz w:val="24"/>
          <w:szCs w:val="24"/>
        </w:rPr>
        <w:t xml:space="preserve">., 2016; Mansur </w:t>
      </w:r>
      <w:r>
        <w:rPr>
          <w:rFonts w:ascii="Times New Roman" w:cs="Times New Roman" w:hAnsi="Times New Roman"/>
          <w:i/>
          <w:sz w:val="24"/>
          <w:szCs w:val="24"/>
        </w:rPr>
        <w:t>et</w:t>
      </w:r>
      <w:r>
        <w:rPr>
          <w:rFonts w:ascii="Times New Roman" w:cs="Times New Roman" w:hAnsi="Times New Roman"/>
          <w:sz w:val="24"/>
          <w:szCs w:val="24"/>
        </w:rPr>
        <w:t xml:space="preserve"> </w:t>
      </w:r>
      <w:r>
        <w:rPr>
          <w:rFonts w:ascii="Times New Roman" w:cs="Times New Roman" w:hAnsi="Times New Roman"/>
          <w:i/>
          <w:sz w:val="24"/>
          <w:szCs w:val="24"/>
        </w:rPr>
        <w:t>al</w:t>
      </w:r>
      <w:r>
        <w:rPr>
          <w:rFonts w:ascii="Times New Roman" w:cs="Times New Roman" w:hAnsi="Times New Roman"/>
          <w:sz w:val="24"/>
          <w:szCs w:val="24"/>
        </w:rPr>
        <w:t>., 2022).</w:t>
      </w:r>
    </w:p>
    <w:p>
      <w:pPr>
        <w:pStyle w:val="style0"/>
        <w:numPr>
          <w:ilvl w:val="0"/>
          <w:numId w:val="4"/>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Deliberate Addition:</w:t>
      </w:r>
      <w:r>
        <w:rPr>
          <w:rFonts w:ascii="Times New Roman" w:cs="Times New Roman" w:eastAsia="Times New Roman" w:hAnsi="Times New Roman"/>
          <w:sz w:val="24"/>
          <w:szCs w:val="24"/>
        </w:rPr>
        <w:t xml:space="preserve"> Small amounts of ethanol may be added to enhance flavor or act as a preservative (</w:t>
      </w:r>
      <w:r>
        <w:rPr>
          <w:rFonts w:ascii="Times New Roman" w:cs="Times New Roman" w:eastAsia="Times New Roman" w:hAnsi="Times New Roman"/>
          <w:sz w:val="24"/>
          <w:szCs w:val="24"/>
        </w:rPr>
        <w:t>Rehm</w:t>
      </w:r>
      <w:r>
        <w:rPr>
          <w:rFonts w:ascii="Times New Roman" w:cs="Times New Roman" w:eastAsia="Times New Roman" w:hAnsi="Times New Roman"/>
          <w:sz w:val="24"/>
          <w:szCs w:val="24"/>
        </w:rPr>
        <w:t xml:space="preserve"> </w:t>
      </w:r>
      <w:r>
        <w:rPr>
          <w:rFonts w:ascii="Times New Roman" w:cs="Times New Roman" w:eastAsia="Times New Roman" w:hAnsi="Times New Roman"/>
          <w:i/>
          <w:sz w:val="24"/>
          <w:szCs w:val="24"/>
        </w:rPr>
        <w:t>et</w:t>
      </w:r>
      <w:r>
        <w:rPr>
          <w:rFonts w:ascii="Times New Roman" w:cs="Times New Roman" w:eastAsia="Times New Roman" w:hAnsi="Times New Roman"/>
          <w:sz w:val="24"/>
          <w:szCs w:val="24"/>
        </w:rPr>
        <w:t xml:space="preserve"> </w:t>
      </w:r>
      <w:r>
        <w:rPr>
          <w:rFonts w:ascii="Times New Roman" w:cs="Times New Roman" w:eastAsia="Times New Roman" w:hAnsi="Times New Roman"/>
          <w:i/>
          <w:sz w:val="24"/>
          <w:szCs w:val="24"/>
        </w:rPr>
        <w:t>al</w:t>
      </w:r>
      <w:r>
        <w:rPr>
          <w:rFonts w:ascii="Times New Roman" w:cs="Times New Roman" w:eastAsia="Times New Roman" w:hAnsi="Times New Roman"/>
          <w:sz w:val="24"/>
          <w:szCs w:val="24"/>
        </w:rPr>
        <w:t xml:space="preserve">., 2016; Mansur </w:t>
      </w:r>
      <w:r>
        <w:rPr>
          <w:rFonts w:ascii="Times New Roman" w:cs="Times New Roman" w:eastAsia="Times New Roman" w:hAnsi="Times New Roman"/>
          <w:i/>
          <w:sz w:val="24"/>
          <w:szCs w:val="24"/>
        </w:rPr>
        <w:t>et</w:t>
      </w:r>
      <w:r>
        <w:rPr>
          <w:rFonts w:ascii="Times New Roman" w:cs="Times New Roman" w:eastAsia="Times New Roman" w:hAnsi="Times New Roman"/>
          <w:sz w:val="24"/>
          <w:szCs w:val="24"/>
        </w:rPr>
        <w:t xml:space="preserve"> </w:t>
      </w:r>
      <w:r>
        <w:rPr>
          <w:rFonts w:ascii="Times New Roman" w:cs="Times New Roman" w:eastAsia="Times New Roman" w:hAnsi="Times New Roman"/>
          <w:i/>
          <w:sz w:val="24"/>
          <w:szCs w:val="24"/>
        </w:rPr>
        <w:t>al</w:t>
      </w:r>
      <w:r>
        <w:rPr>
          <w:rFonts w:ascii="Times New Roman" w:cs="Times New Roman" w:eastAsia="Times New Roman" w:hAnsi="Times New Roman"/>
          <w:sz w:val="24"/>
          <w:szCs w:val="24"/>
        </w:rPr>
        <w:t>., 2022).</w:t>
      </w:r>
    </w:p>
    <w:p>
      <w:pPr>
        <w:pStyle w:val="style0"/>
        <w:numPr>
          <w:ilvl w:val="0"/>
          <w:numId w:val="4"/>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Contamination during Processing:</w:t>
      </w:r>
      <w:r>
        <w:rPr>
          <w:rFonts w:ascii="Times New Roman" w:cs="Times New Roman" w:eastAsia="Times New Roman" w:hAnsi="Times New Roman"/>
          <w:sz w:val="24"/>
          <w:szCs w:val="24"/>
        </w:rPr>
        <w:t xml:space="preserve"> Inadequate quality control can lead to ethanol residues from other products processed in the same facility</w:t>
      </w:r>
      <w:r>
        <w:rPr>
          <w:rFonts w:ascii="Times New Roman" w:cs="Times New Roman" w:hAnsi="Times New Roman"/>
          <w:sz w:val="24"/>
          <w:szCs w:val="24"/>
        </w:rPr>
        <w:t xml:space="preserve"> (</w:t>
      </w:r>
      <w:r>
        <w:rPr>
          <w:rFonts w:ascii="Times New Roman" w:cs="Times New Roman" w:hAnsi="Times New Roman"/>
          <w:sz w:val="24"/>
          <w:szCs w:val="24"/>
        </w:rPr>
        <w:t>Rehm</w:t>
      </w:r>
      <w:r>
        <w:rPr>
          <w:rFonts w:ascii="Times New Roman" w:cs="Times New Roman" w:hAnsi="Times New Roman"/>
          <w:sz w:val="24"/>
          <w:szCs w:val="24"/>
        </w:rPr>
        <w:t xml:space="preserve"> </w:t>
      </w:r>
      <w:r>
        <w:rPr>
          <w:rFonts w:ascii="Times New Roman" w:cs="Times New Roman" w:hAnsi="Times New Roman"/>
          <w:i/>
          <w:sz w:val="24"/>
          <w:szCs w:val="24"/>
        </w:rPr>
        <w:t>et</w:t>
      </w:r>
      <w:r>
        <w:rPr>
          <w:rFonts w:ascii="Times New Roman" w:cs="Times New Roman" w:hAnsi="Times New Roman"/>
          <w:sz w:val="24"/>
          <w:szCs w:val="24"/>
        </w:rPr>
        <w:t xml:space="preserve"> </w:t>
      </w:r>
      <w:r>
        <w:rPr>
          <w:rFonts w:ascii="Times New Roman" w:cs="Times New Roman" w:hAnsi="Times New Roman"/>
          <w:i/>
          <w:sz w:val="24"/>
          <w:szCs w:val="24"/>
        </w:rPr>
        <w:t>al</w:t>
      </w:r>
      <w:r>
        <w:rPr>
          <w:rFonts w:ascii="Times New Roman" w:cs="Times New Roman" w:hAnsi="Times New Roman"/>
          <w:sz w:val="24"/>
          <w:szCs w:val="24"/>
        </w:rPr>
        <w:t xml:space="preserve">., 2016; Mansur </w:t>
      </w:r>
      <w:r>
        <w:rPr>
          <w:rFonts w:ascii="Times New Roman" w:cs="Times New Roman" w:hAnsi="Times New Roman"/>
          <w:i/>
          <w:sz w:val="24"/>
          <w:szCs w:val="24"/>
        </w:rPr>
        <w:t>et</w:t>
      </w:r>
      <w:r>
        <w:rPr>
          <w:rFonts w:ascii="Times New Roman" w:cs="Times New Roman" w:hAnsi="Times New Roman"/>
          <w:sz w:val="24"/>
          <w:szCs w:val="24"/>
        </w:rPr>
        <w:t xml:space="preserve"> </w:t>
      </w:r>
      <w:r>
        <w:rPr>
          <w:rFonts w:ascii="Times New Roman" w:cs="Times New Roman" w:hAnsi="Times New Roman"/>
          <w:i/>
          <w:sz w:val="24"/>
          <w:szCs w:val="24"/>
        </w:rPr>
        <w:t>al</w:t>
      </w:r>
      <w:r>
        <w:rPr>
          <w:rFonts w:ascii="Times New Roman" w:cs="Times New Roman" w:hAnsi="Times New Roman"/>
          <w:sz w:val="24"/>
          <w:szCs w:val="24"/>
        </w:rPr>
        <w:t>., 2022).</w:t>
      </w:r>
    </w:p>
    <w:p>
      <w:pPr>
        <w:pStyle w:val="style94"/>
        <w:spacing w:lineRule="auto" w:line="480"/>
        <w:jc w:val="both"/>
        <w:rPr/>
      </w:pPr>
      <w:r>
        <w:t xml:space="preserve">Studies across different countries have reported measurable ethanol in supposedly alcohol-free drinks. </w:t>
      </w:r>
      <w:r>
        <w:t>Rehm</w:t>
      </w:r>
      <w:r>
        <w:t xml:space="preserve"> </w:t>
      </w:r>
      <w:r>
        <w:rPr>
          <w:i/>
        </w:rPr>
        <w:t>et</w:t>
      </w:r>
      <w:r>
        <w:t xml:space="preserve"> </w:t>
      </w:r>
      <w:r>
        <w:rPr>
          <w:i/>
        </w:rPr>
        <w:t>al</w:t>
      </w:r>
      <w:r>
        <w:t xml:space="preserve">. (2016) detected ethanol concentrations up to 0.7% v/v in soft drinks marketed in Pakistan. (Goldberger </w:t>
      </w:r>
      <w:r>
        <w:rPr>
          <w:i/>
        </w:rPr>
        <w:t>et</w:t>
      </w:r>
      <w:r>
        <w:t xml:space="preserve"> </w:t>
      </w:r>
      <w:r>
        <w:rPr>
          <w:i/>
        </w:rPr>
        <w:t>al</w:t>
      </w:r>
      <w:r>
        <w:t xml:space="preserve">., 1996; Logan &amp; </w:t>
      </w:r>
      <w:r>
        <w:t>Distefano</w:t>
      </w:r>
      <w:r>
        <w:t>, 1998) found that some “non-alcoholic” beers contained levels close to 0.5% v/v, the regulatory threshold in many countries.</w:t>
      </w:r>
    </w:p>
    <w:bookmarkStart w:id="25" w:name="_Toc213929872"/>
    <w:p>
      <w:pPr>
        <w:pStyle w:val="style1"/>
        <w:rPr>
          <w:rFonts w:eastAsia="Times New Roman"/>
        </w:rPr>
      </w:pPr>
      <w:r>
        <w:rPr>
          <w:rFonts w:eastAsia="Times New Roman"/>
        </w:rPr>
        <w:t>2.</w:t>
      </w:r>
      <w:r>
        <w:rPr>
          <w:rFonts w:eastAsia="Times New Roman"/>
        </w:rPr>
        <w:t>4</w:t>
      </w:r>
      <w:r>
        <w:rPr>
          <w:rFonts w:eastAsia="Times New Roman"/>
        </w:rPr>
        <w:tab/>
      </w:r>
      <w:r>
        <w:rPr>
          <w:rFonts w:eastAsia="Times New Roman"/>
        </w:rPr>
        <w:t>Regulatory Standards for Ethanol in Beverages</w:t>
      </w:r>
      <w:bookmarkEnd w:id="25"/>
    </w:p>
    <w:p>
      <w:pPr>
        <w:pStyle w:val="style0"/>
        <w:spacing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According to the World Health Organization (WHO, 2014) and similar national food authorities, beverages with ethanol levels below 0.5% by volume are classified as non-alcoholic. In Nigeria, </w:t>
      </w:r>
      <w:r>
        <w:rPr>
          <w:rFonts w:ascii="Times New Roman" w:cs="Times New Roman" w:hAnsi="Times New Roman"/>
          <w:sz w:val="24"/>
          <w:szCs w:val="24"/>
        </w:rPr>
        <w:t xml:space="preserve">the </w:t>
      </w:r>
      <w:r>
        <w:rPr>
          <w:rStyle w:val="style87"/>
          <w:rFonts w:ascii="Times New Roman" w:cs="Times New Roman" w:hAnsi="Times New Roman"/>
          <w:b w:val="false"/>
          <w:sz w:val="24"/>
          <w:szCs w:val="24"/>
        </w:rPr>
        <w:t>National Agency for Food and Drug Administration and Control (NAFDAC, 2021)</w:t>
      </w:r>
      <w:r>
        <w:rPr>
          <w:rFonts w:ascii="Times New Roman" w:cs="Times New Roman" w:eastAsia="Times New Roman" w:hAnsi="Times New Roman"/>
          <w:sz w:val="24"/>
          <w:szCs w:val="24"/>
        </w:rPr>
        <w:t xml:space="preserve"> enforce</w:t>
      </w:r>
      <w:r>
        <w:rPr>
          <w:rFonts w:ascii="Times New Roman" w:cs="Times New Roman" w:eastAsia="Times New Roman" w:hAnsi="Times New Roman"/>
          <w:sz w:val="24"/>
          <w:szCs w:val="24"/>
        </w:rPr>
        <w:t>s</w:t>
      </w:r>
      <w:r>
        <w:rPr>
          <w:rFonts w:ascii="Times New Roman" w:cs="Times New Roman" w:eastAsia="Times New Roman" w:hAnsi="Times New Roman"/>
          <w:sz w:val="24"/>
          <w:szCs w:val="24"/>
        </w:rPr>
        <w:t xml:space="preserve"> similar limits under its Industrial Standards for soft drinks and beverages. Products exceeding this threshold must be classified as alcoholic beverages and labeled accordingly.</w:t>
      </w:r>
      <w:r>
        <w:rPr>
          <w:rFonts w:ascii="Times New Roman" w:cs="Times New Roman" w:hAnsi="Times New Roman"/>
          <w:sz w:val="24"/>
          <w:szCs w:val="24"/>
        </w:rPr>
        <w:t xml:space="preserve"> Independent verification using standardized analytical methods such as FTIR, UV–Vis spectrophotometry, and AOAC-approved oxidation techniques (AOAC, 2019; NAFDAC, 2021; WHO, 2014) is therefore essential.</w:t>
      </w:r>
    </w:p>
    <w:p>
      <w:pPr>
        <w:pStyle w:val="style0"/>
        <w:spacing w:before="100" w:beforeAutospacing="true" w:after="100" w:afterAutospacing="true" w:lineRule="auto" w:line="480"/>
        <w:jc w:val="both"/>
        <w:rPr>
          <w:rFonts w:ascii="Times New Roman" w:cs="Times New Roman" w:hAnsi="Times New Roman"/>
          <w:sz w:val="24"/>
          <w:szCs w:val="24"/>
        </w:rPr>
      </w:pPr>
      <w:r>
        <w:rPr>
          <w:rFonts w:ascii="Times New Roman" w:cs="Times New Roman" w:eastAsia="Times New Roman" w:hAnsi="Times New Roman"/>
          <w:sz w:val="24"/>
          <w:szCs w:val="24"/>
        </w:rPr>
        <w:t xml:space="preserve">Failure to comply with these regulations can result in product recalls, fines, and loss of consumer trust. The absence of routine surveillance in many developing countries, however, makes it difficult to enforce these standards effectively. This </w:t>
      </w:r>
      <w:r>
        <w:rPr>
          <w:rFonts w:ascii="Times New Roman" w:cs="Times New Roman" w:eastAsia="Times New Roman" w:hAnsi="Times New Roman"/>
          <w:sz w:val="24"/>
          <w:szCs w:val="24"/>
        </w:rPr>
        <w:t>highlights the importance of</w:t>
      </w:r>
      <w:r>
        <w:rPr>
          <w:rFonts w:ascii="Times New Roman" w:cs="Times New Roman" w:eastAsia="Times New Roman" w:hAnsi="Times New Roman"/>
          <w:sz w:val="24"/>
          <w:szCs w:val="24"/>
        </w:rPr>
        <w:t xml:space="preserve"> independent chemical analysis to verify compliance.</w:t>
      </w:r>
      <w:r>
        <w:rPr>
          <w:rFonts w:ascii="Times New Roman" w:cs="Times New Roman" w:hAnsi="Times New Roman"/>
          <w:sz w:val="24"/>
          <w:szCs w:val="24"/>
        </w:rPr>
        <w:t xml:space="preserve"> Ensuring compliance with these standards requires reliable analytical verification, which forms the basis of the present research.</w:t>
      </w:r>
    </w:p>
    <w:bookmarkStart w:id="26" w:name="_Toc213929873"/>
    <w:p>
      <w:pPr>
        <w:pStyle w:val="style1"/>
        <w:rPr/>
      </w:pPr>
      <w:r>
        <w:t>2.5</w:t>
      </w:r>
      <w:r>
        <w:t xml:space="preserve">  </w:t>
      </w:r>
      <w:r>
        <w:t xml:space="preserve"> Ethanol Determination in Non-Alcoholic and Energy Drinks</w:t>
      </w:r>
      <w:bookmarkEnd w:id="26"/>
    </w:p>
    <w:p>
      <w:pPr>
        <w:pStyle w:val="style0"/>
        <w:spacing w:before="100" w:beforeAutospacing="true" w:after="100" w:afterAutospacing="true" w:lineRule="auto" w:line="480"/>
        <w:jc w:val="both"/>
        <w:rPr>
          <w:rFonts w:ascii="Times New Roman" w:cs="Times New Roman" w:hAnsi="Times New Roman"/>
          <w:sz w:val="24"/>
          <w:szCs w:val="24"/>
        </w:rPr>
      </w:pPr>
      <w:r>
        <w:rPr>
          <w:rFonts w:ascii="Times New Roman" w:cs="Times New Roman" w:hAnsi="Times New Roman"/>
          <w:sz w:val="24"/>
          <w:szCs w:val="24"/>
        </w:rPr>
        <w:t>Numerous researchers have explored the presence of ethanol in drinks marketed as non-alcoholic through various analytical methods. Goldberger et al. (1996) studied soft and flavored beverages in the United States and detected ethanol concentrations</w:t>
      </w:r>
      <w:r>
        <w:rPr>
          <w:rFonts w:ascii="Times New Roman" w:cs="Times New Roman" w:hAnsi="Times New Roman"/>
          <w:sz w:val="24"/>
          <w:szCs w:val="24"/>
        </w:rPr>
        <w:t xml:space="preserve"> </w:t>
      </w:r>
      <w:r>
        <w:rPr>
          <w:rFonts w:ascii="Times New Roman" w:cs="Times New Roman" w:hAnsi="Times New Roman"/>
          <w:sz w:val="24"/>
          <w:szCs w:val="24"/>
        </w:rPr>
        <w:t>of</w:t>
      </w:r>
      <w:r>
        <w:rPr>
          <w:rFonts w:ascii="Times New Roman" w:cs="Times New Roman" w:hAnsi="Times New Roman"/>
          <w:sz w:val="24"/>
          <w:szCs w:val="24"/>
        </w:rPr>
        <w:t xml:space="preserve"> approximately 0.01 </w:t>
      </w:r>
      <w:r>
        <w:rPr>
          <w:rFonts w:ascii="Times New Roman" w:cs="Times New Roman" w:hAnsi="Times New Roman"/>
          <w:sz w:val="24"/>
          <w:szCs w:val="24"/>
        </w:rPr>
        <w:t>to</w:t>
      </w:r>
      <w:r>
        <w:rPr>
          <w:rFonts w:ascii="Times New Roman" w:cs="Times New Roman" w:hAnsi="Times New Roman"/>
          <w:sz w:val="24"/>
          <w:szCs w:val="24"/>
        </w:rPr>
        <w:t xml:space="preserve"> 0.5 % v/v,</w:t>
      </w:r>
      <w:r>
        <w:rPr>
          <w:rFonts w:ascii="Times New Roman" w:cs="Times New Roman" w:hAnsi="Times New Roman"/>
          <w:sz w:val="24"/>
          <w:szCs w:val="24"/>
        </w:rPr>
        <w:t xml:space="preserve"> indicating that trace amounts of alcohol can persist after processing or flavoring. In a similar study, </w:t>
      </w:r>
      <w:r>
        <w:rPr>
          <w:rFonts w:ascii="Times New Roman" w:cs="Times New Roman" w:hAnsi="Times New Roman"/>
          <w:sz w:val="24"/>
          <w:szCs w:val="24"/>
        </w:rPr>
        <w:t xml:space="preserve">Logan and </w:t>
      </w:r>
      <w:r>
        <w:rPr>
          <w:rFonts w:ascii="Times New Roman" w:cs="Times New Roman" w:hAnsi="Times New Roman"/>
          <w:sz w:val="24"/>
          <w:szCs w:val="24"/>
        </w:rPr>
        <w:t>Distefano</w:t>
      </w:r>
      <w:r>
        <w:rPr>
          <w:rFonts w:ascii="Times New Roman" w:cs="Times New Roman" w:hAnsi="Times New Roman"/>
          <w:sz w:val="24"/>
          <w:szCs w:val="24"/>
        </w:rPr>
        <w:t xml:space="preserve"> (1998) found that some so-called “non-alcoholic” beers contained ethanol concentrations approaching 0.4 % v/v, which were high enough to interfere with breath-alcohol tests.</w:t>
      </w:r>
    </w:p>
    <w:p>
      <w:pPr>
        <w:pStyle w:val="style0"/>
        <w:spacing w:before="100" w:beforeAutospacing="true" w:after="100" w:afterAutospacing="true" w:lineRule="auto" w:line="480"/>
        <w:jc w:val="both"/>
        <w:rPr>
          <w:rFonts w:ascii="Times New Roman" w:cs="Times New Roman" w:hAnsi="Times New Roman"/>
          <w:sz w:val="24"/>
          <w:szCs w:val="24"/>
        </w:rPr>
      </w:pPr>
      <w:r>
        <w:rPr>
          <w:rFonts w:ascii="Times New Roman" w:cs="Times New Roman" w:hAnsi="Times New Roman"/>
          <w:sz w:val="24"/>
          <w:szCs w:val="24"/>
        </w:rPr>
        <w:t xml:space="preserve">In Pakistan, </w:t>
      </w:r>
      <w:r>
        <w:rPr>
          <w:rFonts w:ascii="Times New Roman" w:cs="Times New Roman" w:hAnsi="Times New Roman"/>
          <w:sz w:val="24"/>
          <w:szCs w:val="24"/>
        </w:rPr>
        <w:t>Rehm</w:t>
      </w:r>
      <w:r>
        <w:rPr>
          <w:rFonts w:ascii="Times New Roman" w:cs="Times New Roman" w:hAnsi="Times New Roman"/>
          <w:sz w:val="24"/>
          <w:szCs w:val="24"/>
        </w:rPr>
        <w:t xml:space="preserve"> et al. (2016) observed ethanol concentrations of up to 0.7 % v/v in carbonated and fruit beverages marketed as alcohol-free, attributing these values to natural sugar fermentation during storage under warm conditions. More recently, Mansur et al. (2022) developed a magnetic-stirring-assisted GC-FID method for determ</w:t>
      </w:r>
      <w:r>
        <w:rPr>
          <w:rFonts w:ascii="Times New Roman" w:cs="Times New Roman" w:hAnsi="Times New Roman"/>
          <w:sz w:val="24"/>
          <w:szCs w:val="24"/>
        </w:rPr>
        <w:t>ining ethanol</w:t>
      </w:r>
      <w:r>
        <w:rPr>
          <w:rFonts w:ascii="Times New Roman" w:cs="Times New Roman" w:hAnsi="Times New Roman"/>
          <w:sz w:val="24"/>
          <w:szCs w:val="24"/>
        </w:rPr>
        <w:t xml:space="preserve"> in foods and drinks intended for halal verification and achieved a detection limit below 0.01 % v/v, </w:t>
      </w:r>
      <w:r>
        <w:rPr>
          <w:rFonts w:ascii="Times New Roman" w:cs="Times New Roman" w:hAnsi="Times New Roman"/>
          <w:sz w:val="24"/>
          <w:szCs w:val="24"/>
        </w:rPr>
        <w:t>observed</w:t>
      </w:r>
      <w:r>
        <w:rPr>
          <w:rFonts w:ascii="Times New Roman" w:cs="Times New Roman" w:hAnsi="Times New Roman"/>
          <w:sz w:val="24"/>
          <w:szCs w:val="24"/>
        </w:rPr>
        <w:t xml:space="preserve"> that sensitive instrumental methods can accurately quantify trace ethanol.</w:t>
      </w:r>
    </w:p>
    <w:p>
      <w:pPr>
        <w:pStyle w:val="style0"/>
        <w:spacing w:before="100" w:beforeAutospacing="true" w:after="100" w:afterAutospacing="true" w:lineRule="auto" w:line="480"/>
        <w:jc w:val="both"/>
        <w:rPr>
          <w:rFonts w:ascii="Times New Roman" w:cs="Times New Roman" w:hAnsi="Times New Roman"/>
          <w:sz w:val="24"/>
          <w:szCs w:val="24"/>
        </w:rPr>
      </w:pPr>
      <w:r>
        <w:rPr>
          <w:rFonts w:ascii="Times New Roman" w:cs="Times New Roman" w:hAnsi="Times New Roman"/>
          <w:sz w:val="24"/>
          <w:szCs w:val="24"/>
        </w:rPr>
        <w:t>Within Nigeria, research has m</w:t>
      </w:r>
      <w:r>
        <w:rPr>
          <w:rFonts w:ascii="Times New Roman" w:cs="Times New Roman" w:hAnsi="Times New Roman"/>
          <w:sz w:val="24"/>
          <w:szCs w:val="24"/>
        </w:rPr>
        <w:t>ainly</w:t>
      </w:r>
      <w:r>
        <w:rPr>
          <w:rFonts w:ascii="Times New Roman" w:cs="Times New Roman" w:hAnsi="Times New Roman"/>
          <w:sz w:val="24"/>
          <w:szCs w:val="24"/>
        </w:rPr>
        <w:t xml:space="preserve"> </w:t>
      </w:r>
      <w:r>
        <w:rPr>
          <w:rFonts w:ascii="Times New Roman" w:cs="Times New Roman" w:hAnsi="Times New Roman"/>
          <w:sz w:val="24"/>
          <w:szCs w:val="24"/>
        </w:rPr>
        <w:t>focused</w:t>
      </w:r>
      <w:r>
        <w:rPr>
          <w:rFonts w:ascii="Times New Roman" w:cs="Times New Roman" w:hAnsi="Times New Roman"/>
          <w:sz w:val="24"/>
          <w:szCs w:val="24"/>
        </w:rPr>
        <w:t xml:space="preserve"> on patterns of energy-drink consumption rather than on their chemical composition. </w:t>
      </w:r>
      <w:r>
        <w:rPr>
          <w:rFonts w:ascii="Times New Roman" w:cs="Times New Roman" w:hAnsi="Times New Roman"/>
          <w:sz w:val="24"/>
          <w:szCs w:val="24"/>
        </w:rPr>
        <w:t>Adepoju</w:t>
      </w:r>
      <w:r>
        <w:rPr>
          <w:rFonts w:ascii="Times New Roman" w:cs="Times New Roman" w:hAnsi="Times New Roman"/>
          <w:sz w:val="24"/>
          <w:szCs w:val="24"/>
        </w:rPr>
        <w:t xml:space="preserve"> and </w:t>
      </w:r>
      <w:r>
        <w:rPr>
          <w:rFonts w:ascii="Times New Roman" w:cs="Times New Roman" w:hAnsi="Times New Roman"/>
          <w:sz w:val="24"/>
          <w:szCs w:val="24"/>
        </w:rPr>
        <w:t>Ojo</w:t>
      </w:r>
      <w:r>
        <w:rPr>
          <w:rFonts w:ascii="Times New Roman" w:cs="Times New Roman" w:hAnsi="Times New Roman"/>
          <w:sz w:val="24"/>
          <w:szCs w:val="24"/>
        </w:rPr>
        <w:t xml:space="preserve"> (2014) reported that about 60 % of University of Ibadan students regularly consumed energy drinks</w:t>
      </w:r>
      <w:r>
        <w:rPr>
          <w:rFonts w:ascii="Times New Roman" w:cs="Times New Roman" w:hAnsi="Times New Roman"/>
          <w:sz w:val="24"/>
          <w:szCs w:val="24"/>
        </w:rPr>
        <w:t>,</w:t>
      </w:r>
      <w:r>
        <w:rPr>
          <w:rFonts w:ascii="Times New Roman" w:cs="Times New Roman" w:hAnsi="Times New Roman"/>
          <w:sz w:val="24"/>
          <w:szCs w:val="24"/>
        </w:rPr>
        <w:t xml:space="preserve"> but provided no analysis of their ethanol content. Similarly, Ibrahim et al. (2021) found high consumption rates among undergraduates in Kano State yet did not evaluate the presence of alcohol.</w:t>
      </w:r>
    </w:p>
    <w:p>
      <w:pPr>
        <w:pStyle w:val="style0"/>
        <w:spacing w:before="100" w:beforeAutospacing="true" w:after="100" w:afterAutospacing="true" w:lineRule="auto" w:line="480"/>
        <w:jc w:val="both"/>
        <w:rPr>
          <w:rFonts w:ascii="Times New Roman" w:cs="Times New Roman" w:hAnsi="Times New Roman"/>
          <w:sz w:val="24"/>
          <w:szCs w:val="24"/>
        </w:rPr>
      </w:pPr>
      <w:r>
        <w:rPr>
          <w:rFonts w:ascii="Times New Roman" w:cs="Times New Roman" w:hAnsi="Times New Roman"/>
          <w:sz w:val="24"/>
          <w:szCs w:val="24"/>
        </w:rPr>
        <w:t>The collective findings from these studies indicate that trace amounts of ethanol can be found in various beverages that are marketed as non-</w:t>
      </w:r>
      <w:r>
        <w:rPr>
          <w:rFonts w:ascii="Times New Roman" w:cs="Times New Roman" w:hAnsi="Times New Roman"/>
          <w:sz w:val="24"/>
          <w:szCs w:val="24"/>
        </w:rPr>
        <w:t>alcoholic,</w:t>
      </w:r>
      <w:r>
        <w:rPr>
          <w:rFonts w:ascii="Times New Roman" w:cs="Times New Roman" w:hAnsi="Times New Roman"/>
          <w:sz w:val="24"/>
          <w:szCs w:val="24"/>
        </w:rPr>
        <w:t xml:space="preserve"> with the concentration differing based on the formulation and storage conditions. However, there is a lack of research from Nigeria that quantifies ethanol levels in energy drinks using validated analytical techniques. </w:t>
      </w:r>
      <w:r>
        <w:rPr>
          <w:rFonts w:ascii="Times New Roman" w:cs="Times New Roman" w:hAnsi="Times New Roman"/>
          <w:sz w:val="24"/>
          <w:szCs w:val="24"/>
        </w:rPr>
        <w:t xml:space="preserve">Therefore, this study aims to fill that gap by measuring the ethanol content in selected energy drink brands available in </w:t>
      </w:r>
      <w:r>
        <w:rPr>
          <w:rFonts w:ascii="Times New Roman" w:cs="Times New Roman" w:hAnsi="Times New Roman"/>
          <w:sz w:val="24"/>
          <w:szCs w:val="24"/>
        </w:rPr>
        <w:t>Sokoto</w:t>
      </w:r>
      <w:r>
        <w:rPr>
          <w:rFonts w:ascii="Times New Roman" w:cs="Times New Roman" w:hAnsi="Times New Roman"/>
          <w:sz w:val="24"/>
          <w:szCs w:val="24"/>
        </w:rPr>
        <w:t xml:space="preserve"> Metropolis utilizing Fourier Transfo</w:t>
      </w:r>
      <w:r>
        <w:rPr>
          <w:rFonts w:ascii="Times New Roman" w:cs="Times New Roman" w:hAnsi="Times New Roman"/>
          <w:sz w:val="24"/>
          <w:szCs w:val="24"/>
        </w:rPr>
        <w:t xml:space="preserve">rm Infrared (FTIR) spectroscopy and </w:t>
      </w:r>
      <w:r>
        <w:rPr>
          <w:rFonts w:ascii="Times New Roman" w:cs="Times New Roman" w:hAnsi="Times New Roman"/>
          <w:sz w:val="24"/>
          <w:szCs w:val="24"/>
        </w:rPr>
        <w:t>Ultraviolet–</w:t>
      </w:r>
      <w:r>
        <w:rPr>
          <w:rFonts w:ascii="Times New Roman" w:cs="Times New Roman" w:hAnsi="Times New Roman"/>
          <w:sz w:val="24"/>
          <w:szCs w:val="24"/>
        </w:rPr>
        <w:t>Visible(</w:t>
      </w:r>
      <w:r>
        <w:rPr>
          <w:rFonts w:ascii="Times New Roman" w:cs="Times New Roman" w:hAnsi="Times New Roman"/>
          <w:sz w:val="24"/>
          <w:szCs w:val="24"/>
        </w:rPr>
        <w:t>UV–Vis)spectrophotometry.</w:t>
      </w:r>
    </w:p>
    <w:p>
      <w:pPr>
        <w:pStyle w:val="style0"/>
        <w:spacing w:before="100" w:beforeAutospacing="true" w:after="100" w:afterAutospacing="true" w:lineRule="auto" w:line="480"/>
        <w:jc w:val="both"/>
        <w:rPr>
          <w:rFonts w:ascii="Times New Roman" w:cs="Times New Roman" w:hAnsi="Times New Roman"/>
          <w:sz w:val="24"/>
          <w:szCs w:val="24"/>
        </w:rPr>
      </w:pPr>
    </w:p>
    <w:p>
      <w:pPr>
        <w:pStyle w:val="style0"/>
        <w:spacing w:before="100" w:beforeAutospacing="true" w:after="100" w:afterAutospacing="true" w:lineRule="auto" w:line="480"/>
        <w:jc w:val="both"/>
        <w:rPr>
          <w:rFonts w:ascii="Times New Roman" w:cs="Times New Roman" w:hAnsi="Times New Roman"/>
          <w:sz w:val="24"/>
          <w:szCs w:val="24"/>
        </w:rPr>
      </w:pPr>
    </w:p>
    <w:p>
      <w:pPr>
        <w:pStyle w:val="style0"/>
        <w:rPr>
          <w:rFonts w:ascii="Times New Roman" w:cs="宋体" w:eastAsia="Arial" w:hAnsi="Times New Roman"/>
          <w:b/>
          <w:bCs/>
          <w:sz w:val="24"/>
          <w:szCs w:val="28"/>
        </w:rPr>
      </w:pPr>
      <w:r>
        <w:rPr>
          <w:rFonts w:eastAsia="Arial"/>
        </w:rPr>
        <w:br w:type="page"/>
      </w:r>
    </w:p>
    <w:bookmarkStart w:id="27" w:name="_Toc213929874"/>
    <w:p>
      <w:pPr>
        <w:pStyle w:val="style1"/>
        <w:jc w:val="center"/>
        <w:rPr>
          <w:rFonts w:eastAsia="Arial"/>
        </w:rPr>
      </w:pPr>
      <w:r>
        <w:rPr>
          <w:rFonts w:eastAsia="Arial"/>
        </w:rPr>
        <w:t>CHAPTER THREE</w:t>
      </w:r>
      <w:bookmarkEnd w:id="27"/>
    </w:p>
    <w:bookmarkStart w:id="28" w:name="_Toc213929875"/>
    <w:p>
      <w:pPr>
        <w:pStyle w:val="style1"/>
        <w:jc w:val="center"/>
        <w:rPr>
          <w:rFonts w:eastAsia="Arial"/>
        </w:rPr>
      </w:pPr>
      <w:r>
        <w:rPr>
          <w:rFonts w:eastAsia="Arial"/>
        </w:rPr>
        <w:t>MATERIALS AND METHODS</w:t>
      </w:r>
      <w:bookmarkEnd w:id="28"/>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 xml:space="preserve">This chapter presents the materials, reagents, instruments, and analytical procedures used in determining the ethanol content of selected energy drink brands. Two complementary techniques were employed: </w:t>
      </w:r>
      <w:r>
        <w:rPr>
          <w:rStyle w:val="style87"/>
          <w:rFonts w:ascii="Times New Roman" w:cs="Times New Roman" w:hAnsi="Times New Roman"/>
          <w:b w:val="false"/>
          <w:sz w:val="24"/>
          <w:szCs w:val="24"/>
        </w:rPr>
        <w:t>Fourier</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Transform</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Infrared</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(FTIR)</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Spectroscopy</w:t>
      </w:r>
      <w:r>
        <w:rPr>
          <w:rFonts w:ascii="Times New Roman" w:cs="Times New Roman" w:hAnsi="Times New Roman"/>
          <w:sz w:val="24"/>
          <w:szCs w:val="24"/>
        </w:rPr>
        <w:t xml:space="preserve"> for qualitative identification of ethanol functional groups, and </w:t>
      </w:r>
      <w:r>
        <w:rPr>
          <w:rStyle w:val="style87"/>
          <w:rFonts w:ascii="Times New Roman" w:cs="Times New Roman" w:hAnsi="Times New Roman"/>
          <w:b w:val="false"/>
          <w:sz w:val="24"/>
          <w:szCs w:val="24"/>
        </w:rPr>
        <w:t>Ultraviolet</w:t>
      </w:r>
      <w:r>
        <w:rPr>
          <w:rStyle w:val="style87"/>
          <w:rFonts w:ascii="Times New Roman" w:cs="Times New Roman" w:hAnsi="Times New Roman"/>
          <w:sz w:val="24"/>
          <w:szCs w:val="24"/>
        </w:rPr>
        <w:t>–</w:t>
      </w:r>
      <w:r>
        <w:rPr>
          <w:rStyle w:val="style87"/>
          <w:rFonts w:ascii="Times New Roman" w:cs="Times New Roman" w:hAnsi="Times New Roman"/>
          <w:b w:val="false"/>
          <w:sz w:val="24"/>
          <w:szCs w:val="24"/>
        </w:rPr>
        <w:t>Visible</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(UV</w:t>
      </w:r>
      <w:r>
        <w:rPr>
          <w:rStyle w:val="style87"/>
          <w:rFonts w:ascii="Times New Roman" w:cs="Times New Roman" w:hAnsi="Times New Roman"/>
          <w:sz w:val="24"/>
          <w:szCs w:val="24"/>
        </w:rPr>
        <w:t>–</w:t>
      </w:r>
      <w:r>
        <w:rPr>
          <w:rStyle w:val="style87"/>
          <w:rFonts w:ascii="Times New Roman" w:cs="Times New Roman" w:hAnsi="Times New Roman"/>
          <w:b w:val="false"/>
          <w:sz w:val="24"/>
          <w:szCs w:val="24"/>
        </w:rPr>
        <w:t>Vis)</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Spectrophotometry</w:t>
      </w:r>
      <w:r>
        <w:rPr>
          <w:rFonts w:ascii="Times New Roman" w:cs="Times New Roman" w:hAnsi="Times New Roman"/>
          <w:sz w:val="24"/>
          <w:szCs w:val="24"/>
        </w:rPr>
        <w:t xml:space="preserve"> using the dichromate oxidation method for quantitative ethanol determination. All analyses were conducted under controlled laboratory conditions to ensure precision, reproducibility, and accuracy.</w:t>
      </w:r>
      <w:r>
        <w:rPr>
          <w:rFonts w:ascii="Times New Roman" w:cs="Times New Roman" w:hAnsi="Times New Roman"/>
          <w:sz w:val="24"/>
          <w:szCs w:val="24"/>
        </w:rPr>
        <w:tab/>
      </w:r>
    </w:p>
    <w:bookmarkStart w:id="29" w:name="_Toc213929876"/>
    <w:p>
      <w:pPr>
        <w:pStyle w:val="style1"/>
        <w:rPr>
          <w:b w:val="false"/>
        </w:rPr>
      </w:pPr>
      <w:r>
        <w:rPr>
          <w:rStyle w:val="style87"/>
          <w:rFonts w:cs="Times New Roman"/>
          <w:b/>
          <w:bCs/>
          <w:szCs w:val="24"/>
        </w:rPr>
        <w:t>3.1</w:t>
      </w:r>
      <w:r>
        <w:rPr>
          <w:rStyle w:val="style87"/>
          <w:rFonts w:cs="Times New Roman"/>
          <w:b/>
          <w:bCs/>
          <w:szCs w:val="24"/>
        </w:rPr>
        <w:tab/>
      </w:r>
      <w:r>
        <w:rPr>
          <w:rStyle w:val="style87"/>
          <w:rFonts w:cs="Times New Roman"/>
          <w:b/>
          <w:szCs w:val="24"/>
        </w:rPr>
        <w:t>Materials</w:t>
      </w:r>
      <w:bookmarkEnd w:id="29"/>
      <w:r>
        <w:rPr>
          <w:rStyle w:val="style87"/>
          <w:rFonts w:cs="Times New Roman"/>
          <w:b/>
          <w:szCs w:val="24"/>
        </w:rPr>
        <w:tab/>
      </w:r>
    </w:p>
    <w:bookmarkStart w:id="30" w:name="_Toc213929877"/>
    <w:p>
      <w:pPr>
        <w:pStyle w:val="style1"/>
        <w:rPr>
          <w:b w:val="false"/>
        </w:rPr>
      </w:pPr>
      <w:r>
        <w:rPr>
          <w:rStyle w:val="style87"/>
          <w:rFonts w:cs="Times New Roman"/>
          <w:b/>
          <w:bCs/>
          <w:szCs w:val="24"/>
        </w:rPr>
        <w:t>3.1.1</w:t>
      </w:r>
      <w:r>
        <w:rPr>
          <w:rStyle w:val="style87"/>
          <w:rFonts w:cs="Times New Roman"/>
          <w:b/>
          <w:bCs/>
          <w:szCs w:val="24"/>
        </w:rPr>
        <w:tab/>
      </w:r>
      <w:r>
        <w:rPr>
          <w:rStyle w:val="style87"/>
          <w:rFonts w:cs="Times New Roman"/>
          <w:b/>
          <w:szCs w:val="24"/>
        </w:rPr>
        <w:t>Energy Drink Samples</w:t>
      </w:r>
      <w:bookmarkEnd w:id="30"/>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Five commercially available energy drink brands were randomly purchased from retail outlets within</w:t>
      </w:r>
      <w:r>
        <w:rPr>
          <w:rFonts w:ascii="Times New Roman" w:cs="Times New Roman" w:hAnsi="Times New Roman"/>
          <w:sz w:val="24"/>
          <w:szCs w:val="24"/>
        </w:rPr>
        <w:t xml:space="preserve"> the</w:t>
      </w:r>
      <w:r>
        <w:rPr>
          <w:rFonts w:ascii="Times New Roman" w:cs="Times New Roman" w:hAnsi="Times New Roman"/>
          <w:sz w:val="24"/>
          <w:szCs w:val="24"/>
        </w:rPr>
        <w:t xml:space="preserve"> </w:t>
      </w:r>
      <w:r>
        <w:rPr>
          <w:rStyle w:val="style87"/>
          <w:rFonts w:ascii="Times New Roman" w:cs="Times New Roman" w:hAnsi="Times New Roman"/>
          <w:b w:val="false"/>
          <w:sz w:val="24"/>
          <w:szCs w:val="24"/>
        </w:rPr>
        <w:t>Sokoto</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metropolis</w:t>
      </w:r>
      <w:r>
        <w:rPr>
          <w:rFonts w:ascii="Times New Roman" w:cs="Times New Roman" w:hAnsi="Times New Roman"/>
          <w:sz w:val="24"/>
          <w:szCs w:val="24"/>
        </w:rPr>
        <w:t>. The selected brands were:</w:t>
      </w:r>
    </w:p>
    <w:p>
      <w:pPr>
        <w:pStyle w:val="style179"/>
        <w:numPr>
          <w:ilvl w:val="0"/>
          <w:numId w:val="20"/>
        </w:numPr>
        <w:spacing w:lineRule="auto" w:line="480"/>
        <w:jc w:val="both"/>
        <w:rPr>
          <w:rFonts w:ascii="Times New Roman" w:cs="Times New Roman" w:hAnsi="Times New Roman"/>
          <w:sz w:val="24"/>
          <w:szCs w:val="24"/>
        </w:rPr>
      </w:pPr>
      <w:r>
        <w:rPr>
          <w:rFonts w:ascii="Times New Roman" w:cs="Times New Roman" w:hAnsi="Times New Roman"/>
          <w:sz w:val="24"/>
          <w:szCs w:val="24"/>
        </w:rPr>
        <w:t>Monster Energy</w:t>
      </w:r>
    </w:p>
    <w:p>
      <w:pPr>
        <w:pStyle w:val="style179"/>
        <w:numPr>
          <w:ilvl w:val="0"/>
          <w:numId w:val="20"/>
        </w:numPr>
        <w:spacing w:lineRule="auto" w:line="480"/>
        <w:jc w:val="both"/>
        <w:rPr>
          <w:rFonts w:ascii="Times New Roman" w:cs="Times New Roman" w:hAnsi="Times New Roman"/>
          <w:sz w:val="24"/>
          <w:szCs w:val="24"/>
        </w:rPr>
      </w:pPr>
      <w:r>
        <w:rPr>
          <w:rFonts w:ascii="Times New Roman" w:cs="Times New Roman" w:hAnsi="Times New Roman"/>
          <w:sz w:val="24"/>
          <w:szCs w:val="24"/>
        </w:rPr>
        <w:t>Predator</w:t>
      </w:r>
    </w:p>
    <w:p>
      <w:pPr>
        <w:pStyle w:val="style179"/>
        <w:numPr>
          <w:ilvl w:val="0"/>
          <w:numId w:val="20"/>
        </w:numPr>
        <w:spacing w:lineRule="auto" w:line="480"/>
        <w:jc w:val="both"/>
        <w:rPr>
          <w:rFonts w:ascii="Times New Roman" w:cs="Times New Roman" w:hAnsi="Times New Roman"/>
          <w:sz w:val="24"/>
          <w:szCs w:val="24"/>
        </w:rPr>
      </w:pPr>
      <w:r>
        <w:rPr>
          <w:rFonts w:ascii="Times New Roman" w:cs="Times New Roman" w:hAnsi="Times New Roman"/>
          <w:sz w:val="24"/>
          <w:szCs w:val="24"/>
        </w:rPr>
        <w:t>Climax</w:t>
      </w:r>
    </w:p>
    <w:p>
      <w:pPr>
        <w:pStyle w:val="style179"/>
        <w:numPr>
          <w:ilvl w:val="0"/>
          <w:numId w:val="20"/>
        </w:numPr>
        <w:spacing w:lineRule="auto" w:line="480"/>
        <w:jc w:val="both"/>
        <w:rPr>
          <w:rFonts w:ascii="Times New Roman" w:cs="Times New Roman" w:hAnsi="Times New Roman"/>
          <w:sz w:val="24"/>
          <w:szCs w:val="24"/>
        </w:rPr>
      </w:pPr>
      <w:r>
        <w:rPr>
          <w:rFonts w:ascii="Times New Roman" w:cs="Times New Roman" w:hAnsi="Times New Roman"/>
          <w:sz w:val="24"/>
          <w:szCs w:val="24"/>
        </w:rPr>
        <w:t>Red Bull</w:t>
      </w:r>
    </w:p>
    <w:p>
      <w:pPr>
        <w:pStyle w:val="style179"/>
        <w:numPr>
          <w:ilvl w:val="0"/>
          <w:numId w:val="20"/>
        </w:numPr>
        <w:spacing w:lineRule="auto" w:line="480"/>
        <w:jc w:val="both"/>
        <w:rPr>
          <w:rFonts w:ascii="Times New Roman" w:cs="Times New Roman" w:hAnsi="Times New Roman"/>
          <w:sz w:val="24"/>
          <w:szCs w:val="24"/>
        </w:rPr>
      </w:pPr>
      <w:r>
        <w:rPr>
          <w:rFonts w:ascii="Times New Roman" w:cs="Times New Roman" w:hAnsi="Times New Roman"/>
          <w:sz w:val="24"/>
          <w:szCs w:val="24"/>
        </w:rPr>
        <w:t>Power Horse</w:t>
      </w:r>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Each sample was clearly labeled and stored at room temperature prior to analysis to prevent microbial growth or ethanol loss.</w:t>
      </w:r>
    </w:p>
    <w:bookmarkStart w:id="31" w:name="_Toc213926196"/>
    <w:bookmarkStart w:id="32" w:name="_Toc213929878"/>
    <w:p>
      <w:pPr>
        <w:pStyle w:val="style1"/>
        <w:rPr>
          <w:b w:val="false"/>
        </w:rPr>
      </w:pPr>
      <w:r>
        <w:rPr>
          <w:rStyle w:val="style87"/>
          <w:rFonts w:cs="Times New Roman"/>
          <w:b/>
          <w:szCs w:val="24"/>
        </w:rPr>
        <w:t xml:space="preserve">Table </w:t>
      </w:r>
      <w:r>
        <w:rPr>
          <w:rStyle w:val="style87"/>
          <w:rFonts w:cs="Times New Roman"/>
          <w:b/>
          <w:szCs w:val="24"/>
        </w:rPr>
        <w:t>3.1</w:t>
      </w:r>
      <w:r>
        <w:rPr>
          <w:rStyle w:val="style87"/>
          <w:rFonts w:cs="Times New Roman"/>
          <w:b/>
          <w:szCs w:val="24"/>
        </w:rPr>
        <w:tab/>
      </w:r>
      <w:r>
        <w:rPr>
          <w:rStyle w:val="style87"/>
          <w:rFonts w:cs="Times New Roman"/>
          <w:b/>
          <w:szCs w:val="24"/>
        </w:rPr>
        <w:t>Reagents</w:t>
      </w:r>
      <w:bookmarkEnd w:id="31"/>
      <w:bookmarkEnd w:id="32"/>
      <w:r>
        <w:rPr>
          <w:rStyle w:val="style87"/>
          <w:rFonts w:cs="Times New Roman"/>
          <w:b/>
          <w:szCs w:val="24"/>
        </w:rPr>
        <w:t xml:space="preserve"> </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All reagents used were of analytical grade and prepared using distilled or deionized water.</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48"/>
        <w:gridCol w:w="2304"/>
        <w:gridCol w:w="1885"/>
        <w:gridCol w:w="1026"/>
        <w:gridCol w:w="3392"/>
      </w:tblGrid>
      <w:tr>
        <w:trPr>
          <w:tblHeader/>
          <w:tblCellSpacing w:w="15" w:type="dxa"/>
        </w:trPr>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eastAsia="SimSun" w:hAnsi="Times New Roman"/>
                <w:b/>
                <w:bCs/>
                <w:sz w:val="24"/>
                <w:szCs w:val="24"/>
                <w:lang w:eastAsia="zh-CN"/>
              </w:rPr>
            </w:pPr>
            <w:r>
              <w:rPr>
                <w:rFonts w:ascii="Times New Roman" w:cs="Times New Roman" w:eastAsia="SimSun" w:hAnsi="Times New Roman"/>
                <w:b/>
                <w:bCs/>
                <w:sz w:val="24"/>
                <w:szCs w:val="24"/>
                <w:lang w:eastAsia="zh-CN"/>
              </w:rPr>
              <w:t>S/N</w:t>
            </w:r>
          </w:p>
        </w:tc>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eastAsia="SimSun" w:hAnsi="Times New Roman"/>
                <w:b/>
                <w:bCs/>
                <w:sz w:val="24"/>
                <w:szCs w:val="24"/>
                <w:lang w:eastAsia="zh-CN"/>
              </w:rPr>
            </w:pPr>
            <w:r>
              <w:rPr>
                <w:rFonts w:ascii="Times New Roman" w:cs="Times New Roman" w:eastAsia="SimSun" w:hAnsi="Times New Roman"/>
                <w:b/>
                <w:bCs/>
                <w:sz w:val="24"/>
                <w:szCs w:val="24"/>
                <w:lang w:eastAsia="zh-CN"/>
              </w:rPr>
              <w:t xml:space="preserve">    Reagent</w:t>
            </w:r>
          </w:p>
        </w:tc>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eastAsia="SimSun" w:hAnsi="Times New Roman"/>
                <w:b/>
                <w:bCs/>
                <w:sz w:val="24"/>
                <w:szCs w:val="24"/>
                <w:lang w:eastAsia="zh-CN"/>
              </w:rPr>
            </w:pPr>
            <w:r>
              <w:rPr>
                <w:rFonts w:ascii="Times New Roman" w:cs="Times New Roman" w:eastAsia="SimSun" w:hAnsi="Times New Roman"/>
                <w:b/>
                <w:bCs/>
                <w:sz w:val="24"/>
                <w:szCs w:val="24"/>
                <w:lang w:eastAsia="zh-CN"/>
              </w:rPr>
              <w:t>Chemical Formula</w:t>
            </w:r>
          </w:p>
        </w:tc>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eastAsia="SimSun" w:hAnsi="Times New Roman"/>
                <w:b/>
                <w:bCs/>
                <w:sz w:val="24"/>
                <w:szCs w:val="24"/>
                <w:lang w:eastAsia="zh-CN"/>
              </w:rPr>
            </w:pPr>
            <w:r>
              <w:rPr>
                <w:rFonts w:ascii="Times New Roman" w:cs="Times New Roman" w:eastAsia="SimSun" w:hAnsi="Times New Roman"/>
                <w:b/>
                <w:bCs/>
                <w:sz w:val="24"/>
                <w:szCs w:val="24"/>
                <w:lang w:eastAsia="zh-CN"/>
              </w:rPr>
              <w:t xml:space="preserve">   % Purity</w:t>
            </w:r>
          </w:p>
        </w:tc>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eastAsia="SimSun" w:hAnsi="Times New Roman"/>
                <w:b/>
                <w:bCs/>
                <w:sz w:val="24"/>
                <w:szCs w:val="24"/>
                <w:lang w:eastAsia="zh-CN"/>
              </w:rPr>
            </w:pPr>
            <w:r>
              <w:rPr>
                <w:rFonts w:ascii="Times New Roman" w:cs="Times New Roman" w:eastAsia="SimSun" w:hAnsi="Times New Roman"/>
                <w:b/>
                <w:bCs/>
                <w:sz w:val="24"/>
                <w:szCs w:val="24"/>
                <w:lang w:eastAsia="zh-CN"/>
              </w:rPr>
              <w:t xml:space="preserve">     Manufacturer</w:t>
            </w:r>
          </w:p>
        </w:tc>
      </w:tr>
      <w:tr>
        <w:tblPrEx/>
        <w:trPr>
          <w:tblCellSpacing w:w="15" w:type="dxa"/>
        </w:trPr>
        <w:tc>
          <w:tcPr>
            <w:tcW w:w="0" w:type="auto"/>
            <w:tcBorders>
              <w:top w:val="single" w:sz="4" w:space="0" w:color="auto"/>
            </w:tcBorders>
            <w:vAlign w:val="center"/>
            <w:hideMark/>
          </w:tcPr>
          <w:p>
            <w:pPr>
              <w:pStyle w:val="style0"/>
              <w:spacing w:lineRule="auto" w:line="360"/>
              <w:jc w:val="both"/>
              <w:rPr>
                <w:rFonts w:ascii="Times New Roman" w:cs="Times New Roman" w:eastAsia="SimSun" w:hAnsi="Times New Roman"/>
                <w:sz w:val="24"/>
                <w:szCs w:val="24"/>
                <w:lang w:eastAsia="zh-CN"/>
              </w:rPr>
            </w:pPr>
            <w:r>
              <w:rPr>
                <w:rFonts w:ascii="Times New Roman" w:cs="Times New Roman" w:eastAsia="SimSun" w:hAnsi="Times New Roman"/>
                <w:sz w:val="24"/>
                <w:szCs w:val="24"/>
                <w:lang w:eastAsia="zh-CN"/>
              </w:rPr>
              <w:t>1</w:t>
            </w:r>
          </w:p>
        </w:tc>
        <w:tc>
          <w:tcPr>
            <w:tcW w:w="0" w:type="auto"/>
            <w:tcBorders>
              <w:top w:val="single" w:sz="4" w:space="0" w:color="auto"/>
            </w:tcBorders>
            <w:vAlign w:val="center"/>
            <w:hideMark/>
          </w:tcPr>
          <w:p>
            <w:pPr>
              <w:pStyle w:val="style0"/>
              <w:spacing w:lineRule="auto" w:line="360"/>
              <w:jc w:val="both"/>
              <w:rPr>
                <w:rFonts w:ascii="Times New Roman" w:cs="Times New Roman" w:eastAsia="SimSun" w:hAnsi="Times New Roman"/>
                <w:sz w:val="24"/>
                <w:szCs w:val="24"/>
                <w:lang w:eastAsia="zh-CN"/>
              </w:rPr>
            </w:pPr>
            <w:r>
              <w:rPr>
                <w:rFonts w:ascii="Times New Roman" w:cs="Times New Roman" w:eastAsia="SimSun" w:hAnsi="Times New Roman"/>
                <w:sz w:val="24"/>
                <w:szCs w:val="24"/>
                <w:lang w:eastAsia="zh-CN"/>
              </w:rPr>
              <w:t>Potassium dichromate</w:t>
            </w:r>
          </w:p>
        </w:tc>
        <w:tc>
          <w:tcPr>
            <w:tcW w:w="0" w:type="auto"/>
            <w:tcBorders>
              <w:top w:val="single" w:sz="4" w:space="0" w:color="auto"/>
            </w:tcBorders>
            <w:vAlign w:val="center"/>
            <w:hideMark/>
          </w:tcPr>
          <w:p>
            <w:pPr>
              <w:pStyle w:val="style0"/>
              <w:spacing w:lineRule="auto" w:line="360"/>
              <w:jc w:val="both"/>
              <w:rPr>
                <w:rFonts w:ascii="Times New Roman" w:cs="Times New Roman" w:eastAsia="SimSun" w:hAnsi="Times New Roman"/>
                <w:sz w:val="24"/>
                <w:szCs w:val="24"/>
                <w:lang w:eastAsia="zh-CN"/>
              </w:rPr>
            </w:pPr>
            <w:r>
              <w:rPr>
                <w:rFonts w:ascii="Times New Roman" w:cs="Times New Roman" w:eastAsia="SimSun" w:hAnsi="Times New Roman"/>
                <w:sz w:val="24"/>
                <w:szCs w:val="24"/>
                <w:lang w:eastAsia="zh-CN"/>
              </w:rPr>
              <w:t xml:space="preserve">   </w:t>
            </w:r>
            <w:r>
              <w:rPr>
                <w:rFonts w:ascii="Times New Roman" w:cs="Times New Roman" w:eastAsia="SimSun" w:hAnsi="Times New Roman"/>
                <w:sz w:val="24"/>
                <w:szCs w:val="24"/>
                <w:lang w:eastAsia="zh-CN"/>
              </w:rPr>
              <w:t>K₂Cr₂O</w:t>
            </w:r>
            <w:r>
              <w:rPr>
                <w:rFonts w:ascii="Times New Roman" w:cs="Times New Roman" w:eastAsia="SimSun" w:hAnsi="Times New Roman"/>
                <w:sz w:val="24"/>
                <w:szCs w:val="24"/>
                <w:lang w:eastAsia="zh-CN"/>
              </w:rPr>
              <w:t>₇</w:t>
            </w:r>
          </w:p>
        </w:tc>
        <w:tc>
          <w:tcPr>
            <w:tcW w:w="0" w:type="auto"/>
            <w:tcBorders>
              <w:top w:val="single" w:sz="4" w:space="0" w:color="auto"/>
            </w:tcBorders>
            <w:vAlign w:val="center"/>
            <w:hideMark/>
          </w:tcPr>
          <w:p>
            <w:pPr>
              <w:pStyle w:val="style0"/>
              <w:spacing w:lineRule="auto" w:line="360"/>
              <w:jc w:val="both"/>
              <w:rPr>
                <w:rFonts w:ascii="Times New Roman" w:cs="Times New Roman" w:eastAsia="SimSun" w:hAnsi="Times New Roman"/>
                <w:sz w:val="24"/>
                <w:szCs w:val="24"/>
                <w:lang w:eastAsia="zh-CN"/>
              </w:rPr>
            </w:pPr>
            <w:r>
              <w:rPr>
                <w:rFonts w:ascii="Times New Roman" w:cs="Times New Roman" w:eastAsia="SimSun" w:hAnsi="Times New Roman"/>
                <w:sz w:val="24"/>
                <w:szCs w:val="24"/>
                <w:lang w:eastAsia="zh-CN"/>
              </w:rPr>
              <w:t xml:space="preserve">  ≥ 99%</w:t>
            </w:r>
          </w:p>
        </w:tc>
        <w:tc>
          <w:tcPr>
            <w:tcW w:w="0" w:type="auto"/>
            <w:tcBorders>
              <w:top w:val="single" w:sz="4" w:space="0" w:color="auto"/>
            </w:tcBorders>
            <w:vAlign w:val="center"/>
            <w:hideMark/>
          </w:tcPr>
          <w:p>
            <w:pPr>
              <w:pStyle w:val="style0"/>
              <w:spacing w:lineRule="auto" w:line="360"/>
              <w:jc w:val="both"/>
              <w:rPr>
                <w:rFonts w:ascii="Times New Roman" w:cs="Times New Roman" w:eastAsia="SimSun" w:hAnsi="Times New Roman"/>
                <w:sz w:val="24"/>
                <w:szCs w:val="24"/>
                <w:lang w:eastAsia="zh-CN"/>
              </w:rPr>
            </w:pPr>
            <w:r>
              <w:rPr>
                <w:rFonts w:ascii="Times New Roman" w:cs="Times New Roman" w:eastAsia="SimSun" w:hAnsi="Times New Roman"/>
                <w:sz w:val="24"/>
                <w:szCs w:val="24"/>
                <w:lang w:eastAsia="zh-CN"/>
              </w:rPr>
              <w:t>Sigma-Aldrich, St. Louis, USA</w:t>
            </w:r>
          </w:p>
        </w:tc>
      </w:tr>
      <w:tr>
        <w:tblPrEx/>
        <w:trPr>
          <w:tblCellSpacing w:w="15" w:type="dxa"/>
        </w:trPr>
        <w:tc>
          <w:tcPr>
            <w:tcW w:w="0" w:type="auto"/>
            <w:tcBorders/>
            <w:vAlign w:val="center"/>
            <w:hideMark/>
          </w:tcPr>
          <w:p>
            <w:pPr>
              <w:pStyle w:val="style0"/>
              <w:spacing w:lineRule="auto" w:line="360"/>
              <w:jc w:val="both"/>
              <w:rPr>
                <w:rFonts w:ascii="Times New Roman" w:cs="Times New Roman" w:eastAsia="SimSun" w:hAnsi="Times New Roman"/>
                <w:sz w:val="24"/>
                <w:szCs w:val="24"/>
                <w:lang w:eastAsia="zh-CN"/>
              </w:rPr>
            </w:pPr>
            <w:r>
              <w:rPr>
                <w:rFonts w:ascii="Times New Roman" w:cs="Times New Roman" w:eastAsia="SimSun" w:hAnsi="Times New Roman"/>
                <w:sz w:val="24"/>
                <w:szCs w:val="24"/>
                <w:lang w:eastAsia="zh-CN"/>
              </w:rPr>
              <w:t>2</w:t>
            </w:r>
          </w:p>
        </w:tc>
        <w:tc>
          <w:tcPr>
            <w:tcW w:w="0" w:type="auto"/>
            <w:tcBorders/>
            <w:vAlign w:val="center"/>
            <w:hideMark/>
          </w:tcPr>
          <w:p>
            <w:pPr>
              <w:pStyle w:val="style0"/>
              <w:spacing w:lineRule="auto" w:line="360"/>
              <w:jc w:val="both"/>
              <w:rPr>
                <w:rFonts w:ascii="Times New Roman" w:cs="Times New Roman" w:eastAsia="SimSun" w:hAnsi="Times New Roman"/>
                <w:sz w:val="24"/>
                <w:szCs w:val="24"/>
                <w:lang w:eastAsia="zh-CN"/>
              </w:rPr>
            </w:pPr>
            <w:r>
              <w:rPr>
                <w:rFonts w:ascii="Times New Roman" w:cs="Times New Roman" w:eastAsia="SimSun" w:hAnsi="Times New Roman"/>
                <w:sz w:val="24"/>
                <w:szCs w:val="24"/>
                <w:lang w:eastAsia="zh-CN"/>
              </w:rPr>
              <w:t>Sulfuric acid</w:t>
            </w:r>
          </w:p>
        </w:tc>
        <w:tc>
          <w:tcPr>
            <w:tcW w:w="0" w:type="auto"/>
            <w:tcBorders/>
            <w:vAlign w:val="center"/>
            <w:hideMark/>
          </w:tcPr>
          <w:p>
            <w:pPr>
              <w:pStyle w:val="style0"/>
              <w:spacing w:lineRule="auto" w:line="360"/>
              <w:jc w:val="both"/>
              <w:rPr>
                <w:rFonts w:ascii="Times New Roman" w:cs="Times New Roman" w:eastAsia="SimSun" w:hAnsi="Times New Roman"/>
                <w:sz w:val="24"/>
                <w:szCs w:val="24"/>
                <w:lang w:eastAsia="zh-CN"/>
              </w:rPr>
            </w:pPr>
            <w:r>
              <w:rPr>
                <w:rFonts w:ascii="Times New Roman" w:cs="Times New Roman" w:eastAsia="SimSun" w:hAnsi="Times New Roman"/>
                <w:sz w:val="24"/>
                <w:szCs w:val="24"/>
                <w:lang w:eastAsia="zh-CN"/>
              </w:rPr>
              <w:t xml:space="preserve">   H₂SO₄</w:t>
            </w:r>
          </w:p>
        </w:tc>
        <w:tc>
          <w:tcPr>
            <w:tcW w:w="0" w:type="auto"/>
            <w:tcBorders/>
            <w:vAlign w:val="center"/>
            <w:hideMark/>
          </w:tcPr>
          <w:p>
            <w:pPr>
              <w:pStyle w:val="style0"/>
              <w:spacing w:lineRule="auto" w:line="360"/>
              <w:jc w:val="both"/>
              <w:rPr>
                <w:rFonts w:ascii="Times New Roman" w:cs="Times New Roman" w:eastAsia="SimSun" w:hAnsi="Times New Roman"/>
                <w:sz w:val="24"/>
                <w:szCs w:val="24"/>
                <w:lang w:eastAsia="zh-CN"/>
              </w:rPr>
            </w:pPr>
            <w:r>
              <w:rPr>
                <w:rFonts w:ascii="Times New Roman" w:cs="Times New Roman" w:eastAsia="SimSun" w:hAnsi="Times New Roman"/>
                <w:sz w:val="24"/>
                <w:szCs w:val="24"/>
                <w:lang w:eastAsia="zh-CN"/>
              </w:rPr>
              <w:t xml:space="preserve">    98%</w:t>
            </w:r>
          </w:p>
        </w:tc>
        <w:tc>
          <w:tcPr>
            <w:tcW w:w="0" w:type="auto"/>
            <w:tcBorders/>
            <w:vAlign w:val="center"/>
            <w:hideMark/>
          </w:tcPr>
          <w:p>
            <w:pPr>
              <w:pStyle w:val="style0"/>
              <w:spacing w:lineRule="auto" w:line="360"/>
              <w:jc w:val="both"/>
              <w:rPr>
                <w:rFonts w:ascii="Times New Roman" w:cs="Times New Roman" w:eastAsia="SimSun" w:hAnsi="Times New Roman"/>
                <w:sz w:val="24"/>
                <w:szCs w:val="24"/>
                <w:lang w:eastAsia="zh-CN"/>
              </w:rPr>
            </w:pPr>
            <w:r>
              <w:rPr>
                <w:rFonts w:ascii="Times New Roman" w:cs="Times New Roman" w:eastAsia="SimSun" w:hAnsi="Times New Roman"/>
                <w:sz w:val="24"/>
                <w:szCs w:val="24"/>
                <w:lang w:eastAsia="zh-CN"/>
              </w:rPr>
              <w:t xml:space="preserve">Merck </w:t>
            </w:r>
            <w:r>
              <w:rPr>
                <w:rFonts w:ascii="Times New Roman" w:cs="Times New Roman" w:eastAsia="SimSun" w:hAnsi="Times New Roman"/>
                <w:sz w:val="24"/>
                <w:szCs w:val="24"/>
                <w:lang w:eastAsia="zh-CN"/>
              </w:rPr>
              <w:t>KGaA</w:t>
            </w:r>
            <w:r>
              <w:rPr>
                <w:rFonts w:ascii="Times New Roman" w:cs="Times New Roman" w:eastAsia="SimSun" w:hAnsi="Times New Roman"/>
                <w:sz w:val="24"/>
                <w:szCs w:val="24"/>
                <w:lang w:eastAsia="zh-CN"/>
              </w:rPr>
              <w:t>, Darmstadt, Germany</w:t>
            </w:r>
          </w:p>
        </w:tc>
      </w:tr>
      <w:tr>
        <w:tblPrEx/>
        <w:trPr>
          <w:tblCellSpacing w:w="15" w:type="dxa"/>
        </w:trPr>
        <w:tc>
          <w:tcPr>
            <w:tcW w:w="0" w:type="auto"/>
            <w:tcBorders>
              <w:bottom w:val="single" w:sz="4" w:space="0" w:color="auto"/>
            </w:tcBorders>
            <w:vAlign w:val="center"/>
            <w:hideMark/>
          </w:tcPr>
          <w:p>
            <w:pPr>
              <w:pStyle w:val="style0"/>
              <w:spacing w:lineRule="auto" w:line="360"/>
              <w:jc w:val="both"/>
              <w:rPr>
                <w:rFonts w:ascii="Times New Roman" w:cs="Times New Roman" w:eastAsia="SimSun" w:hAnsi="Times New Roman"/>
                <w:sz w:val="24"/>
                <w:szCs w:val="24"/>
                <w:lang w:eastAsia="zh-CN"/>
              </w:rPr>
            </w:pPr>
            <w:r>
              <w:rPr>
                <w:rFonts w:ascii="Times New Roman" w:cs="Times New Roman" w:eastAsia="SimSun" w:hAnsi="Times New Roman"/>
                <w:sz w:val="24"/>
                <w:szCs w:val="24"/>
                <w:lang w:eastAsia="zh-CN"/>
              </w:rPr>
              <w:t>3</w:t>
            </w:r>
          </w:p>
        </w:tc>
        <w:tc>
          <w:tcPr>
            <w:tcW w:w="0" w:type="auto"/>
            <w:tcBorders>
              <w:bottom w:val="single" w:sz="4" w:space="0" w:color="auto"/>
            </w:tcBorders>
            <w:vAlign w:val="center"/>
            <w:hideMark/>
          </w:tcPr>
          <w:p>
            <w:pPr>
              <w:pStyle w:val="style0"/>
              <w:spacing w:lineRule="auto" w:line="360"/>
              <w:jc w:val="both"/>
              <w:rPr>
                <w:rFonts w:ascii="Times New Roman" w:cs="Times New Roman" w:eastAsia="SimSun" w:hAnsi="Times New Roman"/>
                <w:sz w:val="24"/>
                <w:szCs w:val="24"/>
                <w:lang w:eastAsia="zh-CN"/>
              </w:rPr>
            </w:pPr>
            <w:r>
              <w:rPr>
                <w:rFonts w:ascii="Times New Roman" w:cs="Times New Roman" w:eastAsia="SimSun" w:hAnsi="Times New Roman"/>
                <w:sz w:val="24"/>
                <w:szCs w:val="24"/>
                <w:lang w:eastAsia="zh-CN"/>
              </w:rPr>
              <w:t>Ethanol (absolute)</w:t>
            </w:r>
          </w:p>
        </w:tc>
        <w:tc>
          <w:tcPr>
            <w:tcW w:w="0" w:type="auto"/>
            <w:tcBorders>
              <w:bottom w:val="single" w:sz="4" w:space="0" w:color="auto"/>
            </w:tcBorders>
            <w:vAlign w:val="center"/>
            <w:hideMark/>
          </w:tcPr>
          <w:p>
            <w:pPr>
              <w:pStyle w:val="style0"/>
              <w:spacing w:lineRule="auto" w:line="360"/>
              <w:jc w:val="both"/>
              <w:rPr>
                <w:rFonts w:ascii="Times New Roman" w:cs="Times New Roman" w:eastAsia="SimSun" w:hAnsi="Times New Roman"/>
                <w:sz w:val="24"/>
                <w:szCs w:val="24"/>
                <w:lang w:eastAsia="zh-CN"/>
              </w:rPr>
            </w:pPr>
            <w:r>
              <w:rPr>
                <w:rFonts w:ascii="Times New Roman" w:cs="Times New Roman" w:eastAsia="SimSun" w:hAnsi="Times New Roman"/>
                <w:sz w:val="24"/>
                <w:szCs w:val="24"/>
                <w:lang w:eastAsia="zh-CN"/>
              </w:rPr>
              <w:t xml:space="preserve">   C₂H₅OH</w:t>
            </w:r>
          </w:p>
        </w:tc>
        <w:tc>
          <w:tcPr>
            <w:tcW w:w="0" w:type="auto"/>
            <w:tcBorders>
              <w:bottom w:val="single" w:sz="4" w:space="0" w:color="auto"/>
            </w:tcBorders>
            <w:vAlign w:val="center"/>
            <w:hideMark/>
          </w:tcPr>
          <w:p>
            <w:pPr>
              <w:pStyle w:val="style0"/>
              <w:spacing w:lineRule="auto" w:line="360"/>
              <w:jc w:val="both"/>
              <w:rPr>
                <w:rFonts w:ascii="Times New Roman" w:cs="Times New Roman" w:eastAsia="SimSun" w:hAnsi="Times New Roman"/>
                <w:sz w:val="24"/>
                <w:szCs w:val="24"/>
                <w:lang w:eastAsia="zh-CN"/>
              </w:rPr>
            </w:pPr>
            <w:r>
              <w:rPr>
                <w:rFonts w:ascii="Times New Roman" w:cs="Times New Roman" w:eastAsia="SimSun" w:hAnsi="Times New Roman"/>
                <w:sz w:val="24"/>
                <w:szCs w:val="24"/>
                <w:lang w:eastAsia="zh-CN"/>
              </w:rPr>
              <w:t xml:space="preserve">    99.9%</w:t>
            </w:r>
          </w:p>
        </w:tc>
        <w:tc>
          <w:tcPr>
            <w:tcW w:w="0" w:type="auto"/>
            <w:tcBorders>
              <w:bottom w:val="single" w:sz="4" w:space="0" w:color="auto"/>
            </w:tcBorders>
            <w:vAlign w:val="center"/>
            <w:hideMark/>
          </w:tcPr>
          <w:p>
            <w:pPr>
              <w:pStyle w:val="style0"/>
              <w:spacing w:lineRule="auto" w:line="360"/>
              <w:jc w:val="both"/>
              <w:rPr>
                <w:rFonts w:ascii="Times New Roman" w:cs="Times New Roman" w:eastAsia="SimSun" w:hAnsi="Times New Roman"/>
                <w:sz w:val="24"/>
                <w:szCs w:val="24"/>
                <w:lang w:eastAsia="zh-CN"/>
              </w:rPr>
            </w:pPr>
            <w:r>
              <w:rPr>
                <w:rFonts w:ascii="Times New Roman" w:cs="Times New Roman" w:eastAsia="SimSun" w:hAnsi="Times New Roman"/>
                <w:sz w:val="24"/>
                <w:szCs w:val="24"/>
                <w:lang w:eastAsia="zh-CN"/>
              </w:rPr>
              <w:t xml:space="preserve">Merck </w:t>
            </w:r>
            <w:r>
              <w:rPr>
                <w:rFonts w:ascii="Times New Roman" w:cs="Times New Roman" w:eastAsia="SimSun" w:hAnsi="Times New Roman"/>
                <w:sz w:val="24"/>
                <w:szCs w:val="24"/>
                <w:lang w:eastAsia="zh-CN"/>
              </w:rPr>
              <w:t>KGaA</w:t>
            </w:r>
            <w:r>
              <w:rPr>
                <w:rFonts w:ascii="Times New Roman" w:cs="Times New Roman" w:eastAsia="SimSun" w:hAnsi="Times New Roman"/>
                <w:sz w:val="24"/>
                <w:szCs w:val="24"/>
                <w:lang w:eastAsia="zh-CN"/>
              </w:rPr>
              <w:t>, Darmstadt, Germany</w:t>
            </w:r>
          </w:p>
        </w:tc>
      </w:tr>
      <w:bookmarkStart w:id="33" w:name="_Toc213926197"/>
      <w:bookmarkStart w:id="34" w:name="_Toc213929879"/>
    </w:tbl>
    <w:p>
      <w:pPr>
        <w:pStyle w:val="style1"/>
        <w:rPr>
          <w:b w:val="false"/>
        </w:rPr>
      </w:pPr>
      <w:r>
        <w:rPr>
          <w:rStyle w:val="style87"/>
          <w:rFonts w:cs="Times New Roman"/>
          <w:b/>
          <w:bCs/>
          <w:szCs w:val="24"/>
        </w:rPr>
        <w:t xml:space="preserve">Table </w:t>
      </w:r>
      <w:r>
        <w:rPr>
          <w:rStyle w:val="style87"/>
          <w:rFonts w:cs="Times New Roman"/>
          <w:b/>
          <w:bCs/>
          <w:szCs w:val="24"/>
        </w:rPr>
        <w:t>3.</w:t>
      </w:r>
      <w:r>
        <w:rPr>
          <w:rStyle w:val="style87"/>
          <w:rFonts w:cs="Times New Roman"/>
          <w:b/>
          <w:bCs/>
          <w:szCs w:val="24"/>
        </w:rPr>
        <w:t>2</w:t>
      </w:r>
      <w:r>
        <w:rPr>
          <w:rStyle w:val="style87"/>
          <w:rFonts w:cs="Times New Roman"/>
          <w:b/>
          <w:bCs/>
          <w:szCs w:val="24"/>
        </w:rPr>
        <w:tab/>
      </w:r>
      <w:r>
        <w:rPr>
          <w:rStyle w:val="style87"/>
          <w:rFonts w:cs="Times New Roman"/>
          <w:b/>
          <w:szCs w:val="24"/>
        </w:rPr>
        <w:t>Instruments and Equipment</w:t>
      </w:r>
      <w:bookmarkEnd w:id="33"/>
      <w:bookmarkEnd w:id="34"/>
    </w:p>
    <w:tbl>
      <w:tblPr>
        <w:tblW w:w="0" w:type="auto"/>
        <w:tblCellSpacing w:w="15" w:type="dxa"/>
        <w:tblBorders>
          <w:bottom w:val="single" w:sz="4" w:space="0" w:color="auto"/>
        </w:tblBorders>
        <w:tblCellMar>
          <w:top w:w="15" w:type="dxa"/>
          <w:left w:w="15" w:type="dxa"/>
          <w:bottom w:w="15" w:type="dxa"/>
          <w:right w:w="15" w:type="dxa"/>
        </w:tblCellMar>
        <w:tblLook w:val="04A0" w:firstRow="1" w:lastRow="0" w:firstColumn="1" w:lastColumn="0" w:noHBand="0" w:noVBand="1"/>
      </w:tblPr>
      <w:tblGrid>
        <w:gridCol w:w="448"/>
        <w:gridCol w:w="3447"/>
        <w:gridCol w:w="2497"/>
        <w:gridCol w:w="2664"/>
      </w:tblGrid>
      <w:tr>
        <w:trPr>
          <w:tblHeader/>
          <w:tblCellSpacing w:w="15" w:type="dxa"/>
        </w:trPr>
        <w:tc>
          <w:tcPr>
            <w:tcW w:w="0" w:type="auto"/>
            <w:tcBorders>
              <w:top w:val="single" w:sz="4" w:space="0" w:color="auto"/>
              <w:bottom w:val="single" w:sz="4" w:space="0" w:color="auto"/>
            </w:tcBorders>
            <w:vAlign w:val="center"/>
            <w:hideMark/>
          </w:tcPr>
          <w:p>
            <w:pPr>
              <w:pStyle w:val="style0"/>
              <w:spacing w:after="0" w:lineRule="auto" w:line="360"/>
              <w:jc w:val="center"/>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S/N</w:t>
            </w:r>
          </w:p>
        </w:tc>
        <w:tc>
          <w:tcPr>
            <w:tcW w:w="0" w:type="auto"/>
            <w:tcBorders>
              <w:top w:val="single" w:sz="4" w:space="0" w:color="auto"/>
              <w:bottom w:val="single" w:sz="4" w:space="0" w:color="auto"/>
            </w:tcBorders>
            <w:vAlign w:val="center"/>
            <w:hideMark/>
          </w:tcPr>
          <w:p>
            <w:pPr>
              <w:pStyle w:val="style0"/>
              <w:spacing w:after="0" w:lineRule="auto" w:line="360"/>
              <w:jc w:val="center"/>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Instrument/Equipment</w:t>
            </w:r>
          </w:p>
        </w:tc>
        <w:tc>
          <w:tcPr>
            <w:tcW w:w="0" w:type="auto"/>
            <w:tcBorders>
              <w:top w:val="single" w:sz="4" w:space="0" w:color="auto"/>
              <w:bottom w:val="single" w:sz="4" w:space="0" w:color="auto"/>
            </w:tcBorders>
            <w:vAlign w:val="center"/>
            <w:hideMark/>
          </w:tcPr>
          <w:p>
            <w:pPr>
              <w:pStyle w:val="style0"/>
              <w:spacing w:after="0" w:lineRule="auto" w:line="360"/>
              <w:jc w:val="center"/>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Model</w:t>
            </w:r>
          </w:p>
        </w:tc>
        <w:tc>
          <w:tcPr>
            <w:tcW w:w="0" w:type="auto"/>
            <w:tcBorders>
              <w:top w:val="single" w:sz="4" w:space="0" w:color="auto"/>
              <w:bottom w:val="single" w:sz="4" w:space="0" w:color="auto"/>
            </w:tcBorders>
            <w:vAlign w:val="center"/>
            <w:hideMark/>
          </w:tcPr>
          <w:p>
            <w:pPr>
              <w:pStyle w:val="style0"/>
              <w:spacing w:after="0" w:lineRule="auto" w:line="360"/>
              <w:jc w:val="center"/>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Manufacturer</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1</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FTIR Spectrometer</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Cary 630 FTIR (with ATR accessory)</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Agilent Technologies, USA</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2</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UV–Visible Spectrophotometer</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UV-1650</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Shimadzu Corporation, Japan</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3</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Water Bath</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Memmert</w:t>
            </w:r>
            <w:r>
              <w:rPr>
                <w:rFonts w:ascii="Times New Roman" w:cs="Times New Roman" w:eastAsia="Times New Roman" w:hAnsi="Times New Roman"/>
                <w:sz w:val="24"/>
                <w:szCs w:val="24"/>
              </w:rPr>
              <w:t xml:space="preserve"> GmbH + Co. KG, Germany</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4</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Volumetric Flasks (10–100 mL)</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Pyrex, UK</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5</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Pipettes and Tips</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Eppendorf</w:t>
            </w:r>
            <w:r>
              <w:rPr>
                <w:rFonts w:ascii="Times New Roman" w:cs="Times New Roman" w:eastAsia="Times New Roman" w:hAnsi="Times New Roman"/>
                <w:sz w:val="24"/>
                <w:szCs w:val="24"/>
              </w:rPr>
              <w:t>, Germany</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6</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Quartz/Glass Cuvettes (1 cm path length)</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Hellma</w:t>
            </w:r>
            <w:r>
              <w:rPr>
                <w:rFonts w:ascii="Times New Roman" w:cs="Times New Roman" w:eastAsia="Times New Roman" w:hAnsi="Times New Roman"/>
                <w:sz w:val="24"/>
                <w:szCs w:val="24"/>
              </w:rPr>
              <w:t xml:space="preserve"> Analytics, Germany</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7</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Filter Paper (</w:t>
            </w:r>
            <w:r>
              <w:rPr>
                <w:rFonts w:ascii="Times New Roman" w:cs="Times New Roman" w:eastAsia="Times New Roman" w:hAnsi="Times New Roman"/>
                <w:sz w:val="24"/>
                <w:szCs w:val="24"/>
              </w:rPr>
              <w:t>Whatman</w:t>
            </w:r>
            <w:r>
              <w:rPr>
                <w:rFonts w:ascii="Times New Roman" w:cs="Times New Roman" w:eastAsia="Times New Roman" w:hAnsi="Times New Roman"/>
                <w:sz w:val="24"/>
                <w:szCs w:val="24"/>
              </w:rPr>
              <w:t xml:space="preserve"> No. 1)</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GE Healthcare Life Sciences, UK</w:t>
            </w:r>
          </w:p>
        </w:tc>
      </w:tr>
    </w:tbl>
    <w:p>
      <w:pPr>
        <w:pStyle w:val="style0"/>
        <w:spacing w:lineRule="auto" w:line="360"/>
        <w:jc w:val="both"/>
        <w:rPr>
          <w:rFonts w:ascii="Times New Roman" w:cs="Times New Roman" w:eastAsia="SimSun" w:hAnsi="Times New Roman"/>
          <w:sz w:val="24"/>
          <w:szCs w:val="24"/>
          <w:lang w:eastAsia="zh-CN"/>
        </w:rPr>
      </w:pPr>
    </w:p>
    <w:p>
      <w:pPr>
        <w:pStyle w:val="style0"/>
        <w:rPr>
          <w:rFonts w:ascii="Times New Roman" w:cs="Times New Roman" w:eastAsia="Arial" w:hAnsi="Times New Roman"/>
          <w:b/>
          <w:sz w:val="24"/>
          <w:szCs w:val="24"/>
        </w:rPr>
      </w:pPr>
      <w:r>
        <w:rPr>
          <w:rFonts w:ascii="Times New Roman" w:cs="Times New Roman" w:eastAsia="Arial" w:hAnsi="Times New Roman"/>
          <w:b/>
          <w:sz w:val="24"/>
          <w:szCs w:val="24"/>
        </w:rPr>
        <w:br w:type="page"/>
      </w:r>
    </w:p>
    <w:p>
      <w:pPr>
        <w:pStyle w:val="style4097"/>
        <w:spacing w:lineRule="auto" w:line="480"/>
        <w:jc w:val="both"/>
        <w:rPr>
          <w:rFonts w:ascii="Times New Roman" w:cs="Times New Roman" w:hAnsi="Times New Roman"/>
          <w:b/>
          <w:sz w:val="24"/>
          <w:szCs w:val="24"/>
        </w:rPr>
      </w:pPr>
      <w:r>
        <w:rPr>
          <w:rFonts w:ascii="Times New Roman" w:cs="Times New Roman" w:eastAsia="Arial" w:hAnsi="Times New Roman"/>
          <w:b/>
          <w:sz w:val="24"/>
          <w:szCs w:val="24"/>
        </w:rPr>
        <w:t>3.2</w:t>
      </w:r>
      <w:r>
        <w:rPr>
          <w:rFonts w:ascii="Times New Roman" w:cs="Times New Roman" w:eastAsia="Arial" w:hAnsi="Times New Roman"/>
          <w:b/>
          <w:sz w:val="24"/>
          <w:szCs w:val="24"/>
        </w:rPr>
        <w:tab/>
      </w:r>
      <w:r>
        <w:rPr>
          <w:rFonts w:ascii="Times New Roman" w:cs="Times New Roman" w:hAnsi="Times New Roman"/>
          <w:b/>
          <w:sz w:val="24"/>
          <w:szCs w:val="24"/>
        </w:rPr>
        <w:t>Methods</w:t>
      </w:r>
      <w:r>
        <w:rPr>
          <w:rFonts w:ascii="Times New Roman" w:cs="Times New Roman" w:hAnsi="Times New Roman"/>
          <w:b/>
          <w:sz w:val="24"/>
          <w:szCs w:val="24"/>
        </w:rPr>
        <w:t xml:space="preserve"> </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Two complementary analytical techniques were employed in this study to determine the ethanol content of the selected energy drinks:</w:t>
      </w:r>
    </w:p>
    <w:p>
      <w:pPr>
        <w:pStyle w:val="style0"/>
        <w:numPr>
          <w:ilvl w:val="0"/>
          <w:numId w:val="21"/>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Fourier Transform Infrared (FTIR) Spectroscopy:</w:t>
      </w:r>
      <w:r>
        <w:rPr>
          <w:rFonts w:ascii="Times New Roman" w:cs="Times New Roman" w:eastAsia="Times New Roman" w:hAnsi="Times New Roman"/>
          <w:sz w:val="24"/>
          <w:szCs w:val="24"/>
        </w:rPr>
        <w:t xml:space="preserve"> This technique was used for the </w:t>
      </w:r>
      <w:r>
        <w:rPr>
          <w:rFonts w:ascii="Times New Roman" w:cs="Times New Roman" w:eastAsia="Times New Roman" w:hAnsi="Times New Roman"/>
          <w:bCs/>
          <w:sz w:val="24"/>
          <w:szCs w:val="24"/>
        </w:rPr>
        <w:t>qualitative</w:t>
      </w:r>
      <w:r>
        <w:rPr>
          <w:rFonts w:ascii="Times New Roman" w:cs="Times New Roman" w:eastAsia="Times New Roman" w:hAnsi="Times New Roman"/>
          <w:b/>
          <w:bCs/>
          <w:sz w:val="24"/>
          <w:szCs w:val="24"/>
        </w:rPr>
        <w:t xml:space="preserve"> </w:t>
      </w:r>
      <w:r>
        <w:rPr>
          <w:rFonts w:ascii="Times New Roman" w:cs="Times New Roman" w:eastAsia="Times New Roman" w:hAnsi="Times New Roman"/>
          <w:bCs/>
          <w:sz w:val="24"/>
          <w:szCs w:val="24"/>
        </w:rPr>
        <w:t>identification</w:t>
      </w:r>
      <w:r>
        <w:rPr>
          <w:rFonts w:ascii="Times New Roman" w:cs="Times New Roman" w:eastAsia="Times New Roman" w:hAnsi="Times New Roman"/>
          <w:sz w:val="24"/>
          <w:szCs w:val="24"/>
        </w:rPr>
        <w:t xml:space="preserve"> of ethanol functional groups in the samples. It detects molecular vibrations characteristic of ethanol, such as O–H, C–H, and C–O stretching bands, within the infrared region.</w:t>
      </w:r>
    </w:p>
    <w:p>
      <w:pPr>
        <w:pStyle w:val="style0"/>
        <w:numPr>
          <w:ilvl w:val="0"/>
          <w:numId w:val="21"/>
        </w:numPr>
        <w:spacing w:before="100" w:beforeAutospacing="true" w:after="100" w:afterAutospacing="true" w:lineRule="auto" w:line="480"/>
        <w:jc w:val="both"/>
        <w:rPr>
          <w:rFonts w:ascii="Times New Roman" w:cs="Times New Roman" w:eastAsia="Times New Roman" w:hAnsi="Times New Roman"/>
          <w:sz w:val="24"/>
          <w:szCs w:val="24"/>
        </w:rPr>
      </w:pPr>
      <w:r>
        <w:rPr>
          <w:rStyle w:val="style87"/>
          <w:rFonts w:ascii="Times New Roman" w:cs="Times New Roman" w:hAnsi="Times New Roman"/>
          <w:sz w:val="24"/>
          <w:szCs w:val="24"/>
        </w:rPr>
        <w:t>Ultraviolet–Visible (UV–Vis) Spectrophotometry (Dichromate Oxidation Method)</w:t>
      </w:r>
      <w:r>
        <w:rPr>
          <w:rStyle w:val="style87"/>
          <w:rFonts w:ascii="Times New Roman" w:cs="Times New Roman" w:hAnsi="Times New Roman"/>
          <w:sz w:val="24"/>
          <w:szCs w:val="24"/>
        </w:rPr>
        <w:t>:</w:t>
      </w:r>
      <w:r>
        <w:rPr>
          <w:rFonts w:ascii="Times New Roman" w:cs="Times New Roman" w:hAnsi="Times New Roman"/>
          <w:sz w:val="24"/>
          <w:szCs w:val="24"/>
        </w:rPr>
        <w:br/>
      </w:r>
      <w:r>
        <w:rPr>
          <w:rFonts w:ascii="Times New Roman" w:cs="Times New Roman" w:hAnsi="Times New Roman"/>
          <w:sz w:val="24"/>
          <w:szCs w:val="24"/>
        </w:rPr>
        <w:t xml:space="preserve">This method was applied for the quantitative determination of ethanol concentration. It is based on the oxidation of ethanol by </w:t>
      </w:r>
      <w:r>
        <w:rPr>
          <w:rStyle w:val="style87"/>
          <w:rFonts w:ascii="Times New Roman" w:cs="Times New Roman" w:hAnsi="Times New Roman"/>
          <w:b w:val="false"/>
          <w:bCs w:val="false"/>
          <w:sz w:val="24"/>
          <w:szCs w:val="24"/>
        </w:rPr>
        <w:t>acidified</w:t>
      </w:r>
      <w:r>
        <w:rPr>
          <w:rStyle w:val="style87"/>
          <w:rFonts w:ascii="Times New Roman" w:cs="Times New Roman" w:hAnsi="Times New Roman"/>
          <w:sz w:val="24"/>
          <w:szCs w:val="24"/>
        </w:rPr>
        <w:t xml:space="preserve"> </w:t>
      </w:r>
      <w:r>
        <w:rPr>
          <w:rStyle w:val="style87"/>
          <w:rFonts w:ascii="Times New Roman" w:cs="Times New Roman" w:hAnsi="Times New Roman"/>
          <w:b w:val="false"/>
          <w:bCs w:val="false"/>
          <w:sz w:val="24"/>
          <w:szCs w:val="24"/>
        </w:rPr>
        <w:t>potassium</w:t>
      </w:r>
      <w:r>
        <w:rPr>
          <w:rStyle w:val="style87"/>
          <w:rFonts w:ascii="Times New Roman" w:cs="Times New Roman" w:hAnsi="Times New Roman"/>
          <w:sz w:val="24"/>
          <w:szCs w:val="24"/>
        </w:rPr>
        <w:t xml:space="preserve"> </w:t>
      </w:r>
      <w:r>
        <w:rPr>
          <w:rStyle w:val="style87"/>
          <w:rFonts w:ascii="Times New Roman" w:cs="Times New Roman" w:hAnsi="Times New Roman"/>
          <w:b w:val="false"/>
          <w:bCs w:val="false"/>
          <w:sz w:val="24"/>
          <w:szCs w:val="24"/>
        </w:rPr>
        <w:t>dichromate</w:t>
      </w:r>
      <w:r>
        <w:rPr>
          <w:rStyle w:val="style87"/>
          <w:rFonts w:ascii="Times New Roman" w:cs="Times New Roman" w:hAnsi="Times New Roman"/>
          <w:sz w:val="24"/>
          <w:szCs w:val="24"/>
        </w:rPr>
        <w:t xml:space="preserve"> </w:t>
      </w:r>
      <w:r>
        <w:rPr>
          <w:rStyle w:val="style87"/>
          <w:rFonts w:ascii="Times New Roman" w:cs="Times New Roman" w:hAnsi="Times New Roman"/>
          <w:b w:val="false"/>
          <w:bCs w:val="false"/>
          <w:sz w:val="24"/>
          <w:szCs w:val="24"/>
        </w:rPr>
        <w:t>(</w:t>
      </w:r>
      <w:r>
        <w:rPr>
          <w:rStyle w:val="style87"/>
          <w:rFonts w:ascii="Times New Roman" w:cs="Times New Roman" w:hAnsi="Times New Roman"/>
          <w:b w:val="false"/>
          <w:bCs w:val="false"/>
          <w:sz w:val="24"/>
          <w:szCs w:val="24"/>
        </w:rPr>
        <w:t>K₂Cr₂O</w:t>
      </w:r>
      <w:r>
        <w:rPr>
          <w:rStyle w:val="style87"/>
          <w:rFonts w:ascii="Times New Roman" w:cs="Times New Roman" w:hAnsi="Times New Roman"/>
          <w:b w:val="false"/>
          <w:bCs w:val="false"/>
          <w:sz w:val="24"/>
          <w:szCs w:val="24"/>
        </w:rPr>
        <w:t>₇)</w:t>
      </w:r>
      <w:r>
        <w:rPr>
          <w:rFonts w:ascii="Times New Roman" w:cs="Times New Roman" w:hAnsi="Times New Roman"/>
          <w:sz w:val="24"/>
          <w:szCs w:val="24"/>
        </w:rPr>
        <w:t xml:space="preserve"> in an acidic medium (H₂SO₄). In this reaction, </w:t>
      </w:r>
      <w:r>
        <w:rPr>
          <w:rStyle w:val="style87"/>
          <w:rFonts w:ascii="Times New Roman" w:cs="Times New Roman" w:hAnsi="Times New Roman"/>
          <w:b w:val="false"/>
          <w:bCs w:val="false"/>
          <w:sz w:val="24"/>
          <w:szCs w:val="24"/>
        </w:rPr>
        <w:t>ethanol</w:t>
      </w:r>
      <w:r>
        <w:rPr>
          <w:rStyle w:val="style87"/>
          <w:rFonts w:ascii="Times New Roman" w:cs="Times New Roman" w:hAnsi="Times New Roman"/>
          <w:sz w:val="24"/>
          <w:szCs w:val="24"/>
        </w:rPr>
        <w:t xml:space="preserve"> </w:t>
      </w:r>
      <w:r>
        <w:rPr>
          <w:rStyle w:val="style87"/>
          <w:rFonts w:ascii="Times New Roman" w:cs="Times New Roman" w:hAnsi="Times New Roman"/>
          <w:b w:val="false"/>
          <w:bCs w:val="false"/>
          <w:sz w:val="24"/>
          <w:szCs w:val="24"/>
        </w:rPr>
        <w:t>acts</w:t>
      </w:r>
      <w:r>
        <w:rPr>
          <w:rStyle w:val="style87"/>
          <w:rFonts w:ascii="Times New Roman" w:cs="Times New Roman" w:hAnsi="Times New Roman"/>
          <w:sz w:val="24"/>
          <w:szCs w:val="24"/>
        </w:rPr>
        <w:t xml:space="preserve"> </w:t>
      </w:r>
      <w:r>
        <w:rPr>
          <w:rStyle w:val="style87"/>
          <w:rFonts w:ascii="Times New Roman" w:cs="Times New Roman" w:hAnsi="Times New Roman"/>
          <w:b w:val="false"/>
          <w:bCs w:val="false"/>
          <w:sz w:val="24"/>
          <w:szCs w:val="24"/>
        </w:rPr>
        <w:t>as</w:t>
      </w:r>
      <w:r>
        <w:rPr>
          <w:rStyle w:val="style87"/>
          <w:rFonts w:ascii="Times New Roman" w:cs="Times New Roman" w:hAnsi="Times New Roman"/>
          <w:sz w:val="24"/>
          <w:szCs w:val="24"/>
        </w:rPr>
        <w:t xml:space="preserve"> </w:t>
      </w:r>
      <w:r>
        <w:rPr>
          <w:rStyle w:val="style87"/>
          <w:rFonts w:ascii="Times New Roman" w:cs="Times New Roman" w:hAnsi="Times New Roman"/>
          <w:b w:val="false"/>
          <w:bCs w:val="false"/>
          <w:sz w:val="24"/>
          <w:szCs w:val="24"/>
        </w:rPr>
        <w:t>a</w:t>
      </w:r>
      <w:r>
        <w:rPr>
          <w:rStyle w:val="style87"/>
          <w:rFonts w:ascii="Times New Roman" w:cs="Times New Roman" w:hAnsi="Times New Roman"/>
          <w:sz w:val="24"/>
          <w:szCs w:val="24"/>
        </w:rPr>
        <w:t xml:space="preserve"> </w:t>
      </w:r>
      <w:r>
        <w:rPr>
          <w:rStyle w:val="style87"/>
          <w:rFonts w:ascii="Times New Roman" w:cs="Times New Roman" w:hAnsi="Times New Roman"/>
          <w:b w:val="false"/>
          <w:bCs w:val="false"/>
          <w:sz w:val="24"/>
          <w:szCs w:val="24"/>
        </w:rPr>
        <w:t>reducing</w:t>
      </w:r>
      <w:r>
        <w:rPr>
          <w:rStyle w:val="style87"/>
          <w:rFonts w:ascii="Times New Roman" w:cs="Times New Roman" w:hAnsi="Times New Roman"/>
          <w:sz w:val="24"/>
          <w:szCs w:val="24"/>
        </w:rPr>
        <w:t xml:space="preserve"> </w:t>
      </w:r>
      <w:r>
        <w:rPr>
          <w:rStyle w:val="style87"/>
          <w:rFonts w:ascii="Times New Roman" w:cs="Times New Roman" w:hAnsi="Times New Roman"/>
          <w:b w:val="false"/>
          <w:bCs w:val="false"/>
          <w:sz w:val="24"/>
          <w:szCs w:val="24"/>
        </w:rPr>
        <w:t>agent</w:t>
      </w:r>
      <w:r>
        <w:rPr>
          <w:rFonts w:ascii="Times New Roman" w:cs="Times New Roman" w:hAnsi="Times New Roman"/>
          <w:sz w:val="24"/>
          <w:szCs w:val="24"/>
        </w:rPr>
        <w:t xml:space="preserve">, converting the orange-colored </w:t>
      </w:r>
      <w:r>
        <w:rPr>
          <w:rStyle w:val="style87"/>
          <w:rFonts w:ascii="Times New Roman" w:cs="Times New Roman" w:hAnsi="Times New Roman"/>
          <w:b w:val="false"/>
          <w:bCs w:val="false"/>
          <w:sz w:val="24"/>
          <w:szCs w:val="24"/>
        </w:rPr>
        <w:t>chromium</w:t>
      </w:r>
      <w:r>
        <w:rPr>
          <w:rStyle w:val="style87"/>
          <w:rFonts w:ascii="Times New Roman" w:cs="Times New Roman" w:hAnsi="Times New Roman"/>
          <w:sz w:val="24"/>
          <w:szCs w:val="24"/>
        </w:rPr>
        <w:t xml:space="preserve"> (</w:t>
      </w:r>
      <w:r>
        <w:rPr>
          <w:rStyle w:val="style87"/>
          <w:rFonts w:ascii="Times New Roman" w:cs="Times New Roman" w:hAnsi="Times New Roman"/>
          <w:b w:val="false"/>
          <w:bCs w:val="false"/>
          <w:sz w:val="24"/>
          <w:szCs w:val="24"/>
        </w:rPr>
        <w:t>VI</w:t>
      </w:r>
      <w:r>
        <w:rPr>
          <w:rStyle w:val="style87"/>
          <w:rFonts w:ascii="Times New Roman" w:cs="Times New Roman" w:hAnsi="Times New Roman"/>
          <w:sz w:val="24"/>
          <w:szCs w:val="24"/>
        </w:rPr>
        <w:t>)</w:t>
      </w:r>
      <w:r>
        <w:rPr>
          <w:rFonts w:ascii="Times New Roman" w:cs="Times New Roman" w:hAnsi="Times New Roman"/>
          <w:sz w:val="24"/>
          <w:szCs w:val="24"/>
        </w:rPr>
        <w:t xml:space="preserve"> ions (Cr₂O₇²⁻) in dichromate to the green-colored </w:t>
      </w:r>
      <w:r>
        <w:rPr>
          <w:rStyle w:val="style87"/>
          <w:rFonts w:ascii="Times New Roman" w:cs="Times New Roman" w:hAnsi="Times New Roman"/>
          <w:b w:val="false"/>
          <w:bCs w:val="false"/>
          <w:sz w:val="24"/>
          <w:szCs w:val="24"/>
        </w:rPr>
        <w:t>chromium</w:t>
      </w:r>
      <w:r>
        <w:rPr>
          <w:rStyle w:val="style87"/>
          <w:rFonts w:ascii="Times New Roman" w:cs="Times New Roman" w:hAnsi="Times New Roman"/>
          <w:sz w:val="24"/>
          <w:szCs w:val="24"/>
        </w:rPr>
        <w:t xml:space="preserve"> </w:t>
      </w:r>
      <w:r>
        <w:rPr>
          <w:rStyle w:val="style87"/>
          <w:rFonts w:ascii="Times New Roman" w:cs="Times New Roman" w:hAnsi="Times New Roman"/>
          <w:b w:val="false"/>
          <w:bCs w:val="false"/>
          <w:sz w:val="24"/>
          <w:szCs w:val="24"/>
        </w:rPr>
        <w:t>(III)</w:t>
      </w:r>
      <w:r>
        <w:rPr>
          <w:rFonts w:ascii="Times New Roman" w:cs="Times New Roman" w:hAnsi="Times New Roman"/>
          <w:sz w:val="24"/>
          <w:szCs w:val="24"/>
        </w:rPr>
        <w:t xml:space="preserve"> ions (Cr³⁺). The extent of this color change, which occurs due to the reduction of </w:t>
      </w:r>
      <w:r>
        <w:rPr>
          <w:rFonts w:ascii="Times New Roman" w:cs="Times New Roman" w:hAnsi="Times New Roman"/>
          <w:sz w:val="24"/>
          <w:szCs w:val="24"/>
        </w:rPr>
        <w:t>Cr(</w:t>
      </w:r>
      <w:r>
        <w:rPr>
          <w:rFonts w:ascii="Times New Roman" w:cs="Times New Roman" w:hAnsi="Times New Roman"/>
          <w:sz w:val="24"/>
          <w:szCs w:val="24"/>
        </w:rPr>
        <w:t xml:space="preserve">VI) to Cr(III), is proportional to the amount of ethanol present. The decrease in absorbance of the dichromate solution is then measured </w:t>
      </w:r>
      <w:r>
        <w:rPr>
          <w:rFonts w:ascii="Times New Roman" w:cs="Times New Roman" w:hAnsi="Times New Roman"/>
          <w:sz w:val="24"/>
          <w:szCs w:val="24"/>
        </w:rPr>
        <w:t>spectrophotometrically</w:t>
      </w:r>
      <w:r>
        <w:rPr>
          <w:rFonts w:ascii="Times New Roman" w:cs="Times New Roman" w:hAnsi="Times New Roman"/>
          <w:sz w:val="24"/>
          <w:szCs w:val="24"/>
        </w:rPr>
        <w:t xml:space="preserve"> at </w:t>
      </w:r>
      <w:r>
        <w:rPr>
          <w:rStyle w:val="style87"/>
          <w:rFonts w:ascii="Times New Roman" w:cs="Times New Roman" w:hAnsi="Times New Roman"/>
          <w:b w:val="false"/>
          <w:bCs w:val="false"/>
          <w:sz w:val="24"/>
          <w:szCs w:val="24"/>
        </w:rPr>
        <w:t>350</w:t>
      </w:r>
      <w:r>
        <w:rPr>
          <w:rStyle w:val="style87"/>
          <w:rFonts w:ascii="Times New Roman" w:cs="Times New Roman" w:hAnsi="Times New Roman"/>
          <w:sz w:val="24"/>
          <w:szCs w:val="24"/>
        </w:rPr>
        <w:t xml:space="preserve"> </w:t>
      </w:r>
      <w:r>
        <w:rPr>
          <w:rStyle w:val="style87"/>
          <w:rFonts w:ascii="Times New Roman" w:cs="Times New Roman" w:hAnsi="Times New Roman"/>
          <w:b w:val="false"/>
          <w:bCs w:val="false"/>
          <w:sz w:val="24"/>
          <w:szCs w:val="24"/>
        </w:rPr>
        <w:t>nm</w:t>
      </w:r>
      <w:r>
        <w:rPr>
          <w:rFonts w:ascii="Times New Roman" w:cs="Times New Roman" w:hAnsi="Times New Roman"/>
          <w:sz w:val="24"/>
          <w:szCs w:val="24"/>
        </w:rPr>
        <w:t xml:space="preserve"> using a UV–Visible spectrophotometer. The measured absorbance values are compared to those from standard ethanol solutions to calculate ethanol concentration in the samples.</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All analyses were conducted in </w:t>
      </w:r>
      <w:r>
        <w:rPr>
          <w:rFonts w:ascii="Times New Roman" w:cs="Times New Roman" w:eastAsia="Times New Roman" w:hAnsi="Times New Roman"/>
          <w:bCs/>
          <w:sz w:val="24"/>
          <w:szCs w:val="24"/>
        </w:rPr>
        <w:t>triplicate</w:t>
      </w:r>
      <w:r>
        <w:rPr>
          <w:rFonts w:ascii="Times New Roman" w:cs="Times New Roman" w:eastAsia="Times New Roman" w:hAnsi="Times New Roman"/>
          <w:sz w:val="24"/>
          <w:szCs w:val="24"/>
        </w:rPr>
        <w:t xml:space="preserve"> to ensure the </w:t>
      </w:r>
      <w:r>
        <w:rPr>
          <w:rFonts w:ascii="Times New Roman" w:cs="Times New Roman" w:eastAsia="Times New Roman" w:hAnsi="Times New Roman"/>
          <w:bCs/>
          <w:sz w:val="24"/>
          <w:szCs w:val="24"/>
        </w:rPr>
        <w:t>precision</w:t>
      </w:r>
      <w:r>
        <w:rPr>
          <w:rFonts w:ascii="Times New Roman" w:cs="Times New Roman" w:eastAsia="Times New Roman" w:hAnsi="Times New Roman"/>
          <w:b/>
          <w:bCs/>
          <w:sz w:val="24"/>
          <w:szCs w:val="24"/>
        </w:rPr>
        <w:t xml:space="preserve">, </w:t>
      </w:r>
      <w:r>
        <w:rPr>
          <w:rFonts w:ascii="Times New Roman" w:cs="Times New Roman" w:eastAsia="Times New Roman" w:hAnsi="Times New Roman"/>
          <w:bCs/>
          <w:sz w:val="24"/>
          <w:szCs w:val="24"/>
        </w:rPr>
        <w:t>reproducibility</w:t>
      </w:r>
      <w:r>
        <w:rPr>
          <w:rFonts w:ascii="Times New Roman" w:cs="Times New Roman" w:eastAsia="Times New Roman" w:hAnsi="Times New Roman"/>
          <w:b/>
          <w:bCs/>
          <w:sz w:val="24"/>
          <w:szCs w:val="24"/>
        </w:rPr>
        <w:t xml:space="preserve">, </w:t>
      </w:r>
      <w:r>
        <w:rPr>
          <w:rFonts w:ascii="Times New Roman" w:cs="Times New Roman" w:eastAsia="Times New Roman" w:hAnsi="Times New Roman"/>
          <w:bCs/>
          <w:sz w:val="24"/>
          <w:szCs w:val="24"/>
        </w:rPr>
        <w:t>and</w:t>
      </w:r>
      <w:r>
        <w:rPr>
          <w:rFonts w:ascii="Times New Roman" w:cs="Times New Roman" w:eastAsia="Times New Roman" w:hAnsi="Times New Roman"/>
          <w:b/>
          <w:bCs/>
          <w:sz w:val="24"/>
          <w:szCs w:val="24"/>
        </w:rPr>
        <w:t xml:space="preserve"> </w:t>
      </w:r>
      <w:r>
        <w:rPr>
          <w:rFonts w:ascii="Times New Roman" w:cs="Times New Roman" w:eastAsia="Times New Roman" w:hAnsi="Times New Roman"/>
          <w:bCs/>
          <w:sz w:val="24"/>
          <w:szCs w:val="24"/>
        </w:rPr>
        <w:t>reliability</w:t>
      </w:r>
      <w:r>
        <w:rPr>
          <w:rFonts w:ascii="Times New Roman" w:cs="Times New Roman" w:eastAsia="Times New Roman" w:hAnsi="Times New Roman"/>
          <w:sz w:val="24"/>
          <w:szCs w:val="24"/>
        </w:rPr>
        <w:t xml:space="preserve"> of results. The combined use of FTIR and UV–Vis</w:t>
      </w:r>
      <w:r>
        <w:rPr>
          <w:rFonts w:ascii="Times New Roman" w:cs="Times New Roman" w:eastAsia="Times New Roman" w:hAnsi="Times New Roman"/>
          <w:sz w:val="24"/>
          <w:szCs w:val="24"/>
        </w:rPr>
        <w:t xml:space="preserve"> </w:t>
      </w:r>
      <w:r>
        <w:rPr>
          <w:rFonts w:ascii="Times New Roman" w:cs="Times New Roman" w:eastAsia="Times New Roman" w:hAnsi="Times New Roman"/>
          <w:sz w:val="24"/>
          <w:szCs w:val="24"/>
        </w:rPr>
        <w:t xml:space="preserve">techniques provided both </w:t>
      </w:r>
      <w:r>
        <w:rPr>
          <w:rFonts w:ascii="Times New Roman" w:cs="Times New Roman" w:eastAsia="Times New Roman" w:hAnsi="Times New Roman"/>
          <w:bCs/>
          <w:sz w:val="24"/>
          <w:szCs w:val="24"/>
        </w:rPr>
        <w:t>qualitative</w:t>
      </w:r>
      <w:r>
        <w:rPr>
          <w:rFonts w:ascii="Times New Roman" w:cs="Times New Roman" w:eastAsia="Times New Roman" w:hAnsi="Times New Roman"/>
          <w:b/>
          <w:bCs/>
          <w:sz w:val="24"/>
          <w:szCs w:val="24"/>
        </w:rPr>
        <w:t xml:space="preserve"> </w:t>
      </w:r>
      <w:r>
        <w:rPr>
          <w:rFonts w:ascii="Times New Roman" w:cs="Times New Roman" w:eastAsia="Times New Roman" w:hAnsi="Times New Roman"/>
          <w:bCs/>
          <w:sz w:val="24"/>
          <w:szCs w:val="24"/>
        </w:rPr>
        <w:t>and</w:t>
      </w:r>
      <w:r>
        <w:rPr>
          <w:rFonts w:ascii="Times New Roman" w:cs="Times New Roman" w:eastAsia="Times New Roman" w:hAnsi="Times New Roman"/>
          <w:b/>
          <w:bCs/>
          <w:sz w:val="24"/>
          <w:szCs w:val="24"/>
        </w:rPr>
        <w:t xml:space="preserve"> </w:t>
      </w:r>
      <w:r>
        <w:rPr>
          <w:rFonts w:ascii="Times New Roman" w:cs="Times New Roman" w:eastAsia="Times New Roman" w:hAnsi="Times New Roman"/>
          <w:bCs/>
          <w:sz w:val="24"/>
          <w:szCs w:val="24"/>
        </w:rPr>
        <w:t>quantitative</w:t>
      </w:r>
      <w:r>
        <w:rPr>
          <w:rFonts w:ascii="Times New Roman" w:cs="Times New Roman" w:eastAsia="Times New Roman" w:hAnsi="Times New Roman"/>
          <w:b/>
          <w:bCs/>
          <w:sz w:val="24"/>
          <w:szCs w:val="24"/>
        </w:rPr>
        <w:t xml:space="preserve"> </w:t>
      </w:r>
      <w:r>
        <w:rPr>
          <w:rFonts w:ascii="Times New Roman" w:cs="Times New Roman" w:eastAsia="Times New Roman" w:hAnsi="Times New Roman"/>
          <w:bCs/>
          <w:sz w:val="24"/>
          <w:szCs w:val="24"/>
        </w:rPr>
        <w:t>validation</w:t>
      </w:r>
      <w:r>
        <w:rPr>
          <w:rFonts w:ascii="Times New Roman" w:cs="Times New Roman" w:eastAsia="Times New Roman" w:hAnsi="Times New Roman"/>
          <w:sz w:val="24"/>
          <w:szCs w:val="24"/>
        </w:rPr>
        <w:t xml:space="preserve"> of ethanol presence in the selected energy drink samples.</w:t>
      </w:r>
    </w:p>
    <w:bookmarkStart w:id="35" w:name="_Toc213929880"/>
    <w:p>
      <w:pPr>
        <w:pStyle w:val="style1"/>
        <w:rPr>
          <w:rFonts w:eastAsia="Arial"/>
        </w:rPr>
      </w:pPr>
      <w:r>
        <w:rPr>
          <w:rFonts w:eastAsia="Arial"/>
        </w:rPr>
        <w:t>3.2.1</w:t>
      </w:r>
      <w:r>
        <w:rPr>
          <w:rFonts w:eastAsia="Arial"/>
        </w:rPr>
        <w:tab/>
      </w:r>
      <w:r>
        <w:rPr>
          <w:rFonts w:eastAsia="Arial"/>
        </w:rPr>
        <w:t>Determination of Ethanol</w:t>
      </w:r>
      <w:r>
        <w:rPr>
          <w:rFonts w:eastAsia="Arial"/>
        </w:rPr>
        <w:t xml:space="preserve"> Content Using FTIR Spectrometer</w:t>
      </w:r>
      <w:bookmarkEnd w:id="35"/>
      <w:r>
        <w:rPr>
          <w:rFonts w:eastAsia="Arial"/>
        </w:rPr>
        <w:t xml:space="preserve">  </w:t>
      </w:r>
    </w:p>
    <w:p>
      <w:pPr>
        <w:pStyle w:val="style4097"/>
        <w:spacing w:lineRule="auto" w:line="480"/>
        <w:jc w:val="both"/>
        <w:rPr>
          <w:rFonts w:ascii="Times New Roman" w:cs="Times New Roman" w:eastAsia="Arial" w:hAnsi="Times New Roman"/>
          <w:sz w:val="24"/>
          <w:szCs w:val="24"/>
        </w:rPr>
      </w:pPr>
      <w:r>
        <w:rPr>
          <w:rFonts w:ascii="Times New Roman" w:cs="Times New Roman" w:eastAsia="Arial" w:hAnsi="Times New Roman"/>
          <w:sz w:val="24"/>
          <w:szCs w:val="24"/>
        </w:rPr>
        <w:t xml:space="preserve">The qualitative analysis of ethanol in the energy drink samples was carried out using a Fourier Transform Infrared (FTIR) spectrometer (Agilent Technologies Cary 630) with an Attenuated Total Reflectance (ATR) accessory.  </w:t>
      </w:r>
    </w:p>
    <w:p>
      <w:pPr>
        <w:pStyle w:val="style4097"/>
        <w:spacing w:lineRule="auto" w:line="480"/>
        <w:jc w:val="both"/>
        <w:rPr>
          <w:rFonts w:ascii="Times New Roman" w:cs="Times New Roman" w:eastAsia="Arial" w:hAnsi="Times New Roman"/>
          <w:sz w:val="24"/>
          <w:szCs w:val="24"/>
        </w:rPr>
      </w:pPr>
      <w:r>
        <w:rPr>
          <w:rFonts w:ascii="Times New Roman" w:cs="Times New Roman" w:eastAsia="Arial" w:hAnsi="Times New Roman"/>
          <w:sz w:val="24"/>
          <w:szCs w:val="24"/>
        </w:rPr>
        <w:t>A small volume of each sample was placed directly on the ATR crystal, and the spectra were recorded over the range of 4000–650 cm</w:t>
      </w:r>
      <w:r>
        <w:rPr>
          <w:rFonts w:ascii="Times New Roman" w:cs="Times New Roman" w:eastAsia="Cambria Math" w:hAnsi="Times New Roman"/>
          <w:sz w:val="24"/>
          <w:szCs w:val="24"/>
        </w:rPr>
        <w:t>⁻</w:t>
      </w:r>
      <w:r>
        <w:rPr>
          <w:rFonts w:ascii="Times New Roman" w:cs="Times New Roman" w:eastAsia="Arial" w:hAnsi="Times New Roman"/>
          <w:sz w:val="24"/>
          <w:szCs w:val="24"/>
        </w:rPr>
        <w:t>¹. Background scans were taken before each analysis to correct for atmospheric CO</w:t>
      </w:r>
      <w:r>
        <w:rPr>
          <w:rFonts w:ascii="Times New Roman" w:cs="Times New Roman" w:eastAsia="Cambria Math" w:hAnsi="Times New Roman"/>
          <w:sz w:val="24"/>
          <w:szCs w:val="24"/>
        </w:rPr>
        <w:t>₂</w:t>
      </w:r>
      <w:r>
        <w:rPr>
          <w:rFonts w:ascii="Times New Roman" w:cs="Times New Roman" w:eastAsia="Arial" w:hAnsi="Times New Roman"/>
          <w:sz w:val="24"/>
          <w:szCs w:val="24"/>
        </w:rPr>
        <w:t xml:space="preserve"> and H</w:t>
      </w:r>
      <w:r>
        <w:rPr>
          <w:rFonts w:ascii="Times New Roman" w:cs="Times New Roman" w:eastAsia="Cambria Math" w:hAnsi="Times New Roman"/>
          <w:sz w:val="24"/>
          <w:szCs w:val="24"/>
        </w:rPr>
        <w:t>₂</w:t>
      </w:r>
      <w:r>
        <w:rPr>
          <w:rFonts w:ascii="Times New Roman" w:cs="Times New Roman" w:eastAsia="Arial" w:hAnsi="Times New Roman"/>
          <w:sz w:val="24"/>
          <w:szCs w:val="24"/>
        </w:rPr>
        <w:t xml:space="preserve">O interferences.  </w:t>
      </w:r>
    </w:p>
    <w:p>
      <w:pPr>
        <w:pStyle w:val="style4097"/>
        <w:spacing w:lineRule="auto" w:line="480"/>
        <w:jc w:val="both"/>
        <w:rPr>
          <w:rFonts w:ascii="Times New Roman" w:cs="Times New Roman" w:eastAsia="Arial" w:hAnsi="Times New Roman"/>
          <w:sz w:val="24"/>
          <w:szCs w:val="24"/>
        </w:rPr>
      </w:pPr>
      <w:r>
        <w:rPr>
          <w:rFonts w:ascii="Times New Roman" w:cs="Times New Roman" w:eastAsia="Arial" w:hAnsi="Times New Roman"/>
          <w:sz w:val="24"/>
          <w:szCs w:val="24"/>
        </w:rPr>
        <w:t>The presence and intensity of these peaks confirmed ethanol in the energy drink samples. ATR-FTIR spectroscopy offers several benefits, including non-destructive testing, minimal sample preparation, and rapid measurement, making it ideal for beverage authentication and quality control (Rodriguez-</w:t>
      </w:r>
      <w:r>
        <w:rPr>
          <w:rFonts w:ascii="Times New Roman" w:cs="Times New Roman" w:eastAsia="Arial" w:hAnsi="Times New Roman"/>
          <w:sz w:val="24"/>
          <w:szCs w:val="24"/>
        </w:rPr>
        <w:t>Saona</w:t>
      </w:r>
      <w:r>
        <w:rPr>
          <w:rFonts w:ascii="Times New Roman" w:cs="Times New Roman" w:eastAsia="Arial" w:hAnsi="Times New Roman"/>
          <w:sz w:val="24"/>
          <w:szCs w:val="24"/>
        </w:rPr>
        <w:t xml:space="preserve"> &amp; </w:t>
      </w:r>
      <w:r>
        <w:rPr>
          <w:rFonts w:ascii="Times New Roman" w:cs="Times New Roman" w:eastAsia="Arial" w:hAnsi="Times New Roman"/>
          <w:sz w:val="24"/>
          <w:szCs w:val="24"/>
        </w:rPr>
        <w:t>Allendorf</w:t>
      </w:r>
      <w:r>
        <w:rPr>
          <w:rFonts w:ascii="Times New Roman" w:cs="Times New Roman" w:eastAsia="Arial" w:hAnsi="Times New Roman"/>
          <w:sz w:val="24"/>
          <w:szCs w:val="24"/>
        </w:rPr>
        <w:t xml:space="preserve">, 2011; </w:t>
      </w:r>
      <w:r>
        <w:rPr>
          <w:rFonts w:ascii="Times New Roman" w:cs="Times New Roman" w:eastAsia="Arial" w:hAnsi="Times New Roman"/>
          <w:sz w:val="24"/>
          <w:szCs w:val="24"/>
        </w:rPr>
        <w:t>Cozzolino</w:t>
      </w:r>
      <w:r>
        <w:rPr>
          <w:rFonts w:ascii="Times New Roman" w:cs="Times New Roman" w:eastAsia="Arial" w:hAnsi="Times New Roman"/>
          <w:sz w:val="24"/>
          <w:szCs w:val="24"/>
        </w:rPr>
        <w:t xml:space="preserve">, 2015; </w:t>
      </w:r>
      <w:r>
        <w:rPr>
          <w:rFonts w:ascii="Times New Roman" w:cs="Times New Roman" w:eastAsia="Arial" w:hAnsi="Times New Roman"/>
          <w:sz w:val="24"/>
          <w:szCs w:val="24"/>
        </w:rPr>
        <w:t>Kansiz</w:t>
      </w:r>
      <w:r>
        <w:rPr>
          <w:rFonts w:ascii="Times New Roman" w:cs="Times New Roman" w:eastAsia="Arial" w:hAnsi="Times New Roman"/>
          <w:sz w:val="24"/>
          <w:szCs w:val="24"/>
        </w:rPr>
        <w:t xml:space="preserve"> </w:t>
      </w:r>
      <w:r>
        <w:rPr>
          <w:rFonts w:ascii="Times New Roman" w:cs="Times New Roman" w:eastAsia="Arial" w:hAnsi="Times New Roman"/>
          <w:i/>
          <w:sz w:val="24"/>
          <w:szCs w:val="24"/>
        </w:rPr>
        <w:t>et</w:t>
      </w:r>
      <w:r>
        <w:rPr>
          <w:rFonts w:ascii="Times New Roman" w:cs="Times New Roman" w:eastAsia="Arial" w:hAnsi="Times New Roman"/>
          <w:sz w:val="24"/>
          <w:szCs w:val="24"/>
        </w:rPr>
        <w:t xml:space="preserve"> </w:t>
      </w:r>
      <w:r>
        <w:rPr>
          <w:rFonts w:ascii="Times New Roman" w:cs="Times New Roman" w:eastAsia="Arial" w:hAnsi="Times New Roman"/>
          <w:i/>
          <w:sz w:val="24"/>
          <w:szCs w:val="24"/>
        </w:rPr>
        <w:t>al</w:t>
      </w:r>
      <w:r>
        <w:rPr>
          <w:rFonts w:ascii="Times New Roman" w:cs="Times New Roman" w:eastAsia="Arial" w:hAnsi="Times New Roman"/>
          <w:sz w:val="24"/>
          <w:szCs w:val="24"/>
        </w:rPr>
        <w:t xml:space="preserve">., 1999; </w:t>
      </w:r>
      <w:r>
        <w:rPr>
          <w:rFonts w:ascii="Times New Roman" w:cs="Times New Roman" w:eastAsia="Arial" w:hAnsi="Times New Roman"/>
          <w:sz w:val="24"/>
          <w:szCs w:val="24"/>
        </w:rPr>
        <w:t>Kuehnbaum</w:t>
      </w:r>
      <w:r>
        <w:rPr>
          <w:rFonts w:ascii="Times New Roman" w:cs="Times New Roman" w:eastAsia="Arial" w:hAnsi="Times New Roman"/>
          <w:sz w:val="24"/>
          <w:szCs w:val="24"/>
        </w:rPr>
        <w:t xml:space="preserve"> &amp; </w:t>
      </w:r>
      <w:r>
        <w:rPr>
          <w:rFonts w:ascii="Times New Roman" w:cs="Times New Roman" w:eastAsia="Arial" w:hAnsi="Times New Roman"/>
          <w:sz w:val="24"/>
          <w:szCs w:val="24"/>
        </w:rPr>
        <w:t>Britz-McKibbin</w:t>
      </w:r>
      <w:r>
        <w:rPr>
          <w:rFonts w:ascii="Times New Roman" w:cs="Times New Roman" w:eastAsia="Arial" w:hAnsi="Times New Roman"/>
          <w:sz w:val="24"/>
          <w:szCs w:val="24"/>
        </w:rPr>
        <w:t xml:space="preserve">, 2013). </w:t>
      </w:r>
      <w:r>
        <w:rPr>
          <w:rFonts w:ascii="Times New Roman" w:cs="Times New Roman" w:hAnsi="Times New Roman"/>
          <w:sz w:val="24"/>
          <w:szCs w:val="24"/>
        </w:rPr>
        <w:t>Following FTIR analysis, quantitative determination of ethanol was performed using UV-Visible spectrophotometry based on the dichromate oxidation principle.</w:t>
      </w:r>
    </w:p>
    <w:bookmarkStart w:id="36" w:name="_Toc213929881"/>
    <w:p>
      <w:pPr>
        <w:pStyle w:val="style1"/>
        <w:rPr>
          <w:rFonts w:eastAsia="Arial"/>
        </w:rPr>
      </w:pPr>
      <w:r>
        <w:rPr>
          <w:rFonts w:eastAsia="Arial"/>
        </w:rPr>
        <w:t>3.2.2</w:t>
      </w:r>
      <w:r>
        <w:rPr>
          <w:rFonts w:eastAsia="Arial"/>
        </w:rPr>
        <w:tab/>
      </w:r>
      <w:r>
        <w:rPr>
          <w:rFonts w:eastAsia="Arial"/>
        </w:rPr>
        <w:t>Determination of Ethanol</w:t>
      </w:r>
      <w:r>
        <w:rPr>
          <w:rFonts w:eastAsia="Arial"/>
        </w:rPr>
        <w:t xml:space="preserve"> Content in Energy Drinks Using UV-Visible Spectrophotometry (Dichromate Oxidation Method)</w:t>
      </w:r>
      <w:bookmarkEnd w:id="36"/>
      <w:r>
        <w:rPr>
          <w:rFonts w:eastAsia="Arial"/>
        </w:rPr>
        <w:t xml:space="preserve"> </w:t>
      </w:r>
    </w:p>
    <w:p>
      <w:pPr>
        <w:pStyle w:val="style4097"/>
        <w:spacing w:lineRule="auto" w:line="480"/>
        <w:jc w:val="both"/>
        <w:rPr>
          <w:rFonts w:ascii="Times New Roman" w:cs="Times New Roman" w:eastAsia="Arial" w:hAnsi="Times New Roman"/>
          <w:b/>
          <w:sz w:val="24"/>
          <w:szCs w:val="24"/>
        </w:rPr>
      </w:pPr>
      <w:r>
        <w:rPr>
          <w:rFonts w:ascii="Times New Roman" w:cs="Times New Roman" w:hAnsi="Times New Roman"/>
          <w:sz w:val="24"/>
          <w:szCs w:val="24"/>
        </w:rPr>
        <w:t xml:space="preserve">The quantitative determination of ethanol was performed using the </w:t>
      </w:r>
      <w:r>
        <w:rPr>
          <w:rStyle w:val="style87"/>
          <w:rFonts w:ascii="Times New Roman" w:cs="Times New Roman" w:hAnsi="Times New Roman"/>
          <w:sz w:val="24"/>
          <w:szCs w:val="24"/>
        </w:rPr>
        <w:t>acidic potassium dichromate oxidation method</w:t>
      </w:r>
      <w:r>
        <w:rPr>
          <w:rFonts w:ascii="Times New Roman" w:cs="Times New Roman" w:hAnsi="Times New Roman"/>
          <w:sz w:val="24"/>
          <w:szCs w:val="24"/>
        </w:rPr>
        <w:t>, based on the reduction of dichromate ions (</w:t>
      </w:r>
      <w:r>
        <w:rPr>
          <w:rStyle w:val="style87"/>
          <w:rFonts w:ascii="Times New Roman" w:cs="Times New Roman" w:hAnsi="Times New Roman"/>
          <w:sz w:val="24"/>
          <w:szCs w:val="24"/>
        </w:rPr>
        <w:t>Cr₂O₇²⁻</w:t>
      </w:r>
      <w:r>
        <w:rPr>
          <w:rFonts w:ascii="Times New Roman" w:cs="Times New Roman" w:hAnsi="Times New Roman"/>
          <w:sz w:val="24"/>
          <w:szCs w:val="24"/>
        </w:rPr>
        <w:t>, orange) to chromium (III) ions (</w:t>
      </w:r>
      <w:r>
        <w:rPr>
          <w:rStyle w:val="style87"/>
          <w:rFonts w:ascii="Times New Roman" w:cs="Times New Roman" w:hAnsi="Times New Roman"/>
          <w:sz w:val="24"/>
          <w:szCs w:val="24"/>
        </w:rPr>
        <w:t>Cr³⁺</w:t>
      </w:r>
      <w:r>
        <w:rPr>
          <w:rFonts w:ascii="Times New Roman" w:cs="Times New Roman" w:hAnsi="Times New Roman"/>
          <w:sz w:val="24"/>
          <w:szCs w:val="24"/>
        </w:rPr>
        <w:t>, green) in an acidic medium.</w:t>
      </w:r>
    </w:p>
    <w:p>
      <w:pPr>
        <w:pStyle w:val="style4097"/>
        <w:spacing w:lineRule="auto" w:line="480"/>
        <w:jc w:val="both"/>
        <w:rPr>
          <w:rFonts w:ascii="Times New Roman" w:cs="Times New Roman" w:eastAsia="Arial" w:hAnsi="Times New Roman"/>
          <w:b/>
          <w:sz w:val="24"/>
          <w:szCs w:val="24"/>
        </w:rPr>
      </w:pPr>
      <w:r>
        <w:rPr>
          <w:rFonts w:ascii="Times New Roman" w:cs="Times New Roman" w:eastAsia="Arial" w:hAnsi="Times New Roman"/>
          <w:b/>
          <w:sz w:val="24"/>
          <w:szCs w:val="24"/>
        </w:rPr>
        <w:t xml:space="preserve">Reaction:  </w:t>
      </w:r>
    </w:p>
    <w:p>
      <w:pPr>
        <w:pStyle w:val="style4097"/>
        <w:pBdr>
          <w:left w:val="nil"/>
          <w:right w:val="nil"/>
          <w:top w:val="nil"/>
          <w:bottom w:val="nil"/>
          <w:between w:val="nil"/>
        </w:pBdr>
        <w:spacing w:lineRule="auto" w:line="480"/>
        <w:jc w:val="both"/>
        <w:rPr>
          <w:rFonts w:ascii="Times New Roman" w:cs="Times New Roman" w:eastAsia="Arial" w:hAnsi="Times New Roman"/>
          <w:b/>
          <w:sz w:val="24"/>
          <w:szCs w:val="24"/>
        </w:rPr>
      </w:pPr>
      <w:r>
        <w:rPr>
          <w:rFonts w:ascii="Times New Roman" w:cs="Times New Roman" w:eastAsia="Arial" w:hAnsi="Times New Roman"/>
          <w:b/>
          <w:sz w:val="24"/>
          <w:szCs w:val="24"/>
        </w:rPr>
        <w:t>3 C</w:t>
      </w:r>
      <w:r>
        <w:rPr>
          <w:rFonts w:ascii="Times New Roman" w:cs="Times New Roman" w:eastAsia="Cambria Math" w:hAnsi="Times New Roman"/>
          <w:b/>
          <w:sz w:val="24"/>
          <w:szCs w:val="24"/>
        </w:rPr>
        <w:t>₂</w:t>
      </w:r>
      <w:r>
        <w:rPr>
          <w:rFonts w:ascii="Times New Roman" w:cs="Times New Roman" w:eastAsia="Arial" w:hAnsi="Times New Roman"/>
          <w:b/>
          <w:sz w:val="24"/>
          <w:szCs w:val="24"/>
        </w:rPr>
        <w:t>H</w:t>
      </w:r>
      <w:r>
        <w:rPr>
          <w:rFonts w:ascii="Times New Roman" w:cs="Times New Roman" w:eastAsia="Cambria Math" w:hAnsi="Times New Roman"/>
          <w:b/>
          <w:sz w:val="24"/>
          <w:szCs w:val="24"/>
        </w:rPr>
        <w:t>₅</w:t>
      </w:r>
      <w:r>
        <w:rPr>
          <w:rFonts w:ascii="Times New Roman" w:cs="Times New Roman" w:eastAsia="Arial" w:hAnsi="Times New Roman"/>
          <w:b/>
          <w:sz w:val="24"/>
          <w:szCs w:val="24"/>
        </w:rPr>
        <w:t>OH + 2 Cr</w:t>
      </w:r>
      <w:r>
        <w:rPr>
          <w:rFonts w:ascii="Times New Roman" w:cs="Times New Roman" w:eastAsia="Cambria Math" w:hAnsi="Times New Roman"/>
          <w:b/>
          <w:sz w:val="24"/>
          <w:szCs w:val="24"/>
        </w:rPr>
        <w:t>₂</w:t>
      </w:r>
      <w:r>
        <w:rPr>
          <w:rFonts w:ascii="Times New Roman" w:cs="Times New Roman" w:eastAsia="Arial" w:hAnsi="Times New Roman"/>
          <w:b/>
          <w:sz w:val="24"/>
          <w:szCs w:val="24"/>
        </w:rPr>
        <w:t>O</w:t>
      </w:r>
      <w:r>
        <w:rPr>
          <w:rFonts w:ascii="Times New Roman" w:cs="Times New Roman" w:eastAsia="Cambria Math" w:hAnsi="Times New Roman"/>
          <w:b/>
          <w:sz w:val="24"/>
          <w:szCs w:val="24"/>
        </w:rPr>
        <w:t>₇</w:t>
      </w:r>
      <w:r>
        <w:rPr>
          <w:rFonts w:ascii="Times New Roman" w:cs="Times New Roman" w:eastAsia="Arial" w:hAnsi="Times New Roman"/>
          <w:b/>
          <w:sz w:val="24"/>
          <w:szCs w:val="24"/>
        </w:rPr>
        <w:t>²</w:t>
      </w:r>
      <w:r>
        <w:rPr>
          <w:rFonts w:ascii="Times New Roman" w:cs="Times New Roman" w:eastAsia="Cambria Math" w:hAnsi="Times New Roman"/>
          <w:b/>
          <w:sz w:val="24"/>
          <w:szCs w:val="24"/>
        </w:rPr>
        <w:t>⁻</w:t>
      </w:r>
      <w:r>
        <w:rPr>
          <w:rFonts w:ascii="Times New Roman" w:cs="Times New Roman" w:eastAsia="Arial" w:hAnsi="Times New Roman"/>
          <w:b/>
          <w:sz w:val="24"/>
          <w:szCs w:val="24"/>
        </w:rPr>
        <w:t xml:space="preserve"> + 16 H</w:t>
      </w:r>
      <w:r>
        <w:rPr>
          <w:rFonts w:ascii="Times New Roman" w:cs="Times New Roman" w:eastAsia="Cambria Math" w:hAnsi="Times New Roman"/>
          <w:b/>
          <w:sz w:val="24"/>
          <w:szCs w:val="24"/>
        </w:rPr>
        <w:t>⁺</w:t>
      </w:r>
      <w:r>
        <w:rPr>
          <w:rFonts w:ascii="Times New Roman" w:cs="Times New Roman" w:eastAsia="Arial Unicode MS" w:hAnsi="Times New Roman"/>
          <w:b/>
          <w:sz w:val="24"/>
          <w:szCs w:val="24"/>
        </w:rPr>
        <w:t xml:space="preserve"> → 3 CH</w:t>
      </w:r>
      <w:r>
        <w:rPr>
          <w:rFonts w:ascii="Times New Roman" w:cs="Times New Roman" w:eastAsia="Cambria Math" w:hAnsi="Times New Roman"/>
          <w:b/>
          <w:sz w:val="24"/>
          <w:szCs w:val="24"/>
        </w:rPr>
        <w:t>₃</w:t>
      </w:r>
      <w:r>
        <w:rPr>
          <w:rFonts w:ascii="Times New Roman" w:cs="Times New Roman" w:eastAsia="Arial" w:hAnsi="Times New Roman"/>
          <w:b/>
          <w:sz w:val="24"/>
          <w:szCs w:val="24"/>
        </w:rPr>
        <w:t>COOH + 4 Cr³</w:t>
      </w:r>
      <w:r>
        <w:rPr>
          <w:rFonts w:ascii="Times New Roman" w:cs="Times New Roman" w:eastAsia="Cambria Math" w:hAnsi="Times New Roman"/>
          <w:b/>
          <w:sz w:val="24"/>
          <w:szCs w:val="24"/>
        </w:rPr>
        <w:t>⁺</w:t>
      </w:r>
      <w:r>
        <w:rPr>
          <w:rFonts w:ascii="Times New Roman" w:cs="Times New Roman" w:eastAsia="Arial" w:hAnsi="Times New Roman"/>
          <w:b/>
          <w:sz w:val="24"/>
          <w:szCs w:val="24"/>
        </w:rPr>
        <w:t xml:space="preserve"> + 11 H</w:t>
      </w:r>
      <w:r>
        <w:rPr>
          <w:rFonts w:ascii="Times New Roman" w:cs="Times New Roman" w:eastAsia="Cambria Math" w:hAnsi="Times New Roman"/>
          <w:b/>
          <w:sz w:val="24"/>
          <w:szCs w:val="24"/>
        </w:rPr>
        <w:t>₂</w:t>
      </w:r>
      <w:r>
        <w:rPr>
          <w:rFonts w:ascii="Times New Roman" w:cs="Times New Roman" w:eastAsia="Arial" w:hAnsi="Times New Roman"/>
          <w:b/>
          <w:sz w:val="24"/>
          <w:szCs w:val="24"/>
        </w:rPr>
        <w:t>O</w:t>
      </w:r>
    </w:p>
    <w:p>
      <w:pPr>
        <w:pStyle w:val="style0"/>
        <w:rPr>
          <w:rStyle w:val="style87"/>
          <w:rFonts w:ascii="Times New Roman" w:cs="Times New Roman" w:hAnsi="Times New Roman"/>
          <w:bCs w:val="false"/>
          <w:sz w:val="24"/>
          <w:szCs w:val="24"/>
        </w:rPr>
      </w:pPr>
      <w:r>
        <w:rPr>
          <w:rStyle w:val="style87"/>
          <w:rFonts w:ascii="Times New Roman" w:cs="Times New Roman" w:hAnsi="Times New Roman"/>
          <w:bCs w:val="false"/>
          <w:sz w:val="24"/>
          <w:szCs w:val="24"/>
        </w:rPr>
        <w:br w:type="page"/>
      </w:r>
    </w:p>
    <w:p>
      <w:pPr>
        <w:pStyle w:val="style0"/>
        <w:spacing w:lineRule="auto" w:line="480"/>
        <w:jc w:val="both"/>
        <w:rPr>
          <w:rFonts w:ascii="Times New Roman" w:cs="Times New Roman" w:hAnsi="Times New Roman"/>
          <w:sz w:val="24"/>
          <w:szCs w:val="24"/>
        </w:rPr>
      </w:pPr>
      <w:r>
        <w:rPr>
          <w:rStyle w:val="style87"/>
          <w:rFonts w:ascii="Times New Roman" w:cs="Times New Roman" w:hAnsi="Times New Roman"/>
          <w:bCs w:val="false"/>
          <w:sz w:val="24"/>
          <w:szCs w:val="24"/>
        </w:rPr>
        <w:t>Principle of the Method</w:t>
      </w:r>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 xml:space="preserve">Ethanol acts as a reducing agent, converting orange </w:t>
      </w:r>
      <w:r>
        <w:rPr>
          <w:rFonts w:ascii="Times New Roman" w:cs="Times New Roman" w:hAnsi="Times New Roman"/>
          <w:sz w:val="24"/>
          <w:szCs w:val="24"/>
        </w:rPr>
        <w:t>Cr(</w:t>
      </w:r>
      <w:r>
        <w:rPr>
          <w:rFonts w:ascii="Times New Roman" w:cs="Times New Roman" w:hAnsi="Times New Roman"/>
          <w:sz w:val="24"/>
          <w:szCs w:val="24"/>
        </w:rPr>
        <w:t xml:space="preserve">VI) to green Cr(III). The reduction causes a decrease in absorbance at </w:t>
      </w:r>
      <w:r>
        <w:rPr>
          <w:rStyle w:val="style87"/>
          <w:rFonts w:ascii="Times New Roman" w:cs="Times New Roman" w:hAnsi="Times New Roman"/>
          <w:b w:val="false"/>
          <w:sz w:val="24"/>
          <w:szCs w:val="24"/>
        </w:rPr>
        <w:t>350 nm</w:t>
      </w:r>
      <w:r>
        <w:rPr>
          <w:rFonts w:ascii="Times New Roman" w:cs="Times New Roman" w:hAnsi="Times New Roman"/>
          <w:sz w:val="24"/>
          <w:szCs w:val="24"/>
        </w:rPr>
        <w:t xml:space="preserve">, which is directly proportional to the ethanol concentration. The absorbance was measured using a </w:t>
      </w:r>
      <w:r>
        <w:rPr>
          <w:rStyle w:val="style87"/>
          <w:rFonts w:ascii="Times New Roman" w:cs="Times New Roman" w:hAnsi="Times New Roman"/>
          <w:b w:val="false"/>
          <w:sz w:val="24"/>
          <w:szCs w:val="24"/>
        </w:rPr>
        <w:t>Shimadzu UV-1650 spectrophotometer</w:t>
      </w:r>
      <w:r>
        <w:rPr>
          <w:rFonts w:ascii="Times New Roman" w:cs="Times New Roman" w:hAnsi="Times New Roman"/>
          <w:sz w:val="24"/>
          <w:szCs w:val="24"/>
        </w:rPr>
        <w:t xml:space="preserve"> against a reagent blank (acidified dichromate without ethanol).</w:t>
      </w:r>
    </w:p>
    <w:p>
      <w:pPr>
        <w:pStyle w:val="style0"/>
        <w:spacing w:lineRule="auto" w:line="480"/>
        <w:rPr>
          <w:rFonts w:ascii="Times New Roman" w:cs="Times New Roman" w:hAnsi="Times New Roman"/>
          <w:sz w:val="24"/>
          <w:szCs w:val="24"/>
        </w:rPr>
      </w:pPr>
      <w:r>
        <w:rPr>
          <w:rStyle w:val="style87"/>
          <w:rFonts w:ascii="Times New Roman" w:cs="Times New Roman" w:hAnsi="Times New Roman"/>
          <w:bCs w:val="false"/>
          <w:sz w:val="24"/>
          <w:szCs w:val="24"/>
        </w:rPr>
        <w:t>Instrument Settings</w:t>
      </w:r>
    </w:p>
    <w:p>
      <w:pPr>
        <w:pStyle w:val="style94"/>
        <w:numPr>
          <w:ilvl w:val="0"/>
          <w:numId w:val="22"/>
        </w:numPr>
        <w:spacing w:lineRule="auto" w:line="480"/>
        <w:jc w:val="both"/>
        <w:rPr/>
      </w:pPr>
      <w:r>
        <w:t>Wavelength (λ): 350 nm (acceptable range = 345–355 nm)</w:t>
      </w:r>
    </w:p>
    <w:p>
      <w:pPr>
        <w:pStyle w:val="style94"/>
        <w:numPr>
          <w:ilvl w:val="0"/>
          <w:numId w:val="22"/>
        </w:numPr>
        <w:spacing w:lineRule="auto" w:line="480"/>
        <w:jc w:val="both"/>
        <w:rPr/>
      </w:pPr>
      <w:r>
        <w:t>Bandwidth: Instrument default (1–2 nm)</w:t>
      </w:r>
    </w:p>
    <w:p>
      <w:pPr>
        <w:pStyle w:val="style94"/>
        <w:numPr>
          <w:ilvl w:val="0"/>
          <w:numId w:val="22"/>
        </w:numPr>
        <w:spacing w:lineRule="auto" w:line="480"/>
        <w:jc w:val="both"/>
        <w:rPr/>
      </w:pPr>
      <w:r>
        <w:t>Path length: 1.00 cm</w:t>
      </w:r>
    </w:p>
    <w:p>
      <w:pPr>
        <w:pStyle w:val="style94"/>
        <w:numPr>
          <w:ilvl w:val="0"/>
          <w:numId w:val="22"/>
        </w:numPr>
        <w:spacing w:lineRule="auto" w:line="480"/>
        <w:jc w:val="both"/>
        <w:rPr/>
      </w:pPr>
      <w:r>
        <w:t>Mode: Single wavelength endpoint</w:t>
      </w:r>
    </w:p>
    <w:p>
      <w:pPr>
        <w:pStyle w:val="style94"/>
        <w:numPr>
          <w:ilvl w:val="0"/>
          <w:numId w:val="22"/>
        </w:numPr>
        <w:spacing w:lineRule="auto" w:line="480"/>
        <w:jc w:val="both"/>
        <w:rPr/>
      </w:pPr>
      <w:r>
        <w:t>Blank: Acidified dichromate solution (no ethanol)</w:t>
      </w:r>
    </w:p>
    <w:p>
      <w:pPr>
        <w:pStyle w:val="style4097"/>
        <w:spacing w:lineRule="auto" w:line="480"/>
        <w:jc w:val="both"/>
        <w:rPr>
          <w:rFonts w:ascii="Times New Roman" w:cs="Times New Roman" w:eastAsia="Arial" w:hAnsi="Times New Roman"/>
          <w:b/>
          <w:sz w:val="24"/>
          <w:szCs w:val="24"/>
        </w:rPr>
      </w:pPr>
      <w:r>
        <w:rPr>
          <w:rFonts w:ascii="Times New Roman" w:cs="Times New Roman" w:eastAsia="Arial" w:hAnsi="Times New Roman"/>
          <w:b/>
          <w:sz w:val="24"/>
          <w:szCs w:val="24"/>
        </w:rPr>
        <w:t xml:space="preserve">Sample Preparation  </w:t>
      </w:r>
    </w:p>
    <w:p>
      <w:pPr>
        <w:pStyle w:val="style4097"/>
        <w:numPr>
          <w:ilvl w:val="0"/>
          <w:numId w:val="9"/>
        </w:numPr>
        <w:pBdr>
          <w:left w:val="nil"/>
          <w:right w:val="nil"/>
          <w:top w:val="nil"/>
          <w:bottom w:val="nil"/>
          <w:between w:val="nil"/>
        </w:pBdr>
        <w:spacing w:after="0" w:lineRule="auto" w:line="480"/>
        <w:jc w:val="both"/>
        <w:rPr>
          <w:rFonts w:ascii="Times New Roman" w:cs="Times New Roman" w:eastAsia="Arial" w:hAnsi="Times New Roman"/>
          <w:sz w:val="24"/>
          <w:szCs w:val="24"/>
        </w:rPr>
      </w:pPr>
      <w:r>
        <w:rPr>
          <w:rFonts w:ascii="Times New Roman" w:cs="Times New Roman" w:eastAsia="Arial" w:hAnsi="Times New Roman"/>
          <w:sz w:val="24"/>
          <w:szCs w:val="24"/>
        </w:rPr>
        <w:t xml:space="preserve"> </w:t>
      </w:r>
      <w:r>
        <w:rPr>
          <w:rFonts w:ascii="Times New Roman" w:cs="Times New Roman" w:eastAsia="Times New Roman" w:hAnsi="Times New Roman"/>
          <w:sz w:val="24"/>
          <w:szCs w:val="24"/>
        </w:rPr>
        <w:t xml:space="preserve">Before analysis, each beverage sample was </w:t>
      </w:r>
      <w:r>
        <w:rPr>
          <w:rFonts w:ascii="Times New Roman" w:cs="Times New Roman" w:eastAsia="Times New Roman" w:hAnsi="Times New Roman"/>
          <w:sz w:val="24"/>
          <w:szCs w:val="24"/>
        </w:rPr>
        <w:t>sonicated</w:t>
      </w:r>
      <w:r>
        <w:rPr>
          <w:rFonts w:ascii="Times New Roman" w:cs="Times New Roman" w:eastAsia="Times New Roman" w:hAnsi="Times New Roman"/>
          <w:sz w:val="24"/>
          <w:szCs w:val="24"/>
        </w:rPr>
        <w:t xml:space="preserve"> for approximately 10 minutes to eliminate dissolved CO₂ and subsequently filtered using </w:t>
      </w:r>
      <w:r>
        <w:rPr>
          <w:rFonts w:ascii="Times New Roman" w:cs="Times New Roman" w:eastAsia="Times New Roman" w:hAnsi="Times New Roman"/>
          <w:sz w:val="24"/>
          <w:szCs w:val="24"/>
        </w:rPr>
        <w:t>Whatman</w:t>
      </w:r>
      <w:r>
        <w:rPr>
          <w:rFonts w:ascii="Times New Roman" w:cs="Times New Roman" w:eastAsia="Times New Roman" w:hAnsi="Times New Roman"/>
          <w:sz w:val="24"/>
          <w:szCs w:val="24"/>
        </w:rPr>
        <w:t xml:space="preserve"> No. 1 filter paper.</w:t>
      </w:r>
    </w:p>
    <w:p>
      <w:pPr>
        <w:pStyle w:val="style4097"/>
        <w:numPr>
          <w:ilvl w:val="0"/>
          <w:numId w:val="9"/>
        </w:numPr>
        <w:pBdr>
          <w:left w:val="nil"/>
          <w:right w:val="nil"/>
          <w:top w:val="nil"/>
          <w:bottom w:val="nil"/>
          <w:between w:val="nil"/>
        </w:pBdr>
        <w:spacing w:after="0" w:lineRule="auto" w:line="480"/>
        <w:jc w:val="both"/>
        <w:rPr>
          <w:rFonts w:ascii="Times New Roman" w:cs="Times New Roman" w:eastAsia="Arial" w:hAnsi="Times New Roman"/>
          <w:sz w:val="24"/>
          <w:szCs w:val="24"/>
        </w:rPr>
      </w:pPr>
      <w:r>
        <w:rPr>
          <w:rFonts w:ascii="Times New Roman" w:cs="Times New Roman" w:eastAsia="Arial" w:hAnsi="Times New Roman"/>
          <w:sz w:val="24"/>
          <w:szCs w:val="24"/>
        </w:rPr>
        <w:t xml:space="preserve">Then, 50 mL of the degassed sample was distilled, and the distillate (which contains ethanol but not sugars and colorants) was collected and diluted to 100.0 mL in a volumetric flask with distilled water.  </w:t>
      </w:r>
    </w:p>
    <w:p>
      <w:pPr>
        <w:pStyle w:val="style4097"/>
        <w:numPr>
          <w:ilvl w:val="0"/>
          <w:numId w:val="9"/>
        </w:numPr>
        <w:pBdr>
          <w:left w:val="nil"/>
          <w:right w:val="nil"/>
          <w:top w:val="nil"/>
          <w:bottom w:val="nil"/>
          <w:between w:val="nil"/>
        </w:pBdr>
        <w:spacing w:lineRule="auto" w:line="480"/>
        <w:jc w:val="both"/>
        <w:rPr>
          <w:rFonts w:ascii="Times New Roman" w:cs="Times New Roman" w:eastAsia="Arial" w:hAnsi="Times New Roman"/>
          <w:sz w:val="24"/>
          <w:szCs w:val="24"/>
        </w:rPr>
      </w:pPr>
      <w:r>
        <w:rPr>
          <w:rFonts w:ascii="Times New Roman" w:cs="Times New Roman" w:eastAsia="Arial" w:hAnsi="Times New Roman"/>
          <w:sz w:val="24"/>
          <w:szCs w:val="24"/>
        </w:rPr>
        <w:t xml:space="preserve">Aliquots of 5.00 mL were taken for analysis.  </w:t>
      </w:r>
    </w:p>
    <w:bookmarkStart w:id="37" w:name="_Toc213929882"/>
    <w:p>
      <w:pPr>
        <w:pStyle w:val="style1"/>
        <w:rPr/>
      </w:pPr>
      <w:r>
        <w:rPr>
          <w:rStyle w:val="style87"/>
          <w:rFonts w:cs="Times New Roman"/>
          <w:b/>
          <w:bCs/>
          <w:szCs w:val="24"/>
        </w:rPr>
        <w:t>3.3</w:t>
      </w:r>
      <w:r>
        <w:rPr>
          <w:rStyle w:val="style87"/>
          <w:rFonts w:cs="Times New Roman"/>
          <w:b/>
          <w:bCs/>
          <w:szCs w:val="24"/>
        </w:rPr>
        <w:tab/>
      </w:r>
      <w:r>
        <w:rPr>
          <w:rStyle w:val="style87"/>
          <w:rFonts w:cs="Times New Roman"/>
          <w:b/>
          <w:bCs/>
          <w:szCs w:val="24"/>
        </w:rPr>
        <w:t>Preparation of Reagents</w:t>
      </w:r>
      <w:bookmarkEnd w:id="37"/>
    </w:p>
    <w:p>
      <w:pPr>
        <w:pStyle w:val="style94"/>
        <w:spacing w:lineRule="auto" w:line="480"/>
        <w:jc w:val="both"/>
        <w:rPr/>
      </w:pPr>
      <w:r>
        <w:t>All reagents were freshly prepared prior to analysis to ensure accuracy, reproducibility, and to minimize contamination or degradation.</w:t>
      </w:r>
    </w:p>
    <w:bookmarkStart w:id="38" w:name="_Toc213929883"/>
    <w:p>
      <w:pPr>
        <w:pStyle w:val="style1"/>
        <w:rPr/>
      </w:pPr>
      <w:r>
        <w:rPr>
          <w:rStyle w:val="style87"/>
          <w:b/>
          <w:bCs/>
          <w:szCs w:val="24"/>
        </w:rPr>
        <w:t>3.3.1</w:t>
      </w:r>
      <w:r>
        <w:rPr>
          <w:rStyle w:val="style87"/>
          <w:b/>
          <w:bCs/>
          <w:szCs w:val="24"/>
        </w:rPr>
        <w:tab/>
      </w:r>
      <w:r>
        <w:rPr>
          <w:rStyle w:val="style87"/>
          <w:rFonts w:cs="Times New Roman"/>
          <w:b/>
          <w:bCs/>
          <w:szCs w:val="24"/>
        </w:rPr>
        <w:t>Preparation of 0.02 M Potassium Dichromate (</w:t>
      </w:r>
      <w:r>
        <w:rPr>
          <w:rStyle w:val="style87"/>
          <w:rFonts w:cs="Times New Roman"/>
          <w:b/>
          <w:bCs/>
          <w:szCs w:val="24"/>
        </w:rPr>
        <w:t>K₂Cr₂O</w:t>
      </w:r>
      <w:r>
        <w:rPr>
          <w:rStyle w:val="style87"/>
          <w:rFonts w:cs="Times New Roman"/>
          <w:b/>
          <w:bCs/>
          <w:szCs w:val="24"/>
        </w:rPr>
        <w:t>₇) Solution</w:t>
      </w:r>
      <w:bookmarkEnd w:id="38"/>
    </w:p>
    <w:p>
      <w:pPr>
        <w:pStyle w:val="style94"/>
        <w:numPr>
          <w:ilvl w:val="0"/>
          <w:numId w:val="29"/>
        </w:numPr>
        <w:spacing w:lineRule="auto" w:line="480"/>
        <w:jc w:val="both"/>
        <w:rPr/>
      </w:pPr>
      <w:r>
        <w:t>Accurately weigh</w:t>
      </w:r>
      <w:r>
        <w:t>ed</w:t>
      </w:r>
      <w:r>
        <w:t xml:space="preserve"> </w:t>
      </w:r>
      <w:r>
        <w:rPr>
          <w:rStyle w:val="style87"/>
          <w:b w:val="false"/>
        </w:rPr>
        <w:t>0.588 g of potassium dichromate (</w:t>
      </w:r>
      <w:r>
        <w:rPr>
          <w:rStyle w:val="style87"/>
          <w:b w:val="false"/>
        </w:rPr>
        <w:t>K₂Cr₂O</w:t>
      </w:r>
      <w:r>
        <w:rPr>
          <w:rStyle w:val="style87"/>
          <w:b w:val="false"/>
        </w:rPr>
        <w:t>₇)</w:t>
      </w:r>
      <w:r>
        <w:t xml:space="preserve"> using an analytical balance.</w:t>
      </w:r>
    </w:p>
    <w:p>
      <w:pPr>
        <w:pStyle w:val="style94"/>
        <w:numPr>
          <w:ilvl w:val="0"/>
          <w:numId w:val="29"/>
        </w:numPr>
        <w:spacing w:lineRule="auto" w:line="480"/>
        <w:jc w:val="both"/>
        <w:rPr/>
      </w:pPr>
      <w:r>
        <w:t xml:space="preserve"> T</w:t>
      </w:r>
      <w:r>
        <w:t>he solid</w:t>
      </w:r>
      <w:r>
        <w:t xml:space="preserve"> was transferred</w:t>
      </w:r>
      <w:r>
        <w:t xml:space="preserve"> into a </w:t>
      </w:r>
      <w:r>
        <w:rPr>
          <w:rStyle w:val="style87"/>
          <w:b w:val="false"/>
        </w:rPr>
        <w:t>100 mL volumetric flask</w:t>
      </w:r>
      <w:r>
        <w:t xml:space="preserve"> containing approximately </w:t>
      </w:r>
      <w:r>
        <w:rPr>
          <w:rStyle w:val="style87"/>
          <w:b w:val="false"/>
        </w:rPr>
        <w:t>50 mL of distilled water</w:t>
      </w:r>
      <w:r>
        <w:t>.</w:t>
      </w:r>
    </w:p>
    <w:p>
      <w:pPr>
        <w:pStyle w:val="style94"/>
        <w:numPr>
          <w:ilvl w:val="0"/>
          <w:numId w:val="29"/>
        </w:numPr>
        <w:spacing w:lineRule="auto" w:line="480"/>
        <w:jc w:val="both"/>
        <w:rPr/>
      </w:pPr>
      <w:r>
        <w:t>Swirl gently until the crystals dissolve</w:t>
      </w:r>
      <w:r>
        <w:t>d</w:t>
      </w:r>
      <w:r>
        <w:t xml:space="preserve"> completely.</w:t>
      </w:r>
    </w:p>
    <w:p>
      <w:pPr>
        <w:pStyle w:val="style94"/>
        <w:numPr>
          <w:ilvl w:val="0"/>
          <w:numId w:val="29"/>
        </w:numPr>
        <w:spacing w:lineRule="auto" w:line="480"/>
        <w:jc w:val="both"/>
        <w:rPr/>
      </w:pPr>
      <w:r>
        <w:t xml:space="preserve">Make up to the </w:t>
      </w:r>
      <w:r>
        <w:rPr>
          <w:rStyle w:val="style87"/>
          <w:b w:val="false"/>
        </w:rPr>
        <w:t>100 mL mark</w:t>
      </w:r>
      <w:r>
        <w:t xml:space="preserve"> with distilled water and mix</w:t>
      </w:r>
      <w:r>
        <w:t>ed</w:t>
      </w:r>
      <w:r>
        <w:t xml:space="preserve"> thoroughly.</w:t>
      </w:r>
    </w:p>
    <w:p>
      <w:pPr>
        <w:pStyle w:val="style94"/>
        <w:numPr>
          <w:ilvl w:val="0"/>
          <w:numId w:val="29"/>
        </w:numPr>
        <w:spacing w:lineRule="auto" w:line="480"/>
        <w:jc w:val="both"/>
        <w:rPr/>
      </w:pPr>
      <w:r>
        <w:t xml:space="preserve"> T</w:t>
      </w:r>
      <w:r>
        <w:t>he prepared solution</w:t>
      </w:r>
      <w:r>
        <w:t xml:space="preserve"> was stored</w:t>
      </w:r>
      <w:r>
        <w:t xml:space="preserve"> in an </w:t>
      </w:r>
      <w:r>
        <w:rPr>
          <w:rStyle w:val="style87"/>
          <w:b w:val="false"/>
        </w:rPr>
        <w:t>amber bottle</w:t>
      </w:r>
      <w:r>
        <w:t xml:space="preserve">, properly labeled </w:t>
      </w:r>
      <w:r>
        <w:rPr>
          <w:rStyle w:val="style88"/>
          <w:i w:val="false"/>
        </w:rPr>
        <w:t xml:space="preserve">“0.02 M </w:t>
      </w:r>
      <w:r>
        <w:rPr>
          <w:rStyle w:val="style88"/>
          <w:i w:val="false"/>
        </w:rPr>
        <w:t>K₂Cr₂O</w:t>
      </w:r>
      <w:r>
        <w:rPr>
          <w:rStyle w:val="style88"/>
          <w:i w:val="false"/>
        </w:rPr>
        <w:t>₇”</w:t>
      </w:r>
      <w:r>
        <w:t>.</w:t>
      </w:r>
    </w:p>
    <w:bookmarkStart w:id="39" w:name="_Toc213929884"/>
    <w:p>
      <w:pPr>
        <w:pStyle w:val="style1"/>
        <w:rPr/>
      </w:pPr>
      <w:r>
        <w:rPr>
          <w:rStyle w:val="style87"/>
          <w:b/>
          <w:bCs/>
          <w:szCs w:val="24"/>
        </w:rPr>
        <w:t>3.3.2</w:t>
      </w:r>
      <w:r>
        <w:rPr>
          <w:rStyle w:val="style87"/>
          <w:b/>
          <w:bCs/>
          <w:szCs w:val="24"/>
        </w:rPr>
        <w:tab/>
      </w:r>
      <w:r>
        <w:rPr>
          <w:rStyle w:val="style87"/>
          <w:rFonts w:cs="Times New Roman"/>
          <w:b/>
          <w:bCs/>
          <w:szCs w:val="24"/>
        </w:rPr>
        <w:t xml:space="preserve">Preparation of 1.0 M </w:t>
      </w:r>
      <w:r>
        <w:rPr>
          <w:rStyle w:val="style87"/>
          <w:rFonts w:cs="Times New Roman"/>
          <w:b/>
          <w:bCs/>
          <w:szCs w:val="24"/>
        </w:rPr>
        <w:t>Sulphuric</w:t>
      </w:r>
      <w:r>
        <w:rPr>
          <w:rStyle w:val="style87"/>
          <w:rFonts w:cs="Times New Roman"/>
          <w:b/>
          <w:bCs/>
          <w:szCs w:val="24"/>
        </w:rPr>
        <w:t xml:space="preserve"> Acid (H₂SO₄)</w:t>
      </w:r>
      <w:bookmarkEnd w:id="39"/>
    </w:p>
    <w:p>
      <w:pPr>
        <w:pStyle w:val="style94"/>
        <w:numPr>
          <w:ilvl w:val="0"/>
          <w:numId w:val="30"/>
        </w:numPr>
        <w:spacing w:lineRule="auto" w:line="480"/>
        <w:jc w:val="both"/>
        <w:rPr/>
      </w:pPr>
      <w:r>
        <w:t>Using a measuring cylinder, carefully pipette</w:t>
      </w:r>
      <w:r>
        <w:t>d</w:t>
      </w:r>
      <w:r>
        <w:rPr>
          <w:b/>
        </w:rPr>
        <w:t xml:space="preserve"> </w:t>
      </w:r>
      <w:r>
        <w:rPr>
          <w:rStyle w:val="style87"/>
          <w:b w:val="false"/>
        </w:rPr>
        <w:t>5.6 mL of concentrated H₂SO₄ (98 %, density ≈ 1.84 g/mL)</w:t>
      </w:r>
      <w:r>
        <w:rPr>
          <w:b/>
        </w:rPr>
        <w:t>.</w:t>
      </w:r>
    </w:p>
    <w:p>
      <w:pPr>
        <w:pStyle w:val="style94"/>
        <w:numPr>
          <w:ilvl w:val="0"/>
          <w:numId w:val="30"/>
        </w:numPr>
        <w:spacing w:lineRule="auto" w:line="480"/>
        <w:jc w:val="both"/>
        <w:rPr/>
      </w:pPr>
      <w:r>
        <w:t xml:space="preserve">Slowly add the acid into a </w:t>
      </w:r>
      <w:r>
        <w:rPr>
          <w:rStyle w:val="style87"/>
          <w:b w:val="false"/>
        </w:rPr>
        <w:t>100 mL volumetric flask</w:t>
      </w:r>
      <w:r>
        <w:t xml:space="preserve"> containing about</w:t>
      </w:r>
      <w:r>
        <w:rPr>
          <w:b/>
        </w:rPr>
        <w:t xml:space="preserve"> </w:t>
      </w:r>
      <w:r>
        <w:rPr>
          <w:rStyle w:val="style87"/>
          <w:b w:val="false"/>
        </w:rPr>
        <w:t>50 mL of distilled water</w:t>
      </w:r>
      <w:r>
        <w:t>.</w:t>
      </w:r>
    </w:p>
    <w:p>
      <w:pPr>
        <w:pStyle w:val="style94"/>
        <w:numPr>
          <w:ilvl w:val="0"/>
          <w:numId w:val="30"/>
        </w:numPr>
        <w:spacing w:lineRule="auto" w:line="480"/>
        <w:jc w:val="both"/>
        <w:rPr/>
      </w:pPr>
      <w:r>
        <w:t xml:space="preserve">Allow the solution to cool to room temperature, </w:t>
      </w:r>
      <w:r>
        <w:t>then</w:t>
      </w:r>
      <w:r>
        <w:t xml:space="preserve"> make up to the mark with distilled water.</w:t>
      </w:r>
    </w:p>
    <w:p>
      <w:pPr>
        <w:pStyle w:val="style94"/>
        <w:numPr>
          <w:ilvl w:val="0"/>
          <w:numId w:val="30"/>
        </w:numPr>
        <w:spacing w:lineRule="auto" w:line="480"/>
        <w:jc w:val="both"/>
        <w:rPr/>
      </w:pPr>
      <w:r>
        <w:t>Mix</w:t>
      </w:r>
      <w:r>
        <w:t>ed</w:t>
      </w:r>
      <w:r>
        <w:t xml:space="preserve"> well and store in a </w:t>
      </w:r>
      <w:r>
        <w:rPr>
          <w:rStyle w:val="style87"/>
          <w:b w:val="false"/>
        </w:rPr>
        <w:t>plastic reagent bottle</w:t>
      </w:r>
      <w:r>
        <w:t xml:space="preserve"> labeled </w:t>
      </w:r>
      <w:r>
        <w:rPr>
          <w:rStyle w:val="style88"/>
          <w:i w:val="false"/>
        </w:rPr>
        <w:t>“1.0 M H₂SO₄”</w:t>
      </w:r>
      <w:r>
        <w:t>.</w:t>
      </w:r>
    </w:p>
    <w:bookmarkStart w:id="40" w:name="_Toc213929885"/>
    <w:p>
      <w:pPr>
        <w:pStyle w:val="style1"/>
        <w:rPr/>
      </w:pPr>
      <w:r>
        <w:rPr>
          <w:rStyle w:val="style87"/>
          <w:b/>
          <w:bCs/>
          <w:szCs w:val="24"/>
        </w:rPr>
        <w:t>3.3.3</w:t>
      </w:r>
      <w:r>
        <w:rPr>
          <w:rStyle w:val="style87"/>
          <w:b/>
          <w:bCs/>
          <w:szCs w:val="24"/>
        </w:rPr>
        <w:tab/>
      </w:r>
      <w:r>
        <w:rPr>
          <w:rStyle w:val="style87"/>
          <w:rFonts w:cs="Times New Roman"/>
          <w:b/>
          <w:bCs/>
          <w:szCs w:val="24"/>
        </w:rPr>
        <w:t>Preparation of Acidified Dichromate Reagent</w:t>
      </w:r>
      <w:bookmarkEnd w:id="40"/>
    </w:p>
    <w:p>
      <w:pPr>
        <w:pStyle w:val="style94"/>
        <w:numPr>
          <w:ilvl w:val="0"/>
          <w:numId w:val="31"/>
        </w:numPr>
        <w:spacing w:lineRule="auto" w:line="480"/>
        <w:jc w:val="both"/>
        <w:rPr/>
      </w:pPr>
      <w:r>
        <w:rPr>
          <w:rStyle w:val="style87"/>
          <w:b w:val="false"/>
        </w:rPr>
        <w:t>E</w:t>
      </w:r>
      <w:r>
        <w:rPr>
          <w:rStyle w:val="style87"/>
          <w:b w:val="false"/>
        </w:rPr>
        <w:t>qual volumes</w:t>
      </w:r>
      <w:r>
        <w:t xml:space="preserve"> of the prepared </w:t>
      </w:r>
      <w:r>
        <w:rPr>
          <w:rStyle w:val="style87"/>
          <w:b w:val="false"/>
        </w:rPr>
        <w:t xml:space="preserve">0.02 M </w:t>
      </w:r>
      <w:r>
        <w:rPr>
          <w:rStyle w:val="style87"/>
          <w:b w:val="false"/>
        </w:rPr>
        <w:t>K₂Cr₂O</w:t>
      </w:r>
      <w:r>
        <w:rPr>
          <w:rStyle w:val="style87"/>
          <w:b w:val="false"/>
        </w:rPr>
        <w:t>₇</w:t>
      </w:r>
      <w:r>
        <w:t xml:space="preserve"> and </w:t>
      </w:r>
      <w:r>
        <w:rPr>
          <w:rStyle w:val="style87"/>
          <w:b w:val="false"/>
        </w:rPr>
        <w:t>1.0 M H₂SO₄</w:t>
      </w:r>
      <w:r>
        <w:t xml:space="preserve"> solutions</w:t>
      </w:r>
      <w:r>
        <w:t xml:space="preserve"> was</w:t>
      </w:r>
      <w:r>
        <w:t xml:space="preserve"> mixed</w:t>
      </w:r>
      <w:r>
        <w:t xml:space="preserve"> in a clean beaker.</w:t>
      </w:r>
    </w:p>
    <w:p>
      <w:pPr>
        <w:pStyle w:val="style94"/>
        <w:numPr>
          <w:ilvl w:val="0"/>
          <w:numId w:val="31"/>
        </w:numPr>
        <w:spacing w:lineRule="auto" w:line="480"/>
        <w:jc w:val="both"/>
        <w:rPr/>
      </w:pPr>
      <w:r>
        <w:t>Stir gently to obtain a homogeneous orange-colored solution.</w:t>
      </w:r>
    </w:p>
    <w:p>
      <w:pPr>
        <w:pStyle w:val="style94"/>
        <w:numPr>
          <w:ilvl w:val="0"/>
          <w:numId w:val="31"/>
        </w:numPr>
        <w:spacing w:lineRule="auto" w:line="480"/>
        <w:jc w:val="both"/>
        <w:rPr/>
      </w:pPr>
      <w:r>
        <w:t xml:space="preserve"> T</w:t>
      </w:r>
      <w:r>
        <w:t>he mixture as</w:t>
      </w:r>
      <w:r>
        <w:t xml:space="preserve"> labeled</w:t>
      </w:r>
      <w:r>
        <w:t xml:space="preserve"> </w:t>
      </w:r>
      <w:r>
        <w:rPr>
          <w:rStyle w:val="style88"/>
        </w:rPr>
        <w:t>“Acidified Dichromate Reagent”</w:t>
      </w:r>
      <w:r>
        <w:t xml:space="preserve"> and prepare freshly before use in oxidation analysis.</w:t>
      </w:r>
    </w:p>
    <w:bookmarkStart w:id="41" w:name="_Toc213929886"/>
    <w:p>
      <w:pPr>
        <w:pStyle w:val="style1"/>
        <w:rPr/>
      </w:pPr>
      <w:r>
        <w:rPr>
          <w:rStyle w:val="style87"/>
          <w:b/>
          <w:bCs/>
          <w:szCs w:val="24"/>
        </w:rPr>
        <w:t>3.3.4</w:t>
      </w:r>
      <w:r>
        <w:rPr>
          <w:rStyle w:val="style87"/>
          <w:b/>
          <w:bCs/>
          <w:szCs w:val="24"/>
        </w:rPr>
        <w:tab/>
      </w:r>
      <w:r>
        <w:rPr>
          <w:rStyle w:val="style87"/>
          <w:rFonts w:cs="Times New Roman"/>
          <w:b/>
          <w:bCs/>
          <w:szCs w:val="24"/>
        </w:rPr>
        <w:t>Preparation of Ethanol Standard Solutions (0.01–1.00 % v/v)</w:t>
      </w:r>
      <w:bookmarkEnd w:id="41"/>
    </w:p>
    <w:p>
      <w:pPr>
        <w:pStyle w:val="style94"/>
        <w:numPr>
          <w:ilvl w:val="0"/>
          <w:numId w:val="32"/>
        </w:numPr>
        <w:spacing w:lineRule="auto" w:line="480"/>
        <w:jc w:val="both"/>
        <w:rPr/>
      </w:pPr>
      <w:r>
        <w:t xml:space="preserve"> </w:t>
      </w:r>
      <w:r>
        <w:rPr>
          <w:rStyle w:val="style87"/>
          <w:b w:val="false"/>
        </w:rPr>
        <w:t>1.00 % v/v ethanol stock solution was prepared</w:t>
      </w:r>
      <w:r>
        <w:t xml:space="preserve"> by diluting </w:t>
      </w:r>
      <w:r>
        <w:rPr>
          <w:rStyle w:val="style87"/>
          <w:b w:val="false"/>
        </w:rPr>
        <w:t>1.00 mL of absolute ethanol (99.9 %)</w:t>
      </w:r>
      <w:r>
        <w:rPr>
          <w:b/>
        </w:rPr>
        <w:t xml:space="preserve"> to </w:t>
      </w:r>
      <w:r>
        <w:rPr>
          <w:rStyle w:val="style87"/>
          <w:b w:val="false"/>
        </w:rPr>
        <w:t>100 mL</w:t>
      </w:r>
      <w:r>
        <w:t xml:space="preserve"> with distilled water in a volumetric flask.</w:t>
      </w:r>
    </w:p>
    <w:p>
      <w:pPr>
        <w:pStyle w:val="style94"/>
        <w:numPr>
          <w:ilvl w:val="0"/>
          <w:numId w:val="32"/>
        </w:numPr>
        <w:spacing w:lineRule="auto" w:line="480"/>
        <w:jc w:val="both"/>
        <w:rPr/>
      </w:pPr>
      <w:r>
        <w:t>Fr</w:t>
      </w:r>
      <w:r>
        <w:t xml:space="preserve">om this stock solution, </w:t>
      </w:r>
      <w:r>
        <w:rPr>
          <w:rStyle w:val="style87"/>
          <w:b w:val="false"/>
        </w:rPr>
        <w:t>working standards</w:t>
      </w:r>
      <w:r>
        <w:rPr>
          <w:b/>
        </w:rPr>
        <w:t xml:space="preserve"> of </w:t>
      </w:r>
      <w:r>
        <w:rPr>
          <w:rStyle w:val="style87"/>
          <w:b w:val="false"/>
        </w:rPr>
        <w:t>0.01, 0.02, 0.05, 0.10, 0.50, and 1.00 % v/v was prepared</w:t>
      </w:r>
      <w:r>
        <w:t xml:space="preserve"> by serial dilution using 100 mL volumetric flasks.</w:t>
      </w:r>
    </w:p>
    <w:p>
      <w:pPr>
        <w:pStyle w:val="style94"/>
        <w:numPr>
          <w:ilvl w:val="0"/>
          <w:numId w:val="32"/>
        </w:numPr>
        <w:tabs>
          <w:tab w:val="left" w:leader="none" w:pos="2355"/>
        </w:tabs>
        <w:spacing w:lineRule="auto" w:line="480"/>
        <w:jc w:val="both"/>
        <w:rPr/>
      </w:pPr>
      <w:r>
        <w:t xml:space="preserve">Each standard was subjected to the same </w:t>
      </w:r>
      <w:r>
        <w:rPr>
          <w:rStyle w:val="style87"/>
          <w:b w:val="false"/>
        </w:rPr>
        <w:t>oxidation and spectrophotometric measurement procedures</w:t>
      </w:r>
      <w:r>
        <w:rPr>
          <w:b/>
        </w:rPr>
        <w:t xml:space="preserve"> </w:t>
      </w:r>
      <w:r>
        <w:t>as the beverage samples.</w:t>
      </w:r>
    </w:p>
    <w:p>
      <w:pPr>
        <w:pStyle w:val="style4097"/>
        <w:spacing w:lineRule="auto" w:line="480"/>
        <w:jc w:val="both"/>
        <w:rPr>
          <w:rFonts w:ascii="Times New Roman" w:cs="Times New Roman" w:eastAsia="Arial" w:hAnsi="Times New Roman"/>
          <w:b/>
          <w:sz w:val="24"/>
          <w:szCs w:val="24"/>
        </w:rPr>
      </w:pPr>
      <w:r>
        <w:rPr>
          <w:rFonts w:ascii="Times New Roman" w:cs="Times New Roman" w:eastAsia="Arial" w:hAnsi="Times New Roman"/>
          <w:b/>
          <w:sz w:val="24"/>
          <w:szCs w:val="24"/>
        </w:rPr>
        <w:t xml:space="preserve">Reaction Procedure </w:t>
      </w:r>
    </w:p>
    <w:p>
      <w:pPr>
        <w:pStyle w:val="style4097"/>
        <w:spacing w:lineRule="auto" w:line="480"/>
        <w:jc w:val="both"/>
        <w:rPr>
          <w:rFonts w:ascii="Times New Roman" w:cs="Times New Roman" w:eastAsia="Arial" w:hAnsi="Times New Roman"/>
          <w:b/>
          <w:sz w:val="24"/>
          <w:szCs w:val="24"/>
        </w:rPr>
      </w:pPr>
      <w:r>
        <w:rPr>
          <w:rFonts w:ascii="Times New Roman" w:cs="Times New Roman" w:hAnsi="Times New Roman"/>
          <w:sz w:val="24"/>
          <w:szCs w:val="24"/>
        </w:rPr>
        <w:t xml:space="preserve">The analytical procedure was conducted according to the AOAC Official Method 969.12 for the determination of alcohol in beverages by dichromate oxidation (AOAC, 2019). In this procedure, 5.00 mL of each ethanol standard or sample distillate was carefully pipetted into clean, labeled test tubes. To each tube, 5.00 mL of acidified dichromate solution (0.02 M </w:t>
      </w:r>
      <w:r>
        <w:rPr>
          <w:rFonts w:ascii="Times New Roman" w:cs="Times New Roman" w:hAnsi="Times New Roman"/>
          <w:sz w:val="24"/>
          <w:szCs w:val="24"/>
        </w:rPr>
        <w:t>K₂Cr₂O</w:t>
      </w:r>
      <w:r>
        <w:rPr>
          <w:rFonts w:ascii="Times New Roman" w:cs="Times New Roman" w:hAnsi="Times New Roman"/>
          <w:sz w:val="24"/>
          <w:szCs w:val="24"/>
        </w:rPr>
        <w:t>₇ in 1.0 M H₂SO₄) was then added. The resulting mixtures were thoroughly mixed to ensure homogeneity and incubated in a water bath maintained at 65 ± 2 °C for 10 minutes to achieve complete oxidation of ethanol. After heating, the solutions were allowed to cool to room temperature before being quantitatively transferred into 25.00 mL volumetric flasks and diluted to the mark with distilled water. The absorbance of each resulting solution was subsequently measured at 350 nm using a Shimadzu UV-1650 spectrophotometer, with a reagent blank (acidified dichromate without ethanol) serving as the reference. This standardized procedure ensured accuracy, reproducibility, and conformity with AOAC specifications for ethanol quantification.</w:t>
      </w:r>
    </w:p>
    <w:bookmarkStart w:id="42" w:name="_Toc213929887"/>
    <w:p>
      <w:pPr>
        <w:pStyle w:val="style1"/>
        <w:rPr>
          <w:rFonts w:eastAsia="Arial"/>
        </w:rPr>
      </w:pPr>
      <w:r>
        <w:rPr>
          <w:rFonts w:eastAsia="Arial"/>
        </w:rPr>
        <w:t>3.4</w:t>
      </w:r>
      <w:r>
        <w:rPr>
          <w:rFonts w:eastAsia="Arial"/>
        </w:rPr>
        <w:tab/>
      </w:r>
      <w:r>
        <w:rPr>
          <w:rFonts w:eastAsia="Arial"/>
        </w:rPr>
        <w:t>Calibration Curve and Calculation</w:t>
      </w:r>
      <w:bookmarkEnd w:id="42"/>
      <w:r>
        <w:rPr>
          <w:rFonts w:eastAsia="Arial"/>
        </w:rPr>
        <w:t xml:space="preserve">  </w:t>
      </w:r>
    </w:p>
    <w:p>
      <w:pPr>
        <w:pStyle w:val="style4097"/>
        <w:spacing w:lineRule="auto" w:line="480"/>
        <w:jc w:val="both"/>
        <w:rPr>
          <w:rFonts w:ascii="Times New Roman" w:cs="Times New Roman" w:eastAsia="Arial" w:hAnsi="Times New Roman"/>
          <w:bCs/>
          <w:sz w:val="24"/>
          <w:szCs w:val="24"/>
        </w:rPr>
      </w:pPr>
      <w:r>
        <w:rPr>
          <w:rFonts w:ascii="Times New Roman" w:cs="Times New Roman" w:eastAsia="Arial" w:hAnsi="Times New Roman"/>
          <w:bCs/>
          <w:sz w:val="24"/>
          <w:szCs w:val="24"/>
        </w:rPr>
        <w:t>A calibration curve was created by plotting absorbance against ethanol concentration for the standards. The ethanol content of the energy drink samples was found using the calibration line equation. The procedure ensures precision and consistency (</w:t>
      </w:r>
      <w:r>
        <w:rPr>
          <w:rFonts w:ascii="Times New Roman" w:cs="Times New Roman" w:eastAsia="Arial" w:hAnsi="Times New Roman"/>
          <w:bCs/>
          <w:sz w:val="24"/>
          <w:szCs w:val="24"/>
        </w:rPr>
        <w:t>Skoog</w:t>
      </w:r>
      <w:r>
        <w:rPr>
          <w:rFonts w:ascii="Times New Roman" w:cs="Times New Roman" w:eastAsia="Arial" w:hAnsi="Times New Roman"/>
          <w:bCs/>
          <w:sz w:val="24"/>
          <w:szCs w:val="24"/>
        </w:rPr>
        <w:t xml:space="preserve"> et al., 2000; AOAC, 2019).</w:t>
      </w:r>
    </w:p>
    <w:p>
      <w:pPr>
        <w:pStyle w:val="style4097"/>
        <w:spacing w:lineRule="auto" w:line="480"/>
        <w:jc w:val="both"/>
        <w:rPr>
          <w:rFonts w:ascii="Times New Roman" w:cs="Times New Roman" w:eastAsia="Arial" w:hAnsi="Times New Roman"/>
          <w:bCs/>
          <w:sz w:val="24"/>
          <w:szCs w:val="24"/>
        </w:rPr>
      </w:pPr>
      <w:r>
        <w:rPr>
          <w:rFonts w:ascii="Times New Roman" w:cs="Times New Roman" w:eastAsia="Arial" w:hAnsi="Times New Roman"/>
          <w:bCs/>
          <w:sz w:val="24"/>
          <w:szCs w:val="24"/>
        </w:rPr>
        <w:t>The calibration equation was obtained experimentally from a series of ethanol standard solutions prepared within the range of 0.01–1.00% v/v. Each standard was treated using the same dichromate oxidation procedure as the samples, and the absorbance of each solution was measured at 350 nm using the UV–Visible spectrophotometer. The absorbance readings increased in relation to ethanol concentration.</w:t>
      </w:r>
    </w:p>
    <w:p>
      <w:pPr>
        <w:pStyle w:val="style4097"/>
        <w:spacing w:lineRule="auto" w:line="480"/>
        <w:jc w:val="both"/>
        <w:rPr>
          <w:rFonts w:ascii="Times New Roman" w:cs="Times New Roman" w:eastAsia="Arial" w:hAnsi="Times New Roman"/>
          <w:bCs/>
          <w:sz w:val="24"/>
          <w:szCs w:val="24"/>
        </w:rPr>
      </w:pPr>
      <w:r>
        <w:rPr>
          <w:rFonts w:ascii="Times New Roman" w:cs="Times New Roman" w:eastAsia="Arial" w:hAnsi="Times New Roman"/>
          <w:bCs/>
          <w:sz w:val="24"/>
          <w:szCs w:val="24"/>
        </w:rPr>
        <w:t xml:space="preserve">A calibration curve was then plotted with absorbance (A) on the y-axis and ethanol concentration (C) on the x-axis. Using linear regression analysis, the line of best fit was generated in Microsoft Excel following the form A = </w:t>
      </w:r>
      <w:r>
        <w:rPr>
          <w:rFonts w:ascii="Times New Roman" w:cs="Times New Roman" w:eastAsia="Arial" w:hAnsi="Times New Roman"/>
          <w:bCs/>
          <w:sz w:val="24"/>
          <w:szCs w:val="24"/>
        </w:rPr>
        <w:t>mC</w:t>
      </w:r>
      <w:r>
        <w:rPr>
          <w:rFonts w:ascii="Times New Roman" w:cs="Times New Roman" w:eastAsia="Arial" w:hAnsi="Times New Roman"/>
          <w:bCs/>
          <w:sz w:val="24"/>
          <w:szCs w:val="24"/>
        </w:rPr>
        <w:t xml:space="preserve"> + b, where </w:t>
      </w:r>
      <w:r>
        <w:rPr>
          <w:rFonts w:ascii="Times New Roman" w:cs="Times New Roman" w:eastAsia="Arial" w:hAnsi="Times New Roman"/>
          <w:bCs/>
          <w:i/>
          <w:iCs/>
          <w:sz w:val="24"/>
          <w:szCs w:val="24"/>
        </w:rPr>
        <w:t>m</w:t>
      </w:r>
      <w:r>
        <w:rPr>
          <w:rFonts w:ascii="Times New Roman" w:cs="Times New Roman" w:eastAsia="Arial" w:hAnsi="Times New Roman"/>
          <w:bCs/>
          <w:sz w:val="24"/>
          <w:szCs w:val="24"/>
        </w:rPr>
        <w:t xml:space="preserve"> is the slope and </w:t>
      </w:r>
      <w:r>
        <w:rPr>
          <w:rFonts w:ascii="Times New Roman" w:cs="Times New Roman" w:eastAsia="Arial" w:hAnsi="Times New Roman"/>
          <w:bCs/>
          <w:i/>
          <w:iCs/>
          <w:sz w:val="24"/>
          <w:szCs w:val="24"/>
        </w:rPr>
        <w:t>b</w:t>
      </w:r>
      <w:r>
        <w:rPr>
          <w:rFonts w:ascii="Times New Roman" w:cs="Times New Roman" w:eastAsia="Arial" w:hAnsi="Times New Roman"/>
          <w:bCs/>
          <w:sz w:val="24"/>
          <w:szCs w:val="24"/>
        </w:rPr>
        <w:t xml:space="preserve"> is the intercept. The slope (0.0647) represents the rate of change of absorbance per unit concentration, and the intercept (0.0028) corresponds to the baseline absorbance of the blank or background. The regression analysis yielded an R² value of 0.9989, showing excellent linearity and confirming compliance with Beer–Lambert’s law.</w:t>
      </w:r>
    </w:p>
    <w:p>
      <w:pPr>
        <w:pStyle w:val="style4097"/>
        <w:spacing w:lineRule="auto" w:line="480"/>
        <w:jc w:val="both"/>
        <w:rPr>
          <w:rFonts w:ascii="Times New Roman" w:cs="Times New Roman" w:eastAsia="Arial" w:hAnsi="Times New Roman"/>
          <w:bCs/>
          <w:sz w:val="24"/>
          <w:szCs w:val="24"/>
        </w:rPr>
      </w:pPr>
      <w:r>
        <w:rPr>
          <w:rFonts w:ascii="Times New Roman" w:cs="Times New Roman" w:eastAsia="Arial" w:hAnsi="Times New Roman"/>
          <w:bCs/>
          <w:sz w:val="24"/>
          <w:szCs w:val="24"/>
        </w:rPr>
        <w:t>Hence, the calibration line equation obtained was:</w:t>
      </w:r>
    </w:p>
    <w:p>
      <w:pPr>
        <w:pStyle w:val="style4097"/>
        <w:spacing w:lineRule="auto" w:line="480"/>
        <w:jc w:val="both"/>
        <w:rPr>
          <w:rFonts w:ascii="Times New Roman" w:cs="Times New Roman" w:eastAsia="Arial" w:hAnsi="Times New Roman"/>
          <w:bCs/>
          <w:sz w:val="24"/>
          <w:szCs w:val="24"/>
        </w:rPr>
      </w:pPr>
      <w:r>
        <w:rPr>
          <w:rFonts w:ascii="Times New Roman" w:cs="Times New Roman" w:eastAsia="Arial" w:hAnsi="Times New Roman"/>
          <w:b/>
          <w:sz w:val="24"/>
          <w:szCs w:val="24"/>
        </w:rPr>
        <w:t xml:space="preserve">Equation 3.1: </w:t>
      </w:r>
      <w:r>
        <w:rPr>
          <w:rFonts w:ascii="Times New Roman" w:cs="Times New Roman" w:eastAsia="Arial" w:hAnsi="Times New Roman"/>
          <w:bCs/>
          <w:sz w:val="24"/>
          <w:szCs w:val="24"/>
        </w:rPr>
        <w:t>A = 0.0647C + 0.0028 (R² = 0.9989)</w:t>
      </w:r>
    </w:p>
    <w:p>
      <w:pPr>
        <w:pStyle w:val="style4097"/>
        <w:spacing w:lineRule="auto" w:line="480"/>
        <w:rPr>
          <w:rFonts w:ascii="Times New Roman" w:cs="Times New Roman" w:eastAsia="Arial" w:hAnsi="Times New Roman"/>
          <w:sz w:val="24"/>
          <w:szCs w:val="24"/>
        </w:rPr>
      </w:pPr>
      <w:r>
        <w:rPr>
          <w:rFonts w:ascii="Times New Roman" w:cs="Times New Roman" w:eastAsia="Arial" w:hAnsi="Times New Roman"/>
          <w:sz w:val="24"/>
          <w:szCs w:val="24"/>
        </w:rPr>
        <w:t xml:space="preserve"> </w:t>
      </w:r>
      <w:r>
        <w:rPr>
          <w:rFonts w:ascii="Times New Roman" w:cs="Times New Roman" w:eastAsia="Times New Roman" w:hAnsi="Times New Roman"/>
          <w:sz w:val="24"/>
          <w:szCs w:val="24"/>
        </w:rPr>
        <w:t>Where</w:t>
      </w:r>
      <w:r>
        <w:rPr>
          <w:rFonts w:ascii="Times New Roman" w:cs="Times New Roman" w:eastAsia="Times New Roman" w:hAnsi="Times New Roman"/>
          <w:sz w:val="24"/>
          <w:szCs w:val="24"/>
        </w:rPr>
        <w:t>:</w:t>
      </w:r>
      <w:r>
        <w:rPr>
          <w:rFonts w:ascii="Times New Roman" w:cs="Times New Roman" w:eastAsia="Times New Roman" w:hAnsi="Times New Roman"/>
          <w:sz w:val="24"/>
          <w:szCs w:val="24"/>
        </w:rPr>
        <w:br/>
      </w:r>
      <w:r>
        <w:rPr>
          <w:rFonts w:ascii="Times New Roman" w:cs="Times New Roman" w:eastAsia="Times New Roman" w:hAnsi="Times New Roman"/>
          <w:i/>
          <w:iCs/>
          <w:sz w:val="24"/>
          <w:szCs w:val="24"/>
        </w:rPr>
        <w:t>A</w:t>
      </w:r>
      <w:r>
        <w:rPr>
          <w:rFonts w:ascii="Times New Roman" w:cs="Times New Roman" w:eastAsia="Times New Roman" w:hAnsi="Times New Roman"/>
          <w:sz w:val="24"/>
          <w:szCs w:val="24"/>
        </w:rPr>
        <w:t xml:space="preserve"> = absorbance at 350 nm</w:t>
      </w:r>
      <w:r>
        <w:rPr>
          <w:rFonts w:ascii="Times New Roman" w:cs="Times New Roman" w:eastAsia="Times New Roman" w:hAnsi="Times New Roman"/>
          <w:sz w:val="24"/>
          <w:szCs w:val="24"/>
        </w:rPr>
        <w:br/>
      </w:r>
      <w:r>
        <w:rPr>
          <w:rFonts w:ascii="Times New Roman" w:cs="Times New Roman" w:eastAsia="Times New Roman" w:hAnsi="Times New Roman"/>
          <w:i/>
          <w:iCs/>
          <w:sz w:val="24"/>
          <w:szCs w:val="24"/>
        </w:rPr>
        <w:t>C</w:t>
      </w:r>
      <w:r>
        <w:rPr>
          <w:rFonts w:ascii="Times New Roman" w:cs="Times New Roman" w:eastAsia="Times New Roman" w:hAnsi="Times New Roman"/>
          <w:sz w:val="24"/>
          <w:szCs w:val="24"/>
        </w:rPr>
        <w:t xml:space="preserve"> = ethanol concentration (% v/v)</w:t>
      </w:r>
    </w:p>
    <w:p>
      <w:pPr>
        <w:pStyle w:val="style0"/>
        <w:spacing w:before="100" w:beforeAutospacing="true" w:after="100" w:afterAutospacing="true" w:lineRule="auto" w:line="480"/>
        <w:rPr>
          <w:rFonts w:ascii="Times New Roman" w:cs="Times New Roman" w:eastAsia="Times New Roman" w:hAnsi="Times New Roman"/>
          <w:sz w:val="24"/>
          <w:szCs w:val="24"/>
        </w:rPr>
      </w:pPr>
      <w:r>
        <w:rPr>
          <w:rFonts w:ascii="Times New Roman" w:cs="Times New Roman" w:eastAsia="Times New Roman" w:hAnsi="Times New Roman"/>
          <w:sz w:val="24"/>
          <w:szCs w:val="24"/>
        </w:rPr>
        <w:t>The ethanol content in unknown samples was determined using this equation.</w:t>
      </w:r>
    </w:p>
    <w:bookmarkStart w:id="43" w:name="_Toc213929888"/>
    <w:p>
      <w:pPr>
        <w:pStyle w:val="style1"/>
        <w:jc w:val="center"/>
        <w:rPr>
          <w:rFonts w:eastAsia="Times New Roman"/>
        </w:rPr>
      </w:pPr>
      <w:r>
        <w:rPr>
          <w:rFonts w:eastAsia="Times New Roman"/>
        </w:rPr>
        <w:t>CHAPTER FOUR</w:t>
      </w:r>
      <w:bookmarkEnd w:id="43"/>
    </w:p>
    <w:bookmarkStart w:id="44" w:name="_Toc213929889"/>
    <w:p>
      <w:pPr>
        <w:pStyle w:val="style1"/>
        <w:jc w:val="center"/>
        <w:rPr>
          <w:rFonts w:eastAsia="Times New Roman"/>
        </w:rPr>
      </w:pPr>
      <w:r>
        <w:rPr>
          <w:rFonts w:eastAsia="Times New Roman"/>
        </w:rPr>
        <w:t>RESULTS AND DISCUSSION</w:t>
      </w:r>
      <w:bookmarkEnd w:id="44"/>
    </w:p>
    <w:bookmarkStart w:id="45" w:name="_Toc213929890"/>
    <w:p>
      <w:pPr>
        <w:pStyle w:val="style1"/>
        <w:rPr>
          <w:rFonts w:eastAsia="Times New Roman"/>
        </w:rPr>
      </w:pPr>
      <w:r>
        <w:rPr>
          <w:rFonts w:eastAsia="Times New Roman"/>
        </w:rPr>
        <w:t>4.1</w:t>
      </w:r>
      <w:r>
        <w:rPr>
          <w:rFonts w:eastAsia="Times New Roman"/>
        </w:rPr>
        <w:tab/>
      </w:r>
      <w:r>
        <w:rPr>
          <w:rFonts w:eastAsia="Times New Roman"/>
        </w:rPr>
        <w:t>Results</w:t>
      </w:r>
      <w:bookmarkEnd w:id="45"/>
    </w:p>
    <w:p>
      <w:pPr>
        <w:pStyle w:val="style0"/>
        <w:spacing w:lineRule="auto" w:line="480"/>
        <w:rPr/>
      </w:pP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This chapter presents and discusses the experimental results obtained from the analysis of five brands of energy drinks (</w:t>
      </w:r>
      <w:r>
        <w:rPr>
          <w:rFonts w:ascii="Times New Roman" w:cs="Times New Roman" w:eastAsia="Times New Roman" w:hAnsi="Times New Roman"/>
          <w:bCs/>
          <w:sz w:val="24"/>
          <w:szCs w:val="24"/>
        </w:rPr>
        <w:t>Monster Energy, Predator, Climax, Red Bull, and Power Horse</w:t>
      </w:r>
      <w:r>
        <w:rPr>
          <w:rFonts w:ascii="Times New Roman" w:cs="Times New Roman" w:eastAsia="Times New Roman" w:hAnsi="Times New Roman"/>
          <w:sz w:val="24"/>
          <w:szCs w:val="24"/>
        </w:rPr>
        <w:t xml:space="preserve">) using </w:t>
      </w:r>
      <w:r>
        <w:rPr>
          <w:rFonts w:ascii="Times New Roman" w:cs="Times New Roman" w:eastAsia="Times New Roman" w:hAnsi="Times New Roman"/>
          <w:bCs/>
          <w:sz w:val="24"/>
          <w:szCs w:val="24"/>
        </w:rPr>
        <w:t>Fourier Transform Infrared (FTIR) spectroscopy</w:t>
      </w:r>
      <w:r>
        <w:rPr>
          <w:rFonts w:ascii="Times New Roman" w:cs="Times New Roman" w:eastAsia="Times New Roman" w:hAnsi="Times New Roman"/>
          <w:sz w:val="24"/>
          <w:szCs w:val="24"/>
        </w:rPr>
        <w:t xml:space="preserve"> and </w:t>
      </w:r>
      <w:r>
        <w:rPr>
          <w:rFonts w:ascii="Times New Roman" w:cs="Times New Roman" w:eastAsia="Times New Roman" w:hAnsi="Times New Roman"/>
          <w:bCs/>
          <w:sz w:val="24"/>
          <w:szCs w:val="24"/>
        </w:rPr>
        <w:t>UV–Visible spectrophotometry</w:t>
      </w:r>
      <w:r>
        <w:rPr>
          <w:rFonts w:ascii="Times New Roman" w:cs="Times New Roman" w:eastAsia="Times New Roman" w:hAnsi="Times New Roman"/>
          <w:sz w:val="24"/>
          <w:szCs w:val="24"/>
        </w:rPr>
        <w:t xml:space="preserve">. FTIR was employed to identify functional groups characteristic of ethanol, while UV–Visible spectrophotometry was used to quantify ethanol concentrations through the dichromate oxidation method. The combination of these analytical techniques ensured accurate, reproducible, and complementary results regarding the alcoholic content of the tested samples. </w:t>
      </w:r>
      <w:r>
        <w:rPr>
          <w:rFonts w:ascii="Times New Roman" w:cs="Times New Roman" w:hAnsi="Times New Roman"/>
          <w:sz w:val="24"/>
          <w:szCs w:val="24"/>
        </w:rPr>
        <w:t>The following sections present the obtained results and their interpretation in relation to the study objectives.</w:t>
      </w:r>
    </w:p>
    <w:bookmarkStart w:id="46" w:name="_Toc213929891"/>
    <w:p>
      <w:pPr>
        <w:pStyle w:val="style1"/>
        <w:rPr>
          <w:rFonts w:eastAsia="Times New Roman"/>
        </w:rPr>
      </w:pPr>
      <w:r>
        <w:rPr>
          <w:rFonts w:eastAsia="Times New Roman"/>
        </w:rPr>
        <w:t>4.1.1</w:t>
      </w:r>
      <w:r>
        <w:rPr>
          <w:rFonts w:eastAsia="Times New Roman"/>
        </w:rPr>
        <w:tab/>
      </w:r>
      <w:r>
        <w:rPr>
          <w:rFonts w:eastAsia="Times New Roman"/>
        </w:rPr>
        <w:t>FTIR Spectrometer Results</w:t>
      </w:r>
      <w:bookmarkEnd w:id="46"/>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The FTIR spectra of all the analyzed samples showed distinct absorption bands associated with ethanol and related functional groups. The spectra were recorded between </w:t>
      </w:r>
      <w:r>
        <w:rPr>
          <w:rFonts w:ascii="Times New Roman" w:cs="Times New Roman" w:eastAsia="Times New Roman" w:hAnsi="Times New Roman"/>
          <w:bCs/>
          <w:sz w:val="24"/>
          <w:szCs w:val="24"/>
        </w:rPr>
        <w:t>4000</w:t>
      </w:r>
      <w:r>
        <w:rPr>
          <w:rFonts w:ascii="Times New Roman" w:cs="Times New Roman" w:eastAsia="Times New Roman" w:hAnsi="Times New Roman"/>
          <w:b/>
          <w:bCs/>
          <w:sz w:val="24"/>
          <w:szCs w:val="24"/>
        </w:rPr>
        <w:t>–</w:t>
      </w:r>
      <w:r>
        <w:rPr>
          <w:rFonts w:ascii="Times New Roman" w:cs="Times New Roman" w:eastAsia="Times New Roman" w:hAnsi="Times New Roman"/>
          <w:bCs/>
          <w:sz w:val="24"/>
          <w:szCs w:val="24"/>
        </w:rPr>
        <w:t>650</w:t>
      </w:r>
      <w:r>
        <w:rPr>
          <w:rFonts w:ascii="Times New Roman" w:cs="Times New Roman" w:eastAsia="Times New Roman" w:hAnsi="Times New Roman"/>
          <w:b/>
          <w:bCs/>
          <w:sz w:val="24"/>
          <w:szCs w:val="24"/>
        </w:rPr>
        <w:t xml:space="preserve"> </w:t>
      </w:r>
      <w:r>
        <w:rPr>
          <w:rFonts w:ascii="Times New Roman" w:cs="Times New Roman" w:eastAsia="Times New Roman" w:hAnsi="Times New Roman"/>
          <w:bCs/>
          <w:sz w:val="24"/>
          <w:szCs w:val="24"/>
        </w:rPr>
        <w:t>cm</w:t>
      </w:r>
      <w:r>
        <w:rPr>
          <w:rFonts w:ascii="Times New Roman" w:cs="Times New Roman" w:eastAsia="Times New Roman" w:hAnsi="Times New Roman"/>
          <w:b/>
          <w:bCs/>
          <w:sz w:val="24"/>
          <w:szCs w:val="24"/>
        </w:rPr>
        <w:t>⁻¹</w:t>
      </w:r>
      <w:r>
        <w:rPr>
          <w:rFonts w:ascii="Times New Roman" w:cs="Times New Roman" w:eastAsia="Times New Roman" w:hAnsi="Times New Roman"/>
          <w:sz w:val="24"/>
          <w:szCs w:val="24"/>
        </w:rPr>
        <w:t xml:space="preserve"> using an </w:t>
      </w:r>
      <w:r>
        <w:rPr>
          <w:rFonts w:ascii="Times New Roman" w:cs="Times New Roman" w:eastAsia="Times New Roman" w:hAnsi="Times New Roman"/>
          <w:bCs/>
          <w:sz w:val="24"/>
          <w:szCs w:val="24"/>
        </w:rPr>
        <w:t>Agilent Cary 630 FTIR spectrometer</w:t>
      </w:r>
      <w:r>
        <w:rPr>
          <w:rFonts w:ascii="Times New Roman" w:cs="Times New Roman" w:eastAsia="Times New Roman" w:hAnsi="Times New Roman"/>
          <w:sz w:val="24"/>
          <w:szCs w:val="24"/>
        </w:rPr>
        <w:t xml:space="preserve"> equipped with an </w:t>
      </w:r>
      <w:r>
        <w:rPr>
          <w:rFonts w:ascii="Times New Roman" w:cs="Times New Roman" w:eastAsia="Times New Roman" w:hAnsi="Times New Roman"/>
          <w:bCs/>
          <w:sz w:val="24"/>
          <w:szCs w:val="24"/>
        </w:rPr>
        <w:t>Attenuated</w:t>
      </w:r>
      <w:r>
        <w:rPr>
          <w:rFonts w:ascii="Times New Roman" w:cs="Times New Roman" w:eastAsia="Times New Roman" w:hAnsi="Times New Roman"/>
          <w:b/>
          <w:bCs/>
          <w:sz w:val="24"/>
          <w:szCs w:val="24"/>
        </w:rPr>
        <w:t xml:space="preserve"> </w:t>
      </w:r>
      <w:r>
        <w:rPr>
          <w:rFonts w:ascii="Times New Roman" w:cs="Times New Roman" w:eastAsia="Times New Roman" w:hAnsi="Times New Roman"/>
          <w:bCs/>
          <w:sz w:val="24"/>
          <w:szCs w:val="24"/>
        </w:rPr>
        <w:t>Total</w:t>
      </w:r>
      <w:r>
        <w:rPr>
          <w:rFonts w:ascii="Times New Roman" w:cs="Times New Roman" w:eastAsia="Times New Roman" w:hAnsi="Times New Roman"/>
          <w:b/>
          <w:bCs/>
          <w:sz w:val="24"/>
          <w:szCs w:val="24"/>
        </w:rPr>
        <w:t xml:space="preserve"> </w:t>
      </w:r>
      <w:r>
        <w:rPr>
          <w:rFonts w:ascii="Times New Roman" w:cs="Times New Roman" w:eastAsia="Times New Roman" w:hAnsi="Times New Roman"/>
          <w:bCs/>
          <w:sz w:val="24"/>
          <w:szCs w:val="24"/>
        </w:rPr>
        <w:t>Reflectance</w:t>
      </w:r>
      <w:r>
        <w:rPr>
          <w:rFonts w:ascii="Times New Roman" w:cs="Times New Roman" w:eastAsia="Times New Roman" w:hAnsi="Times New Roman"/>
          <w:b/>
          <w:bCs/>
          <w:sz w:val="24"/>
          <w:szCs w:val="24"/>
        </w:rPr>
        <w:t xml:space="preserve"> </w:t>
      </w:r>
      <w:r>
        <w:rPr>
          <w:rFonts w:ascii="Times New Roman" w:cs="Times New Roman" w:eastAsia="Times New Roman" w:hAnsi="Times New Roman"/>
          <w:bCs/>
          <w:sz w:val="24"/>
          <w:szCs w:val="24"/>
        </w:rPr>
        <w:t>(ATR)</w:t>
      </w:r>
      <w:r>
        <w:rPr>
          <w:rFonts w:ascii="Times New Roman" w:cs="Times New Roman" w:eastAsia="Times New Roman" w:hAnsi="Times New Roman"/>
          <w:sz w:val="24"/>
          <w:szCs w:val="24"/>
        </w:rPr>
        <w:t xml:space="preserve"> accessory.</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Characteristic bands corresponding to </w:t>
      </w:r>
      <w:r>
        <w:rPr>
          <w:rFonts w:ascii="Times New Roman" w:cs="Times New Roman" w:eastAsia="Times New Roman" w:hAnsi="Times New Roman"/>
          <w:b/>
          <w:bCs/>
          <w:sz w:val="24"/>
          <w:szCs w:val="24"/>
        </w:rPr>
        <w:t>O–H</w:t>
      </w:r>
      <w:r>
        <w:rPr>
          <w:rFonts w:ascii="Times New Roman" w:cs="Times New Roman" w:eastAsia="Times New Roman" w:hAnsi="Times New Roman"/>
          <w:sz w:val="24"/>
          <w:szCs w:val="24"/>
        </w:rPr>
        <w:t xml:space="preserve">, </w:t>
      </w:r>
      <w:r>
        <w:rPr>
          <w:rFonts w:ascii="Times New Roman" w:cs="Times New Roman" w:eastAsia="Times New Roman" w:hAnsi="Times New Roman"/>
          <w:b/>
          <w:bCs/>
          <w:sz w:val="24"/>
          <w:szCs w:val="24"/>
        </w:rPr>
        <w:t>C=O</w:t>
      </w:r>
      <w:r>
        <w:rPr>
          <w:rFonts w:ascii="Times New Roman" w:cs="Times New Roman" w:eastAsia="Times New Roman" w:hAnsi="Times New Roman"/>
          <w:sz w:val="24"/>
          <w:szCs w:val="24"/>
        </w:rPr>
        <w:t xml:space="preserve">, and </w:t>
      </w:r>
      <w:r>
        <w:rPr>
          <w:rFonts w:ascii="Times New Roman" w:cs="Times New Roman" w:eastAsia="Times New Roman" w:hAnsi="Times New Roman"/>
          <w:b/>
          <w:bCs/>
          <w:sz w:val="24"/>
          <w:szCs w:val="24"/>
        </w:rPr>
        <w:t>C–O</w:t>
      </w:r>
      <w:r>
        <w:rPr>
          <w:rFonts w:ascii="Times New Roman" w:cs="Times New Roman" w:eastAsia="Times New Roman" w:hAnsi="Times New Roman"/>
          <w:sz w:val="24"/>
          <w:szCs w:val="24"/>
        </w:rPr>
        <w:t xml:space="preserve"> vibrations were observed across all samples, confirming the presence of alcohol functional groups. The detailed absorption peaks for each sample are presented below.</w:t>
      </w:r>
    </w:p>
    <w:p>
      <w:pPr>
        <w:pStyle w:val="style0"/>
        <w:spacing w:lineRule="auto" w:line="360"/>
        <w:jc w:val="both"/>
        <w:rPr>
          <w:rFonts w:ascii="Times New Roman" w:cs="Times New Roman" w:hAnsi="Times New Roman"/>
          <w:sz w:val="24"/>
          <w:szCs w:val="24"/>
        </w:rPr>
      </w:pPr>
      <w:r>
        <w:rPr>
          <w:rStyle w:val="style87"/>
          <w:rFonts w:ascii="Times New Roman" w:cs="Times New Roman" w:hAnsi="Times New Roman"/>
          <w:sz w:val="24"/>
          <w:szCs w:val="24"/>
        </w:rPr>
        <w:t>Table 4.1a: FTIR Absorption Peaks for Monster Energy</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33"/>
        <w:gridCol w:w="2228"/>
        <w:gridCol w:w="4794"/>
      </w:tblGrid>
      <w:tr>
        <w:trPr>
          <w:tblHeader/>
          <w:tblCellSpacing w:w="15" w:type="dxa"/>
        </w:trPr>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hAnsi="Times New Roman"/>
                <w:b/>
                <w:bCs/>
                <w:sz w:val="24"/>
                <w:szCs w:val="24"/>
              </w:rPr>
            </w:pPr>
            <w:r>
              <w:rPr>
                <w:rStyle w:val="style87"/>
                <w:rFonts w:ascii="Times New Roman" w:cs="Times New Roman" w:hAnsi="Times New Roman"/>
                <w:sz w:val="24"/>
                <w:szCs w:val="24"/>
              </w:rPr>
              <w:t>Wavenumber (cm⁻¹)</w:t>
            </w:r>
          </w:p>
        </w:tc>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hAnsi="Times New Roman"/>
                <w:b/>
                <w:bCs/>
                <w:sz w:val="24"/>
                <w:szCs w:val="24"/>
              </w:rPr>
            </w:pPr>
            <w:r>
              <w:rPr>
                <w:rStyle w:val="style87"/>
                <w:rFonts w:ascii="Times New Roman" w:cs="Times New Roman" w:hAnsi="Times New Roman"/>
                <w:sz w:val="24"/>
                <w:szCs w:val="24"/>
              </w:rPr>
              <w:t>Functional Group</w:t>
            </w:r>
          </w:p>
        </w:tc>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hAnsi="Times New Roman"/>
                <w:b/>
                <w:bCs/>
                <w:sz w:val="24"/>
                <w:szCs w:val="24"/>
              </w:rPr>
            </w:pPr>
            <w:r>
              <w:rPr>
                <w:rStyle w:val="style87"/>
                <w:rFonts w:ascii="Times New Roman" w:cs="Times New Roman" w:hAnsi="Times New Roman"/>
                <w:sz w:val="24"/>
                <w:szCs w:val="24"/>
              </w:rPr>
              <w:t>Interpretation</w:t>
            </w:r>
          </w:p>
        </w:tc>
      </w:tr>
      <w:tr>
        <w:tblPrEx/>
        <w:trPr>
          <w:tblCellSpacing w:w="15" w:type="dxa"/>
        </w:trPr>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3315.5</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O–H stretching</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Broad O–H stretch indicating ethanol or water content</w:t>
            </w:r>
          </w:p>
        </w:tc>
      </w:tr>
      <w:tr>
        <w:tblPrEx/>
        <w:trPr>
          <w:tblCellSpacing w:w="15" w:type="dxa"/>
        </w:trPr>
        <w:tc>
          <w:tcPr>
            <w:tcW w:w="0" w:type="auto"/>
            <w:tcBorders/>
            <w:vAlign w:val="center"/>
            <w:hideMark/>
          </w:tcPr>
          <w:p>
            <w:pPr>
              <w:pStyle w:val="style0"/>
              <w:spacing w:lineRule="auto" w:line="360"/>
              <w:jc w:val="both"/>
              <w:rPr>
                <w:rFonts w:ascii="Times New Roman" w:cs="Times New Roman" w:hAnsi="Times New Roman"/>
                <w:sz w:val="24"/>
                <w:szCs w:val="24"/>
              </w:rPr>
            </w:pPr>
          </w:p>
        </w:tc>
        <w:tc>
          <w:tcPr>
            <w:tcW w:w="0" w:type="auto"/>
            <w:tcBorders/>
            <w:vAlign w:val="center"/>
            <w:hideMark/>
          </w:tcPr>
          <w:p>
            <w:pPr>
              <w:pStyle w:val="style0"/>
              <w:spacing w:lineRule="auto" w:line="360"/>
              <w:jc w:val="both"/>
              <w:rPr>
                <w:rFonts w:ascii="Times New Roman" w:cs="Times New Roman" w:hAnsi="Times New Roman"/>
                <w:sz w:val="24"/>
                <w:szCs w:val="24"/>
              </w:rPr>
            </w:pPr>
          </w:p>
        </w:tc>
        <w:tc>
          <w:tcPr>
            <w:tcW w:w="0" w:type="auto"/>
            <w:tcBorders/>
            <w:vAlign w:val="center"/>
            <w:hideMark/>
          </w:tcPr>
          <w:p>
            <w:pPr>
              <w:pStyle w:val="style0"/>
              <w:spacing w:lineRule="auto" w:line="360"/>
              <w:jc w:val="both"/>
              <w:rPr>
                <w:rFonts w:ascii="Times New Roman" w:cs="Times New Roman" w:hAnsi="Times New Roman"/>
                <w:sz w:val="24"/>
                <w:szCs w:val="24"/>
              </w:rPr>
            </w:pPr>
          </w:p>
        </w:tc>
      </w:tr>
      <w:tr>
        <w:tblPrEx/>
        <w:trPr>
          <w:tblCellSpacing w:w="15" w:type="dxa"/>
        </w:trPr>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1638.2</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C=O or H–O–H bending</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Water bending or minor carbonyl presence</w:t>
            </w:r>
          </w:p>
        </w:tc>
      </w:tr>
      <w:tr>
        <w:tblPrEx/>
        <w:trPr>
          <w:tblCellSpacing w:w="15" w:type="dxa"/>
        </w:trPr>
        <w:tc>
          <w:tcPr>
            <w:tcW w:w="0" w:type="auto"/>
            <w:tcBorders>
              <w:bottom w:val="single" w:sz="4" w:space="0" w:color="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1039.9</w:t>
            </w:r>
          </w:p>
        </w:tc>
        <w:tc>
          <w:tcPr>
            <w:tcW w:w="0" w:type="auto"/>
            <w:tcBorders>
              <w:bottom w:val="single" w:sz="4" w:space="0" w:color="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C–O stretching</w:t>
            </w:r>
          </w:p>
        </w:tc>
        <w:tc>
          <w:tcPr>
            <w:tcW w:w="0" w:type="auto"/>
            <w:tcBorders>
              <w:bottom w:val="single" w:sz="4" w:space="0" w:color="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Ethanol fingerprint region confirming alcohol presence</w:t>
            </w:r>
          </w:p>
        </w:tc>
      </w:tr>
    </w:tbl>
    <w:p>
      <w:pPr>
        <w:pStyle w:val="style94"/>
        <w:spacing w:lineRule="auto" w:line="360"/>
        <w:jc w:val="both"/>
        <w:rPr>
          <w:i/>
        </w:rPr>
      </w:pPr>
      <w:r>
        <w:rPr>
          <w:rStyle w:val="style87"/>
        </w:rPr>
        <w:t>Source:</w:t>
      </w:r>
      <w:r>
        <w:t xml:space="preserve"> </w:t>
      </w:r>
      <w:r>
        <w:rPr>
          <w:i/>
        </w:rPr>
        <w:t>CASRAS Analytical Laboratory (2025)</w:t>
      </w:r>
    </w:p>
    <w:p>
      <w:pPr>
        <w:pStyle w:val="style0"/>
        <w:rPr>
          <w:rFonts w:ascii="Times New Roman" w:cs="Times New Roman" w:hAnsi="Times New Roman"/>
          <w:b/>
          <w:bCs/>
          <w:sz w:val="24"/>
          <w:szCs w:val="24"/>
        </w:rPr>
      </w:pPr>
      <w:r>
        <w:rPr>
          <w:rStyle w:val="style87"/>
          <w:rFonts w:ascii="Times New Roman" w:cs="Times New Roman" w:hAnsi="Times New Roman"/>
          <w:sz w:val="24"/>
          <w:szCs w:val="24"/>
        </w:rPr>
        <w:t>Table 4.1b: FTIR Absorption Peaks for Predator</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38"/>
        <w:gridCol w:w="2314"/>
        <w:gridCol w:w="4704"/>
      </w:tblGrid>
      <w:tr>
        <w:trPr>
          <w:tblHeader/>
          <w:tblCellSpacing w:w="15" w:type="dxa"/>
        </w:trPr>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hAnsi="Times New Roman"/>
                <w:b/>
                <w:bCs/>
                <w:sz w:val="24"/>
                <w:szCs w:val="24"/>
              </w:rPr>
            </w:pPr>
            <w:r>
              <w:rPr>
                <w:rStyle w:val="style87"/>
                <w:rFonts w:ascii="Times New Roman" w:cs="Times New Roman" w:hAnsi="Times New Roman"/>
                <w:sz w:val="24"/>
                <w:szCs w:val="24"/>
              </w:rPr>
              <w:t>Wavenumber (cm⁻¹)</w:t>
            </w:r>
          </w:p>
        </w:tc>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hAnsi="Times New Roman"/>
                <w:b/>
                <w:bCs/>
                <w:sz w:val="24"/>
                <w:szCs w:val="24"/>
              </w:rPr>
            </w:pPr>
            <w:r>
              <w:rPr>
                <w:rStyle w:val="style87"/>
                <w:rFonts w:ascii="Times New Roman" w:cs="Times New Roman" w:hAnsi="Times New Roman"/>
                <w:sz w:val="24"/>
                <w:szCs w:val="24"/>
              </w:rPr>
              <w:t>Functional Group</w:t>
            </w:r>
          </w:p>
        </w:tc>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hAnsi="Times New Roman"/>
                <w:b/>
                <w:bCs/>
                <w:sz w:val="24"/>
                <w:szCs w:val="24"/>
              </w:rPr>
            </w:pPr>
            <w:r>
              <w:rPr>
                <w:rStyle w:val="style87"/>
                <w:rFonts w:ascii="Times New Roman" w:cs="Times New Roman" w:hAnsi="Times New Roman"/>
                <w:sz w:val="24"/>
                <w:szCs w:val="24"/>
              </w:rPr>
              <w:t>Interpretation</w:t>
            </w:r>
          </w:p>
        </w:tc>
      </w:tr>
      <w:tr>
        <w:tblPrEx/>
        <w:trPr>
          <w:tblCellSpacing w:w="15" w:type="dxa"/>
        </w:trPr>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3306.1</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O–H stretching</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Alcoholic O–H vibration confirming ethanol presence</w:t>
            </w:r>
          </w:p>
        </w:tc>
      </w:tr>
      <w:tr>
        <w:tblPrEx/>
        <w:trPr>
          <w:tblCellSpacing w:w="15" w:type="dxa"/>
        </w:trPr>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1126.8</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C–O stretching</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Strong ethanol-related absorption</w:t>
            </w:r>
          </w:p>
        </w:tc>
      </w:tr>
      <w:tr>
        <w:tblPrEx/>
        <w:trPr>
          <w:tblCellSpacing w:w="15" w:type="dxa"/>
        </w:trPr>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1062.3</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C–O stretching</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Secondary alcohol confirmation</w:t>
            </w:r>
          </w:p>
        </w:tc>
      </w:tr>
      <w:tr>
        <w:tblPrEx/>
        <w:trPr>
          <w:tblCellSpacing w:w="15" w:type="dxa"/>
        </w:trPr>
        <w:tc>
          <w:tcPr>
            <w:tcW w:w="0" w:type="auto"/>
            <w:tcBorders>
              <w:bottom w:val="single" w:sz="4" w:space="0" w:color="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1000.8</w:t>
            </w:r>
          </w:p>
        </w:tc>
        <w:tc>
          <w:tcPr>
            <w:tcW w:w="0" w:type="auto"/>
            <w:tcBorders>
              <w:bottom w:val="single" w:sz="4" w:space="0" w:color="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C–O–C</w:t>
            </w:r>
            <w:r>
              <w:rPr>
                <w:rFonts w:ascii="Times New Roman" w:cs="Times New Roman" w:hAnsi="Times New Roman"/>
                <w:sz w:val="24"/>
                <w:szCs w:val="24"/>
              </w:rPr>
              <w:t xml:space="preserve"> </w:t>
            </w:r>
            <w:r>
              <w:rPr>
                <w:rFonts w:ascii="Times New Roman" w:cs="Times New Roman" w:hAnsi="Times New Roman"/>
                <w:sz w:val="24"/>
                <w:szCs w:val="24"/>
              </w:rPr>
              <w:t>/</w:t>
            </w:r>
            <w:r>
              <w:rPr>
                <w:rFonts w:ascii="Times New Roman" w:cs="Times New Roman" w:hAnsi="Times New Roman"/>
                <w:sz w:val="24"/>
                <w:szCs w:val="24"/>
              </w:rPr>
              <w:t xml:space="preserve"> </w:t>
            </w:r>
            <w:r>
              <w:rPr>
                <w:rFonts w:ascii="Times New Roman" w:cs="Times New Roman" w:hAnsi="Times New Roman"/>
                <w:sz w:val="24"/>
                <w:szCs w:val="24"/>
              </w:rPr>
              <w:t>C–O stretching</w:t>
            </w:r>
          </w:p>
        </w:tc>
        <w:tc>
          <w:tcPr>
            <w:tcW w:w="0" w:type="auto"/>
            <w:tcBorders>
              <w:bottom w:val="single" w:sz="4" w:space="0" w:color="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Carbohydrate or ethanol residue</w:t>
            </w:r>
          </w:p>
        </w:tc>
      </w:tr>
    </w:tbl>
    <w:p>
      <w:pPr>
        <w:pStyle w:val="style94"/>
        <w:spacing w:lineRule="auto" w:line="360"/>
        <w:jc w:val="both"/>
        <w:rPr/>
      </w:pPr>
      <w:r>
        <w:rPr>
          <w:rStyle w:val="style87"/>
        </w:rPr>
        <w:t>Source:</w:t>
      </w:r>
      <w:r>
        <w:t xml:space="preserve"> CASRAS Analytical Laboratory (2025)</w:t>
      </w:r>
    </w:p>
    <w:p>
      <w:pPr>
        <w:pStyle w:val="style0"/>
        <w:rPr>
          <w:rStyle w:val="style87"/>
          <w:rFonts w:ascii="Times New Roman" w:cs="Times New Roman" w:hAnsi="Times New Roman"/>
          <w:sz w:val="24"/>
          <w:szCs w:val="24"/>
        </w:rPr>
      </w:pPr>
      <w:r>
        <w:rPr>
          <w:rStyle w:val="style87"/>
          <w:rFonts w:ascii="Times New Roman" w:cs="Times New Roman" w:hAnsi="Times New Roman"/>
          <w:sz w:val="24"/>
          <w:szCs w:val="24"/>
        </w:rPr>
        <w:br w:type="page"/>
      </w:r>
    </w:p>
    <w:p>
      <w:pPr>
        <w:pStyle w:val="style0"/>
        <w:spacing w:lineRule="auto" w:line="360"/>
        <w:jc w:val="both"/>
        <w:rPr>
          <w:rFonts w:ascii="Times New Roman" w:cs="Times New Roman" w:hAnsi="Times New Roman"/>
          <w:sz w:val="24"/>
          <w:szCs w:val="24"/>
        </w:rPr>
      </w:pPr>
      <w:r>
        <w:rPr>
          <w:rStyle w:val="style87"/>
          <w:rFonts w:ascii="Times New Roman" w:cs="Times New Roman" w:hAnsi="Times New Roman"/>
          <w:sz w:val="24"/>
          <w:szCs w:val="24"/>
        </w:rPr>
        <w:t>Table 4.1c: FTIR Absorption Peaks for Climax</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16"/>
        <w:gridCol w:w="1796"/>
        <w:gridCol w:w="5143"/>
      </w:tblGrid>
      <w:tr>
        <w:trPr>
          <w:tblHeader/>
          <w:tblCellSpacing w:w="15" w:type="dxa"/>
        </w:trPr>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hAnsi="Times New Roman"/>
                <w:sz w:val="24"/>
                <w:szCs w:val="24"/>
              </w:rPr>
            </w:pPr>
            <w:r>
              <w:rPr>
                <w:rStyle w:val="style87"/>
                <w:rFonts w:ascii="Times New Roman" w:cs="Times New Roman" w:hAnsi="Times New Roman"/>
                <w:sz w:val="24"/>
                <w:szCs w:val="24"/>
              </w:rPr>
              <w:t>Wavenumber (cm⁻¹)</w:t>
            </w:r>
          </w:p>
        </w:tc>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hAnsi="Times New Roman"/>
                <w:sz w:val="24"/>
                <w:szCs w:val="24"/>
              </w:rPr>
            </w:pPr>
            <w:r>
              <w:rPr>
                <w:rStyle w:val="style87"/>
                <w:rFonts w:ascii="Times New Roman" w:cs="Times New Roman" w:hAnsi="Times New Roman"/>
                <w:sz w:val="24"/>
                <w:szCs w:val="24"/>
              </w:rPr>
              <w:t>Functional Group</w:t>
            </w:r>
          </w:p>
        </w:tc>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hAnsi="Times New Roman"/>
                <w:sz w:val="24"/>
                <w:szCs w:val="24"/>
              </w:rPr>
            </w:pPr>
            <w:r>
              <w:rPr>
                <w:rStyle w:val="style87"/>
                <w:rFonts w:ascii="Times New Roman" w:cs="Times New Roman" w:hAnsi="Times New Roman"/>
                <w:sz w:val="24"/>
                <w:szCs w:val="24"/>
              </w:rPr>
              <w:t>Interpretation</w:t>
            </w:r>
          </w:p>
        </w:tc>
      </w:tr>
      <w:tr>
        <w:tblPrEx/>
        <w:trPr>
          <w:tblCellSpacing w:w="15" w:type="dxa"/>
        </w:trPr>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3295.0</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O–H stretching</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Alcoholic or water O–H vibration</w:t>
            </w:r>
          </w:p>
        </w:tc>
      </w:tr>
      <w:tr>
        <w:tblPrEx/>
        <w:trPr>
          <w:tblCellSpacing w:w="15" w:type="dxa"/>
        </w:trPr>
        <w:tc>
          <w:tcPr>
            <w:tcW w:w="0" w:type="auto"/>
            <w:tcBorders/>
            <w:vAlign w:val="center"/>
            <w:hideMark/>
          </w:tcPr>
          <w:p>
            <w:pPr>
              <w:pStyle w:val="style0"/>
              <w:spacing w:lineRule="auto" w:line="360"/>
              <w:jc w:val="both"/>
              <w:rPr>
                <w:rFonts w:ascii="Times New Roman" w:cs="Times New Roman" w:hAnsi="Times New Roman"/>
                <w:sz w:val="24"/>
                <w:szCs w:val="24"/>
              </w:rPr>
            </w:pPr>
          </w:p>
        </w:tc>
        <w:tc>
          <w:tcPr>
            <w:tcW w:w="0" w:type="auto"/>
            <w:tcBorders/>
            <w:vAlign w:val="center"/>
            <w:hideMark/>
          </w:tcPr>
          <w:p>
            <w:pPr>
              <w:pStyle w:val="style0"/>
              <w:spacing w:lineRule="auto" w:line="360"/>
              <w:jc w:val="both"/>
              <w:rPr>
                <w:rFonts w:ascii="Times New Roman" w:cs="Times New Roman" w:hAnsi="Times New Roman"/>
                <w:sz w:val="24"/>
                <w:szCs w:val="24"/>
              </w:rPr>
            </w:pPr>
          </w:p>
        </w:tc>
        <w:tc>
          <w:tcPr>
            <w:tcW w:w="0" w:type="auto"/>
            <w:tcBorders/>
            <w:vAlign w:val="center"/>
            <w:hideMark/>
          </w:tcPr>
          <w:p>
            <w:pPr>
              <w:pStyle w:val="style0"/>
              <w:spacing w:lineRule="auto" w:line="360"/>
              <w:jc w:val="both"/>
              <w:rPr>
                <w:rFonts w:ascii="Times New Roman" w:cs="Times New Roman" w:hAnsi="Times New Roman"/>
                <w:sz w:val="24"/>
                <w:szCs w:val="24"/>
              </w:rPr>
            </w:pPr>
          </w:p>
        </w:tc>
      </w:tr>
      <w:tr>
        <w:tblPrEx/>
        <w:trPr>
          <w:tblCellSpacing w:w="15" w:type="dxa"/>
        </w:trPr>
        <w:tc>
          <w:tcPr>
            <w:tcW w:w="0" w:type="auto"/>
            <w:tcBorders/>
            <w:vAlign w:val="center"/>
            <w:hideMark/>
          </w:tcPr>
          <w:p>
            <w:pPr>
              <w:pStyle w:val="style0"/>
              <w:spacing w:lineRule="auto" w:line="360"/>
              <w:jc w:val="both"/>
              <w:rPr>
                <w:rFonts w:ascii="Times New Roman" w:cs="Times New Roman" w:hAnsi="Times New Roman"/>
                <w:sz w:val="24"/>
                <w:szCs w:val="24"/>
              </w:rPr>
            </w:pPr>
          </w:p>
        </w:tc>
        <w:tc>
          <w:tcPr>
            <w:tcW w:w="0" w:type="auto"/>
            <w:tcBorders/>
            <w:vAlign w:val="center"/>
            <w:hideMark/>
          </w:tcPr>
          <w:p>
            <w:pPr>
              <w:pStyle w:val="style0"/>
              <w:spacing w:lineRule="auto" w:line="360"/>
              <w:jc w:val="both"/>
              <w:rPr>
                <w:rFonts w:ascii="Times New Roman" w:cs="Times New Roman" w:hAnsi="Times New Roman"/>
                <w:sz w:val="24"/>
                <w:szCs w:val="24"/>
              </w:rPr>
            </w:pPr>
          </w:p>
        </w:tc>
        <w:tc>
          <w:tcPr>
            <w:tcW w:w="0" w:type="auto"/>
            <w:tcBorders/>
            <w:vAlign w:val="center"/>
            <w:hideMark/>
          </w:tcPr>
          <w:p>
            <w:pPr>
              <w:pStyle w:val="style0"/>
              <w:spacing w:lineRule="auto" w:line="360"/>
              <w:jc w:val="both"/>
              <w:rPr>
                <w:rFonts w:ascii="Times New Roman" w:cs="Times New Roman" w:hAnsi="Times New Roman"/>
                <w:sz w:val="24"/>
                <w:szCs w:val="24"/>
              </w:rPr>
            </w:pPr>
          </w:p>
        </w:tc>
      </w:tr>
      <w:tr>
        <w:tblPrEx/>
        <w:trPr>
          <w:tblCellSpacing w:w="15" w:type="dxa"/>
        </w:trPr>
        <w:tc>
          <w:tcPr>
            <w:tcW w:w="0" w:type="auto"/>
            <w:tcBorders>
              <w:bottom w:val="single" w:sz="4" w:space="0" w:color="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1083.8</w:t>
            </w:r>
          </w:p>
        </w:tc>
        <w:tc>
          <w:tcPr>
            <w:tcW w:w="0" w:type="auto"/>
            <w:tcBorders>
              <w:bottom w:val="single" w:sz="4" w:space="0" w:color="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C–O stretching</w:t>
            </w:r>
          </w:p>
        </w:tc>
        <w:tc>
          <w:tcPr>
            <w:tcW w:w="0" w:type="auto"/>
            <w:tcBorders>
              <w:bottom w:val="single" w:sz="4" w:space="0" w:color="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Ethanol fingerprint band confirming alcohol presence</w:t>
            </w:r>
          </w:p>
        </w:tc>
      </w:tr>
    </w:tbl>
    <w:p>
      <w:pPr>
        <w:pStyle w:val="style94"/>
        <w:spacing w:lineRule="auto" w:line="360"/>
        <w:jc w:val="both"/>
        <w:rPr>
          <w:i/>
        </w:rPr>
      </w:pPr>
      <w:r>
        <w:rPr>
          <w:rStyle w:val="style87"/>
        </w:rPr>
        <w:t>Source:</w:t>
      </w:r>
      <w:r>
        <w:t xml:space="preserve"> </w:t>
      </w:r>
      <w:r>
        <w:rPr>
          <w:i/>
        </w:rPr>
        <w:t>CASRAS Analytical Laboratory (2025)</w:t>
      </w:r>
    </w:p>
    <w:p>
      <w:pPr>
        <w:pStyle w:val="style0"/>
        <w:rPr>
          <w:rFonts w:ascii="Times New Roman" w:cs="Times New Roman" w:hAnsi="Times New Roman"/>
          <w:b/>
          <w:bCs/>
          <w:sz w:val="24"/>
          <w:szCs w:val="24"/>
        </w:rPr>
      </w:pPr>
      <w:r>
        <w:rPr>
          <w:rStyle w:val="style87"/>
          <w:rFonts w:ascii="Times New Roman" w:cs="Times New Roman" w:hAnsi="Times New Roman"/>
          <w:sz w:val="24"/>
          <w:szCs w:val="24"/>
        </w:rPr>
        <w:t>Table 4.1d: FTIR Absorption Peaks for Red Bull</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68"/>
        <w:gridCol w:w="2302"/>
        <w:gridCol w:w="4585"/>
      </w:tblGrid>
      <w:tr>
        <w:trPr>
          <w:tblHeader/>
          <w:tblCellSpacing w:w="15" w:type="dxa"/>
        </w:trPr>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hAnsi="Times New Roman"/>
                <w:b/>
                <w:bCs/>
                <w:sz w:val="24"/>
                <w:szCs w:val="24"/>
              </w:rPr>
            </w:pPr>
            <w:r>
              <w:rPr>
                <w:rStyle w:val="style87"/>
                <w:rFonts w:ascii="Times New Roman" w:cs="Times New Roman" w:hAnsi="Times New Roman"/>
                <w:sz w:val="24"/>
                <w:szCs w:val="24"/>
              </w:rPr>
              <w:t>Wavenumber (cm⁻¹)</w:t>
            </w:r>
          </w:p>
        </w:tc>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hAnsi="Times New Roman"/>
                <w:b/>
                <w:bCs/>
                <w:sz w:val="24"/>
                <w:szCs w:val="24"/>
              </w:rPr>
            </w:pPr>
            <w:r>
              <w:rPr>
                <w:rStyle w:val="style87"/>
                <w:rFonts w:ascii="Times New Roman" w:cs="Times New Roman" w:hAnsi="Times New Roman"/>
                <w:sz w:val="24"/>
                <w:szCs w:val="24"/>
              </w:rPr>
              <w:t>Functional Group</w:t>
            </w:r>
          </w:p>
        </w:tc>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hAnsi="Times New Roman"/>
                <w:b/>
                <w:bCs/>
                <w:sz w:val="24"/>
                <w:szCs w:val="24"/>
              </w:rPr>
            </w:pPr>
            <w:r>
              <w:rPr>
                <w:rStyle w:val="style87"/>
                <w:rFonts w:ascii="Times New Roman" w:cs="Times New Roman" w:hAnsi="Times New Roman"/>
                <w:sz w:val="24"/>
                <w:szCs w:val="24"/>
              </w:rPr>
              <w:t>Interpretation</w:t>
            </w:r>
          </w:p>
        </w:tc>
      </w:tr>
      <w:tr>
        <w:tblPrEx/>
        <w:trPr>
          <w:tblCellSpacing w:w="15" w:type="dxa"/>
        </w:trPr>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3319.2</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O–H stretching</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Alcoholic or water O–H stretch</w:t>
            </w:r>
          </w:p>
        </w:tc>
      </w:tr>
      <w:tr>
        <w:tblPrEx/>
        <w:trPr>
          <w:tblCellSpacing w:w="15" w:type="dxa"/>
        </w:trPr>
        <w:tc>
          <w:tcPr>
            <w:tcW w:w="0" w:type="auto"/>
            <w:tcBorders/>
            <w:vAlign w:val="center"/>
            <w:hideMark/>
          </w:tcPr>
          <w:p>
            <w:pPr>
              <w:pStyle w:val="style0"/>
              <w:spacing w:lineRule="auto" w:line="360"/>
              <w:jc w:val="both"/>
              <w:rPr>
                <w:rFonts w:ascii="Times New Roman" w:cs="Times New Roman" w:hAnsi="Times New Roman"/>
                <w:sz w:val="24"/>
                <w:szCs w:val="24"/>
              </w:rPr>
            </w:pPr>
          </w:p>
        </w:tc>
        <w:tc>
          <w:tcPr>
            <w:tcW w:w="0" w:type="auto"/>
            <w:tcBorders/>
            <w:vAlign w:val="center"/>
            <w:hideMark/>
          </w:tcPr>
          <w:p>
            <w:pPr>
              <w:pStyle w:val="style0"/>
              <w:spacing w:lineRule="auto" w:line="360"/>
              <w:jc w:val="both"/>
              <w:rPr>
                <w:rFonts w:ascii="Times New Roman" w:cs="Times New Roman" w:hAnsi="Times New Roman"/>
                <w:sz w:val="24"/>
                <w:szCs w:val="24"/>
              </w:rPr>
            </w:pPr>
          </w:p>
        </w:tc>
        <w:tc>
          <w:tcPr>
            <w:tcW w:w="0" w:type="auto"/>
            <w:tcBorders/>
            <w:vAlign w:val="center"/>
            <w:hideMark/>
          </w:tcPr>
          <w:p>
            <w:pPr>
              <w:pStyle w:val="style0"/>
              <w:spacing w:lineRule="auto" w:line="360"/>
              <w:jc w:val="both"/>
              <w:rPr>
                <w:rFonts w:ascii="Times New Roman" w:cs="Times New Roman" w:hAnsi="Times New Roman"/>
                <w:sz w:val="24"/>
                <w:szCs w:val="24"/>
              </w:rPr>
            </w:pPr>
          </w:p>
        </w:tc>
      </w:tr>
      <w:tr>
        <w:tblPrEx/>
        <w:trPr>
          <w:tblCellSpacing w:w="15" w:type="dxa"/>
        </w:trPr>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1632.7</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C=O or C=C stretching</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Carbonyl or aromatic compound vibration</w:t>
            </w:r>
          </w:p>
        </w:tc>
      </w:tr>
      <w:tr>
        <w:tblPrEx/>
        <w:trPr>
          <w:tblCellSpacing w:w="15" w:type="dxa"/>
        </w:trPr>
        <w:tc>
          <w:tcPr>
            <w:tcW w:w="0" w:type="auto"/>
            <w:tcBorders>
              <w:bottom w:val="single" w:sz="4" w:space="0" w:color="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1099.2–1039.9</w:t>
            </w:r>
          </w:p>
        </w:tc>
        <w:tc>
          <w:tcPr>
            <w:tcW w:w="0" w:type="auto"/>
            <w:tcBorders>
              <w:bottom w:val="single" w:sz="4" w:space="0" w:color="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C–O stretching</w:t>
            </w:r>
          </w:p>
        </w:tc>
        <w:tc>
          <w:tcPr>
            <w:tcW w:w="0" w:type="auto"/>
            <w:tcBorders>
              <w:bottom w:val="single" w:sz="4" w:space="0" w:color="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Alcoholic and carbohydrate-related vibrations</w:t>
            </w:r>
          </w:p>
        </w:tc>
      </w:tr>
    </w:tbl>
    <w:p>
      <w:pPr>
        <w:pStyle w:val="style94"/>
        <w:spacing w:lineRule="auto" w:line="360"/>
        <w:jc w:val="both"/>
        <w:rPr/>
      </w:pPr>
      <w:r>
        <w:rPr>
          <w:rStyle w:val="style87"/>
        </w:rPr>
        <w:t>Source:</w:t>
      </w:r>
      <w:r>
        <w:t xml:space="preserve"> </w:t>
      </w:r>
      <w:r>
        <w:rPr>
          <w:i/>
        </w:rPr>
        <w:t>CASRAS Analytical Laboratory (2025)</w:t>
      </w:r>
    </w:p>
    <w:p>
      <w:pPr>
        <w:pStyle w:val="style0"/>
        <w:spacing w:lineRule="auto" w:line="360"/>
        <w:jc w:val="both"/>
        <w:rPr>
          <w:rFonts w:ascii="Times New Roman" w:cs="Times New Roman" w:hAnsi="Times New Roman"/>
          <w:sz w:val="24"/>
          <w:szCs w:val="24"/>
        </w:rPr>
      </w:pPr>
      <w:r>
        <w:rPr>
          <w:rStyle w:val="style87"/>
          <w:rFonts w:ascii="Times New Roman" w:cs="Times New Roman" w:hAnsi="Times New Roman"/>
          <w:bCs w:val="false"/>
          <w:sz w:val="24"/>
          <w:szCs w:val="24"/>
        </w:rPr>
        <w:t>Table 4.1e: FTIR Absorption Peaks for Power Horse</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12"/>
        <w:gridCol w:w="1888"/>
        <w:gridCol w:w="4211"/>
      </w:tblGrid>
      <w:tr>
        <w:trPr>
          <w:tblHeader/>
          <w:tblCellSpacing w:w="15" w:type="dxa"/>
        </w:trPr>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hAnsi="Times New Roman"/>
                <w:b/>
                <w:bCs/>
                <w:sz w:val="24"/>
                <w:szCs w:val="24"/>
              </w:rPr>
            </w:pPr>
            <w:r>
              <w:rPr>
                <w:rStyle w:val="style87"/>
                <w:rFonts w:ascii="Times New Roman" w:cs="Times New Roman" w:hAnsi="Times New Roman"/>
                <w:sz w:val="24"/>
                <w:szCs w:val="24"/>
              </w:rPr>
              <w:t>Wavenumber (cm⁻¹)</w:t>
            </w:r>
          </w:p>
        </w:tc>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hAnsi="Times New Roman"/>
                <w:b/>
                <w:bCs/>
                <w:sz w:val="24"/>
                <w:szCs w:val="24"/>
              </w:rPr>
            </w:pPr>
            <w:r>
              <w:rPr>
                <w:rStyle w:val="style87"/>
                <w:rFonts w:ascii="Times New Roman" w:cs="Times New Roman" w:hAnsi="Times New Roman"/>
                <w:sz w:val="24"/>
                <w:szCs w:val="24"/>
              </w:rPr>
              <w:t>Functional Group</w:t>
            </w:r>
          </w:p>
        </w:tc>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hAnsi="Times New Roman"/>
                <w:b/>
                <w:bCs/>
                <w:sz w:val="24"/>
                <w:szCs w:val="24"/>
              </w:rPr>
            </w:pPr>
            <w:r>
              <w:rPr>
                <w:rStyle w:val="style87"/>
                <w:rFonts w:ascii="Times New Roman" w:cs="Times New Roman" w:hAnsi="Times New Roman"/>
                <w:sz w:val="24"/>
                <w:szCs w:val="24"/>
              </w:rPr>
              <w:t>Interpretation</w:t>
            </w:r>
          </w:p>
        </w:tc>
      </w:tr>
      <w:tr>
        <w:tblPrEx/>
        <w:trPr>
          <w:tblCellSpacing w:w="15" w:type="dxa"/>
        </w:trPr>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3295.0</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O–H stretching</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Alcoholic or water O–H stretch</w:t>
            </w:r>
          </w:p>
        </w:tc>
      </w:tr>
      <w:tr>
        <w:tblPrEx/>
        <w:trPr>
          <w:tblCellSpacing w:w="15" w:type="dxa"/>
        </w:trPr>
        <w:tc>
          <w:tcPr>
            <w:tcW w:w="0" w:type="auto"/>
            <w:tcBorders/>
            <w:vAlign w:val="center"/>
            <w:hideMark/>
          </w:tcPr>
          <w:p>
            <w:pPr>
              <w:pStyle w:val="style0"/>
              <w:spacing w:lineRule="auto" w:line="360"/>
              <w:jc w:val="both"/>
              <w:rPr>
                <w:rFonts w:ascii="Times New Roman" w:cs="Times New Roman" w:hAnsi="Times New Roman"/>
                <w:sz w:val="24"/>
                <w:szCs w:val="24"/>
              </w:rPr>
            </w:pPr>
          </w:p>
        </w:tc>
        <w:tc>
          <w:tcPr>
            <w:tcW w:w="0" w:type="auto"/>
            <w:tcBorders/>
            <w:vAlign w:val="center"/>
            <w:hideMark/>
          </w:tcPr>
          <w:p>
            <w:pPr>
              <w:pStyle w:val="style0"/>
              <w:spacing w:lineRule="auto" w:line="360"/>
              <w:jc w:val="both"/>
              <w:rPr>
                <w:rFonts w:ascii="Times New Roman" w:cs="Times New Roman" w:hAnsi="Times New Roman"/>
                <w:sz w:val="24"/>
                <w:szCs w:val="24"/>
              </w:rPr>
            </w:pPr>
          </w:p>
        </w:tc>
        <w:tc>
          <w:tcPr>
            <w:tcW w:w="0" w:type="auto"/>
            <w:tcBorders/>
            <w:vAlign w:val="center"/>
            <w:hideMark/>
          </w:tcPr>
          <w:p>
            <w:pPr>
              <w:pStyle w:val="style0"/>
              <w:spacing w:lineRule="auto" w:line="360"/>
              <w:jc w:val="both"/>
              <w:rPr>
                <w:rFonts w:ascii="Times New Roman" w:cs="Times New Roman" w:hAnsi="Times New Roman"/>
                <w:sz w:val="24"/>
                <w:szCs w:val="24"/>
              </w:rPr>
            </w:pPr>
          </w:p>
        </w:tc>
      </w:tr>
      <w:tr>
        <w:tblPrEx/>
        <w:trPr>
          <w:tblCellSpacing w:w="15" w:type="dxa"/>
        </w:trPr>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1086.9</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C–O stretching</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Alcoholic C–O bond vibration</w:t>
            </w:r>
          </w:p>
        </w:tc>
      </w:tr>
      <w:tr>
        <w:tblPrEx/>
        <w:trPr>
          <w:tblCellSpacing w:w="15" w:type="dxa"/>
        </w:trPr>
        <w:tc>
          <w:tcPr>
            <w:tcW w:w="0" w:type="auto"/>
            <w:tcBorders>
              <w:bottom w:val="single" w:sz="4" w:space="0" w:color="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1032.5</w:t>
            </w:r>
          </w:p>
        </w:tc>
        <w:tc>
          <w:tcPr>
            <w:tcW w:w="0" w:type="auto"/>
            <w:tcBorders>
              <w:bottom w:val="single" w:sz="4" w:space="0" w:color="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C–O stretching</w:t>
            </w:r>
          </w:p>
        </w:tc>
        <w:tc>
          <w:tcPr>
            <w:tcW w:w="0" w:type="auto"/>
            <w:tcBorders>
              <w:bottom w:val="single" w:sz="4" w:space="0" w:color="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Secondary alcohol or </w:t>
            </w:r>
            <w:r>
              <w:rPr>
                <w:rFonts w:ascii="Times New Roman" w:cs="Times New Roman" w:hAnsi="Times New Roman"/>
                <w:sz w:val="24"/>
                <w:szCs w:val="24"/>
              </w:rPr>
              <w:t>glycosidic</w:t>
            </w:r>
            <w:r>
              <w:rPr>
                <w:rFonts w:ascii="Times New Roman" w:cs="Times New Roman" w:hAnsi="Times New Roman"/>
                <w:sz w:val="24"/>
                <w:szCs w:val="24"/>
              </w:rPr>
              <w:t xml:space="preserve"> linkage</w:t>
            </w:r>
          </w:p>
        </w:tc>
      </w:tr>
    </w:tbl>
    <w:p>
      <w:pPr>
        <w:pStyle w:val="style94"/>
        <w:spacing w:lineRule="auto" w:line="360"/>
        <w:jc w:val="both"/>
        <w:rPr/>
      </w:pPr>
      <w:r>
        <w:rPr>
          <w:rStyle w:val="style87"/>
        </w:rPr>
        <w:t>Source:</w:t>
      </w:r>
      <w:r>
        <w:t xml:space="preserve"> </w:t>
      </w:r>
      <w:r>
        <w:rPr>
          <w:i/>
        </w:rPr>
        <w:t>CASRAS Analytical Laboratory (2025)</w:t>
      </w:r>
    </w:p>
    <w:p>
      <w:pPr>
        <w:pStyle w:val="style0"/>
        <w:spacing w:before="100" w:beforeAutospacing="true" w:after="100" w:afterAutospacing="true" w:lineRule="auto" w:line="480"/>
        <w:jc w:val="both"/>
        <w:rPr>
          <w:rFonts w:ascii="Times New Roman" w:cs="Times New Roman" w:eastAsia="Times New Roman" w:hAnsi="Times New Roman"/>
          <w:b/>
          <w:bCs/>
          <w:sz w:val="24"/>
          <w:szCs w:val="24"/>
        </w:rPr>
      </w:pPr>
      <w:r>
        <w:rPr>
          <w:rFonts w:ascii="Times New Roman" w:cs="Times New Roman" w:hAnsi="Times New Roman"/>
          <w:sz w:val="24"/>
          <w:szCs w:val="24"/>
        </w:rPr>
        <w:t xml:space="preserve">The consistent observation of </w:t>
      </w:r>
      <w:r>
        <w:rPr>
          <w:rStyle w:val="style87"/>
          <w:rFonts w:ascii="Times New Roman" w:cs="Times New Roman" w:hAnsi="Times New Roman"/>
          <w:b w:val="false"/>
          <w:sz w:val="24"/>
          <w:szCs w:val="24"/>
        </w:rPr>
        <w:t>O–H stretching bands (3290–3320 cm⁻¹)</w:t>
      </w:r>
      <w:r>
        <w:rPr>
          <w:rFonts w:ascii="Times New Roman" w:cs="Times New Roman" w:hAnsi="Times New Roman"/>
          <w:sz w:val="24"/>
          <w:szCs w:val="24"/>
        </w:rPr>
        <w:t xml:space="preserve"> and </w:t>
      </w:r>
      <w:r>
        <w:rPr>
          <w:rStyle w:val="style87"/>
          <w:rFonts w:ascii="Times New Roman" w:cs="Times New Roman" w:hAnsi="Times New Roman"/>
          <w:b w:val="false"/>
          <w:sz w:val="24"/>
          <w:szCs w:val="24"/>
        </w:rPr>
        <w:t>C</w:t>
      </w:r>
      <w:r>
        <w:rPr>
          <w:rStyle w:val="style87"/>
          <w:rFonts w:ascii="Times New Roman" w:cs="Times New Roman" w:hAnsi="Times New Roman"/>
          <w:sz w:val="24"/>
          <w:szCs w:val="24"/>
        </w:rPr>
        <w:t>–</w:t>
      </w:r>
      <w:r>
        <w:rPr>
          <w:rStyle w:val="style87"/>
          <w:rFonts w:ascii="Times New Roman" w:cs="Times New Roman" w:hAnsi="Times New Roman"/>
          <w:b w:val="false"/>
          <w:sz w:val="24"/>
          <w:szCs w:val="24"/>
        </w:rPr>
        <w:t>O</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stretching</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peaks</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(1030</w:t>
      </w:r>
      <w:r>
        <w:rPr>
          <w:rStyle w:val="style87"/>
          <w:rFonts w:ascii="Times New Roman" w:cs="Times New Roman" w:hAnsi="Times New Roman"/>
          <w:sz w:val="24"/>
          <w:szCs w:val="24"/>
        </w:rPr>
        <w:t>–</w:t>
      </w:r>
      <w:r>
        <w:rPr>
          <w:rStyle w:val="style87"/>
          <w:rFonts w:ascii="Times New Roman" w:cs="Times New Roman" w:hAnsi="Times New Roman"/>
          <w:b w:val="false"/>
          <w:sz w:val="24"/>
          <w:szCs w:val="24"/>
        </w:rPr>
        <w:t>1120</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cm⁻¹)</w:t>
      </w:r>
      <w:r>
        <w:rPr>
          <w:rFonts w:ascii="Times New Roman" w:cs="Times New Roman" w:hAnsi="Times New Roman"/>
          <w:sz w:val="24"/>
          <w:szCs w:val="24"/>
        </w:rPr>
        <w:t xml:space="preserve"> across all samples confirms the presence of </w:t>
      </w:r>
      <w:r>
        <w:rPr>
          <w:rStyle w:val="style87"/>
          <w:rFonts w:ascii="Times New Roman" w:cs="Times New Roman" w:hAnsi="Times New Roman"/>
          <w:b w:val="false"/>
          <w:sz w:val="24"/>
          <w:szCs w:val="24"/>
        </w:rPr>
        <w:t>ethanol</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functional</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groups</w:t>
      </w:r>
      <w:r>
        <w:rPr>
          <w:rFonts w:ascii="Times New Roman" w:cs="Times New Roman" w:hAnsi="Times New Roman"/>
          <w:sz w:val="24"/>
          <w:szCs w:val="24"/>
        </w:rPr>
        <w:t xml:space="preserve"> in the analyzed energy drinks.</w:t>
      </w:r>
      <w:r>
        <w:rPr>
          <w:rFonts w:ascii="Times New Roman" w:cs="Times New Roman" w:hAnsi="Times New Roman"/>
          <w:sz w:val="24"/>
          <w:szCs w:val="24"/>
        </w:rPr>
        <w:t xml:space="preserve"> </w:t>
      </w:r>
      <w:r>
        <w:rPr>
          <w:rFonts w:ascii="Times New Roman" w:cs="Times New Roman" w:hAnsi="Times New Roman"/>
          <w:sz w:val="24"/>
          <w:szCs w:val="24"/>
        </w:rPr>
        <w:t xml:space="preserve">These characteristic peaks serve as </w:t>
      </w:r>
      <w:r>
        <w:rPr>
          <w:rStyle w:val="style87"/>
          <w:rFonts w:ascii="Times New Roman" w:cs="Times New Roman" w:hAnsi="Times New Roman"/>
          <w:b w:val="false"/>
          <w:sz w:val="24"/>
          <w:szCs w:val="24"/>
        </w:rPr>
        <w:t>qualitative</w:t>
      </w:r>
      <w:r>
        <w:rPr>
          <w:rStyle w:val="style87"/>
          <w:rFonts w:ascii="Times New Roman" w:cs="Times New Roman" w:hAnsi="Times New Roman"/>
          <w:sz w:val="24"/>
          <w:szCs w:val="24"/>
        </w:rPr>
        <w:t xml:space="preserve"> </w:t>
      </w:r>
      <w:r>
        <w:rPr>
          <w:rStyle w:val="style87"/>
          <w:rFonts w:ascii="Times New Roman" w:cs="Times New Roman" w:hAnsi="Times New Roman"/>
          <w:b w:val="false"/>
          <w:sz w:val="24"/>
          <w:szCs w:val="24"/>
        </w:rPr>
        <w:t>confirmation</w:t>
      </w:r>
      <w:r>
        <w:rPr>
          <w:rFonts w:ascii="Times New Roman" w:cs="Times New Roman" w:hAnsi="Times New Roman"/>
          <w:sz w:val="24"/>
          <w:szCs w:val="24"/>
        </w:rPr>
        <w:t xml:space="preserve"> of ethanol before quantitative verification through UV–Vis spectrophotometric analysis.</w:t>
      </w:r>
    </w:p>
    <w:bookmarkStart w:id="47" w:name="_Toc213929892"/>
    <w:p>
      <w:pPr>
        <w:pStyle w:val="style1"/>
        <w:rPr>
          <w:rFonts w:eastAsia="Times New Roman"/>
        </w:rPr>
      </w:pPr>
      <w:r>
        <w:rPr>
          <w:rFonts w:eastAsia="Times New Roman"/>
        </w:rPr>
        <w:t>3</w:t>
      </w:r>
      <w:r>
        <w:rPr>
          <w:rFonts w:eastAsia="Times New Roman"/>
        </w:rPr>
        <w:t>4.1.2</w:t>
      </w:r>
      <w:r>
        <w:rPr>
          <w:rFonts w:eastAsia="Times New Roman"/>
        </w:rPr>
        <w:tab/>
      </w:r>
      <w:r>
        <w:rPr>
          <w:rFonts w:eastAsia="Times New Roman"/>
        </w:rPr>
        <w:t>UV–Visible Spectrophotometric Results</w:t>
      </w:r>
      <w:bookmarkEnd w:id="47"/>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The ethanol concentrations in the samples were determined using the </w:t>
      </w:r>
      <w:r>
        <w:rPr>
          <w:rFonts w:ascii="Times New Roman" w:cs="Times New Roman" w:eastAsia="Times New Roman" w:hAnsi="Times New Roman"/>
          <w:bCs/>
          <w:sz w:val="24"/>
          <w:szCs w:val="24"/>
        </w:rPr>
        <w:t>acidified potassium dichromate oxidation method</w:t>
      </w:r>
      <w:r>
        <w:rPr>
          <w:rFonts w:ascii="Times New Roman" w:cs="Times New Roman" w:eastAsia="Times New Roman" w:hAnsi="Times New Roman"/>
          <w:sz w:val="24"/>
          <w:szCs w:val="24"/>
        </w:rPr>
        <w:t xml:space="preserve">. The decrease in absorbance at </w:t>
      </w:r>
      <w:r>
        <w:rPr>
          <w:rFonts w:ascii="Times New Roman" w:cs="Times New Roman" w:eastAsia="Times New Roman" w:hAnsi="Times New Roman"/>
          <w:bCs/>
          <w:sz w:val="24"/>
          <w:szCs w:val="24"/>
        </w:rPr>
        <w:t>350 nm</w:t>
      </w:r>
      <w:r>
        <w:rPr>
          <w:rFonts w:ascii="Times New Roman" w:cs="Times New Roman" w:eastAsia="Times New Roman" w:hAnsi="Times New Roman"/>
          <w:sz w:val="24"/>
          <w:szCs w:val="24"/>
        </w:rPr>
        <w:t xml:space="preserve"> was proportional to ethanol concentration, and the calibration curve exhibited a high degree of linearity.</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Table 4.2: Calibration Data for Ethanol Standards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55"/>
        <w:gridCol w:w="2178"/>
      </w:tblGrid>
      <w:tr>
        <w:trPr>
          <w:tblHeader/>
          <w:tblCellSpacing w:w="15" w:type="dxa"/>
        </w:trPr>
        <w:tc>
          <w:tcPr>
            <w:tcW w:w="0" w:type="auto"/>
            <w:tcBorders>
              <w:top w:val="single" w:sz="4" w:space="0" w:color="auto"/>
              <w:bottom w:val="single" w:sz="4" w:space="0" w:color="auto"/>
            </w:tcBorders>
            <w:vAlign w:val="center"/>
            <w:hideMark/>
          </w:tcPr>
          <w:p>
            <w:pPr>
              <w:pStyle w:val="style0"/>
              <w:spacing w:after="0" w:lineRule="auto" w:line="360"/>
              <w:jc w:val="both"/>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Ethanol (% v/v)</w:t>
            </w:r>
          </w:p>
        </w:tc>
        <w:tc>
          <w:tcPr>
            <w:tcW w:w="0" w:type="auto"/>
            <w:tcBorders>
              <w:top w:val="single" w:sz="4" w:space="0" w:color="auto"/>
              <w:bottom w:val="single" w:sz="4" w:space="0" w:color="auto"/>
            </w:tcBorders>
            <w:vAlign w:val="center"/>
            <w:hideMark/>
          </w:tcPr>
          <w:p>
            <w:pPr>
              <w:pStyle w:val="style0"/>
              <w:spacing w:after="0" w:lineRule="auto" w:line="360"/>
              <w:jc w:val="both"/>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 xml:space="preserve">   Absorbance (A₃₅₀)</w:t>
            </w:r>
          </w:p>
        </w:tc>
      </w:tr>
      <w:tr>
        <w:tblPrEx/>
        <w:trPr>
          <w:tblCellSpacing w:w="15" w:type="dxa"/>
        </w:trPr>
        <w:tc>
          <w:tcPr>
            <w:tcW w:w="0" w:type="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0.0</w:t>
            </w:r>
          </w:p>
        </w:tc>
        <w:tc>
          <w:tcPr>
            <w:tcW w:w="0" w:type="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0.000</w:t>
            </w:r>
          </w:p>
        </w:tc>
      </w:tr>
      <w:tr>
        <w:tblPrEx/>
        <w:trPr>
          <w:tblCellSpacing w:w="15" w:type="dxa"/>
        </w:trPr>
        <w:tc>
          <w:tcPr>
            <w:tcW w:w="0" w:type="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2.0</w:t>
            </w:r>
          </w:p>
        </w:tc>
        <w:tc>
          <w:tcPr>
            <w:tcW w:w="0" w:type="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0.130</w:t>
            </w:r>
          </w:p>
        </w:tc>
      </w:tr>
      <w:tr>
        <w:tblPrEx/>
        <w:trPr>
          <w:tblCellSpacing w:w="15" w:type="dxa"/>
        </w:trPr>
        <w:tc>
          <w:tcPr>
            <w:tcW w:w="0" w:type="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4.0</w:t>
            </w:r>
          </w:p>
        </w:tc>
        <w:tc>
          <w:tcPr>
            <w:tcW w:w="0" w:type="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0.255</w:t>
            </w:r>
          </w:p>
        </w:tc>
      </w:tr>
      <w:tr>
        <w:tblPrEx/>
        <w:trPr>
          <w:tblCellSpacing w:w="15" w:type="dxa"/>
        </w:trPr>
        <w:tc>
          <w:tcPr>
            <w:tcW w:w="0" w:type="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6.0</w:t>
            </w:r>
          </w:p>
        </w:tc>
        <w:tc>
          <w:tcPr>
            <w:tcW w:w="0" w:type="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0.370</w:t>
            </w:r>
          </w:p>
        </w:tc>
      </w:tr>
      <w:tr>
        <w:tblPrEx/>
        <w:trPr>
          <w:tblCellSpacing w:w="15" w:type="dxa"/>
        </w:trPr>
        <w:tc>
          <w:tcPr>
            <w:tcW w:w="0" w:type="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8.0</w:t>
            </w:r>
          </w:p>
        </w:tc>
        <w:tc>
          <w:tcPr>
            <w:tcW w:w="0" w:type="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0.521</w:t>
            </w:r>
          </w:p>
        </w:tc>
      </w:tr>
      <w:tr>
        <w:tblPrEx/>
        <w:trPr>
          <w:tblCellSpacing w:w="15" w:type="dxa"/>
        </w:trPr>
        <w:tc>
          <w:tcPr>
            <w:tcW w:w="0" w:type="auto"/>
            <w:tcBorders>
              <w:bottom w:val="single" w:sz="4" w:space="0" w:color="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10.0</w:t>
            </w:r>
          </w:p>
        </w:tc>
        <w:tc>
          <w:tcPr>
            <w:tcW w:w="0" w:type="auto"/>
            <w:tcBorders>
              <w:bottom w:val="single" w:sz="4" w:space="0" w:color="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0.648</w:t>
            </w:r>
          </w:p>
        </w:tc>
      </w:tr>
    </w:tbl>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This high correlation coefficient confirmed that Beer–Lambert’</w:t>
      </w:r>
      <w:r>
        <w:rPr>
          <w:rFonts w:ascii="Times New Roman" w:cs="Times New Roman" w:eastAsia="Times New Roman" w:hAnsi="Times New Roman"/>
          <w:sz w:val="24"/>
          <w:szCs w:val="24"/>
        </w:rPr>
        <w:t>s</w:t>
      </w:r>
      <w:r>
        <w:rPr>
          <w:rFonts w:ascii="Times New Roman" w:cs="Times New Roman" w:eastAsia="Times New Roman" w:hAnsi="Times New Roman"/>
          <w:sz w:val="24"/>
          <w:szCs w:val="24"/>
        </w:rPr>
        <w:t xml:space="preserve"> law was obeyed within the tested range.</w:t>
      </w:r>
    </w:p>
    <w:p>
      <w:pPr>
        <w:pStyle w:val="style0"/>
        <w:spacing w:before="100" w:beforeAutospacing="true" w:after="100" w:afterAutospacing="true"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Calibration</w:t>
      </w:r>
      <w:r>
        <w:rPr>
          <w:rFonts w:ascii="Times New Roman" w:cs="Times New Roman" w:eastAsia="Times New Roman" w:hAnsi="Times New Roman"/>
          <w:sz w:val="24"/>
          <w:szCs w:val="24"/>
        </w:rPr>
        <w:t xml:space="preserve"> </w:t>
      </w:r>
      <w:r>
        <w:rPr>
          <w:rFonts w:ascii="Times New Roman" w:cs="Times New Roman" w:eastAsia="Times New Roman" w:hAnsi="Times New Roman"/>
          <w:b/>
          <w:sz w:val="24"/>
          <w:szCs w:val="24"/>
        </w:rPr>
        <w:t>Equation:</w:t>
      </w:r>
    </w:p>
    <w:p>
      <w:pPr>
        <w:pStyle w:val="style0"/>
        <w:tabs>
          <w:tab w:val="left" w:leader="none" w:pos="4785"/>
        </w:tabs>
        <w:spacing w:before="100" w:beforeAutospacing="true" w:after="100" w:afterAutospacing="true" w:lineRule="auto" w:line="480"/>
        <w:jc w:val="both"/>
        <w:rPr>
          <w:rFonts w:ascii="Times New Roman" w:cs="Times New Roman" w:hAnsi="Times New Roman"/>
          <w:sz w:val="24"/>
          <w:szCs w:val="24"/>
        </w:rPr>
      </w:pPr>
      <w:r>
        <w:rPr>
          <w:rFonts w:ascii="Times New Roman" w:cs="Times New Roman" w:hAnsi="Times New Roman"/>
          <w:b/>
          <w:sz w:val="24"/>
          <w:szCs w:val="24"/>
        </w:rPr>
        <w:t>Equation</w:t>
      </w:r>
      <w:r>
        <w:rPr>
          <w:rFonts w:ascii="Times New Roman" w:cs="Times New Roman" w:hAnsi="Times New Roman"/>
          <w:sz w:val="24"/>
          <w:szCs w:val="24"/>
        </w:rPr>
        <w:t xml:space="preserve"> </w:t>
      </w:r>
      <w:r>
        <w:rPr>
          <w:rFonts w:ascii="Times New Roman" w:cs="Times New Roman" w:hAnsi="Times New Roman"/>
          <w:b/>
          <w:sz w:val="24"/>
          <w:szCs w:val="24"/>
        </w:rPr>
        <w:t>4.1</w:t>
      </w:r>
      <w:r>
        <w:rPr>
          <w:rFonts w:ascii="Times New Roman" w:cs="Times New Roman" w:hAnsi="Times New Roman"/>
          <w:sz w:val="24"/>
          <w:szCs w:val="24"/>
        </w:rPr>
        <w:t>: A = 0.0647 C + 0.0028 (R² = 0.9989)</w:t>
      </w:r>
      <w:r>
        <w:rPr>
          <w:rFonts w:ascii="Times New Roman" w:cs="Times New Roman" w:hAnsi="Times New Roman"/>
          <w:sz w:val="24"/>
          <w:szCs w:val="24"/>
        </w:rPr>
        <w:tab/>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hAnsi="Times New Roman"/>
          <w:sz w:val="24"/>
          <w:szCs w:val="24"/>
        </w:rPr>
        <w:t>The linearity of the calibration curve demonstrates the reliability of the dichromate oxidation method for ethanol quantification in beverages.</w:t>
      </w:r>
    </w:p>
    <w:p>
      <w:pPr>
        <w:pStyle w:val="style0"/>
        <w:jc w:val="both"/>
        <w:rPr>
          <w:rFonts w:ascii="Times New Roman" w:cs="Times New Roman" w:hAnsi="Times New Roman"/>
          <w:sz w:val="24"/>
          <w:szCs w:val="24"/>
        </w:rPr>
      </w:pP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noProof/>
          <w:sz w:val="24"/>
          <w:szCs w:val="24"/>
        </w:rPr>
      </w:r>
      <w:r>
        <w:rPr>
          <w:rFonts w:ascii="Times New Roman" w:cs="Times New Roman" w:hAnsi="Times New Roman"/>
          <w:noProof/>
          <w:sz w:val="24"/>
          <w:szCs w:val="24"/>
        </w:rPr>
      </w:r>
      <w:r>
        <w:rPr>
          <w:rFonts w:ascii="Times New Roman" w:cs="Times New Roman" w:hAnsi="Times New Roman"/>
          <w:noProof/>
          <w:sz w:val="24"/>
          <w:szCs w:val="24"/>
        </w:rPr>
      </w:r>
      <w:r>
        <w:rPr>
          <w:rFonts w:ascii="Times New Roman" w:cs="Times New Roman" w:hAnsi="Times New Roman"/>
          <w:noProof/>
          <w:sz w:val="24"/>
          <w:szCs w:val="24"/>
        </w:rPr>
        <w:drawing>
          <wp:inline distL="114300" distT="0" distB="0" distR="114300">
            <wp:extent cx="4572000" cy="2743200"/>
            <wp:effectExtent l="0" t="0" r="0" b="0"/>
            <wp:docPr id="1027"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3"/>
              </a:graphicData>
            </a:graphic>
          </wp:inline>
        </w:drawing>
      </w:r>
      <w:r>
        <w:rPr>
          <w:rFonts w:ascii="Times New Roman" w:cs="Times New Roman" w:hAnsi="Times New Roman"/>
          <w:noProof/>
          <w:sz w:val="24"/>
          <w:szCs w:val="24"/>
        </w:rPr>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Figure 4.1:</w:t>
      </w:r>
      <w:r>
        <w:rPr>
          <w:rFonts w:ascii="Times New Roman" w:cs="Times New Roman" w:hAnsi="Times New Roman"/>
          <w:sz w:val="24"/>
          <w:szCs w:val="24"/>
        </w:rPr>
        <w:t xml:space="preserve"> Calibration curve showing the linear relationship between absorbance and ethanol concentration for standard ethanol solutions. The regression equation obtained was </w:t>
      </w:r>
      <w:r>
        <w:rPr>
          <w:rStyle w:val="style88"/>
          <w:rFonts w:ascii="Times New Roman" w:cs="Times New Roman" w:hAnsi="Times New Roman"/>
          <w:sz w:val="24"/>
          <w:szCs w:val="24"/>
        </w:rPr>
        <w:t>A = 0.0647C + 0.0028</w:t>
      </w:r>
      <w:r>
        <w:rPr>
          <w:rFonts w:ascii="Times New Roman" w:cs="Times New Roman" w:hAnsi="Times New Roman"/>
          <w:sz w:val="24"/>
          <w:szCs w:val="24"/>
        </w:rPr>
        <w:t xml:space="preserve"> with a correlation coefficient </w:t>
      </w:r>
      <w:r>
        <w:rPr>
          <w:rStyle w:val="style88"/>
          <w:rFonts w:ascii="Times New Roman" w:cs="Times New Roman" w:hAnsi="Times New Roman"/>
          <w:sz w:val="24"/>
          <w:szCs w:val="24"/>
        </w:rPr>
        <w:t>(R² = 0.9989)</w:t>
      </w:r>
      <w:r>
        <w:rPr>
          <w:rFonts w:ascii="Times New Roman" w:cs="Times New Roman" w:hAnsi="Times New Roman"/>
          <w:sz w:val="24"/>
          <w:szCs w:val="24"/>
        </w:rPr>
        <w:t>, indicating a strong linear relationship that validates Beer–Lambert’s law</w:t>
      </w:r>
      <w:r>
        <w:rPr>
          <w:rFonts w:ascii="Times New Roman" w:cs="Times New Roman" w:eastAsia="Times New Roman" w:hAnsi="Times New Roman"/>
          <w:sz w:val="24"/>
          <w:szCs w:val="24"/>
        </w:rPr>
        <w:t xml:space="preserve">. </w:t>
      </w:r>
      <w:r>
        <w:rPr>
          <w:rFonts w:ascii="Times New Roman" w:cs="Times New Roman" w:eastAsia="Times New Roman" w:hAnsi="Times New Roman"/>
          <w:sz w:val="24"/>
          <w:szCs w:val="24"/>
        </w:rPr>
        <w:t>The absorbance values obtained for each sample were converted to ethanol concentration using the above calibration equation, as summarized in Table 4.3.</w:t>
      </w:r>
    </w:p>
    <w:p>
      <w:pPr>
        <w:pStyle w:val="style0"/>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br w:type="page"/>
      </w:r>
    </w:p>
    <w:p>
      <w:pPr>
        <w:pStyle w:val="style0"/>
        <w:spacing w:before="100" w:beforeAutospacing="true" w:after="100" w:afterAutospacing="true" w:lineRule="auto" w:line="240"/>
        <w:jc w:val="both"/>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Table 4.3: Absorbance and Calculated Ethanol Concentrations of Energy Drinks</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408"/>
        <w:gridCol w:w="1998"/>
        <w:gridCol w:w="2800"/>
        <w:gridCol w:w="2785"/>
      </w:tblGrid>
      <w:tr>
        <w:trPr>
          <w:tblHeader/>
          <w:tblCellSpacing w:w="15" w:type="dxa"/>
        </w:trPr>
        <w:tc>
          <w:tcPr>
            <w:tcW w:w="0" w:type="auto"/>
            <w:tcBorders>
              <w:top w:val="nil"/>
              <w:bottom w:val="single" w:sz="4" w:space="0" w:color="auto"/>
            </w:tcBorders>
            <w:vAlign w:val="center"/>
            <w:hideMark/>
          </w:tcPr>
          <w:p>
            <w:pPr>
              <w:pStyle w:val="style0"/>
              <w:spacing w:lineRule="auto" w:line="360"/>
              <w:jc w:val="both"/>
              <w:rPr>
                <w:rFonts w:ascii="Times New Roman" w:hAnsi="Times New Roman"/>
                <w:b/>
                <w:bCs/>
                <w:sz w:val="24"/>
                <w:szCs w:val="24"/>
              </w:rPr>
            </w:pPr>
            <w:r>
              <w:rPr>
                <w:rFonts w:ascii="Times New Roman" w:hAnsi="Times New Roman"/>
                <w:b/>
                <w:bCs/>
                <w:sz w:val="24"/>
                <w:szCs w:val="24"/>
              </w:rPr>
              <w:t>Sample</w:t>
            </w:r>
          </w:p>
        </w:tc>
        <w:tc>
          <w:tcPr>
            <w:tcW w:w="0" w:type="auto"/>
            <w:tcBorders>
              <w:top w:val="nil"/>
              <w:bottom w:val="single" w:sz="4" w:space="0" w:color="auto"/>
            </w:tcBorders>
            <w:vAlign w:val="center"/>
            <w:hideMark/>
          </w:tcPr>
          <w:p>
            <w:pPr>
              <w:pStyle w:val="style0"/>
              <w:spacing w:lineRule="auto" w:line="360"/>
              <w:jc w:val="both"/>
              <w:rPr>
                <w:rFonts w:ascii="Times New Roman" w:hAnsi="Times New Roman"/>
                <w:b/>
                <w:bCs/>
                <w:sz w:val="24"/>
                <w:szCs w:val="24"/>
              </w:rPr>
            </w:pPr>
            <w:r>
              <w:rPr>
                <w:rFonts w:ascii="Times New Roman" w:hAnsi="Times New Roman"/>
                <w:b/>
                <w:bCs/>
                <w:sz w:val="24"/>
                <w:szCs w:val="24"/>
              </w:rPr>
              <w:t>Absorbance (A₃₅₀)</w:t>
            </w:r>
          </w:p>
        </w:tc>
        <w:tc>
          <w:tcPr>
            <w:tcW w:w="0" w:type="auto"/>
            <w:tcBorders>
              <w:top w:val="nil"/>
              <w:bottom w:val="single" w:sz="4" w:space="0" w:color="auto"/>
            </w:tcBorders>
            <w:vAlign w:val="center"/>
            <w:hideMark/>
          </w:tcPr>
          <w:p>
            <w:pPr>
              <w:pStyle w:val="style0"/>
              <w:spacing w:lineRule="auto" w:line="360"/>
              <w:jc w:val="both"/>
              <w:rPr>
                <w:rFonts w:ascii="Times New Roman" w:hAnsi="Times New Roman"/>
                <w:b/>
                <w:bCs/>
                <w:sz w:val="24"/>
                <w:szCs w:val="24"/>
              </w:rPr>
            </w:pPr>
            <w:r>
              <w:rPr>
                <w:rFonts w:ascii="Times New Roman" w:hAnsi="Times New Roman"/>
                <w:b/>
                <w:bCs/>
                <w:sz w:val="24"/>
                <w:szCs w:val="24"/>
              </w:rPr>
              <w:t>Measured Ethanol (% v/v)</w:t>
            </w:r>
          </w:p>
        </w:tc>
        <w:tc>
          <w:tcPr>
            <w:tcW w:w="0" w:type="auto"/>
            <w:tcBorders>
              <w:top w:val="nil"/>
              <w:bottom w:val="single" w:sz="4" w:space="0" w:color="auto"/>
            </w:tcBorders>
            <w:vAlign w:val="center"/>
            <w:hideMark/>
          </w:tcPr>
          <w:p>
            <w:pPr>
              <w:pStyle w:val="style0"/>
              <w:spacing w:lineRule="auto" w:line="360"/>
              <w:jc w:val="both"/>
              <w:rPr>
                <w:rFonts w:ascii="Times New Roman" w:hAnsi="Times New Roman"/>
                <w:b/>
                <w:bCs/>
                <w:sz w:val="24"/>
                <w:szCs w:val="24"/>
              </w:rPr>
            </w:pPr>
            <w:r>
              <w:rPr>
                <w:rFonts w:ascii="Times New Roman" w:hAnsi="Times New Roman"/>
                <w:b/>
                <w:bCs/>
                <w:sz w:val="24"/>
                <w:szCs w:val="24"/>
              </w:rPr>
              <w:t>Corrected Ethanol (% v/v)</w:t>
            </w:r>
          </w:p>
        </w:tc>
      </w:tr>
      <w:tr>
        <w:tblPrEx/>
        <w:trPr>
          <w:tblCellSpacing w:w="15" w:type="dxa"/>
        </w:trPr>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Climax</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0.005</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0.05</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0.10</w:t>
            </w:r>
          </w:p>
        </w:tc>
      </w:tr>
      <w:tr>
        <w:tblPrEx/>
        <w:trPr>
          <w:tblCellSpacing w:w="15" w:type="dxa"/>
        </w:trPr>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Power Horse</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0.011</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0.14</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0.28</w:t>
            </w:r>
          </w:p>
        </w:tc>
      </w:tr>
      <w:tr>
        <w:tblPrEx/>
        <w:trPr>
          <w:tblCellSpacing w:w="15" w:type="dxa"/>
        </w:trPr>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Monster</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0.007</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0.08</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0.16</w:t>
            </w:r>
          </w:p>
        </w:tc>
      </w:tr>
      <w:tr>
        <w:tblPrEx/>
        <w:trPr>
          <w:tblCellSpacing w:w="15" w:type="dxa"/>
        </w:trPr>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Red Bull</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0.003</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0.02</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0.04</w:t>
            </w:r>
          </w:p>
        </w:tc>
      </w:tr>
      <w:tr>
        <w:tblPrEx/>
        <w:trPr>
          <w:tblCellSpacing w:w="15" w:type="dxa"/>
        </w:trPr>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Predator</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0.008</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0.09</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0.18</w:t>
            </w:r>
          </w:p>
        </w:tc>
      </w:tr>
    </w:tbl>
    <w:p>
      <w:pPr>
        <w:pStyle w:val="style0"/>
        <w:spacing w:before="100" w:beforeAutospacing="true" w:after="100" w:afterAutospacing="true" w:lineRule="auto" w:line="240"/>
        <w:jc w:val="both"/>
        <w:rPr>
          <w:rFonts w:ascii="Times New Roman" w:cs="Times New Roman" w:eastAsia="Times New Roman" w:hAnsi="Times New Roman"/>
          <w:sz w:val="24"/>
          <w:szCs w:val="24"/>
        </w:rPr>
      </w:pPr>
      <w:r>
        <w:rPr>
          <w:rFonts w:ascii="Times New Roman" w:cs="Times New Roman" w:eastAsia="Times New Roman" w:hAnsi="Times New Roman"/>
          <w:i/>
          <w:iCs/>
          <w:sz w:val="24"/>
          <w:szCs w:val="24"/>
        </w:rPr>
        <w:t>Source: CASRAS Analytical Laboratory (2025)</w:t>
      </w:r>
    </w:p>
    <w:p>
      <w:pPr>
        <w:pStyle w:val="style0"/>
        <w:spacing w:after="0" w:lineRule="auto" w:line="480"/>
        <w:jc w:val="both"/>
        <w:rPr>
          <w:rFonts w:ascii="Times New Roman" w:cs="Times New Roman" w:eastAsia="Times New Roman" w:hAnsi="Times New Roman"/>
          <w:b/>
          <w:bCs/>
          <w:sz w:val="24"/>
          <w:szCs w:val="24"/>
        </w:rPr>
      </w:pPr>
      <w:r>
        <w:rPr>
          <w:rStyle w:val="style87"/>
          <w:rFonts w:ascii="Times New Roman" w:cs="Times New Roman" w:hAnsi="Times New Roman"/>
          <w:sz w:val="24"/>
          <w:szCs w:val="24"/>
        </w:rPr>
        <w:t>Note</w:t>
      </w:r>
      <w:r>
        <w:rPr>
          <w:rStyle w:val="style87"/>
          <w:rFonts w:ascii="Times New Roman" w:cs="Times New Roman" w:hAnsi="Times New Roman"/>
          <w:sz w:val="24"/>
          <w:szCs w:val="24"/>
        </w:rPr>
        <w:t>:</w:t>
      </w:r>
      <w:r>
        <w:rPr>
          <w:rFonts w:ascii="Times New Roman" w:cs="Times New Roman" w:hAnsi="Times New Roman"/>
          <w:sz w:val="24"/>
          <w:szCs w:val="24"/>
        </w:rPr>
        <w:br/>
      </w:r>
      <w:r>
        <w:rPr>
          <w:rFonts w:ascii="Times New Roman" w:cs="Times New Roman" w:hAnsi="Times New Roman"/>
          <w:sz w:val="24"/>
          <w:szCs w:val="24"/>
        </w:rPr>
        <w:t>Ethanol concentrations were calculated from the calibration equation (A = 0.0647C + 0.0028) and corrected for the dilution factor of 2, since 50 mL of each distillate was diluted to 100 mL before analysis. All values were rounded to two decimal places (±0.01% v/v) in line with analytical precision. Minor rounding differences are within acceptable spectrophotometric limits and do not affect result interpretation. The corrected ethanol contents remained below the 0.5% v/v threshold specified by NAFDAC (2021) and WHO (2014) for non-alcoholic beverages.</w:t>
      </w:r>
    </w:p>
    <w:p>
      <w:pPr>
        <w:pStyle w:val="style0"/>
        <w:spacing w:before="100" w:beforeAutospacing="true" w:after="100" w:afterAutospacing="true" w:lineRule="auto" w:line="240"/>
        <w:jc w:val="both"/>
        <w:rPr>
          <w:rFonts w:ascii="Times New Roman" w:cs="Times New Roman" w:eastAsia="Times New Roman" w:hAnsi="Times New Roman"/>
          <w:sz w:val="24"/>
          <w:szCs w:val="24"/>
        </w:rPr>
      </w:pPr>
      <w:r>
        <w:rPr>
          <w:noProof/>
        </w:rPr>
        <w:object>
          <v:shape id="1028" type="#_x0000_t75" filled="f" stroked="f" style="margin-left:0.0pt;margin-top:0.0pt;width:417.0pt;height:116.5pt;mso-wrap-distance-left:0.0pt;mso-wrap-distance-right:0.0pt;visibility:visible;">
            <w10:anchorlock/>
            <v:imagedata r:id="rId4" embosscolor="white" o:title=""/>
            <v:stroke on="f"/>
            <v:fill/>
          </v:shape>
          <o:OLEObject Type="EMBED" ProgID="Excel.Chart.8" ShapeID="1028" DrawAspect="Content" ObjectID="0" r:id="rId5"/>
        </w:object>
      </w:r>
    </w:p>
    <w:p>
      <w:pPr>
        <w:pStyle w:val="style0"/>
        <w:spacing w:before="100" w:beforeAutospacing="true" w:after="100" w:afterAutospacing="true" w:lineRule="auto" w:line="24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Figure 4.2:</w:t>
      </w:r>
      <w:r>
        <w:rPr>
          <w:rFonts w:ascii="Times New Roman" w:cs="Times New Roman" w:eastAsia="Times New Roman" w:hAnsi="Times New Roman"/>
          <w:sz w:val="24"/>
          <w:szCs w:val="24"/>
        </w:rPr>
        <w:t xml:space="preserve"> Comparative ethanol concentrations in analyzed energy drinks determined by UV–Visible spectrophotometry.</w:t>
      </w:r>
    </w:p>
    <w:bookmarkStart w:id="48" w:name="_Toc213929893"/>
    <w:p>
      <w:pPr>
        <w:pStyle w:val="style1"/>
        <w:rPr>
          <w:rFonts w:eastAsia="Times New Roman"/>
        </w:rPr>
      </w:pPr>
      <w:r>
        <w:rPr>
          <w:rFonts w:eastAsia="Times New Roman"/>
        </w:rPr>
        <w:t>4.2</w:t>
      </w:r>
      <w:r>
        <w:rPr>
          <w:rFonts w:eastAsia="Times New Roman"/>
        </w:rPr>
        <w:tab/>
      </w:r>
      <w:r>
        <w:rPr>
          <w:rFonts w:eastAsia="Times New Roman"/>
        </w:rPr>
        <w:t>Discussion</w:t>
      </w:r>
      <w:bookmarkEnd w:id="48"/>
    </w:p>
    <w:bookmarkStart w:id="49" w:name="_Toc213929894"/>
    <w:p>
      <w:pPr>
        <w:pStyle w:val="style1"/>
        <w:rPr>
          <w:rFonts w:eastAsia="Times New Roman"/>
        </w:rPr>
      </w:pPr>
      <w:r>
        <w:rPr>
          <w:rFonts w:eastAsia="Times New Roman"/>
        </w:rPr>
        <w:t>4.2.1</w:t>
      </w:r>
      <w:r>
        <w:rPr>
          <w:rFonts w:eastAsia="Times New Roman"/>
        </w:rPr>
        <w:tab/>
      </w:r>
      <w:r>
        <w:rPr>
          <w:rFonts w:eastAsia="Times New Roman"/>
        </w:rPr>
        <w:t>FTIR Spectroscopic Analysis</w:t>
      </w:r>
      <w:bookmarkEnd w:id="49"/>
    </w:p>
    <w:p>
      <w:pPr>
        <w:pStyle w:val="style94"/>
        <w:spacing w:lineRule="auto" w:line="480"/>
        <w:jc w:val="both"/>
        <w:rPr/>
      </w:pPr>
      <w:r>
        <w:t xml:space="preserve">The FTIR spectra of all analyzed samples revealed distinct absorption peaks characteristic of ethanol, confirming its presence across all five energy drink brands. The </w:t>
      </w:r>
      <w:r>
        <w:rPr>
          <w:rStyle w:val="style87"/>
          <w:rFonts w:eastAsia="Arial MT"/>
          <w:b w:val="false"/>
        </w:rPr>
        <w:t>broad O–H stretching bands</w:t>
      </w:r>
      <w:r>
        <w:rPr>
          <w:b/>
        </w:rPr>
        <w:t xml:space="preserve"> </w:t>
      </w:r>
      <w:r>
        <w:t>observed</w:t>
      </w:r>
      <w:r>
        <w:rPr>
          <w:b/>
        </w:rPr>
        <w:t xml:space="preserve"> </w:t>
      </w:r>
      <w:r>
        <w:t>around</w:t>
      </w:r>
      <w:r>
        <w:rPr>
          <w:b/>
        </w:rPr>
        <w:t xml:space="preserve"> </w:t>
      </w:r>
      <w:r>
        <w:rPr>
          <w:rStyle w:val="style87"/>
          <w:rFonts w:eastAsia="Arial MT"/>
          <w:b w:val="false"/>
        </w:rPr>
        <w:t>3290–3320 cm⁻¹</w:t>
      </w:r>
      <w:r>
        <w:rPr>
          <w:b/>
        </w:rPr>
        <w:t xml:space="preserve"> </w:t>
      </w:r>
      <w:r>
        <w:t>are</w:t>
      </w:r>
      <w:r>
        <w:rPr>
          <w:b/>
        </w:rPr>
        <w:t xml:space="preserve"> </w:t>
      </w:r>
      <w:r>
        <w:t>typical of hydroxyl groups found in alcohols and water molecules (Rodriguez-</w:t>
      </w:r>
      <w:r>
        <w:t>Saona</w:t>
      </w:r>
      <w:r>
        <w:t xml:space="preserve"> &amp; </w:t>
      </w:r>
      <w:r>
        <w:t>Allendorf</w:t>
      </w:r>
      <w:r>
        <w:t xml:space="preserve">, 2011). Additionally, the </w:t>
      </w:r>
      <w:r>
        <w:rPr>
          <w:rStyle w:val="style87"/>
          <w:rFonts w:eastAsia="Arial MT"/>
          <w:b w:val="false"/>
        </w:rPr>
        <w:t>C–O stretching vibrations</w:t>
      </w:r>
      <w:r>
        <w:rPr>
          <w:b/>
        </w:rPr>
        <w:t xml:space="preserve"> </w:t>
      </w:r>
      <w:r>
        <w:t>within</w:t>
      </w:r>
      <w:r>
        <w:rPr>
          <w:b/>
        </w:rPr>
        <w:t xml:space="preserve"> </w:t>
      </w:r>
      <w:r>
        <w:rPr>
          <w:rStyle w:val="style87"/>
          <w:rFonts w:eastAsia="Arial MT"/>
          <w:b w:val="false"/>
        </w:rPr>
        <w:t>1030–1100 cm⁻¹</w:t>
      </w:r>
      <w:r>
        <w:t xml:space="preserve"> further confirmed the presence of ethanol as part of the molecular composition of each drink.</w:t>
      </w:r>
    </w:p>
    <w:p>
      <w:pPr>
        <w:pStyle w:val="style94"/>
        <w:spacing w:lineRule="auto" w:line="480"/>
        <w:jc w:val="both"/>
        <w:rPr/>
      </w:pPr>
      <w:r>
        <w:t xml:space="preserve">The </w:t>
      </w:r>
      <w:r>
        <w:rPr>
          <w:rStyle w:val="style87"/>
          <w:rFonts w:eastAsia="Arial MT"/>
          <w:b w:val="false"/>
        </w:rPr>
        <w:t>Monster</w:t>
      </w:r>
      <w:r>
        <w:rPr>
          <w:rStyle w:val="style87"/>
          <w:rFonts w:eastAsia="Arial MT"/>
        </w:rPr>
        <w:t xml:space="preserve"> </w:t>
      </w:r>
      <w:r>
        <w:rPr>
          <w:rStyle w:val="style87"/>
          <w:rFonts w:eastAsia="Arial MT"/>
          <w:b w:val="false"/>
        </w:rPr>
        <w:t>Energy</w:t>
      </w:r>
      <w:r>
        <w:t xml:space="preserve"> and </w:t>
      </w:r>
      <w:r>
        <w:rPr>
          <w:rStyle w:val="style87"/>
          <w:rFonts w:eastAsia="Arial MT"/>
          <w:b w:val="false"/>
        </w:rPr>
        <w:t>Predator</w:t>
      </w:r>
      <w:r>
        <w:t xml:space="preserve"> samples exhibited stronger O–H and C–O bands, suggesting relatively higher ethanol presence compared to </w:t>
      </w:r>
      <w:r>
        <w:rPr>
          <w:rStyle w:val="style87"/>
          <w:rFonts w:eastAsia="Arial MT"/>
          <w:b w:val="false"/>
        </w:rPr>
        <w:t>Climax</w:t>
      </w:r>
      <w:r>
        <w:t xml:space="preserve">, </w:t>
      </w:r>
      <w:r>
        <w:rPr>
          <w:rStyle w:val="style87"/>
          <w:rFonts w:eastAsia="Arial MT"/>
          <w:b w:val="false"/>
        </w:rPr>
        <w:t>Red</w:t>
      </w:r>
      <w:r>
        <w:rPr>
          <w:rStyle w:val="style87"/>
          <w:rFonts w:eastAsia="Arial MT"/>
        </w:rPr>
        <w:t xml:space="preserve"> </w:t>
      </w:r>
      <w:r>
        <w:rPr>
          <w:rStyle w:val="style87"/>
          <w:rFonts w:eastAsia="Arial MT"/>
          <w:b w:val="false"/>
        </w:rPr>
        <w:t>Bull</w:t>
      </w:r>
      <w:r>
        <w:t xml:space="preserve">, and </w:t>
      </w:r>
      <w:r>
        <w:rPr>
          <w:rStyle w:val="style87"/>
          <w:rFonts w:eastAsia="Arial MT"/>
          <w:b w:val="false"/>
        </w:rPr>
        <w:t>Power</w:t>
      </w:r>
      <w:r>
        <w:rPr>
          <w:rStyle w:val="style87"/>
          <w:rFonts w:eastAsia="Arial MT"/>
        </w:rPr>
        <w:t xml:space="preserve"> </w:t>
      </w:r>
      <w:r>
        <w:rPr>
          <w:rStyle w:val="style87"/>
          <w:rFonts w:eastAsia="Arial MT"/>
          <w:b w:val="false"/>
        </w:rPr>
        <w:t>Horse</w:t>
      </w:r>
      <w:r>
        <w:t>. The appearance of weak</w:t>
      </w:r>
      <w:r>
        <w:rPr>
          <w:b/>
        </w:rPr>
        <w:t xml:space="preserve"> </w:t>
      </w:r>
      <w:r>
        <w:rPr>
          <w:rStyle w:val="style87"/>
          <w:rFonts w:eastAsia="Arial MT"/>
          <w:b w:val="false"/>
        </w:rPr>
        <w:t>C=O</w:t>
      </w:r>
      <w:r>
        <w:rPr>
          <w:b/>
        </w:rPr>
        <w:t xml:space="preserve"> </w:t>
      </w:r>
      <w:r>
        <w:t>or</w:t>
      </w:r>
      <w:r>
        <w:rPr>
          <w:b/>
        </w:rPr>
        <w:t xml:space="preserve"> </w:t>
      </w:r>
      <w:r>
        <w:rPr>
          <w:rStyle w:val="style87"/>
          <w:rFonts w:eastAsia="Arial MT"/>
          <w:b w:val="false"/>
        </w:rPr>
        <w:t>H–O–H bending</w:t>
      </w:r>
      <w:r>
        <w:t xml:space="preserve"> bands around </w:t>
      </w:r>
      <w:r>
        <w:rPr>
          <w:rStyle w:val="style87"/>
          <w:rFonts w:eastAsia="Arial MT"/>
          <w:b w:val="false"/>
        </w:rPr>
        <w:t>1630</w:t>
      </w:r>
      <w:r>
        <w:rPr>
          <w:rStyle w:val="style87"/>
          <w:rFonts w:eastAsia="Arial MT"/>
        </w:rPr>
        <w:t>–</w:t>
      </w:r>
      <w:r>
        <w:rPr>
          <w:rStyle w:val="style87"/>
          <w:rFonts w:eastAsia="Arial MT"/>
          <w:b w:val="false"/>
        </w:rPr>
        <w:t>1650</w:t>
      </w:r>
      <w:r>
        <w:rPr>
          <w:rStyle w:val="style87"/>
          <w:rFonts w:eastAsia="Arial MT"/>
        </w:rPr>
        <w:t xml:space="preserve"> </w:t>
      </w:r>
      <w:r>
        <w:rPr>
          <w:rStyle w:val="style87"/>
          <w:rFonts w:eastAsia="Arial MT"/>
          <w:b w:val="false"/>
        </w:rPr>
        <w:t>cm⁻¹</w:t>
      </w:r>
      <w:r>
        <w:t xml:space="preserve"> also indicates the presence of water molecules or trace organic carbonyl compounds, possibly arising from flavoring or natural ingredients</w:t>
      </w:r>
      <w:r>
        <w:t>.</w:t>
      </w:r>
    </w:p>
    <w:p>
      <w:pPr>
        <w:pStyle w:val="style94"/>
        <w:spacing w:lineRule="auto" w:line="480"/>
        <w:jc w:val="both"/>
        <w:rPr/>
      </w:pPr>
      <w:r>
        <w:t xml:space="preserve">The variation in band intensity among the samples suggests minor differences in ethanol content, possibly due to factors such as </w:t>
      </w:r>
      <w:r>
        <w:rPr>
          <w:rStyle w:val="style87"/>
          <w:rFonts w:eastAsia="Arial MT"/>
          <w:b w:val="false"/>
        </w:rPr>
        <w:t>storage</w:t>
      </w:r>
      <w:r>
        <w:rPr>
          <w:rStyle w:val="style87"/>
          <w:rFonts w:eastAsia="Arial MT"/>
        </w:rPr>
        <w:t xml:space="preserve"> </w:t>
      </w:r>
      <w:r>
        <w:rPr>
          <w:rStyle w:val="style87"/>
          <w:rFonts w:eastAsia="Arial MT"/>
          <w:b w:val="false"/>
        </w:rPr>
        <w:t>duration</w:t>
      </w:r>
      <w:r>
        <w:t xml:space="preserve">, </w:t>
      </w:r>
      <w:r>
        <w:rPr>
          <w:rStyle w:val="style87"/>
          <w:rFonts w:eastAsia="Arial MT"/>
          <w:b w:val="false"/>
        </w:rPr>
        <w:t>temperature</w:t>
      </w:r>
      <w:r>
        <w:t xml:space="preserve">, or </w:t>
      </w:r>
      <w:r>
        <w:rPr>
          <w:rStyle w:val="style87"/>
          <w:rFonts w:eastAsia="Arial MT"/>
          <w:b w:val="false"/>
        </w:rPr>
        <w:t>differences</w:t>
      </w:r>
      <w:r>
        <w:rPr>
          <w:rStyle w:val="style87"/>
          <w:rFonts w:eastAsia="Arial MT"/>
        </w:rPr>
        <w:t xml:space="preserve"> </w:t>
      </w:r>
      <w:r>
        <w:rPr>
          <w:rStyle w:val="style87"/>
          <w:rFonts w:eastAsia="Arial MT"/>
          <w:b w:val="false"/>
        </w:rPr>
        <w:t>in</w:t>
      </w:r>
      <w:r>
        <w:rPr>
          <w:rStyle w:val="style87"/>
          <w:rFonts w:eastAsia="Arial MT"/>
        </w:rPr>
        <w:t xml:space="preserve"> </w:t>
      </w:r>
      <w:r>
        <w:rPr>
          <w:rStyle w:val="style87"/>
          <w:rFonts w:eastAsia="Arial MT"/>
          <w:b w:val="false"/>
        </w:rPr>
        <w:t>sugar</w:t>
      </w:r>
      <w:r>
        <w:rPr>
          <w:rStyle w:val="style87"/>
          <w:rFonts w:eastAsia="Arial MT"/>
        </w:rPr>
        <w:t xml:space="preserve"> </w:t>
      </w:r>
      <w:r>
        <w:rPr>
          <w:rStyle w:val="style87"/>
          <w:rFonts w:eastAsia="Arial MT"/>
          <w:b w:val="false"/>
        </w:rPr>
        <w:t>composition</w:t>
      </w:r>
      <w:r>
        <w:t xml:space="preserve"> that may lead to slight fermentation over time. Importantly, no additional peaks corresponding to aldehydes or higher alcohols were observed, implying </w:t>
      </w:r>
      <w:r>
        <w:rPr>
          <w:rStyle w:val="style87"/>
          <w:rFonts w:eastAsia="Arial MT"/>
          <w:b w:val="false"/>
        </w:rPr>
        <w:t>no significant oxidation or spoilage</w:t>
      </w:r>
      <w:r>
        <w:t xml:space="preserve"> within the samples.</w:t>
      </w:r>
    </w:p>
    <w:p>
      <w:pPr>
        <w:pStyle w:val="style94"/>
        <w:spacing w:lineRule="auto" w:line="480"/>
        <w:jc w:val="both"/>
        <w:rPr/>
      </w:pPr>
      <w:r>
        <w:t>These spectral characteristics agree with standard ethanol spectra reported in literature (</w:t>
      </w:r>
      <w:r>
        <w:t>Kansiz</w:t>
      </w:r>
      <w:r>
        <w:t xml:space="preserve"> </w:t>
      </w:r>
      <w:r>
        <w:rPr>
          <w:i/>
        </w:rPr>
        <w:t>et</w:t>
      </w:r>
      <w:r>
        <w:t xml:space="preserve"> </w:t>
      </w:r>
      <w:r>
        <w:rPr>
          <w:i/>
        </w:rPr>
        <w:t>al</w:t>
      </w:r>
      <w:r>
        <w:t>., 1999; Rodriguez-</w:t>
      </w:r>
      <w:r>
        <w:t>Saona</w:t>
      </w:r>
      <w:r>
        <w:t xml:space="preserve"> &amp; </w:t>
      </w:r>
      <w:r>
        <w:t>Allendorf</w:t>
      </w:r>
      <w:r>
        <w:t xml:space="preserve">, 2011) and indicate that the ethanol detected in these beverages exists only in trace quantities. Thus, FTIR spectroscopy effectively served as a </w:t>
      </w:r>
      <w:r>
        <w:rPr>
          <w:rStyle w:val="style87"/>
          <w:rFonts w:eastAsia="Arial MT"/>
          <w:b w:val="false"/>
        </w:rPr>
        <w:t>rapid</w:t>
      </w:r>
      <w:r>
        <w:rPr>
          <w:rStyle w:val="style87"/>
          <w:rFonts w:eastAsia="Arial MT"/>
        </w:rPr>
        <w:t xml:space="preserve">, </w:t>
      </w:r>
      <w:r>
        <w:rPr>
          <w:rStyle w:val="style87"/>
          <w:rFonts w:eastAsia="Arial MT"/>
          <w:b w:val="false"/>
        </w:rPr>
        <w:t>non</w:t>
      </w:r>
      <w:r>
        <w:rPr>
          <w:rStyle w:val="style87"/>
          <w:rFonts w:eastAsia="Arial MT"/>
        </w:rPr>
        <w:t>-</w:t>
      </w:r>
      <w:r>
        <w:rPr>
          <w:rStyle w:val="style87"/>
          <w:rFonts w:eastAsia="Arial MT"/>
          <w:b w:val="false"/>
        </w:rPr>
        <w:t>destructive</w:t>
      </w:r>
      <w:r>
        <w:rPr>
          <w:rStyle w:val="style87"/>
          <w:rFonts w:eastAsia="Arial MT"/>
        </w:rPr>
        <w:t xml:space="preserve"> </w:t>
      </w:r>
      <w:r>
        <w:rPr>
          <w:rStyle w:val="style87"/>
          <w:rFonts w:eastAsia="Arial MT"/>
          <w:b w:val="false"/>
        </w:rPr>
        <w:t>qualitative</w:t>
      </w:r>
      <w:r>
        <w:rPr>
          <w:rStyle w:val="style87"/>
          <w:rFonts w:eastAsia="Arial MT"/>
        </w:rPr>
        <w:t xml:space="preserve"> </w:t>
      </w:r>
      <w:r>
        <w:rPr>
          <w:rStyle w:val="style87"/>
          <w:rFonts w:eastAsia="Arial MT"/>
          <w:b w:val="false"/>
        </w:rPr>
        <w:t>tool</w:t>
      </w:r>
      <w:r>
        <w:t xml:space="preserve"> for ethanol detection in energy </w:t>
      </w:r>
      <w:r>
        <w:t>drinks, providing strong evidence before quantitative evaluation using UV–Visible spectrophotometry.</w:t>
      </w:r>
    </w:p>
    <w:bookmarkStart w:id="50" w:name="_Toc213929895"/>
    <w:p>
      <w:pPr>
        <w:pStyle w:val="style1"/>
        <w:rPr>
          <w:rFonts w:eastAsia="Times New Roman"/>
        </w:rPr>
      </w:pPr>
      <w:r>
        <w:rPr>
          <w:rFonts w:eastAsia="Times New Roman"/>
        </w:rPr>
        <w:t>4.2.2</w:t>
      </w:r>
      <w:r>
        <w:rPr>
          <w:rFonts w:eastAsia="Times New Roman"/>
        </w:rPr>
        <w:tab/>
      </w:r>
      <w:r>
        <w:rPr>
          <w:rFonts w:eastAsia="Times New Roman"/>
        </w:rPr>
        <w:t>UV–Visible Spectrophotometric Analysis</w:t>
      </w:r>
      <w:bookmarkEnd w:id="50"/>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The quantitative determination of ethanol was performed</w:t>
      </w:r>
      <w:r>
        <w:rPr>
          <w:rFonts w:ascii="Times New Roman" w:cs="Times New Roman" w:hAnsi="Times New Roman"/>
          <w:sz w:val="24"/>
          <w:szCs w:val="24"/>
        </w:rPr>
        <w:t xml:space="preserve"> using a Shimadzu UV–1650 spectrophotometer based on the acidified dichromate oxidation method. In this method, ethanol is oxidized by potassium dichromate (</w:t>
      </w:r>
      <w:r>
        <w:rPr>
          <w:rFonts w:ascii="Times New Roman" w:cs="Times New Roman" w:hAnsi="Times New Roman"/>
          <w:sz w:val="24"/>
          <w:szCs w:val="24"/>
        </w:rPr>
        <w:t>K₂Cr₂O</w:t>
      </w:r>
      <w:r>
        <w:rPr>
          <w:rFonts w:ascii="Times New Roman" w:cs="Times New Roman" w:hAnsi="Times New Roman"/>
          <w:sz w:val="24"/>
          <w:szCs w:val="24"/>
        </w:rPr>
        <w:t xml:space="preserve">₇) in an acidic medium (H₂SO₄), </w:t>
      </w:r>
      <w:r>
        <w:rPr>
          <w:rFonts w:ascii="Times New Roman" w:cs="Times New Roman" w:hAnsi="Times New Roman"/>
          <w:sz w:val="24"/>
          <w:szCs w:val="24"/>
        </w:rPr>
        <w:t>resulting in the reduction of</w:t>
      </w:r>
      <w:r>
        <w:rPr>
          <w:rFonts w:ascii="Times New Roman" w:cs="Times New Roman" w:hAnsi="Times New Roman"/>
          <w:sz w:val="24"/>
          <w:szCs w:val="24"/>
        </w:rPr>
        <w:t xml:space="preserve"> the orange-colored </w:t>
      </w:r>
      <w:r>
        <w:rPr>
          <w:rFonts w:ascii="Times New Roman" w:cs="Times New Roman" w:hAnsi="Times New Roman"/>
          <w:sz w:val="24"/>
          <w:szCs w:val="24"/>
        </w:rPr>
        <w:t>Cr(</w:t>
      </w:r>
      <w:r>
        <w:rPr>
          <w:rFonts w:ascii="Times New Roman" w:cs="Times New Roman" w:hAnsi="Times New Roman"/>
          <w:sz w:val="24"/>
          <w:szCs w:val="24"/>
        </w:rPr>
        <w:t>VI) ions to green Cr(III) ions. The decrease in absorbance at 350 nm was directly proportional to the ethanol concentration</w:t>
      </w:r>
      <w:r>
        <w:rPr>
          <w:rFonts w:ascii="Times New Roman" w:cs="Times New Roman" w:hAnsi="Times New Roman"/>
          <w:sz w:val="24"/>
          <w:szCs w:val="24"/>
        </w:rPr>
        <w:t>.</w:t>
      </w:r>
      <w:r>
        <w:rPr>
          <w:rFonts w:ascii="Times New Roman" w:cs="Times New Roman" w:hAnsi="Times New Roman"/>
          <w:sz w:val="24"/>
          <w:szCs w:val="24"/>
        </w:rPr>
        <w:t xml:space="preserve"> </w:t>
      </w:r>
      <w:r>
        <w:rPr>
          <w:rFonts w:ascii="Times New Roman" w:cs="Times New Roman" w:hAnsi="Times New Roman"/>
          <w:sz w:val="24"/>
          <w:szCs w:val="24"/>
        </w:rPr>
        <w:t>(</w:t>
      </w:r>
      <w:r>
        <w:rPr>
          <w:rFonts w:ascii="Times New Roman" w:cs="Times New Roman" w:hAnsi="Times New Roman"/>
          <w:sz w:val="24"/>
          <w:szCs w:val="24"/>
        </w:rPr>
        <w:t xml:space="preserve">Lau </w:t>
      </w:r>
      <w:r>
        <w:rPr>
          <w:rFonts w:ascii="Times New Roman" w:cs="Times New Roman" w:hAnsi="Times New Roman"/>
          <w:sz w:val="24"/>
          <w:szCs w:val="24"/>
        </w:rPr>
        <w:t>&amp;</w:t>
      </w:r>
      <w:r>
        <w:rPr>
          <w:rFonts w:ascii="Times New Roman" w:cs="Times New Roman" w:hAnsi="Times New Roman"/>
          <w:sz w:val="24"/>
          <w:szCs w:val="24"/>
        </w:rPr>
        <w:t xml:space="preserve"> </w:t>
      </w:r>
      <w:r>
        <w:rPr>
          <w:rFonts w:ascii="Times New Roman" w:cs="Times New Roman" w:hAnsi="Times New Roman"/>
          <w:sz w:val="24"/>
          <w:szCs w:val="24"/>
        </w:rPr>
        <w:t>Luk</w:t>
      </w:r>
      <w:r>
        <w:rPr>
          <w:rFonts w:ascii="Times New Roman" w:cs="Times New Roman" w:hAnsi="Times New Roman"/>
          <w:sz w:val="24"/>
          <w:szCs w:val="24"/>
        </w:rPr>
        <w:t xml:space="preserve">, </w:t>
      </w:r>
      <w:r>
        <w:rPr>
          <w:rFonts w:ascii="Times New Roman" w:cs="Times New Roman" w:hAnsi="Times New Roman"/>
          <w:sz w:val="24"/>
          <w:szCs w:val="24"/>
        </w:rPr>
        <w:t>1994).</w:t>
      </w:r>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A calibration curve constructed from standard ethanol solutions (0.01–1.00% v/v) exhibited strong linearity, following the equation:</w:t>
      </w:r>
    </w:p>
    <w:p>
      <w:pPr>
        <w:pStyle w:val="style0"/>
        <w:spacing w:lineRule="auto" w:line="480"/>
        <w:jc w:val="both"/>
        <w:rPr>
          <w:rFonts w:ascii="Times New Roman" w:cs="Times New Roman" w:hAnsi="Times New Roman"/>
          <w:sz w:val="24"/>
          <w:szCs w:val="24"/>
        </w:rPr>
      </w:pPr>
      <w:r>
        <w:rPr>
          <w:rFonts w:ascii="Times New Roman" w:cs="Times New Roman" w:hAnsi="Times New Roman"/>
          <w:b/>
          <w:bCs/>
          <w:sz w:val="24"/>
          <w:szCs w:val="24"/>
        </w:rPr>
        <w:t xml:space="preserve">                </w:t>
      </w:r>
      <w:r>
        <w:rPr>
          <w:rFonts w:ascii="Times New Roman" w:cs="Times New Roman" w:hAnsi="Times New Roman"/>
          <w:sz w:val="24"/>
          <w:szCs w:val="24"/>
        </w:rPr>
        <w:t>A = 0.0647C + 0.0028 (R² = 0.9989)</w:t>
      </w:r>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 xml:space="preserve">This high correlation confirmed compliance with Beer–Lambert’s law, validating the method’s precision and accuracy. The measured ethanol concentrations obtained from the calibration curve were corrected for the dilution factor (DF = 2), since 50 mL of each sample distillate was diluted to 100 mL </w:t>
      </w:r>
      <w:r>
        <w:rPr>
          <w:rFonts w:ascii="Times New Roman" w:cs="Times New Roman" w:hAnsi="Times New Roman"/>
          <w:sz w:val="24"/>
          <w:szCs w:val="24"/>
        </w:rPr>
        <w:t>before</w:t>
      </w:r>
      <w:r>
        <w:rPr>
          <w:rFonts w:ascii="Times New Roman" w:cs="Times New Roman" w:hAnsi="Times New Roman"/>
          <w:sz w:val="24"/>
          <w:szCs w:val="24"/>
        </w:rPr>
        <w:t xml:space="preserve"> analysis.</w:t>
      </w:r>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After correction, ethanol concentrations were</w:t>
      </w:r>
      <w:r>
        <w:rPr>
          <w:rFonts w:ascii="Times New Roman" w:cs="Times New Roman" w:hAnsi="Times New Roman"/>
          <w:sz w:val="24"/>
          <w:szCs w:val="24"/>
        </w:rPr>
        <w:t xml:space="preserve"> as follows</w:t>
      </w:r>
      <w:r>
        <w:rPr>
          <w:rFonts w:ascii="Times New Roman" w:cs="Times New Roman" w:hAnsi="Times New Roman"/>
          <w:sz w:val="24"/>
          <w:szCs w:val="24"/>
        </w:rPr>
        <w:t>:</w:t>
      </w:r>
      <w:r>
        <w:rPr>
          <w:rFonts w:ascii="Times New Roman" w:cs="Times New Roman" w:hAnsi="Times New Roman"/>
          <w:sz w:val="24"/>
          <w:szCs w:val="24"/>
        </w:rPr>
        <w:br/>
      </w:r>
      <w:r>
        <w:rPr>
          <w:rFonts w:ascii="Times New Roman" w:cs="Times New Roman" w:hAnsi="Times New Roman"/>
          <w:sz w:val="24"/>
          <w:szCs w:val="24"/>
        </w:rPr>
        <w:t>Monster (0.16% v/v), Predator (0.18% v/v), Climax (0.10% v/v), Red Bull (0.04% v/v), and Power Horse (0.28% v/v).</w:t>
      </w:r>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 xml:space="preserve">All corrected values remained below the 0.5% v/v threshold defined by NAFDAC (2021) and WHO (2014) for non-alcoholic beverages. The slightly higher ethanol levels observed in Power Horse and Predator may result from differences in sugar composition, storage duration, or manufacturing conditions. The visible color transition from orange to green </w:t>
      </w:r>
      <w:r>
        <w:rPr>
          <w:rFonts w:ascii="Times New Roman" w:cs="Times New Roman" w:hAnsi="Times New Roman"/>
          <w:sz w:val="24"/>
          <w:szCs w:val="24"/>
        </w:rPr>
        <w:t xml:space="preserve">confirmed ethanol oxidation and reduction of </w:t>
      </w:r>
      <w:r>
        <w:rPr>
          <w:rFonts w:ascii="Times New Roman" w:cs="Times New Roman" w:hAnsi="Times New Roman"/>
          <w:sz w:val="24"/>
          <w:szCs w:val="24"/>
        </w:rPr>
        <w:t>Cr(</w:t>
      </w:r>
      <w:r>
        <w:rPr>
          <w:rFonts w:ascii="Times New Roman" w:cs="Times New Roman" w:hAnsi="Times New Roman"/>
          <w:sz w:val="24"/>
          <w:szCs w:val="24"/>
        </w:rPr>
        <w:t>VI) to Cr(III). Overall, the method proved sensitive, reproducible, and reliable, consistent with previous findings by Mansur et al. (2022).</w:t>
      </w:r>
    </w:p>
    <w:bookmarkStart w:id="51" w:name="_Toc213929896"/>
    <w:p>
      <w:pPr>
        <w:pStyle w:val="style1"/>
        <w:rPr>
          <w:rFonts w:eastAsia="Times New Roman"/>
        </w:rPr>
      </w:pPr>
      <w:r>
        <w:t xml:space="preserve">4.2.3    </w:t>
      </w:r>
      <w:r>
        <w:rPr>
          <w:rFonts w:eastAsia="Times New Roman"/>
        </w:rPr>
        <w:t>Comparison of FTIR and UV–Visible Methods</w:t>
      </w:r>
      <w:bookmarkEnd w:id="51"/>
    </w:p>
    <w:p>
      <w:pPr>
        <w:pStyle w:val="style94"/>
        <w:spacing w:lineRule="auto" w:line="480"/>
        <w:jc w:val="both"/>
        <w:rPr/>
      </w:pPr>
      <w:r>
        <w:t xml:space="preserve">The combination of </w:t>
      </w:r>
      <w:r>
        <w:rPr>
          <w:rStyle w:val="style87"/>
          <w:rFonts w:eastAsia="Arial MT"/>
          <w:b w:val="false"/>
        </w:rPr>
        <w:t>FTIR</w:t>
      </w:r>
      <w:r>
        <w:t xml:space="preserve"> and </w:t>
      </w:r>
      <w:r>
        <w:rPr>
          <w:rStyle w:val="style87"/>
          <w:rFonts w:eastAsia="Arial MT"/>
          <w:b w:val="false"/>
        </w:rPr>
        <w:t>UV–Vis spectrophotometric</w:t>
      </w:r>
      <w:r>
        <w:t xml:space="preserve"> techniques produced consistent and complementary results. FTIR provided </w:t>
      </w:r>
      <w:r>
        <w:rPr>
          <w:rStyle w:val="style87"/>
          <w:rFonts w:eastAsia="Arial MT"/>
          <w:b w:val="false"/>
        </w:rPr>
        <w:t>qualitative</w:t>
      </w:r>
      <w:r>
        <w:rPr>
          <w:rStyle w:val="style87"/>
          <w:rFonts w:eastAsia="Arial MT"/>
        </w:rPr>
        <w:t xml:space="preserve"> </w:t>
      </w:r>
      <w:r>
        <w:rPr>
          <w:rStyle w:val="style87"/>
          <w:rFonts w:eastAsia="Arial MT"/>
          <w:b w:val="false"/>
        </w:rPr>
        <w:t>evidence</w:t>
      </w:r>
      <w:r>
        <w:t xml:space="preserve"> of ethanol through characteristic vibrational bands, while UV–Vis</w:t>
      </w:r>
      <w:r>
        <w:t xml:space="preserve"> </w:t>
      </w:r>
      <w:r>
        <w:t xml:space="preserve">spectroscopy delivered </w:t>
      </w:r>
      <w:r>
        <w:rPr>
          <w:rStyle w:val="style87"/>
          <w:rFonts w:eastAsia="Arial MT"/>
          <w:b w:val="false"/>
        </w:rPr>
        <w:t>quantitative</w:t>
      </w:r>
      <w:r>
        <w:rPr>
          <w:rStyle w:val="style87"/>
          <w:rFonts w:eastAsia="Arial MT"/>
        </w:rPr>
        <w:t xml:space="preserve"> </w:t>
      </w:r>
      <w:r>
        <w:rPr>
          <w:rStyle w:val="style87"/>
          <w:rFonts w:eastAsia="Arial MT"/>
          <w:b w:val="false"/>
        </w:rPr>
        <w:t>measurement</w:t>
      </w:r>
      <w:r>
        <w:t xml:space="preserve"> of ethanol concentration based on </w:t>
      </w:r>
      <w:r>
        <w:t>di</w:t>
      </w:r>
      <w:r>
        <w:t>chromate reduction.</w:t>
      </w:r>
    </w:p>
    <w:p>
      <w:pPr>
        <w:pStyle w:val="style94"/>
        <w:spacing w:lineRule="auto" w:line="480"/>
        <w:jc w:val="both"/>
        <w:rPr/>
      </w:pPr>
      <w:r>
        <w:t xml:space="preserve">The correlation between the two methods validates the reliability of the analytical process. FTIR was advantageous for </w:t>
      </w:r>
      <w:r>
        <w:rPr>
          <w:rStyle w:val="style87"/>
          <w:rFonts w:eastAsia="Arial MT"/>
          <w:b w:val="false"/>
        </w:rPr>
        <w:t>rapid</w:t>
      </w:r>
      <w:r>
        <w:rPr>
          <w:rStyle w:val="style87"/>
          <w:rFonts w:eastAsia="Arial MT"/>
        </w:rPr>
        <w:t xml:space="preserve">, </w:t>
      </w:r>
      <w:r>
        <w:rPr>
          <w:rStyle w:val="style87"/>
          <w:rFonts w:eastAsia="Arial MT"/>
          <w:b w:val="false"/>
        </w:rPr>
        <w:t>non</w:t>
      </w:r>
      <w:r>
        <w:rPr>
          <w:rStyle w:val="style87"/>
          <w:rFonts w:eastAsia="Arial MT"/>
        </w:rPr>
        <w:t>-</w:t>
      </w:r>
      <w:r>
        <w:rPr>
          <w:rStyle w:val="style87"/>
          <w:rFonts w:eastAsia="Arial MT"/>
          <w:b w:val="false"/>
        </w:rPr>
        <w:t>destructive</w:t>
      </w:r>
      <w:r>
        <w:rPr>
          <w:rStyle w:val="style87"/>
          <w:rFonts w:eastAsia="Arial MT"/>
        </w:rPr>
        <w:t xml:space="preserve"> </w:t>
      </w:r>
      <w:r>
        <w:rPr>
          <w:rStyle w:val="style87"/>
          <w:rFonts w:eastAsia="Arial MT"/>
          <w:b w:val="false"/>
        </w:rPr>
        <w:t>screening</w:t>
      </w:r>
      <w:r>
        <w:t xml:space="preserve"> and molecular confirmation, whereas UV–Vis offered </w:t>
      </w:r>
      <w:r>
        <w:rPr>
          <w:rStyle w:val="style87"/>
          <w:rFonts w:eastAsia="Arial MT"/>
          <w:b w:val="false"/>
        </w:rPr>
        <w:t>precise</w:t>
      </w:r>
      <w:r>
        <w:rPr>
          <w:rStyle w:val="style87"/>
          <w:rFonts w:eastAsia="Arial MT"/>
        </w:rPr>
        <w:t xml:space="preserve"> </w:t>
      </w:r>
      <w:r>
        <w:rPr>
          <w:rStyle w:val="style87"/>
          <w:rFonts w:eastAsia="Arial MT"/>
          <w:b w:val="false"/>
        </w:rPr>
        <w:t>quantitative</w:t>
      </w:r>
      <w:r>
        <w:rPr>
          <w:rStyle w:val="style87"/>
          <w:rFonts w:eastAsia="Arial MT"/>
        </w:rPr>
        <w:t xml:space="preserve"> </w:t>
      </w:r>
      <w:r>
        <w:rPr>
          <w:rStyle w:val="style87"/>
          <w:rFonts w:eastAsia="Arial MT"/>
          <w:b w:val="false"/>
        </w:rPr>
        <w:t>estimation</w:t>
      </w:r>
      <w:r>
        <w:t xml:space="preserve"> of ethanol content. Together, the techniques ensured comprehensive analytical accuracy and regulatory verification, aligning with earlier reports by </w:t>
      </w:r>
      <w:r>
        <w:rPr>
          <w:rStyle w:val="style87"/>
          <w:rFonts w:eastAsia="Arial MT"/>
          <w:b w:val="false"/>
        </w:rPr>
        <w:t>Rodriguez</w:t>
      </w:r>
      <w:r>
        <w:rPr>
          <w:rStyle w:val="style87"/>
          <w:rFonts w:eastAsia="Arial MT"/>
        </w:rPr>
        <w:t>-</w:t>
      </w:r>
      <w:r>
        <w:rPr>
          <w:rStyle w:val="style87"/>
          <w:rFonts w:eastAsia="Arial MT"/>
          <w:b w:val="false"/>
        </w:rPr>
        <w:t>Saona</w:t>
      </w:r>
      <w:r>
        <w:rPr>
          <w:rStyle w:val="style87"/>
          <w:rFonts w:eastAsia="Arial MT"/>
        </w:rPr>
        <w:t xml:space="preserve"> </w:t>
      </w:r>
      <w:r>
        <w:rPr>
          <w:rStyle w:val="style87"/>
          <w:rFonts w:eastAsia="Arial MT"/>
          <w:b w:val="false"/>
        </w:rPr>
        <w:t>and</w:t>
      </w:r>
      <w:r>
        <w:rPr>
          <w:rStyle w:val="style87"/>
          <w:rFonts w:eastAsia="Arial MT"/>
        </w:rPr>
        <w:t xml:space="preserve"> </w:t>
      </w:r>
      <w:r>
        <w:rPr>
          <w:rStyle w:val="style87"/>
          <w:rFonts w:eastAsia="Arial MT"/>
          <w:b w:val="false"/>
        </w:rPr>
        <w:t>Allendorf</w:t>
      </w:r>
      <w:r>
        <w:rPr>
          <w:rStyle w:val="style87"/>
          <w:rFonts w:eastAsia="Arial MT"/>
        </w:rPr>
        <w:t xml:space="preserve"> (</w:t>
      </w:r>
      <w:r>
        <w:rPr>
          <w:rStyle w:val="style87"/>
          <w:rFonts w:eastAsia="Arial MT"/>
          <w:b w:val="false"/>
        </w:rPr>
        <w:t>2011</w:t>
      </w:r>
      <w:r>
        <w:rPr>
          <w:rStyle w:val="style87"/>
          <w:rFonts w:eastAsia="Arial MT"/>
        </w:rPr>
        <w:t>)</w:t>
      </w:r>
      <w:r>
        <w:t xml:space="preserve"> and </w:t>
      </w:r>
      <w:r>
        <w:rPr>
          <w:rStyle w:val="style87"/>
          <w:rFonts w:eastAsia="Arial MT"/>
          <w:b w:val="false"/>
        </w:rPr>
        <w:t>Mansur</w:t>
      </w:r>
      <w:r>
        <w:rPr>
          <w:rStyle w:val="style87"/>
          <w:rFonts w:eastAsia="Arial MT"/>
        </w:rPr>
        <w:t xml:space="preserve"> </w:t>
      </w:r>
      <w:r>
        <w:rPr>
          <w:rStyle w:val="style87"/>
          <w:rFonts w:eastAsia="Arial MT"/>
          <w:b w:val="false"/>
          <w:i/>
        </w:rPr>
        <w:t>et</w:t>
      </w:r>
      <w:r>
        <w:rPr>
          <w:rStyle w:val="style87"/>
          <w:rFonts w:eastAsia="Arial MT"/>
        </w:rPr>
        <w:t xml:space="preserve"> </w:t>
      </w:r>
      <w:r>
        <w:rPr>
          <w:rStyle w:val="style87"/>
          <w:rFonts w:eastAsia="Arial MT"/>
          <w:b w:val="false"/>
        </w:rPr>
        <w:t>al</w:t>
      </w:r>
      <w:r>
        <w:rPr>
          <w:rStyle w:val="style87"/>
          <w:rFonts w:eastAsia="Arial MT"/>
        </w:rPr>
        <w:t xml:space="preserve">. </w:t>
      </w:r>
      <w:r>
        <w:rPr>
          <w:rStyle w:val="style87"/>
          <w:rFonts w:eastAsia="Arial MT"/>
          <w:b w:val="false"/>
        </w:rPr>
        <w:t>(2022)</w:t>
      </w:r>
      <w:r>
        <w:t xml:space="preserve"> on spectroscopic food authentication.</w:t>
      </w:r>
    </w:p>
    <w:bookmarkStart w:id="52" w:name="_Toc213929897"/>
    <w:p>
      <w:pPr>
        <w:pStyle w:val="style1"/>
        <w:rPr>
          <w:rFonts w:eastAsia="Times New Roman"/>
        </w:rPr>
      </w:pPr>
      <w:r>
        <w:rPr>
          <w:rFonts w:eastAsia="Times New Roman"/>
        </w:rPr>
        <w:t>4.2.4</w:t>
      </w:r>
      <w:r>
        <w:rPr>
          <w:rFonts w:eastAsia="Times New Roman"/>
        </w:rPr>
        <w:tab/>
      </w:r>
      <w:r>
        <w:rPr>
          <w:rFonts w:eastAsia="Times New Roman"/>
        </w:rPr>
        <w:t>Compliance with Regulatory Standards</w:t>
      </w:r>
      <w:bookmarkEnd w:id="52"/>
    </w:p>
    <w:p>
      <w:pPr>
        <w:pStyle w:val="style94"/>
        <w:spacing w:lineRule="auto" w:line="480"/>
        <w:jc w:val="both"/>
        <w:rPr/>
      </w:pPr>
      <w:r>
        <w:t xml:space="preserve">According to </w:t>
      </w:r>
      <w:r>
        <w:rPr>
          <w:rStyle w:val="style87"/>
          <w:rFonts w:eastAsia="Arial MT"/>
          <w:b w:val="false"/>
        </w:rPr>
        <w:t>NAFDAC</w:t>
      </w:r>
      <w:r>
        <w:rPr>
          <w:rStyle w:val="style87"/>
          <w:rFonts w:eastAsia="Arial MT"/>
        </w:rPr>
        <w:t xml:space="preserve"> </w:t>
      </w:r>
      <w:r>
        <w:rPr>
          <w:rStyle w:val="style87"/>
          <w:rFonts w:eastAsia="Arial MT"/>
          <w:b w:val="false"/>
        </w:rPr>
        <w:t>(2021)</w:t>
      </w:r>
      <w:r>
        <w:rPr>
          <w:b/>
        </w:rPr>
        <w:t xml:space="preserve"> </w:t>
      </w:r>
      <w:r>
        <w:t>and</w:t>
      </w:r>
      <w:r>
        <w:rPr>
          <w:b/>
        </w:rPr>
        <w:t xml:space="preserve"> </w:t>
      </w:r>
      <w:r>
        <w:rPr>
          <w:rStyle w:val="style87"/>
          <w:rFonts w:eastAsia="Arial MT"/>
          <w:b w:val="false"/>
        </w:rPr>
        <w:t>WHO (2014)</w:t>
      </w:r>
      <w:r>
        <w:rPr>
          <w:b/>
        </w:rPr>
        <w:t xml:space="preserve"> </w:t>
      </w:r>
      <w:r>
        <w:t xml:space="preserve">guidelines, beverages containing less than </w:t>
      </w:r>
      <w:r>
        <w:rPr>
          <w:rStyle w:val="style87"/>
          <w:rFonts w:eastAsia="Arial MT"/>
          <w:b w:val="false"/>
        </w:rPr>
        <w:t>0.5% v/v ethanol</w:t>
      </w:r>
      <w:r>
        <w:t xml:space="preserve"> are categorized as </w:t>
      </w:r>
      <w:r>
        <w:rPr>
          <w:rStyle w:val="style87"/>
          <w:rFonts w:eastAsia="Arial MT"/>
          <w:b w:val="false"/>
        </w:rPr>
        <w:t>non</w:t>
      </w:r>
      <w:r>
        <w:rPr>
          <w:rStyle w:val="style87"/>
          <w:rFonts w:eastAsia="Arial MT"/>
        </w:rPr>
        <w:t>-</w:t>
      </w:r>
      <w:r>
        <w:rPr>
          <w:rStyle w:val="style87"/>
          <w:rFonts w:eastAsia="Arial MT"/>
          <w:b w:val="false"/>
        </w:rPr>
        <w:t>alcoholic</w:t>
      </w:r>
      <w:r>
        <w:t>. The ethanol concentrations obtained in this study for all five energy drink brands were well below this threshold, confirming their compliance with national and international standards.</w:t>
      </w:r>
    </w:p>
    <w:p>
      <w:pPr>
        <w:pStyle w:val="style94"/>
        <w:spacing w:lineRule="auto" w:line="480"/>
        <w:jc w:val="both"/>
        <w:rPr/>
      </w:pPr>
      <w:r>
        <w:t xml:space="preserve">This finding signifies that </w:t>
      </w:r>
      <w:r>
        <w:rPr>
          <w:rStyle w:val="style87"/>
          <w:rFonts w:eastAsia="Arial MT"/>
          <w:b w:val="false"/>
        </w:rPr>
        <w:t>Monster Energy, Predator, Climax, Red Bull, and Power Horse</w:t>
      </w:r>
      <w:r>
        <w:t xml:space="preserve"> are safe for public consumption and appropriately labeled as non-alcoholic. Trace ethanol levels </w:t>
      </w:r>
      <w:r>
        <w:t xml:space="preserve">are likely derived from </w:t>
      </w:r>
      <w:r>
        <w:rPr>
          <w:rStyle w:val="style87"/>
          <w:rFonts w:eastAsia="Arial MT"/>
          <w:b w:val="false"/>
        </w:rPr>
        <w:t>natural fermentation of sugars</w:t>
      </w:r>
      <w:r>
        <w:rPr>
          <w:b/>
        </w:rPr>
        <w:t xml:space="preserve">, </w:t>
      </w:r>
      <w:r>
        <w:rPr>
          <w:rStyle w:val="style87"/>
          <w:rFonts w:eastAsia="Arial MT"/>
          <w:b w:val="false"/>
        </w:rPr>
        <w:t>flavoring additives</w:t>
      </w:r>
      <w:r>
        <w:rPr>
          <w:b/>
        </w:rPr>
        <w:t xml:space="preserve">, </w:t>
      </w:r>
      <w:r>
        <w:t>or</w:t>
      </w:r>
      <w:r>
        <w:rPr>
          <w:b/>
        </w:rPr>
        <w:t xml:space="preserve"> </w:t>
      </w:r>
      <w:r>
        <w:rPr>
          <w:rStyle w:val="style87"/>
          <w:rFonts w:eastAsia="Arial MT"/>
          <w:b w:val="false"/>
        </w:rPr>
        <w:t>storage effects</w:t>
      </w:r>
      <w:r>
        <w:t xml:space="preserve"> rather than intentional inclusion.</w:t>
      </w:r>
    </w:p>
    <w:p>
      <w:pPr>
        <w:pStyle w:val="style94"/>
        <w:spacing w:lineRule="auto" w:line="480"/>
        <w:jc w:val="both"/>
        <w:rPr/>
      </w:pPr>
      <w:r>
        <w:t xml:space="preserve">However, the presence of trace ethanol highlights the need for </w:t>
      </w:r>
      <w:r>
        <w:rPr>
          <w:rStyle w:val="style87"/>
          <w:rFonts w:eastAsia="Arial MT"/>
          <w:b w:val="false"/>
        </w:rPr>
        <w:t>continuous regulatory</w:t>
      </w:r>
      <w:r>
        <w:rPr>
          <w:rStyle w:val="style87"/>
          <w:rFonts w:eastAsia="Arial MT"/>
        </w:rPr>
        <w:t xml:space="preserve"> </w:t>
      </w:r>
      <w:r>
        <w:rPr>
          <w:rStyle w:val="style87"/>
          <w:rFonts w:eastAsia="Arial MT"/>
          <w:b w:val="false"/>
        </w:rPr>
        <w:t>surveillance</w:t>
      </w:r>
      <w:r>
        <w:t xml:space="preserve"> to ensure product stability and labeling accuracy. Regular monitoring by </w:t>
      </w:r>
      <w:r>
        <w:rPr>
          <w:rStyle w:val="style87"/>
          <w:rFonts w:eastAsia="Arial MT"/>
          <w:b w:val="false"/>
        </w:rPr>
        <w:t>NAFDAC</w:t>
      </w:r>
      <w:r>
        <w:t xml:space="preserve"> and related agencies is recommended to maintain product integrity, protect consumers, and prevent the sale of mislabeled beverages.</w:t>
      </w:r>
    </w:p>
    <w:p>
      <w:pPr>
        <w:pStyle w:val="style0"/>
        <w:spacing w:lineRule="auto" w:line="480"/>
        <w:jc w:val="both"/>
        <w:rPr>
          <w:rFonts w:ascii="Times New Roman" w:cs="Times New Roman" w:hAnsi="Times New Roman"/>
          <w:sz w:val="24"/>
          <w:szCs w:val="24"/>
        </w:rPr>
      </w:pPr>
    </w:p>
    <w:p>
      <w:pPr>
        <w:pStyle w:val="style0"/>
        <w:spacing w:before="100" w:beforeAutospacing="true" w:after="100" w:afterAutospacing="true" w:lineRule="auto" w:line="480"/>
        <w:jc w:val="both"/>
        <w:outlineLvl w:val="0"/>
        <w:rPr>
          <w:rFonts w:ascii="Times New Roman" w:cs="Times New Roman" w:hAnsi="Times New Roman"/>
          <w:sz w:val="24"/>
          <w:szCs w:val="24"/>
        </w:rPr>
      </w:pPr>
    </w:p>
    <w:p>
      <w:pPr>
        <w:pStyle w:val="style0"/>
        <w:spacing w:before="100" w:beforeAutospacing="true" w:after="100" w:afterAutospacing="true" w:lineRule="auto" w:line="480"/>
        <w:jc w:val="both"/>
        <w:outlineLvl w:val="0"/>
        <w:rPr>
          <w:rFonts w:ascii="Times New Roman" w:cs="Times New Roman" w:eastAsia="Times New Roman" w:hAnsi="Times New Roman"/>
          <w:b/>
          <w:bCs/>
          <w:kern w:val="36"/>
          <w:sz w:val="24"/>
          <w:szCs w:val="24"/>
        </w:rPr>
      </w:pPr>
    </w:p>
    <w:p>
      <w:pPr>
        <w:pStyle w:val="style0"/>
        <w:spacing w:lineRule="auto" w:line="480"/>
        <w:rPr>
          <w:rFonts w:ascii="Times New Roman" w:cs="Times New Roman" w:eastAsia="Times New Roman" w:hAnsi="Times New Roman"/>
          <w:b/>
          <w:bCs/>
          <w:kern w:val="36"/>
          <w:sz w:val="24"/>
          <w:szCs w:val="24"/>
        </w:rPr>
      </w:pPr>
      <w:r>
        <w:rPr>
          <w:rFonts w:ascii="Times New Roman" w:cs="Times New Roman" w:eastAsia="Times New Roman" w:hAnsi="Times New Roman"/>
          <w:b/>
          <w:bCs/>
          <w:kern w:val="36"/>
          <w:sz w:val="24"/>
          <w:szCs w:val="24"/>
        </w:rPr>
        <w:br w:type="page"/>
      </w:r>
    </w:p>
    <w:bookmarkStart w:id="53" w:name="_Toc213929898"/>
    <w:p>
      <w:pPr>
        <w:pStyle w:val="style1"/>
        <w:jc w:val="center"/>
        <w:rPr>
          <w:rFonts w:eastAsia="Times New Roman"/>
        </w:rPr>
      </w:pPr>
      <w:r>
        <w:rPr>
          <w:rFonts w:eastAsia="Times New Roman"/>
        </w:rPr>
        <w:t>CHAPTER FIVE</w:t>
      </w:r>
      <w:bookmarkEnd w:id="53"/>
    </w:p>
    <w:p>
      <w:pPr>
        <w:pStyle w:val="style1"/>
        <w:jc w:val="center"/>
        <w:rPr>
          <w:rFonts w:eastAsia="Times New Roman"/>
        </w:rPr>
      </w:pPr>
      <w:r>
        <w:rPr>
          <w:rFonts w:eastAsia="Times New Roman"/>
        </w:rPr>
        <w:t xml:space="preserve"> </w:t>
      </w:r>
      <w:bookmarkStart w:id="54" w:name="_Toc213929899"/>
      <w:r>
        <w:rPr>
          <w:rFonts w:eastAsia="Times New Roman"/>
        </w:rPr>
        <w:t>CONCLUSION AND RECOMMENDATIONS</w:t>
      </w:r>
      <w:bookmarkEnd w:id="54"/>
    </w:p>
    <w:bookmarkStart w:id="55" w:name="_Toc213929900"/>
    <w:p>
      <w:pPr>
        <w:pStyle w:val="style1"/>
        <w:rPr>
          <w:rFonts w:eastAsia="Times New Roman"/>
        </w:rPr>
      </w:pPr>
      <w:r>
        <w:rPr>
          <w:rFonts w:eastAsia="Times New Roman"/>
        </w:rPr>
        <w:t>5.</w:t>
      </w:r>
      <w:r>
        <w:rPr>
          <w:rFonts w:eastAsia="Times New Roman"/>
        </w:rPr>
        <w:t>1</w:t>
      </w:r>
      <w:r>
        <w:rPr>
          <w:rFonts w:eastAsia="Times New Roman"/>
        </w:rPr>
        <w:tab/>
      </w:r>
      <w:r>
        <w:rPr>
          <w:rFonts w:eastAsia="Times New Roman"/>
        </w:rPr>
        <w:t>Conclusion</w:t>
      </w:r>
      <w:bookmarkEnd w:id="55"/>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The findings of this study revealed that all the analyzed energy drink brands (Monster Energy, Predator, Climax, Red Bull, and Power Horse) contained trace amounts of ethanol, but all values remained within the permissible limits for non-alcoholic beverages. After applying the dilution correction, the ethanol concentrations ranged from 0.04%</w:t>
      </w:r>
      <w:r>
        <w:rPr>
          <w:rFonts w:ascii="Times New Roman" w:cs="Times New Roman" w:hAnsi="Times New Roman"/>
          <w:b/>
          <w:bCs/>
          <w:sz w:val="24"/>
          <w:szCs w:val="24"/>
        </w:rPr>
        <w:t xml:space="preserve"> </w:t>
      </w:r>
      <w:r>
        <w:rPr>
          <w:rFonts w:ascii="Times New Roman" w:cs="Times New Roman" w:hAnsi="Times New Roman"/>
          <w:sz w:val="24"/>
          <w:szCs w:val="24"/>
        </w:rPr>
        <w:t>to 0.28% v/v, which are well below the 0.5% v/v threshold specified by the National Agency for Food and Drug Administration and Control (NAFDAC, 2021) and the World Health Organization (WHO, 2014).</w:t>
      </w:r>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The combined application of Fourier Transform Infrared (FTIR) spectroscopy and Ultraviolet</w:t>
      </w:r>
      <w:r>
        <w:rPr>
          <w:rFonts w:ascii="Times New Roman" w:cs="Times New Roman" w:hAnsi="Times New Roman"/>
          <w:b/>
          <w:bCs/>
          <w:sz w:val="24"/>
          <w:szCs w:val="24"/>
        </w:rPr>
        <w:t>–</w:t>
      </w:r>
      <w:r>
        <w:rPr>
          <w:rFonts w:ascii="Times New Roman" w:cs="Times New Roman" w:hAnsi="Times New Roman"/>
          <w:sz w:val="24"/>
          <w:szCs w:val="24"/>
        </w:rPr>
        <w:t>Visible</w:t>
      </w:r>
      <w:r>
        <w:rPr>
          <w:rFonts w:ascii="Times New Roman" w:cs="Times New Roman" w:hAnsi="Times New Roman"/>
          <w:b/>
          <w:bCs/>
          <w:sz w:val="24"/>
          <w:szCs w:val="24"/>
        </w:rPr>
        <w:t xml:space="preserve"> (</w:t>
      </w:r>
      <w:r>
        <w:rPr>
          <w:rFonts w:ascii="Times New Roman" w:cs="Times New Roman" w:hAnsi="Times New Roman"/>
          <w:sz w:val="24"/>
          <w:szCs w:val="24"/>
        </w:rPr>
        <w:t>UV</w:t>
      </w:r>
      <w:r>
        <w:rPr>
          <w:rFonts w:ascii="Times New Roman" w:cs="Times New Roman" w:hAnsi="Times New Roman"/>
          <w:b/>
          <w:bCs/>
          <w:sz w:val="24"/>
          <w:szCs w:val="24"/>
        </w:rPr>
        <w:t>–</w:t>
      </w:r>
      <w:r>
        <w:rPr>
          <w:rFonts w:ascii="Times New Roman" w:cs="Times New Roman" w:hAnsi="Times New Roman"/>
          <w:sz w:val="24"/>
          <w:szCs w:val="24"/>
        </w:rPr>
        <w:t>Vis</w:t>
      </w:r>
      <w:r>
        <w:rPr>
          <w:rFonts w:ascii="Times New Roman" w:cs="Times New Roman" w:hAnsi="Times New Roman"/>
          <w:b/>
          <w:bCs/>
          <w:sz w:val="24"/>
          <w:szCs w:val="24"/>
        </w:rPr>
        <w:t xml:space="preserve">) </w:t>
      </w:r>
      <w:r>
        <w:rPr>
          <w:rFonts w:ascii="Times New Roman" w:cs="Times New Roman" w:hAnsi="Times New Roman"/>
          <w:sz w:val="24"/>
          <w:szCs w:val="24"/>
        </w:rPr>
        <w:t>spectrophotometry proved effective and complementary in the detection and quantification of ethanol. FTIR analysis provided rapid qualitative identification of ethanol functional groups through characteristic O–H and C–O vibrational bands, while UV–Vis spectrophotometry offered accurate quantitative measurement following Beer–Lambert’s law, confirming the reliability of the analytical approach.</w:t>
      </w:r>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 xml:space="preserve">Overall, the results demonstrate that the tested beverages meet regulatory definitions of non-alcoholic drinks and are safe for general consumption. Nevertheless, the detection of trace ethanol may be attributed to natural sugar fermentation during storage, formulation additives, or minor contamination during production. </w:t>
      </w:r>
    </w:p>
    <w:bookmarkStart w:id="56" w:name="_Toc213929901"/>
    <w:p>
      <w:pPr>
        <w:pStyle w:val="style1"/>
        <w:rPr>
          <w:rFonts w:cs="Times New Roman"/>
          <w:szCs w:val="24"/>
        </w:rPr>
      </w:pPr>
      <w:r>
        <w:rPr>
          <w:rFonts w:eastAsia="Times New Roman"/>
        </w:rPr>
        <w:t>5.</w:t>
      </w:r>
      <w:r>
        <w:rPr>
          <w:rFonts w:eastAsia="Times New Roman"/>
        </w:rPr>
        <w:t>2</w:t>
      </w:r>
      <w:r>
        <w:rPr>
          <w:rFonts w:eastAsia="Times New Roman"/>
        </w:rPr>
        <w:tab/>
      </w:r>
      <w:r>
        <w:rPr>
          <w:rFonts w:eastAsia="Times New Roman"/>
        </w:rPr>
        <w:t>Recommendations</w:t>
      </w:r>
      <w:bookmarkStart w:id="57" w:name="_Toc213063380"/>
      <w:r>
        <w:rPr>
          <w:rFonts w:cs="Times New Roman"/>
          <w:szCs w:val="24"/>
        </w:rPr>
        <w:t>:</w:t>
      </w:r>
      <w:bookmarkEnd w:id="56"/>
      <w:bookmarkEnd w:id="57"/>
    </w:p>
    <w:p>
      <w:pPr>
        <w:pStyle w:val="style94"/>
        <w:spacing w:lineRule="auto" w:line="480"/>
        <w:jc w:val="both"/>
        <w:rPr/>
      </w:pPr>
      <w:r>
        <w:t>Based on the results obtained, the following recommendations are made:</w:t>
      </w:r>
    </w:p>
    <w:p>
      <w:pPr>
        <w:pStyle w:val="style94"/>
        <w:numPr>
          <w:ilvl w:val="0"/>
          <w:numId w:val="28"/>
        </w:numPr>
        <w:spacing w:lineRule="auto" w:line="480"/>
        <w:jc w:val="both"/>
        <w:rPr>
          <w:rStyle w:val="style87"/>
          <w:b w:val="false"/>
          <w:bCs w:val="false"/>
        </w:rPr>
      </w:pPr>
      <w:r>
        <w:rPr>
          <w:rStyle w:val="style87"/>
        </w:rPr>
        <w:t>For Regulatory Agencies (e.g., NAFDAC):</w:t>
      </w:r>
    </w:p>
    <w:p>
      <w:pPr>
        <w:pStyle w:val="style94"/>
        <w:spacing w:lineRule="auto" w:line="480"/>
        <w:ind w:left="720"/>
        <w:jc w:val="both"/>
        <w:rPr/>
      </w:pPr>
      <w:r>
        <w:t>Regular inspection and random testing of energy drinks should be carried out to ensure ethanol levels remain below 0.5% v/v. Certification procedures should also include ethanol verification using standard analytical methods.</w:t>
      </w:r>
    </w:p>
    <w:p>
      <w:pPr>
        <w:pStyle w:val="style94"/>
        <w:numPr>
          <w:ilvl w:val="0"/>
          <w:numId w:val="28"/>
        </w:numPr>
        <w:spacing w:lineRule="auto" w:line="480"/>
        <w:jc w:val="both"/>
        <w:rPr>
          <w:rStyle w:val="style87"/>
          <w:b w:val="false"/>
          <w:bCs w:val="false"/>
        </w:rPr>
      </w:pPr>
      <w:r>
        <w:rPr>
          <w:rStyle w:val="style87"/>
        </w:rPr>
        <w:t>For Manufacturers:</w:t>
      </w:r>
    </w:p>
    <w:p>
      <w:pPr>
        <w:pStyle w:val="style94"/>
        <w:spacing w:lineRule="auto" w:line="480"/>
        <w:ind w:left="720"/>
        <w:jc w:val="both"/>
        <w:rPr/>
      </w:pPr>
      <w:r>
        <w:t>Producers should maintain proper formulation and storage practices to prevent unintentional fermentation. Product labels should clearly show compliance with non-alcoholic standards and include valid production and expiry dates.</w:t>
      </w:r>
    </w:p>
    <w:p>
      <w:pPr>
        <w:pStyle w:val="style94"/>
        <w:numPr>
          <w:ilvl w:val="0"/>
          <w:numId w:val="28"/>
        </w:numPr>
        <w:spacing w:lineRule="auto" w:line="480"/>
        <w:jc w:val="both"/>
        <w:rPr>
          <w:rStyle w:val="style87"/>
          <w:b w:val="false"/>
          <w:bCs w:val="false"/>
        </w:rPr>
      </w:pPr>
      <w:r>
        <w:rPr>
          <w:rStyle w:val="style87"/>
        </w:rPr>
        <w:t>For Consumers:</w:t>
      </w:r>
    </w:p>
    <w:p>
      <w:pPr>
        <w:pStyle w:val="style94"/>
        <w:spacing w:lineRule="auto" w:line="480"/>
        <w:ind w:left="720"/>
        <w:jc w:val="both"/>
        <w:rPr/>
      </w:pPr>
      <w:r>
        <w:t>Consumers should be informed that some “non-alcoholic” beverages may contain trace amounts of ethanol. Moderate consumption is advised, considering the caffeine and sugar content of energy drinks.</w:t>
      </w:r>
    </w:p>
    <w:p>
      <w:pPr>
        <w:pStyle w:val="style94"/>
        <w:numPr>
          <w:ilvl w:val="0"/>
          <w:numId w:val="28"/>
        </w:numPr>
        <w:spacing w:lineRule="auto" w:line="480"/>
        <w:jc w:val="both"/>
        <w:rPr>
          <w:rStyle w:val="style87"/>
          <w:b w:val="false"/>
          <w:bCs w:val="false"/>
        </w:rPr>
      </w:pPr>
      <w:r>
        <w:rPr>
          <w:rStyle w:val="style87"/>
        </w:rPr>
        <w:t>For Researchers</w:t>
      </w:r>
      <w:r>
        <w:rPr>
          <w:rStyle w:val="style87"/>
        </w:rPr>
        <w:t>:</w:t>
      </w:r>
    </w:p>
    <w:p>
      <w:pPr>
        <w:pStyle w:val="style94"/>
        <w:spacing w:lineRule="auto" w:line="480"/>
        <w:ind w:left="720"/>
        <w:jc w:val="both"/>
        <w:rPr/>
      </w:pPr>
      <w:r>
        <w:t>Future studies should make use of more sensitive techniques such as Gas Chromatography (GC) or High-Performance Liquid Chromatography (HPLC) and examine how storage time and temperature affect ethanol levels in beverages.</w:t>
      </w:r>
    </w:p>
    <w:p>
      <w:pPr>
        <w:pStyle w:val="style179"/>
        <w:spacing w:before="100" w:beforeAutospacing="true" w:after="100" w:afterAutospacing="true" w:lineRule="auto" w:line="480"/>
        <w:jc w:val="both"/>
        <w:outlineLvl w:val="2"/>
        <w:rPr>
          <w:rFonts w:ascii="Times New Roman" w:cs="Times New Roman" w:eastAsia="Times New Roman" w:hAnsi="Times New Roman"/>
          <w:sz w:val="24"/>
          <w:szCs w:val="24"/>
        </w:rPr>
      </w:pPr>
    </w:p>
    <w:p>
      <w:pPr>
        <w:pStyle w:val="style0"/>
        <w:spacing w:before="100" w:beforeAutospacing="true" w:after="100" w:afterAutospacing="true" w:lineRule="auto" w:line="480"/>
        <w:jc w:val="both"/>
        <w:outlineLvl w:val="1"/>
        <w:rPr>
          <w:rFonts w:ascii="Times New Roman" w:cs="Times New Roman" w:eastAsia="Times New Roman" w:hAnsi="Times New Roman"/>
          <w:sz w:val="24"/>
          <w:szCs w:val="24"/>
        </w:rPr>
      </w:pPr>
    </w:p>
    <w:bookmarkStart w:id="58" w:name="_Toc213929902"/>
    <w:p>
      <w:pPr>
        <w:pStyle w:val="style0"/>
        <w:spacing w:before="100" w:beforeAutospacing="true" w:after="100" w:afterAutospacing="true" w:lineRule="auto" w:line="240"/>
        <w:jc w:val="both"/>
        <w:outlineLvl w:val="1"/>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REFERENCES</w:t>
      </w:r>
      <w:bookmarkEnd w:id="58"/>
    </w:p>
    <w:p>
      <w:pPr>
        <w:pStyle w:val="style0"/>
        <w:spacing w:before="100" w:beforeAutospacing="true" w:after="100" w:afterAutospacing="true" w:lineRule="auto" w:line="240"/>
        <w:ind w:left="720" w:hanging="720"/>
        <w:jc w:val="both"/>
        <w:rPr>
          <w:rFonts w:ascii="Times New Roman" w:cs="Times New Roman" w:hAnsi="Times New Roman"/>
          <w:sz w:val="24"/>
          <w:szCs w:val="24"/>
        </w:rPr>
      </w:pPr>
      <w:r>
        <w:rPr>
          <w:rFonts w:ascii="Times New Roman" w:cs="Times New Roman" w:eastAsia="Times New Roman" w:hAnsi="Times New Roman"/>
          <w:sz w:val="24"/>
          <w:szCs w:val="24"/>
        </w:rPr>
        <w:t>Adepoju</w:t>
      </w:r>
      <w:r>
        <w:rPr>
          <w:rFonts w:ascii="Times New Roman" w:cs="Times New Roman" w:eastAsia="Times New Roman" w:hAnsi="Times New Roman"/>
          <w:sz w:val="24"/>
          <w:szCs w:val="24"/>
        </w:rPr>
        <w:t xml:space="preserve">, O. T., &amp; </w:t>
      </w:r>
      <w:r>
        <w:rPr>
          <w:rFonts w:ascii="Times New Roman" w:cs="Times New Roman" w:eastAsia="Times New Roman" w:hAnsi="Times New Roman"/>
          <w:sz w:val="24"/>
          <w:szCs w:val="24"/>
        </w:rPr>
        <w:t>Ojo</w:t>
      </w:r>
      <w:r>
        <w:rPr>
          <w:rFonts w:ascii="Times New Roman" w:cs="Times New Roman" w:eastAsia="Times New Roman" w:hAnsi="Times New Roman"/>
          <w:sz w:val="24"/>
          <w:szCs w:val="24"/>
        </w:rPr>
        <w:t>, V. O. (2014).</w:t>
      </w:r>
      <w:r>
        <w:rPr>
          <w:rFonts w:ascii="Times New Roman" w:cs="Times New Roman" w:eastAsia="Times New Roman" w:hAnsi="Times New Roman"/>
          <w:sz w:val="24"/>
          <w:szCs w:val="24"/>
        </w:rPr>
        <w:t xml:space="preserve"> Consumption pattern of energy drinks by University of Ibadan students and associated health risk factors. </w:t>
      </w:r>
      <w:r>
        <w:rPr>
          <w:rFonts w:ascii="Times New Roman" w:cs="Times New Roman" w:eastAsia="Times New Roman" w:hAnsi="Times New Roman"/>
          <w:i/>
          <w:iCs/>
          <w:sz w:val="24"/>
          <w:szCs w:val="24"/>
        </w:rPr>
        <w:t>Food and Nutrition Sciences, 5</w:t>
      </w:r>
      <w:r>
        <w:rPr>
          <w:rFonts w:ascii="Times New Roman" w:cs="Times New Roman" w:eastAsia="Times New Roman" w:hAnsi="Times New Roman"/>
          <w:sz w:val="24"/>
          <w:szCs w:val="24"/>
        </w:rPr>
        <w:t xml:space="preserve">(11), 2209–2216. </w:t>
      </w:r>
      <w:r>
        <w:rPr/>
        <w:fldChar w:fldCharType="begin"/>
      </w:r>
      <w:r>
        <w:instrText xml:space="preserve"> HYPERLINK "https://doi.org/10.4236/fns.2014.522234" </w:instrText>
      </w:r>
      <w:r>
        <w:rPr/>
        <w:fldChar w:fldCharType="separate"/>
      </w:r>
      <w:r>
        <w:rPr>
          <w:rStyle w:val="style85"/>
          <w:rFonts w:ascii="Times New Roman" w:cs="Times New Roman" w:eastAsia="Times New Roman" w:hAnsi="Times New Roman"/>
          <w:color w:val="auto"/>
          <w:sz w:val="24"/>
          <w:szCs w:val="24"/>
        </w:rPr>
        <w:t>https://doi.org/10.4236/fns.2014.522234</w:t>
      </w:r>
      <w:r>
        <w:rPr/>
        <w:fldChar w:fldCharType="end"/>
      </w:r>
    </w:p>
    <w:p>
      <w:pPr>
        <w:pStyle w:val="style4097"/>
        <w:spacing w:before="280" w:after="280" w:lineRule="auto" w:line="240"/>
        <w:ind w:left="720" w:hanging="720"/>
        <w:jc w:val="both"/>
        <w:rPr>
          <w:rFonts w:ascii="Times New Roman" w:cs="Times New Roman" w:hAnsi="Times New Roman"/>
          <w:sz w:val="24"/>
          <w:szCs w:val="24"/>
        </w:rPr>
      </w:pPr>
      <w:r>
        <w:rPr>
          <w:rStyle w:val="style87"/>
          <w:rFonts w:ascii="Times New Roman" w:cs="Times New Roman" w:hAnsi="Times New Roman"/>
          <w:b w:val="false"/>
          <w:sz w:val="24"/>
          <w:szCs w:val="24"/>
        </w:rPr>
        <w:t>AOAC International.</w:t>
      </w:r>
      <w:r>
        <w:rPr>
          <w:rStyle w:val="style87"/>
          <w:rFonts w:ascii="Times New Roman" w:cs="Times New Roman" w:hAnsi="Times New Roman"/>
          <w:b w:val="false"/>
          <w:sz w:val="24"/>
          <w:szCs w:val="24"/>
        </w:rPr>
        <w:t xml:space="preserve"> (2019).</w:t>
      </w:r>
      <w:r>
        <w:rPr>
          <w:rFonts w:ascii="Times New Roman" w:cs="Times New Roman" w:hAnsi="Times New Roman"/>
          <w:sz w:val="24"/>
          <w:szCs w:val="24"/>
        </w:rPr>
        <w:t xml:space="preserve"> </w:t>
      </w:r>
      <w:r>
        <w:rPr>
          <w:rStyle w:val="style88"/>
          <w:rFonts w:ascii="Times New Roman" w:cs="Times New Roman" w:hAnsi="Times New Roman"/>
          <w:sz w:val="24"/>
          <w:szCs w:val="24"/>
        </w:rPr>
        <w:t xml:space="preserve">Official Method 969.12: Alcohol in wines </w:t>
      </w:r>
      <w:r>
        <w:rPr>
          <w:rStyle w:val="style88"/>
          <w:rFonts w:ascii="Times New Roman" w:cs="Times New Roman" w:hAnsi="Times New Roman"/>
          <w:sz w:val="24"/>
          <w:szCs w:val="24"/>
        </w:rPr>
        <w:t>by</w:t>
      </w:r>
      <w:r>
        <w:rPr>
          <w:rStyle w:val="style88"/>
          <w:rFonts w:ascii="Times New Roman" w:cs="Times New Roman" w:hAnsi="Times New Roman"/>
          <w:sz w:val="24"/>
          <w:szCs w:val="24"/>
        </w:rPr>
        <w:t xml:space="preserve"> dichromate oxidation.</w:t>
      </w:r>
      <w:r>
        <w:rPr>
          <w:rFonts w:ascii="Times New Roman" w:cs="Times New Roman" w:hAnsi="Times New Roman"/>
          <w:sz w:val="24"/>
          <w:szCs w:val="24"/>
        </w:rPr>
        <w:t xml:space="preserve"> In </w:t>
      </w:r>
      <w:r>
        <w:rPr>
          <w:rStyle w:val="style88"/>
          <w:rFonts w:ascii="Times New Roman" w:cs="Times New Roman" w:hAnsi="Times New Roman"/>
          <w:sz w:val="24"/>
          <w:szCs w:val="24"/>
        </w:rPr>
        <w:t xml:space="preserve">Official </w:t>
      </w:r>
      <w:r>
        <w:rPr>
          <w:rStyle w:val="style88"/>
          <w:rFonts w:ascii="Times New Roman" w:cs="Times New Roman" w:hAnsi="Times New Roman"/>
          <w:sz w:val="24"/>
          <w:szCs w:val="24"/>
        </w:rPr>
        <w:t>Methods</w:t>
      </w:r>
      <w:r>
        <w:rPr>
          <w:rStyle w:val="style88"/>
          <w:rFonts w:ascii="Times New Roman" w:cs="Times New Roman" w:hAnsi="Times New Roman"/>
          <w:sz w:val="24"/>
          <w:szCs w:val="24"/>
        </w:rPr>
        <w:t xml:space="preserve"> of </w:t>
      </w:r>
      <w:r>
        <w:rPr>
          <w:rStyle w:val="style88"/>
          <w:rFonts w:ascii="Times New Roman" w:cs="Times New Roman" w:hAnsi="Times New Roman"/>
          <w:sz w:val="24"/>
          <w:szCs w:val="24"/>
        </w:rPr>
        <w:t>Analysis</w:t>
      </w:r>
      <w:r>
        <w:rPr>
          <w:rStyle w:val="style88"/>
          <w:rFonts w:ascii="Times New Roman" w:cs="Times New Roman" w:hAnsi="Times New Roman"/>
          <w:sz w:val="24"/>
          <w:szCs w:val="24"/>
        </w:rPr>
        <w:t xml:space="preserve"> of AOAC International</w:t>
      </w:r>
      <w:r>
        <w:rPr>
          <w:rFonts w:ascii="Times New Roman" w:cs="Times New Roman" w:hAnsi="Times New Roman"/>
          <w:sz w:val="24"/>
          <w:szCs w:val="24"/>
        </w:rPr>
        <w:t xml:space="preserve"> (21st </w:t>
      </w:r>
      <w:r>
        <w:rPr>
          <w:rFonts w:ascii="Times New Roman" w:cs="Times New Roman" w:hAnsi="Times New Roman"/>
          <w:sz w:val="24"/>
          <w:szCs w:val="24"/>
        </w:rPr>
        <w:t>ed</w:t>
      </w:r>
      <w:r>
        <w:rPr>
          <w:rFonts w:ascii="Times New Roman" w:cs="Times New Roman" w:hAnsi="Times New Roman"/>
          <w:sz w:val="24"/>
          <w:szCs w:val="24"/>
        </w:rPr>
        <w:t xml:space="preserve">.). </w:t>
      </w:r>
      <w:r>
        <w:rPr>
          <w:rFonts w:ascii="Times New Roman" w:cs="Times New Roman" w:hAnsi="Times New Roman"/>
          <w:sz w:val="24"/>
          <w:szCs w:val="24"/>
        </w:rPr>
        <w:t>AOAC International.</w:t>
      </w:r>
    </w:p>
    <w:p>
      <w:pPr>
        <w:pStyle w:val="style4097"/>
        <w:spacing w:before="280" w:after="280" w:lineRule="auto" w:line="240"/>
        <w:ind w:left="720" w:hanging="720"/>
        <w:jc w:val="both"/>
        <w:rPr>
          <w:rFonts w:ascii="Times New Roman" w:cs="Times New Roman" w:eastAsia="Arial" w:hAnsi="Times New Roman"/>
          <w:sz w:val="24"/>
          <w:szCs w:val="24"/>
        </w:rPr>
      </w:pPr>
      <w:r>
        <w:rPr>
          <w:rFonts w:ascii="Times New Roman" w:cs="Times New Roman" w:eastAsia="Arial" w:hAnsi="Times New Roman"/>
          <w:sz w:val="24"/>
          <w:szCs w:val="24"/>
        </w:rPr>
        <w:t>Cozzolino</w:t>
      </w:r>
      <w:r>
        <w:rPr>
          <w:rFonts w:ascii="Times New Roman" w:cs="Times New Roman" w:eastAsia="Arial" w:hAnsi="Times New Roman"/>
          <w:sz w:val="24"/>
          <w:szCs w:val="24"/>
        </w:rPr>
        <w:t xml:space="preserve">, D. (2015). The role of vibrational spectroscopy (infrared and Raman) in wine science: A review. </w:t>
      </w:r>
      <w:r>
        <w:rPr>
          <w:rFonts w:ascii="Times New Roman" w:cs="Times New Roman" w:eastAsia="Arial" w:hAnsi="Times New Roman"/>
          <w:i/>
          <w:sz w:val="24"/>
          <w:szCs w:val="24"/>
        </w:rPr>
        <w:t>Applied Spectroscopy Reviews,</w:t>
      </w:r>
      <w:r>
        <w:rPr>
          <w:rFonts w:ascii="Times New Roman" w:cs="Times New Roman" w:eastAsia="Arial" w:hAnsi="Times New Roman"/>
          <w:sz w:val="24"/>
          <w:szCs w:val="24"/>
        </w:rPr>
        <w:t xml:space="preserve"> 50(8), 667–686.</w:t>
      </w:r>
      <w:r>
        <w:rPr>
          <w:rFonts w:ascii="Times New Roman" w:cs="Times New Roman" w:eastAsia="Arial" w:hAnsi="Times New Roman"/>
          <w:sz w:val="24"/>
          <w:szCs w:val="24"/>
        </w:rPr>
        <w:t xml:space="preserve"> </w:t>
      </w:r>
      <w:r>
        <w:rPr/>
        <w:fldChar w:fldCharType="begin"/>
      </w:r>
      <w:r>
        <w:instrText xml:space="preserve"> HYPERLINK "https://doi.org/10.1080/05704928.2015.1075195" </w:instrText>
      </w:r>
      <w:r>
        <w:rPr/>
        <w:fldChar w:fldCharType="separate"/>
      </w:r>
      <w:r>
        <w:rPr>
          <w:rFonts w:ascii="Times New Roman" w:cs="Times New Roman" w:eastAsia="Arial" w:hAnsi="Times New Roman"/>
          <w:sz w:val="24"/>
          <w:szCs w:val="24"/>
          <w:u w:val="single"/>
        </w:rPr>
        <w:t>https://doi.org/10.1080/05704928.2015.1075195</w:t>
      </w:r>
      <w:r>
        <w:rPr/>
        <w:fldChar w:fldCharType="end"/>
      </w:r>
    </w:p>
    <w:p>
      <w:pPr>
        <w:pStyle w:val="style0"/>
        <w:spacing w:before="100" w:beforeAutospacing="true" w:after="100" w:afterAutospacing="true" w:lineRule="auto" w:line="240"/>
        <w:ind w:left="720" w:hanging="72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Ferreira, S. E., de Mello, M. T., </w:t>
      </w:r>
      <w:r>
        <w:rPr>
          <w:rFonts w:ascii="Times New Roman" w:cs="Times New Roman" w:eastAsia="Times New Roman" w:hAnsi="Times New Roman"/>
          <w:sz w:val="24"/>
          <w:szCs w:val="24"/>
        </w:rPr>
        <w:t>Pompéia</w:t>
      </w:r>
      <w:r>
        <w:rPr>
          <w:rFonts w:ascii="Times New Roman" w:cs="Times New Roman" w:eastAsia="Times New Roman" w:hAnsi="Times New Roman"/>
          <w:sz w:val="24"/>
          <w:szCs w:val="24"/>
        </w:rPr>
        <w:t>, S., &amp; de Souza-</w:t>
      </w:r>
      <w:r>
        <w:rPr>
          <w:rFonts w:ascii="Times New Roman" w:cs="Times New Roman" w:eastAsia="Times New Roman" w:hAnsi="Times New Roman"/>
          <w:sz w:val="24"/>
          <w:szCs w:val="24"/>
        </w:rPr>
        <w:t>Formigoni</w:t>
      </w:r>
      <w:r>
        <w:rPr>
          <w:rFonts w:ascii="Times New Roman" w:cs="Times New Roman" w:eastAsia="Times New Roman" w:hAnsi="Times New Roman"/>
          <w:sz w:val="24"/>
          <w:szCs w:val="24"/>
        </w:rPr>
        <w:t>, M. L. O. (2006).</w:t>
      </w:r>
      <w:r>
        <w:rPr>
          <w:rFonts w:ascii="Times New Roman" w:cs="Times New Roman" w:eastAsia="Times New Roman" w:hAnsi="Times New Roman"/>
          <w:sz w:val="24"/>
          <w:szCs w:val="24"/>
        </w:rPr>
        <w:t xml:space="preserve"> Effects of energy drink ingestion on alcohol intoxication. </w:t>
      </w:r>
      <w:r>
        <w:rPr>
          <w:rFonts w:ascii="Times New Roman" w:cs="Times New Roman" w:eastAsia="Times New Roman" w:hAnsi="Times New Roman"/>
          <w:i/>
          <w:iCs/>
          <w:sz w:val="24"/>
          <w:szCs w:val="24"/>
        </w:rPr>
        <w:t>Alcoholism: Clinical and Experimental Research, 30</w:t>
      </w:r>
      <w:r>
        <w:rPr>
          <w:rFonts w:ascii="Times New Roman" w:cs="Times New Roman" w:eastAsia="Times New Roman" w:hAnsi="Times New Roman"/>
          <w:sz w:val="24"/>
          <w:szCs w:val="24"/>
        </w:rPr>
        <w:t xml:space="preserve">(4), 598–605. </w:t>
      </w:r>
      <w:r>
        <w:rPr/>
        <w:fldChar w:fldCharType="begin"/>
      </w:r>
      <w:r>
        <w:instrText xml:space="preserve"> HYPERLINK "https://doi.org/10.1111/j.1530-0277.2006.00070.x" </w:instrText>
      </w:r>
      <w:r>
        <w:rPr/>
        <w:fldChar w:fldCharType="separate"/>
      </w:r>
      <w:r>
        <w:rPr>
          <w:rStyle w:val="style85"/>
          <w:rFonts w:ascii="Times New Roman" w:cs="Times New Roman" w:eastAsia="Times New Roman" w:hAnsi="Times New Roman"/>
          <w:color w:val="auto"/>
          <w:sz w:val="24"/>
          <w:szCs w:val="24"/>
        </w:rPr>
        <w:t>https://doi.org/10.1111/j.1530-0277.2006.00070.x</w:t>
      </w:r>
      <w:r>
        <w:rPr/>
        <w:fldChar w:fldCharType="end"/>
      </w:r>
    </w:p>
    <w:p>
      <w:pPr>
        <w:pStyle w:val="style0"/>
        <w:spacing w:before="100" w:beforeAutospacing="true" w:after="100" w:afterAutospacing="true" w:lineRule="auto" w:line="240"/>
        <w:ind w:left="720" w:hanging="720"/>
        <w:jc w:val="both"/>
        <w:rPr>
          <w:rFonts w:ascii="Times New Roman" w:cs="Times New Roman" w:hAnsi="Times New Roman"/>
          <w:sz w:val="24"/>
          <w:szCs w:val="24"/>
        </w:rPr>
      </w:pPr>
      <w:r>
        <w:rPr>
          <w:rFonts w:ascii="Times New Roman" w:cs="Times New Roman" w:eastAsia="Times New Roman" w:hAnsi="Times New Roman"/>
          <w:sz w:val="24"/>
          <w:szCs w:val="24"/>
        </w:rPr>
        <w:t xml:space="preserve">Goldberger, B. A., Cone, E. J., &amp; </w:t>
      </w:r>
      <w:r>
        <w:rPr>
          <w:rFonts w:ascii="Times New Roman" w:cs="Times New Roman" w:eastAsia="Times New Roman" w:hAnsi="Times New Roman"/>
          <w:sz w:val="24"/>
          <w:szCs w:val="24"/>
        </w:rPr>
        <w:t>Kadehjian</w:t>
      </w:r>
      <w:r>
        <w:rPr>
          <w:rFonts w:ascii="Times New Roman" w:cs="Times New Roman" w:eastAsia="Times New Roman" w:hAnsi="Times New Roman"/>
          <w:sz w:val="24"/>
          <w:szCs w:val="24"/>
        </w:rPr>
        <w:t>, L. (1996).</w:t>
      </w:r>
      <w:r>
        <w:rPr>
          <w:rFonts w:ascii="Times New Roman" w:cs="Times New Roman" w:eastAsia="Times New Roman" w:hAnsi="Times New Roman"/>
          <w:sz w:val="24"/>
          <w:szCs w:val="24"/>
        </w:rPr>
        <w:t xml:space="preserve"> </w:t>
      </w:r>
      <w:r>
        <w:rPr>
          <w:rFonts w:ascii="Times New Roman" w:cs="Times New Roman" w:eastAsia="Times New Roman" w:hAnsi="Times New Roman"/>
          <w:sz w:val="24"/>
          <w:szCs w:val="24"/>
        </w:rPr>
        <w:t>Unsuspected ethanol ingestion through soft drinks and flavored beverages.</w:t>
      </w:r>
      <w:r>
        <w:rPr>
          <w:rFonts w:ascii="Times New Roman" w:cs="Times New Roman" w:eastAsia="Times New Roman" w:hAnsi="Times New Roman"/>
          <w:sz w:val="24"/>
          <w:szCs w:val="24"/>
        </w:rPr>
        <w:t xml:space="preserve"> </w:t>
      </w:r>
      <w:r>
        <w:rPr>
          <w:rFonts w:ascii="Times New Roman" w:cs="Times New Roman" w:eastAsia="Times New Roman" w:hAnsi="Times New Roman"/>
          <w:i/>
          <w:iCs/>
          <w:sz w:val="24"/>
          <w:szCs w:val="24"/>
        </w:rPr>
        <w:t>Journal of Analytical Toxicology, 20</w:t>
      </w:r>
      <w:r>
        <w:rPr>
          <w:rFonts w:ascii="Times New Roman" w:cs="Times New Roman" w:eastAsia="Times New Roman" w:hAnsi="Times New Roman"/>
          <w:sz w:val="24"/>
          <w:szCs w:val="24"/>
        </w:rPr>
        <w:t xml:space="preserve">(5), 332–333. </w:t>
      </w:r>
      <w:r>
        <w:rPr/>
        <w:fldChar w:fldCharType="begin"/>
      </w:r>
      <w:r>
        <w:instrText xml:space="preserve"> HYPERLINK "https://doi.org/10.1093/jat/20.5.332" </w:instrText>
      </w:r>
      <w:r>
        <w:rPr/>
        <w:fldChar w:fldCharType="separate"/>
      </w:r>
      <w:r>
        <w:rPr>
          <w:rStyle w:val="style85"/>
          <w:rFonts w:ascii="Times New Roman" w:cs="Times New Roman" w:eastAsia="Times New Roman" w:hAnsi="Times New Roman"/>
          <w:color w:val="auto"/>
          <w:sz w:val="24"/>
          <w:szCs w:val="24"/>
        </w:rPr>
        <w:t>https://doi.org/10.1093/jat/20.5.332</w:t>
      </w:r>
      <w:r>
        <w:rPr/>
        <w:fldChar w:fldCharType="end"/>
      </w:r>
    </w:p>
    <w:p>
      <w:pPr>
        <w:pStyle w:val="style94"/>
        <w:ind w:left="720" w:hanging="720"/>
        <w:jc w:val="both"/>
        <w:rPr/>
      </w:pPr>
      <w:r>
        <w:t>Grand View Research.</w:t>
      </w:r>
      <w:r>
        <w:t xml:space="preserve"> (2024). </w:t>
      </w:r>
      <w:r>
        <w:rPr>
          <w:rStyle w:val="style88"/>
        </w:rPr>
        <w:t>Global energy drinks market size &amp; outlook, 2024–2030.</w:t>
      </w:r>
      <w:r>
        <w:t xml:space="preserve"> Retrieved October 10, 2025, from </w:t>
      </w:r>
      <w:r>
        <w:rPr/>
        <w:fldChar w:fldCharType="begin"/>
      </w:r>
      <w:r>
        <w:instrText xml:space="preserve"> HYPERLINK "https://www.grandviewresearch.com/horizon/outlook/energy-drinks-market-size/global?utm_source=chatgpt.com" \t "_new" </w:instrText>
      </w:r>
      <w:r>
        <w:rPr/>
        <w:fldChar w:fldCharType="separate"/>
      </w:r>
      <w:r>
        <w:rPr>
          <w:rStyle w:val="style85"/>
          <w:rFonts w:eastAsia="宋体"/>
          <w:color w:val="auto"/>
        </w:rPr>
        <w:t>https://www.grandviewresearch.com/horizon/outlook/energy-drinks-market-size/global</w:t>
      </w:r>
      <w:r>
        <w:rPr/>
        <w:fldChar w:fldCharType="end"/>
      </w:r>
    </w:p>
    <w:p>
      <w:pPr>
        <w:pStyle w:val="style0"/>
        <w:spacing w:before="100" w:beforeAutospacing="true" w:after="100" w:afterAutospacing="true" w:lineRule="auto" w:line="240"/>
        <w:ind w:left="720" w:hanging="72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Heckman, M. A., Sherry, K., &amp; Gonzalez de Mejia, E. (2010).</w:t>
      </w:r>
      <w:r>
        <w:rPr>
          <w:rFonts w:ascii="Times New Roman" w:cs="Times New Roman" w:eastAsia="Times New Roman" w:hAnsi="Times New Roman"/>
          <w:sz w:val="24"/>
          <w:szCs w:val="24"/>
        </w:rPr>
        <w:t xml:space="preserve"> Energy drinks: An assessment of their market size, consumer demographics, ingredient profile, functionality, and regulations in the United States. </w:t>
      </w:r>
      <w:r>
        <w:rPr>
          <w:rFonts w:ascii="Times New Roman" w:cs="Times New Roman" w:eastAsia="Times New Roman" w:hAnsi="Times New Roman"/>
          <w:i/>
          <w:iCs/>
          <w:sz w:val="24"/>
          <w:szCs w:val="24"/>
        </w:rPr>
        <w:t>Comprehensive Reviews in Food Science and Food Safety, 9</w:t>
      </w:r>
      <w:r>
        <w:rPr>
          <w:rFonts w:ascii="Times New Roman" w:cs="Times New Roman" w:eastAsia="Times New Roman" w:hAnsi="Times New Roman"/>
          <w:sz w:val="24"/>
          <w:szCs w:val="24"/>
        </w:rPr>
        <w:t xml:space="preserve">(3), 303–317. </w:t>
      </w:r>
      <w:r>
        <w:rPr/>
        <w:fldChar w:fldCharType="begin"/>
      </w:r>
      <w:r>
        <w:instrText xml:space="preserve"> HYPERLINK "https://doi.org/10.1111/j.1541-4337.2010.00111.x" </w:instrText>
      </w:r>
      <w:r>
        <w:rPr/>
        <w:fldChar w:fldCharType="separate"/>
      </w:r>
      <w:r>
        <w:rPr>
          <w:rStyle w:val="style85"/>
          <w:rFonts w:ascii="Times New Roman" w:cs="Times New Roman" w:eastAsia="Times New Roman" w:hAnsi="Times New Roman"/>
          <w:color w:val="auto"/>
          <w:sz w:val="24"/>
          <w:szCs w:val="24"/>
        </w:rPr>
        <w:t>https://doi.org/10.1111/j.1541-4337.2010.00111.x</w:t>
      </w:r>
      <w:r>
        <w:rPr/>
        <w:fldChar w:fldCharType="end"/>
      </w:r>
    </w:p>
    <w:p>
      <w:pPr>
        <w:pStyle w:val="style0"/>
        <w:spacing w:before="100" w:beforeAutospacing="true" w:after="100" w:afterAutospacing="true" w:lineRule="auto" w:line="240"/>
        <w:ind w:left="720" w:hanging="720"/>
        <w:jc w:val="both"/>
        <w:rPr>
          <w:rFonts w:ascii="Times New Roman" w:cs="Times New Roman" w:hAnsi="Times New Roman"/>
          <w:sz w:val="24"/>
          <w:szCs w:val="24"/>
        </w:rPr>
      </w:pPr>
      <w:r>
        <w:rPr>
          <w:rFonts w:ascii="Times New Roman" w:cs="Times New Roman" w:eastAsia="Times New Roman" w:hAnsi="Times New Roman"/>
          <w:sz w:val="24"/>
          <w:szCs w:val="24"/>
        </w:rPr>
        <w:t xml:space="preserve">Higgins, J. P., </w:t>
      </w:r>
      <w:r>
        <w:rPr>
          <w:rFonts w:ascii="Times New Roman" w:cs="Times New Roman" w:eastAsia="Times New Roman" w:hAnsi="Times New Roman"/>
          <w:sz w:val="24"/>
          <w:szCs w:val="24"/>
        </w:rPr>
        <w:t>Babu</w:t>
      </w:r>
      <w:r>
        <w:rPr>
          <w:rFonts w:ascii="Times New Roman" w:cs="Times New Roman" w:eastAsia="Times New Roman" w:hAnsi="Times New Roman"/>
          <w:sz w:val="24"/>
          <w:szCs w:val="24"/>
        </w:rPr>
        <w:t xml:space="preserve">, K., </w:t>
      </w:r>
      <w:r>
        <w:rPr>
          <w:rFonts w:ascii="Times New Roman" w:cs="Times New Roman" w:eastAsia="Times New Roman" w:hAnsi="Times New Roman"/>
          <w:sz w:val="24"/>
          <w:szCs w:val="24"/>
        </w:rPr>
        <w:t>Deuster</w:t>
      </w:r>
      <w:r>
        <w:rPr>
          <w:rFonts w:ascii="Times New Roman" w:cs="Times New Roman" w:eastAsia="Times New Roman" w:hAnsi="Times New Roman"/>
          <w:sz w:val="24"/>
          <w:szCs w:val="24"/>
        </w:rPr>
        <w:t>, P. A., &amp; Shearer, J. (2018).</w:t>
      </w:r>
      <w:r>
        <w:rPr>
          <w:rFonts w:ascii="Times New Roman" w:cs="Times New Roman" w:eastAsia="Times New Roman" w:hAnsi="Times New Roman"/>
          <w:sz w:val="24"/>
          <w:szCs w:val="24"/>
        </w:rPr>
        <w:t xml:space="preserve"> Energy drinks: A contemporary issues paper. </w:t>
      </w:r>
      <w:r>
        <w:rPr>
          <w:rFonts w:ascii="Times New Roman" w:cs="Times New Roman" w:eastAsia="Times New Roman" w:hAnsi="Times New Roman"/>
          <w:i/>
          <w:iCs/>
          <w:sz w:val="24"/>
          <w:szCs w:val="24"/>
        </w:rPr>
        <w:t>Current Sports Medicine Reports, 17</w:t>
      </w:r>
      <w:r>
        <w:rPr>
          <w:rFonts w:ascii="Times New Roman" w:cs="Times New Roman" w:eastAsia="Times New Roman" w:hAnsi="Times New Roman"/>
          <w:sz w:val="24"/>
          <w:szCs w:val="24"/>
        </w:rPr>
        <w:t xml:space="preserve">(2), 65–72. </w:t>
      </w:r>
      <w:r>
        <w:rPr/>
        <w:fldChar w:fldCharType="begin"/>
      </w:r>
      <w:r>
        <w:instrText xml:space="preserve"> HYPERLINK "https://doi.org/10.1249/JSR.0000000000000454" </w:instrText>
      </w:r>
      <w:r>
        <w:rPr/>
        <w:fldChar w:fldCharType="separate"/>
      </w:r>
      <w:r>
        <w:rPr>
          <w:rStyle w:val="style85"/>
          <w:rFonts w:ascii="Times New Roman" w:cs="Times New Roman" w:eastAsia="Times New Roman" w:hAnsi="Times New Roman"/>
          <w:color w:val="auto"/>
          <w:sz w:val="24"/>
          <w:szCs w:val="24"/>
        </w:rPr>
        <w:t>https://doi.org/10.1249/JSR.0000000000000454</w:t>
      </w:r>
      <w:r>
        <w:rPr/>
        <w:fldChar w:fldCharType="end"/>
      </w:r>
    </w:p>
    <w:p>
      <w:pPr>
        <w:pStyle w:val="style94"/>
        <w:ind w:left="720" w:hanging="720"/>
        <w:rPr/>
      </w:pPr>
      <w:r>
        <w:t xml:space="preserve">Ibrahim, U. M., </w:t>
      </w:r>
      <w:r>
        <w:t>Sani</w:t>
      </w:r>
      <w:r>
        <w:t xml:space="preserve">, H. U., </w:t>
      </w:r>
      <w:r>
        <w:t>Ayaba</w:t>
      </w:r>
      <w:r>
        <w:t xml:space="preserve">, A. K., </w:t>
      </w:r>
      <w:r>
        <w:t>Abdullahi</w:t>
      </w:r>
      <w:r>
        <w:t xml:space="preserve">, H. M., </w:t>
      </w:r>
      <w:r>
        <w:t>Jalo</w:t>
      </w:r>
      <w:r>
        <w:t xml:space="preserve">, R. I., </w:t>
      </w:r>
      <w:r>
        <w:t>Tsiga</w:t>
      </w:r>
      <w:r>
        <w:t xml:space="preserve">-Ahmed, F. I., </w:t>
      </w:r>
      <w:r>
        <w:t>Adamu</w:t>
      </w:r>
      <w:r>
        <w:t xml:space="preserve">, A. L., &amp; </w:t>
      </w:r>
      <w:r>
        <w:t>Jibo</w:t>
      </w:r>
      <w:r>
        <w:t xml:space="preserve">, A. M. (2021). Prevalence and factors associated with energy drink consumption among undergraduate students in Kano, Nigeria. </w:t>
      </w:r>
      <w:r>
        <w:rPr>
          <w:rStyle w:val="style88"/>
        </w:rPr>
        <w:t>Nigerian Postgraduate Medical Journal, 28</w:t>
      </w:r>
      <w:r>
        <w:t xml:space="preserve">(3), 204–210. </w:t>
      </w:r>
      <w:r>
        <w:rPr/>
        <w:fldChar w:fldCharType="begin"/>
      </w:r>
      <w:r>
        <w:instrText xml:space="preserve"> HYPERLINK "https://doi.org/10.4103/npmj.npmj_553_21" </w:instrText>
      </w:r>
      <w:r>
        <w:rPr/>
        <w:fldChar w:fldCharType="separate"/>
      </w:r>
      <w:r>
        <w:rPr>
          <w:rStyle w:val="style85"/>
          <w:color w:val="auto"/>
        </w:rPr>
        <w:t>https://doi.org/10.4103/npmj.npmj_553_21</w:t>
      </w:r>
      <w:r>
        <w:rPr/>
        <w:fldChar w:fldCharType="end"/>
      </w:r>
    </w:p>
    <w:p>
      <w:pPr>
        <w:pStyle w:val="style0"/>
        <w:spacing w:before="100" w:beforeAutospacing="true" w:after="100" w:afterAutospacing="true" w:lineRule="auto" w:line="240"/>
        <w:ind w:left="720" w:hanging="72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Ishak</w:t>
      </w:r>
      <w:r>
        <w:rPr>
          <w:rFonts w:ascii="Times New Roman" w:cs="Times New Roman" w:eastAsia="Times New Roman" w:hAnsi="Times New Roman"/>
          <w:sz w:val="24"/>
          <w:szCs w:val="24"/>
        </w:rPr>
        <w:t xml:space="preserve">, W. W., </w:t>
      </w:r>
      <w:r>
        <w:rPr>
          <w:rFonts w:ascii="Times New Roman" w:cs="Times New Roman" w:eastAsia="Times New Roman" w:hAnsi="Times New Roman"/>
          <w:sz w:val="24"/>
          <w:szCs w:val="24"/>
        </w:rPr>
        <w:t>Ugochukwu</w:t>
      </w:r>
      <w:r>
        <w:rPr>
          <w:rFonts w:ascii="Times New Roman" w:cs="Times New Roman" w:eastAsia="Times New Roman" w:hAnsi="Times New Roman"/>
          <w:sz w:val="24"/>
          <w:szCs w:val="24"/>
        </w:rPr>
        <w:t xml:space="preserve">, C., </w:t>
      </w:r>
      <w:r>
        <w:rPr>
          <w:rFonts w:ascii="Times New Roman" w:cs="Times New Roman" w:eastAsia="Times New Roman" w:hAnsi="Times New Roman"/>
          <w:sz w:val="24"/>
          <w:szCs w:val="24"/>
        </w:rPr>
        <w:t>Bagot</w:t>
      </w:r>
      <w:r>
        <w:rPr>
          <w:rFonts w:ascii="Times New Roman" w:cs="Times New Roman" w:eastAsia="Times New Roman" w:hAnsi="Times New Roman"/>
          <w:sz w:val="24"/>
          <w:szCs w:val="24"/>
        </w:rPr>
        <w:t xml:space="preserve">, K., </w:t>
      </w:r>
      <w:r>
        <w:rPr>
          <w:rFonts w:ascii="Times New Roman" w:cs="Times New Roman" w:eastAsia="Times New Roman" w:hAnsi="Times New Roman"/>
          <w:sz w:val="24"/>
          <w:szCs w:val="24"/>
        </w:rPr>
        <w:t>Khalili</w:t>
      </w:r>
      <w:r>
        <w:rPr>
          <w:rFonts w:ascii="Times New Roman" w:cs="Times New Roman" w:eastAsia="Times New Roman" w:hAnsi="Times New Roman"/>
          <w:sz w:val="24"/>
          <w:szCs w:val="24"/>
        </w:rPr>
        <w:t xml:space="preserve">, D., &amp; </w:t>
      </w:r>
      <w:r>
        <w:rPr>
          <w:rFonts w:ascii="Times New Roman" w:cs="Times New Roman" w:eastAsia="Times New Roman" w:hAnsi="Times New Roman"/>
          <w:sz w:val="24"/>
          <w:szCs w:val="24"/>
        </w:rPr>
        <w:t>Zaky</w:t>
      </w:r>
      <w:r>
        <w:rPr>
          <w:rFonts w:ascii="Times New Roman" w:cs="Times New Roman" w:eastAsia="Times New Roman" w:hAnsi="Times New Roman"/>
          <w:sz w:val="24"/>
          <w:szCs w:val="24"/>
        </w:rPr>
        <w:t>, C. (2012).</w:t>
      </w:r>
      <w:r>
        <w:rPr>
          <w:rFonts w:ascii="Times New Roman" w:cs="Times New Roman" w:eastAsia="Times New Roman" w:hAnsi="Times New Roman"/>
          <w:sz w:val="24"/>
          <w:szCs w:val="24"/>
        </w:rPr>
        <w:t xml:space="preserve"> Energy drinks: Psychological effects and impact on well-being and quality of life—</w:t>
      </w:r>
      <w:r>
        <w:rPr>
          <w:rFonts w:ascii="Times New Roman" w:cs="Times New Roman" w:eastAsia="Times New Roman" w:hAnsi="Times New Roman"/>
          <w:sz w:val="24"/>
          <w:szCs w:val="24"/>
        </w:rPr>
        <w:t>A</w:t>
      </w:r>
      <w:r>
        <w:rPr>
          <w:rFonts w:ascii="Times New Roman" w:cs="Times New Roman" w:eastAsia="Times New Roman" w:hAnsi="Times New Roman"/>
          <w:sz w:val="24"/>
          <w:szCs w:val="24"/>
        </w:rPr>
        <w:t xml:space="preserve"> literature review. </w:t>
      </w:r>
      <w:r>
        <w:rPr>
          <w:rFonts w:ascii="Times New Roman" w:cs="Times New Roman" w:eastAsia="Times New Roman" w:hAnsi="Times New Roman"/>
          <w:i/>
          <w:iCs/>
          <w:sz w:val="24"/>
          <w:szCs w:val="24"/>
        </w:rPr>
        <w:t>Innovations in Clinical Neuroscience, 9</w:t>
      </w:r>
      <w:r>
        <w:rPr>
          <w:rFonts w:ascii="Times New Roman" w:cs="Times New Roman" w:eastAsia="Times New Roman" w:hAnsi="Times New Roman"/>
          <w:sz w:val="24"/>
          <w:szCs w:val="24"/>
        </w:rPr>
        <w:t xml:space="preserve">(1), 25–34. </w:t>
      </w:r>
      <w:r>
        <w:rPr/>
        <w:fldChar w:fldCharType="begin"/>
      </w:r>
      <w:r>
        <w:instrText xml:space="preserve"> HYPERLINK "https://www.innovationscns.com/energy-drinks-psychological-effects/" </w:instrText>
      </w:r>
      <w:r>
        <w:rPr/>
        <w:fldChar w:fldCharType="separate"/>
      </w:r>
      <w:r>
        <w:rPr>
          <w:rStyle w:val="style85"/>
          <w:rFonts w:ascii="Times New Roman" w:cs="Times New Roman" w:eastAsia="Times New Roman" w:hAnsi="Times New Roman"/>
          <w:color w:val="auto"/>
          <w:sz w:val="24"/>
          <w:szCs w:val="24"/>
        </w:rPr>
        <w:t>https://www.innovationscns.com/energy-drinks-psychological-effects/</w:t>
      </w:r>
      <w:r>
        <w:rPr/>
        <w:fldChar w:fldCharType="end"/>
      </w:r>
    </w:p>
    <w:p>
      <w:pPr>
        <w:pStyle w:val="style4097"/>
        <w:spacing w:before="280" w:after="280" w:lineRule="auto" w:line="240"/>
        <w:ind w:left="720" w:hanging="720"/>
        <w:jc w:val="both"/>
        <w:rPr>
          <w:rFonts w:ascii="Times New Roman" w:cs="Times New Roman" w:hAnsi="Times New Roman"/>
          <w:sz w:val="24"/>
          <w:szCs w:val="24"/>
          <w:shd w:val="clear" w:color="auto" w:fill="ffffff"/>
        </w:rPr>
      </w:pPr>
      <w:r>
        <w:rPr>
          <w:rFonts w:ascii="Times New Roman" w:cs="Times New Roman" w:hAnsi="Times New Roman"/>
          <w:sz w:val="24"/>
          <w:szCs w:val="24"/>
        </w:rPr>
        <w:t>Kansiz</w:t>
      </w:r>
      <w:r>
        <w:rPr>
          <w:rFonts w:ascii="Times New Roman" w:cs="Times New Roman" w:hAnsi="Times New Roman"/>
          <w:sz w:val="24"/>
          <w:szCs w:val="24"/>
        </w:rPr>
        <w:t xml:space="preserve">, M., </w:t>
      </w:r>
      <w:r>
        <w:rPr>
          <w:rFonts w:ascii="Times New Roman" w:cs="Times New Roman" w:hAnsi="Times New Roman"/>
          <w:sz w:val="24"/>
          <w:szCs w:val="24"/>
        </w:rPr>
        <w:t>Heraud</w:t>
      </w:r>
      <w:r>
        <w:rPr>
          <w:rFonts w:ascii="Times New Roman" w:cs="Times New Roman" w:hAnsi="Times New Roman"/>
          <w:sz w:val="24"/>
          <w:szCs w:val="24"/>
        </w:rPr>
        <w:t xml:space="preserve">, P., Wood, B., Burden, F., </w:t>
      </w:r>
      <w:r>
        <w:rPr>
          <w:rFonts w:ascii="Times New Roman" w:cs="Times New Roman" w:hAnsi="Times New Roman"/>
          <w:sz w:val="24"/>
          <w:szCs w:val="24"/>
        </w:rPr>
        <w:t>Beardall</w:t>
      </w:r>
      <w:r>
        <w:rPr>
          <w:rFonts w:ascii="Times New Roman" w:cs="Times New Roman" w:hAnsi="Times New Roman"/>
          <w:sz w:val="24"/>
          <w:szCs w:val="24"/>
        </w:rPr>
        <w:t xml:space="preserve">, J., &amp; McNaughton, D. (1999). </w:t>
      </w:r>
      <w:r>
        <w:rPr>
          <w:rStyle w:val="style88"/>
          <w:rFonts w:ascii="Times New Roman" w:cs="Times New Roman" w:hAnsi="Times New Roman"/>
          <w:sz w:val="24"/>
          <w:szCs w:val="24"/>
        </w:rPr>
        <w:t xml:space="preserve">Fourier </w:t>
      </w:r>
      <w:r>
        <w:rPr>
          <w:rStyle w:val="style88"/>
          <w:rFonts w:ascii="Times New Roman" w:cs="Times New Roman" w:hAnsi="Times New Roman"/>
          <w:sz w:val="24"/>
          <w:szCs w:val="24"/>
        </w:rPr>
        <w:t>transform</w:t>
      </w:r>
      <w:r>
        <w:rPr>
          <w:rStyle w:val="style88"/>
          <w:rFonts w:ascii="Times New Roman" w:cs="Times New Roman" w:hAnsi="Times New Roman"/>
          <w:sz w:val="24"/>
          <w:szCs w:val="24"/>
        </w:rPr>
        <w:t xml:space="preserve"> infrared </w:t>
      </w:r>
      <w:r>
        <w:rPr>
          <w:rStyle w:val="style88"/>
          <w:rFonts w:ascii="Times New Roman" w:cs="Times New Roman" w:hAnsi="Times New Roman"/>
          <w:sz w:val="24"/>
          <w:szCs w:val="24"/>
        </w:rPr>
        <w:t>microspectroscopy</w:t>
      </w:r>
      <w:r>
        <w:rPr>
          <w:rStyle w:val="style88"/>
          <w:rFonts w:ascii="Times New Roman" w:cs="Times New Roman" w:hAnsi="Times New Roman"/>
          <w:sz w:val="24"/>
          <w:szCs w:val="24"/>
        </w:rPr>
        <w:t xml:space="preserve"> and </w:t>
      </w:r>
      <w:r>
        <w:rPr>
          <w:rStyle w:val="style88"/>
          <w:rFonts w:ascii="Times New Roman" w:cs="Times New Roman" w:hAnsi="Times New Roman"/>
          <w:sz w:val="24"/>
          <w:szCs w:val="24"/>
        </w:rPr>
        <w:t>chemometrics</w:t>
      </w:r>
      <w:r>
        <w:rPr>
          <w:rStyle w:val="style88"/>
          <w:rFonts w:ascii="Times New Roman" w:cs="Times New Roman" w:hAnsi="Times New Roman"/>
          <w:sz w:val="24"/>
          <w:szCs w:val="24"/>
        </w:rPr>
        <w:t xml:space="preserve"> as a tool for the </w:t>
      </w:r>
      <w:r>
        <w:rPr>
          <w:rStyle w:val="style88"/>
          <w:rFonts w:ascii="Times New Roman" w:cs="Times New Roman" w:hAnsi="Times New Roman"/>
          <w:sz w:val="24"/>
          <w:szCs w:val="24"/>
        </w:rPr>
        <w:t xml:space="preserve">discrimination of </w:t>
      </w:r>
      <w:r>
        <w:rPr>
          <w:rStyle w:val="style88"/>
          <w:rFonts w:ascii="Times New Roman" w:cs="Times New Roman" w:hAnsi="Times New Roman"/>
          <w:sz w:val="24"/>
          <w:szCs w:val="24"/>
        </w:rPr>
        <w:t>cyanobacterial</w:t>
      </w:r>
      <w:r>
        <w:rPr>
          <w:rStyle w:val="style88"/>
          <w:rFonts w:ascii="Times New Roman" w:cs="Times New Roman" w:hAnsi="Times New Roman"/>
          <w:sz w:val="24"/>
          <w:szCs w:val="24"/>
        </w:rPr>
        <w:t xml:space="preserve"> strains.</w:t>
      </w:r>
      <w:r>
        <w:rPr>
          <w:rFonts w:ascii="Times New Roman" w:cs="Times New Roman" w:hAnsi="Times New Roman"/>
          <w:sz w:val="24"/>
          <w:szCs w:val="24"/>
        </w:rPr>
        <w:t xml:space="preserve"> </w:t>
      </w:r>
      <w:r>
        <w:rPr>
          <w:rStyle w:val="style87"/>
          <w:rFonts w:ascii="Times New Roman" w:cs="Times New Roman" w:hAnsi="Times New Roman"/>
          <w:sz w:val="24"/>
          <w:szCs w:val="24"/>
        </w:rPr>
        <w:t>Phytochemistry</w:t>
      </w:r>
      <w:r>
        <w:rPr>
          <w:rStyle w:val="style87"/>
          <w:rFonts w:ascii="Times New Roman" w:cs="Times New Roman" w:hAnsi="Times New Roman"/>
          <w:sz w:val="24"/>
          <w:szCs w:val="24"/>
        </w:rPr>
        <w:t>, 52</w:t>
      </w:r>
      <w:r>
        <w:rPr>
          <w:rFonts w:ascii="Times New Roman" w:cs="Times New Roman" w:hAnsi="Times New Roman"/>
          <w:sz w:val="24"/>
          <w:szCs w:val="24"/>
        </w:rPr>
        <w:t xml:space="preserve">(3), 407–417. </w:t>
      </w:r>
      <w:r>
        <w:rPr/>
        <w:fldChar w:fldCharType="begin"/>
      </w:r>
      <w:r>
        <w:instrText xml:space="preserve"> HYPERLINK "https://doi.org/10.1016/S0031-9422(99)00212-5" \t "_new" </w:instrText>
      </w:r>
      <w:r>
        <w:rPr/>
        <w:fldChar w:fldCharType="separate"/>
      </w:r>
      <w:r>
        <w:rPr>
          <w:rStyle w:val="style85"/>
          <w:rFonts w:ascii="Times New Roman" w:cs="Times New Roman" w:hAnsi="Times New Roman"/>
          <w:color w:val="auto"/>
          <w:sz w:val="24"/>
          <w:szCs w:val="24"/>
        </w:rPr>
        <w:t>https://doi.org/10.1016/S0031-9422(99)00212-5</w:t>
      </w:r>
      <w:r>
        <w:rPr/>
        <w:fldChar w:fldCharType="end"/>
      </w:r>
    </w:p>
    <w:p>
      <w:pPr>
        <w:pStyle w:val="style4097"/>
        <w:spacing w:before="280" w:after="280" w:lineRule="auto" w:line="240"/>
        <w:ind w:left="720" w:hanging="720"/>
        <w:jc w:val="both"/>
        <w:rPr>
          <w:rFonts w:ascii="Times New Roman" w:cs="Times New Roman" w:eastAsia="Arial" w:hAnsi="Times New Roman"/>
          <w:sz w:val="24"/>
          <w:szCs w:val="24"/>
        </w:rPr>
      </w:pPr>
      <w:r>
        <w:rPr>
          <w:rFonts w:ascii="Times New Roman" w:cs="Times New Roman" w:eastAsia="Arial" w:hAnsi="Times New Roman"/>
          <w:sz w:val="24"/>
          <w:szCs w:val="24"/>
        </w:rPr>
        <w:t>Kuehnbaum</w:t>
      </w:r>
      <w:r>
        <w:rPr>
          <w:rFonts w:ascii="Times New Roman" w:cs="Times New Roman" w:eastAsia="Arial" w:hAnsi="Times New Roman"/>
          <w:sz w:val="24"/>
          <w:szCs w:val="24"/>
        </w:rPr>
        <w:t xml:space="preserve">, N. L., &amp; </w:t>
      </w:r>
      <w:r>
        <w:rPr>
          <w:rFonts w:ascii="Times New Roman" w:cs="Times New Roman" w:eastAsia="Arial" w:hAnsi="Times New Roman"/>
          <w:sz w:val="24"/>
          <w:szCs w:val="24"/>
        </w:rPr>
        <w:t>Britz-McKibbin</w:t>
      </w:r>
      <w:r>
        <w:rPr>
          <w:rFonts w:ascii="Times New Roman" w:cs="Times New Roman" w:eastAsia="Arial" w:hAnsi="Times New Roman"/>
          <w:sz w:val="24"/>
          <w:szCs w:val="24"/>
        </w:rPr>
        <w:t>, P. (2013).</w:t>
      </w:r>
      <w:r>
        <w:rPr>
          <w:rFonts w:ascii="Times New Roman" w:cs="Times New Roman" w:eastAsia="Arial" w:hAnsi="Times New Roman"/>
          <w:sz w:val="24"/>
          <w:szCs w:val="24"/>
        </w:rPr>
        <w:t xml:space="preserve"> New advances in separation science for metabolomics: Resolving chemical diversity in a post-genomic era. </w:t>
      </w:r>
      <w:r>
        <w:rPr>
          <w:rFonts w:ascii="Times New Roman" w:cs="Times New Roman" w:eastAsia="Arial" w:hAnsi="Times New Roman"/>
          <w:i/>
          <w:sz w:val="24"/>
          <w:szCs w:val="24"/>
        </w:rPr>
        <w:t>Chemical Reviews,</w:t>
      </w:r>
      <w:r>
        <w:rPr>
          <w:rFonts w:ascii="Times New Roman" w:cs="Times New Roman" w:eastAsia="Arial" w:hAnsi="Times New Roman"/>
          <w:sz w:val="24"/>
          <w:szCs w:val="24"/>
        </w:rPr>
        <w:t xml:space="preserve"> 113(4), 2437–2468. </w:t>
      </w:r>
      <w:r>
        <w:rPr/>
        <w:fldChar w:fldCharType="begin"/>
      </w:r>
      <w:r>
        <w:instrText xml:space="preserve"> HYPERLINK "https://doi.org/10.1021/cr300484s" </w:instrText>
      </w:r>
      <w:r>
        <w:rPr/>
        <w:fldChar w:fldCharType="separate"/>
      </w:r>
      <w:r>
        <w:rPr>
          <w:rFonts w:ascii="Times New Roman" w:cs="Times New Roman" w:eastAsia="Arial" w:hAnsi="Times New Roman"/>
          <w:sz w:val="24"/>
          <w:szCs w:val="24"/>
          <w:u w:val="single"/>
        </w:rPr>
        <w:t>https://doi.org/10.1021/cr300484s</w:t>
      </w:r>
      <w:r>
        <w:rPr/>
        <w:fldChar w:fldCharType="end"/>
      </w:r>
    </w:p>
    <w:p>
      <w:pPr>
        <w:pStyle w:val="style0"/>
        <w:spacing w:before="100" w:beforeAutospacing="true" w:after="100" w:afterAutospacing="true" w:lineRule="auto" w:line="240"/>
        <w:ind w:left="720" w:hanging="72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Lau, O.-W., &amp; </w:t>
      </w:r>
      <w:r>
        <w:rPr>
          <w:rFonts w:ascii="Times New Roman" w:cs="Times New Roman" w:eastAsia="Times New Roman" w:hAnsi="Times New Roman"/>
          <w:sz w:val="24"/>
          <w:szCs w:val="24"/>
        </w:rPr>
        <w:t>Luk</w:t>
      </w:r>
      <w:r>
        <w:rPr>
          <w:rFonts w:ascii="Times New Roman" w:cs="Times New Roman" w:eastAsia="Times New Roman" w:hAnsi="Times New Roman"/>
          <w:sz w:val="24"/>
          <w:szCs w:val="24"/>
        </w:rPr>
        <w:t>, S.-F.</w:t>
      </w:r>
      <w:r>
        <w:rPr>
          <w:rFonts w:ascii="Times New Roman" w:cs="Times New Roman" w:eastAsia="Times New Roman" w:hAnsi="Times New Roman"/>
          <w:sz w:val="24"/>
          <w:szCs w:val="24"/>
        </w:rPr>
        <w:t xml:space="preserve"> </w:t>
      </w:r>
      <w:r>
        <w:rPr>
          <w:rFonts w:ascii="Times New Roman" w:cs="Times New Roman" w:eastAsia="Times New Roman" w:hAnsi="Times New Roman"/>
          <w:sz w:val="24"/>
          <w:szCs w:val="24"/>
        </w:rPr>
        <w:t xml:space="preserve">(1994). Spectrophotometric method for the determination of ethanol in beverages and beer samples using cerium (IV) as </w:t>
      </w:r>
      <w:r>
        <w:rPr>
          <w:rFonts w:ascii="Times New Roman" w:cs="Times New Roman" w:eastAsia="Times New Roman" w:hAnsi="Times New Roman"/>
          <w:sz w:val="24"/>
          <w:szCs w:val="24"/>
        </w:rPr>
        <w:t xml:space="preserve">a </w:t>
      </w:r>
      <w:r>
        <w:rPr>
          <w:rFonts w:ascii="Times New Roman" w:cs="Times New Roman" w:eastAsia="Times New Roman" w:hAnsi="Times New Roman"/>
          <w:sz w:val="24"/>
          <w:szCs w:val="24"/>
        </w:rPr>
        <w:t>reagent.</w:t>
      </w:r>
      <w:r>
        <w:rPr>
          <w:rFonts w:ascii="Times New Roman" w:cs="Times New Roman" w:eastAsia="Times New Roman" w:hAnsi="Times New Roman"/>
          <w:sz w:val="24"/>
          <w:szCs w:val="24"/>
        </w:rPr>
        <w:t xml:space="preserve"> </w:t>
      </w:r>
      <w:r>
        <w:rPr>
          <w:rFonts w:ascii="Times New Roman" w:cs="Times New Roman" w:eastAsia="Times New Roman" w:hAnsi="Times New Roman"/>
          <w:i/>
          <w:iCs/>
          <w:sz w:val="24"/>
          <w:szCs w:val="24"/>
        </w:rPr>
        <w:t>International Journal of Food Science &amp; Technology, 29</w:t>
      </w:r>
      <w:r>
        <w:rPr>
          <w:rFonts w:ascii="Times New Roman" w:cs="Times New Roman" w:eastAsia="Times New Roman" w:hAnsi="Times New Roman"/>
          <w:sz w:val="24"/>
          <w:szCs w:val="24"/>
        </w:rPr>
        <w:t xml:space="preserve">(4), 469–472. </w:t>
      </w:r>
      <w:r>
        <w:rPr/>
        <w:fldChar w:fldCharType="begin"/>
      </w:r>
      <w:r>
        <w:instrText xml:space="preserve"> HYPERLINK "https://doi.org/10.1111/j.1365-2621.1994.tb02089.x" </w:instrText>
      </w:r>
      <w:r>
        <w:rPr/>
        <w:fldChar w:fldCharType="separate"/>
      </w:r>
      <w:r>
        <w:rPr>
          <w:rStyle w:val="style85"/>
          <w:rFonts w:ascii="Times New Roman" w:cs="Times New Roman" w:eastAsia="Times New Roman" w:hAnsi="Times New Roman"/>
          <w:color w:val="auto"/>
          <w:sz w:val="24"/>
          <w:szCs w:val="24"/>
        </w:rPr>
        <w:t>https://doi.org/10.1111/j.1365-2621.1994.tb02089.x</w:t>
      </w:r>
      <w:r>
        <w:rPr/>
        <w:fldChar w:fldCharType="end"/>
      </w:r>
    </w:p>
    <w:p>
      <w:pPr>
        <w:pStyle w:val="style0"/>
        <w:spacing w:before="100" w:beforeAutospacing="true" w:after="100" w:afterAutospacing="true" w:lineRule="auto" w:line="240"/>
        <w:ind w:left="720" w:hanging="72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Logan, B. K., &amp; </w:t>
      </w:r>
      <w:r>
        <w:rPr>
          <w:rFonts w:ascii="Times New Roman" w:cs="Times New Roman" w:eastAsia="Times New Roman" w:hAnsi="Times New Roman"/>
          <w:sz w:val="24"/>
          <w:szCs w:val="24"/>
        </w:rPr>
        <w:t>Distefano</w:t>
      </w:r>
      <w:r>
        <w:rPr>
          <w:rFonts w:ascii="Times New Roman" w:cs="Times New Roman" w:eastAsia="Times New Roman" w:hAnsi="Times New Roman"/>
          <w:sz w:val="24"/>
          <w:szCs w:val="24"/>
        </w:rPr>
        <w:t xml:space="preserve">, S. (1998). </w:t>
      </w:r>
      <w:r>
        <w:rPr>
          <w:rFonts w:ascii="Times New Roman" w:cs="Times New Roman" w:eastAsia="Times New Roman" w:hAnsi="Times New Roman"/>
          <w:sz w:val="24"/>
          <w:szCs w:val="24"/>
        </w:rPr>
        <w:t>Ethanol content of various foods and soft drinks and their potential for interference with a breath-alcohol test.</w:t>
      </w:r>
      <w:r>
        <w:rPr>
          <w:rFonts w:ascii="Times New Roman" w:cs="Times New Roman" w:eastAsia="Times New Roman" w:hAnsi="Times New Roman"/>
          <w:sz w:val="24"/>
          <w:szCs w:val="24"/>
        </w:rPr>
        <w:t xml:space="preserve"> </w:t>
      </w:r>
      <w:r>
        <w:rPr>
          <w:rFonts w:ascii="Times New Roman" w:cs="Times New Roman" w:eastAsia="Times New Roman" w:hAnsi="Times New Roman"/>
          <w:i/>
          <w:iCs/>
          <w:sz w:val="24"/>
          <w:szCs w:val="24"/>
        </w:rPr>
        <w:t>Journal of Analytical Toxicology, 22</w:t>
      </w:r>
      <w:r>
        <w:rPr>
          <w:rFonts w:ascii="Times New Roman" w:cs="Times New Roman" w:eastAsia="Times New Roman" w:hAnsi="Times New Roman"/>
          <w:sz w:val="24"/>
          <w:szCs w:val="24"/>
        </w:rPr>
        <w:t xml:space="preserve">(3), 181–183. </w:t>
      </w:r>
      <w:r>
        <w:rPr/>
        <w:fldChar w:fldCharType="begin"/>
      </w:r>
      <w:r>
        <w:instrText xml:space="preserve"> HYPERLINK "https://pubmed.ncbi.nlm.nih.gov/9602932/" </w:instrText>
      </w:r>
      <w:r>
        <w:rPr/>
        <w:fldChar w:fldCharType="separate"/>
      </w:r>
      <w:r>
        <w:rPr>
          <w:rStyle w:val="style85"/>
          <w:rFonts w:ascii="Times New Roman" w:cs="Times New Roman" w:eastAsia="Times New Roman" w:hAnsi="Times New Roman"/>
          <w:color w:val="auto"/>
          <w:sz w:val="24"/>
          <w:szCs w:val="24"/>
        </w:rPr>
        <w:t>https://pubmed.ncbi.nlm.nih.gov/9602932/</w:t>
      </w:r>
      <w:r>
        <w:rPr/>
        <w:fldChar w:fldCharType="end"/>
      </w:r>
    </w:p>
    <w:p>
      <w:pPr>
        <w:pStyle w:val="style0"/>
        <w:spacing w:before="100" w:beforeAutospacing="true" w:after="100" w:afterAutospacing="true" w:lineRule="auto" w:line="240"/>
        <w:ind w:left="720" w:hanging="72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Mansur, A. R., Oh, J., Lee, H. S., &amp; Oh, S. Y. (2022). Determination of ethanol in foods and beverages by magnetic stirring-assisted aqueous extraction coupled with GC-FID: A validated method for halal verification. </w:t>
      </w:r>
      <w:r>
        <w:rPr>
          <w:rFonts w:ascii="Times New Roman" w:cs="Times New Roman" w:eastAsia="Times New Roman" w:hAnsi="Times New Roman"/>
          <w:i/>
          <w:iCs/>
          <w:sz w:val="24"/>
          <w:szCs w:val="24"/>
        </w:rPr>
        <w:t>Food Chemistry, 366</w:t>
      </w:r>
      <w:r>
        <w:rPr>
          <w:rFonts w:ascii="Times New Roman" w:cs="Times New Roman" w:eastAsia="Times New Roman" w:hAnsi="Times New Roman"/>
          <w:sz w:val="24"/>
          <w:szCs w:val="24"/>
        </w:rPr>
        <w:t>, 130526.</w:t>
      </w:r>
      <w:r>
        <w:rPr>
          <w:rFonts w:ascii="Times New Roman" w:cs="Times New Roman" w:eastAsia="Times New Roman" w:hAnsi="Times New Roman"/>
          <w:sz w:val="24"/>
          <w:szCs w:val="24"/>
        </w:rPr>
        <w:t xml:space="preserve"> </w:t>
      </w:r>
      <w:r>
        <w:rPr/>
        <w:fldChar w:fldCharType="begin"/>
      </w:r>
      <w:r>
        <w:instrText xml:space="preserve"> HYPERLINK "https://doi.org/10.1016/j.foodchem.2021.130526" </w:instrText>
      </w:r>
      <w:r>
        <w:rPr/>
        <w:fldChar w:fldCharType="separate"/>
      </w:r>
      <w:r>
        <w:rPr>
          <w:rStyle w:val="style85"/>
          <w:rFonts w:ascii="Times New Roman" w:cs="Times New Roman" w:eastAsia="Times New Roman" w:hAnsi="Times New Roman"/>
          <w:color w:val="auto"/>
          <w:sz w:val="24"/>
          <w:szCs w:val="24"/>
        </w:rPr>
        <w:t>https://doi.org/10.1016/j.foodchem.2021.130526</w:t>
      </w:r>
      <w:r>
        <w:rPr/>
        <w:fldChar w:fldCharType="end"/>
      </w:r>
    </w:p>
    <w:p>
      <w:pPr>
        <w:pStyle w:val="style0"/>
        <w:spacing w:before="100" w:beforeAutospacing="true" w:after="100" w:afterAutospacing="true" w:lineRule="auto" w:line="240"/>
        <w:ind w:left="720" w:hanging="720"/>
        <w:jc w:val="both"/>
        <w:rPr>
          <w:rFonts w:ascii="Times New Roman" w:cs="Times New Roman" w:hAnsi="Times New Roman"/>
          <w:sz w:val="24"/>
          <w:szCs w:val="24"/>
        </w:rPr>
      </w:pPr>
      <w:r>
        <w:rPr>
          <w:rFonts w:ascii="Times New Roman" w:cs="Times New Roman" w:eastAsia="Times New Roman" w:hAnsi="Times New Roman"/>
          <w:sz w:val="24"/>
          <w:szCs w:val="24"/>
        </w:rPr>
        <w:t>Morad</w:t>
      </w:r>
      <w:r>
        <w:rPr>
          <w:rFonts w:ascii="Times New Roman" w:cs="Times New Roman" w:eastAsia="Times New Roman" w:hAnsi="Times New Roman"/>
          <w:sz w:val="24"/>
          <w:szCs w:val="24"/>
        </w:rPr>
        <w:t xml:space="preserve">, A. M., </w:t>
      </w:r>
      <w:r>
        <w:rPr>
          <w:rFonts w:ascii="Times New Roman" w:cs="Times New Roman" w:eastAsia="Times New Roman" w:hAnsi="Times New Roman"/>
          <w:sz w:val="24"/>
          <w:szCs w:val="24"/>
        </w:rPr>
        <w:t>Hikal</w:t>
      </w:r>
      <w:r>
        <w:rPr>
          <w:rFonts w:ascii="Times New Roman" w:cs="Times New Roman" w:eastAsia="Times New Roman" w:hAnsi="Times New Roman"/>
          <w:sz w:val="24"/>
          <w:szCs w:val="24"/>
        </w:rPr>
        <w:t xml:space="preserve">, A. H., &amp; </w:t>
      </w:r>
      <w:r>
        <w:rPr>
          <w:rFonts w:ascii="Times New Roman" w:cs="Times New Roman" w:eastAsia="Times New Roman" w:hAnsi="Times New Roman"/>
          <w:sz w:val="24"/>
          <w:szCs w:val="24"/>
        </w:rPr>
        <w:t>Buchanin</w:t>
      </w:r>
      <w:r>
        <w:rPr>
          <w:rFonts w:ascii="Times New Roman" w:cs="Times New Roman" w:eastAsia="Times New Roman" w:hAnsi="Times New Roman"/>
          <w:sz w:val="24"/>
          <w:szCs w:val="24"/>
        </w:rPr>
        <w:t>, R. (1980).</w:t>
      </w:r>
      <w:r>
        <w:rPr>
          <w:rFonts w:ascii="Times New Roman" w:cs="Times New Roman" w:eastAsia="Times New Roman" w:hAnsi="Times New Roman"/>
          <w:sz w:val="24"/>
          <w:szCs w:val="24"/>
        </w:rPr>
        <w:t xml:space="preserve"> </w:t>
      </w:r>
      <w:r>
        <w:rPr>
          <w:rFonts w:ascii="Times New Roman" w:cs="Times New Roman" w:eastAsia="Times New Roman" w:hAnsi="Times New Roman"/>
          <w:sz w:val="24"/>
          <w:szCs w:val="24"/>
        </w:rPr>
        <w:t>Gas–liquid chromatographic determination of ethanol in “alcohol-free” beverages and fruit juices.</w:t>
      </w:r>
      <w:r>
        <w:rPr>
          <w:rFonts w:ascii="Times New Roman" w:cs="Times New Roman" w:eastAsia="Times New Roman" w:hAnsi="Times New Roman"/>
          <w:sz w:val="24"/>
          <w:szCs w:val="24"/>
        </w:rPr>
        <w:t xml:space="preserve"> </w:t>
      </w:r>
      <w:r>
        <w:rPr>
          <w:rFonts w:ascii="Times New Roman" w:cs="Times New Roman" w:eastAsia="Times New Roman" w:hAnsi="Times New Roman"/>
          <w:i/>
          <w:iCs/>
          <w:sz w:val="24"/>
          <w:szCs w:val="24"/>
        </w:rPr>
        <w:t>Chromatographia</w:t>
      </w:r>
      <w:r>
        <w:rPr>
          <w:rFonts w:ascii="Times New Roman" w:cs="Times New Roman" w:eastAsia="Times New Roman" w:hAnsi="Times New Roman"/>
          <w:i/>
          <w:iCs/>
          <w:sz w:val="24"/>
          <w:szCs w:val="24"/>
        </w:rPr>
        <w:t>, 13</w:t>
      </w:r>
      <w:r>
        <w:rPr>
          <w:rFonts w:ascii="Times New Roman" w:cs="Times New Roman" w:eastAsia="Times New Roman" w:hAnsi="Times New Roman"/>
          <w:sz w:val="24"/>
          <w:szCs w:val="24"/>
        </w:rPr>
        <w:t xml:space="preserve">(3–4), 161–163. </w:t>
      </w:r>
      <w:r>
        <w:rPr/>
        <w:fldChar w:fldCharType="begin"/>
      </w:r>
      <w:r>
        <w:instrText xml:space="preserve"> HYPERLINK "https://doi.org/10.1007/BF02259306" </w:instrText>
      </w:r>
      <w:r>
        <w:rPr/>
        <w:fldChar w:fldCharType="separate"/>
      </w:r>
      <w:r>
        <w:rPr>
          <w:rStyle w:val="style85"/>
          <w:rFonts w:ascii="Times New Roman" w:cs="Times New Roman" w:eastAsia="Times New Roman" w:hAnsi="Times New Roman"/>
          <w:color w:val="auto"/>
          <w:sz w:val="24"/>
          <w:szCs w:val="24"/>
        </w:rPr>
        <w:t>https://doi.org/10.1007/BF02259306</w:t>
      </w:r>
      <w:r>
        <w:rPr/>
        <w:fldChar w:fldCharType="end"/>
      </w:r>
    </w:p>
    <w:p>
      <w:pPr>
        <w:pStyle w:val="style4097"/>
        <w:spacing w:before="280" w:after="280" w:lineRule="auto" w:line="240"/>
        <w:ind w:left="720" w:hanging="720"/>
        <w:jc w:val="both"/>
        <w:rPr>
          <w:rFonts w:ascii="Times New Roman" w:cs="Times New Roman" w:eastAsia="Arial" w:hAnsi="Times New Roman"/>
          <w:sz w:val="24"/>
          <w:szCs w:val="24"/>
        </w:rPr>
      </w:pPr>
      <w:r>
        <w:rPr>
          <w:rFonts w:ascii="Times New Roman" w:cs="Times New Roman" w:eastAsia="Arial" w:hAnsi="Times New Roman"/>
          <w:sz w:val="24"/>
          <w:szCs w:val="24"/>
        </w:rPr>
        <w:t>National Agency for Food and Drug Administration and Control (NAFDAC).</w:t>
      </w:r>
      <w:r>
        <w:rPr>
          <w:rFonts w:ascii="Times New Roman" w:cs="Times New Roman" w:eastAsia="Arial" w:hAnsi="Times New Roman"/>
          <w:sz w:val="24"/>
          <w:szCs w:val="24"/>
        </w:rPr>
        <w:t xml:space="preserve"> </w:t>
      </w:r>
      <w:r>
        <w:rPr>
          <w:rFonts w:ascii="Times New Roman" w:cs="Times New Roman" w:eastAsia="Arial" w:hAnsi="Times New Roman"/>
          <w:sz w:val="24"/>
          <w:szCs w:val="24"/>
        </w:rPr>
        <w:t xml:space="preserve">(2021). </w:t>
      </w:r>
      <w:r>
        <w:rPr>
          <w:rFonts w:ascii="Times New Roman" w:cs="Times New Roman" w:eastAsia="Arial" w:hAnsi="Times New Roman"/>
          <w:i/>
          <w:sz w:val="24"/>
          <w:szCs w:val="24"/>
        </w:rPr>
        <w:t>Soft Drinks Regulations, 2021.</w:t>
      </w:r>
      <w:r>
        <w:rPr>
          <w:rFonts w:ascii="Times New Roman" w:cs="Times New Roman" w:eastAsia="Arial" w:hAnsi="Times New Roman"/>
          <w:sz w:val="24"/>
          <w:szCs w:val="24"/>
        </w:rPr>
        <w:t xml:space="preserve"> Abuja, Nigeria: Federal Republic of Nigeria Official Gazette. Retrieved from </w:t>
      </w:r>
      <w:r>
        <w:rPr/>
        <w:fldChar w:fldCharType="begin"/>
      </w:r>
      <w:r>
        <w:instrText xml:space="preserve"> HYPERLINK "https://www.nafdac.gov.ng/wp-content/uploads/Files/Resources/Regulations/REGULATIONS_2021/Soft-Drinks-Regulations-2021.pdf?utm_source=chatgpt.com" </w:instrText>
      </w:r>
      <w:r>
        <w:rPr/>
        <w:fldChar w:fldCharType="separate"/>
      </w:r>
      <w:r>
        <w:rPr>
          <w:rFonts w:ascii="Times New Roman" w:cs="Times New Roman" w:eastAsia="Arial" w:hAnsi="Times New Roman"/>
          <w:sz w:val="24"/>
          <w:szCs w:val="24"/>
          <w:u w:val="single"/>
        </w:rPr>
        <w:t>https://www.nafdac.gov.ng/wp-content/uploads/Files/Resources/Regulations/REGULATIONS_2021/Soft-Drinks-Regulations-2021.pdf</w:t>
      </w:r>
      <w:r>
        <w:rPr/>
        <w:fldChar w:fldCharType="end"/>
      </w:r>
    </w:p>
    <w:p>
      <w:pPr>
        <w:pStyle w:val="style0"/>
        <w:spacing w:before="100" w:beforeAutospacing="true" w:after="100" w:afterAutospacing="true" w:lineRule="auto" w:line="240"/>
        <w:ind w:left="720" w:hanging="72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Nawrot</w:t>
      </w:r>
      <w:r>
        <w:rPr>
          <w:rFonts w:ascii="Times New Roman" w:cs="Times New Roman" w:eastAsia="Times New Roman" w:hAnsi="Times New Roman"/>
          <w:sz w:val="24"/>
          <w:szCs w:val="24"/>
        </w:rPr>
        <w:t xml:space="preserve">, P., Jordan, S., Eastwood, J., </w:t>
      </w:r>
      <w:r>
        <w:rPr>
          <w:rFonts w:ascii="Times New Roman" w:cs="Times New Roman" w:eastAsia="Times New Roman" w:hAnsi="Times New Roman"/>
          <w:sz w:val="24"/>
          <w:szCs w:val="24"/>
        </w:rPr>
        <w:t>Rotstein</w:t>
      </w:r>
      <w:r>
        <w:rPr>
          <w:rFonts w:ascii="Times New Roman" w:cs="Times New Roman" w:eastAsia="Times New Roman" w:hAnsi="Times New Roman"/>
          <w:sz w:val="24"/>
          <w:szCs w:val="24"/>
        </w:rPr>
        <w:t xml:space="preserve">, J., </w:t>
      </w:r>
      <w:r>
        <w:rPr>
          <w:rFonts w:ascii="Times New Roman" w:cs="Times New Roman" w:eastAsia="Times New Roman" w:hAnsi="Times New Roman"/>
          <w:sz w:val="24"/>
          <w:szCs w:val="24"/>
        </w:rPr>
        <w:t>Hugenholtz</w:t>
      </w:r>
      <w:r>
        <w:rPr>
          <w:rFonts w:ascii="Times New Roman" w:cs="Times New Roman" w:eastAsia="Times New Roman" w:hAnsi="Times New Roman"/>
          <w:sz w:val="24"/>
          <w:szCs w:val="24"/>
        </w:rPr>
        <w:t xml:space="preserve">, A., &amp; </w:t>
      </w:r>
      <w:r>
        <w:rPr>
          <w:rFonts w:ascii="Times New Roman" w:cs="Times New Roman" w:eastAsia="Times New Roman" w:hAnsi="Times New Roman"/>
          <w:sz w:val="24"/>
          <w:szCs w:val="24"/>
        </w:rPr>
        <w:t>Feeley</w:t>
      </w:r>
      <w:r>
        <w:rPr>
          <w:rFonts w:ascii="Times New Roman" w:cs="Times New Roman" w:eastAsia="Times New Roman" w:hAnsi="Times New Roman"/>
          <w:sz w:val="24"/>
          <w:szCs w:val="24"/>
        </w:rPr>
        <w:t xml:space="preserve">, M. (2003). </w:t>
      </w:r>
      <w:r>
        <w:rPr>
          <w:rFonts w:ascii="Times New Roman" w:cs="Times New Roman" w:eastAsia="Times New Roman" w:hAnsi="Times New Roman"/>
          <w:sz w:val="24"/>
          <w:szCs w:val="24"/>
        </w:rPr>
        <w:t>Effects of caffeine on human health.</w:t>
      </w:r>
      <w:r>
        <w:rPr>
          <w:rFonts w:ascii="Times New Roman" w:cs="Times New Roman" w:eastAsia="Times New Roman" w:hAnsi="Times New Roman"/>
          <w:sz w:val="24"/>
          <w:szCs w:val="24"/>
        </w:rPr>
        <w:t xml:space="preserve"> </w:t>
      </w:r>
      <w:r>
        <w:rPr>
          <w:rFonts w:ascii="Times New Roman" w:cs="Times New Roman" w:eastAsia="Times New Roman" w:hAnsi="Times New Roman"/>
          <w:i/>
          <w:iCs/>
          <w:sz w:val="24"/>
          <w:szCs w:val="24"/>
        </w:rPr>
        <w:t>Food Additives &amp; Contaminants, 20</w:t>
      </w:r>
      <w:r>
        <w:rPr>
          <w:rFonts w:ascii="Times New Roman" w:cs="Times New Roman" w:eastAsia="Times New Roman" w:hAnsi="Times New Roman"/>
          <w:sz w:val="24"/>
          <w:szCs w:val="24"/>
        </w:rPr>
        <w:t xml:space="preserve">(1), 1–30. </w:t>
      </w:r>
      <w:r>
        <w:rPr/>
        <w:fldChar w:fldCharType="begin"/>
      </w:r>
      <w:r>
        <w:instrText xml:space="preserve"> HYPERLINK "https://doi.org/10.1080/0265203021000007840" </w:instrText>
      </w:r>
      <w:r>
        <w:rPr/>
        <w:fldChar w:fldCharType="separate"/>
      </w:r>
      <w:r>
        <w:rPr>
          <w:rStyle w:val="style85"/>
          <w:rFonts w:ascii="Times New Roman" w:cs="Times New Roman" w:eastAsia="Times New Roman" w:hAnsi="Times New Roman"/>
          <w:color w:val="auto"/>
          <w:sz w:val="24"/>
          <w:szCs w:val="24"/>
        </w:rPr>
        <w:t>https://doi.org/10.1080/0265203021000007840</w:t>
      </w:r>
      <w:r>
        <w:rPr/>
        <w:fldChar w:fldCharType="end"/>
      </w:r>
    </w:p>
    <w:p>
      <w:pPr>
        <w:pStyle w:val="style0"/>
        <w:spacing w:before="100" w:beforeAutospacing="true" w:after="100" w:afterAutospacing="true" w:lineRule="auto" w:line="240"/>
        <w:ind w:left="720" w:hanging="72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Rehm</w:t>
      </w:r>
      <w:r>
        <w:rPr>
          <w:rFonts w:ascii="Times New Roman" w:cs="Times New Roman" w:eastAsia="Times New Roman" w:hAnsi="Times New Roman"/>
          <w:sz w:val="24"/>
          <w:szCs w:val="24"/>
        </w:rPr>
        <w:t xml:space="preserve">, J., </w:t>
      </w:r>
      <w:r>
        <w:rPr>
          <w:rFonts w:ascii="Times New Roman" w:cs="Times New Roman" w:eastAsia="Times New Roman" w:hAnsi="Times New Roman"/>
          <w:sz w:val="24"/>
          <w:szCs w:val="24"/>
        </w:rPr>
        <w:t>Lachenmeier</w:t>
      </w:r>
      <w:r>
        <w:rPr>
          <w:rFonts w:ascii="Times New Roman" w:cs="Times New Roman" w:eastAsia="Times New Roman" w:hAnsi="Times New Roman"/>
          <w:sz w:val="24"/>
          <w:szCs w:val="24"/>
        </w:rPr>
        <w:t xml:space="preserve">, D. W., </w:t>
      </w:r>
      <w:r>
        <w:rPr>
          <w:rFonts w:ascii="Times New Roman" w:cs="Times New Roman" w:eastAsia="Times New Roman" w:hAnsi="Times New Roman"/>
          <w:sz w:val="24"/>
          <w:szCs w:val="24"/>
        </w:rPr>
        <w:t>Llopis</w:t>
      </w:r>
      <w:r>
        <w:rPr>
          <w:rFonts w:ascii="Times New Roman" w:cs="Times New Roman" w:eastAsia="Times New Roman" w:hAnsi="Times New Roman"/>
          <w:sz w:val="24"/>
          <w:szCs w:val="24"/>
        </w:rPr>
        <w:t xml:space="preserve">, E. J., </w:t>
      </w:r>
      <w:r>
        <w:rPr>
          <w:rFonts w:ascii="Times New Roman" w:cs="Times New Roman" w:eastAsia="Times New Roman" w:hAnsi="Times New Roman"/>
          <w:sz w:val="24"/>
          <w:szCs w:val="24"/>
        </w:rPr>
        <w:t>Imtiaz</w:t>
      </w:r>
      <w:r>
        <w:rPr>
          <w:rFonts w:ascii="Times New Roman" w:cs="Times New Roman" w:eastAsia="Times New Roman" w:hAnsi="Times New Roman"/>
          <w:sz w:val="24"/>
          <w:szCs w:val="24"/>
        </w:rPr>
        <w:t>, S., &amp; Anderson, P. (2016).</w:t>
      </w:r>
      <w:r>
        <w:rPr>
          <w:rFonts w:ascii="Times New Roman" w:cs="Times New Roman" w:eastAsia="Times New Roman" w:hAnsi="Times New Roman"/>
          <w:sz w:val="24"/>
          <w:szCs w:val="24"/>
        </w:rPr>
        <w:t xml:space="preserve"> </w:t>
      </w:r>
      <w:r>
        <w:rPr>
          <w:rFonts w:ascii="Times New Roman" w:cs="Times New Roman" w:eastAsia="Times New Roman" w:hAnsi="Times New Roman"/>
          <w:sz w:val="24"/>
          <w:szCs w:val="24"/>
        </w:rPr>
        <w:t>Evidence of reducing ethanol content in beverages to reduce harmful use of alcohol.</w:t>
      </w:r>
      <w:r>
        <w:rPr>
          <w:rFonts w:ascii="Times New Roman" w:cs="Times New Roman" w:eastAsia="Times New Roman" w:hAnsi="Times New Roman"/>
          <w:sz w:val="24"/>
          <w:szCs w:val="24"/>
        </w:rPr>
        <w:t xml:space="preserve"> </w:t>
      </w:r>
      <w:r>
        <w:rPr>
          <w:rFonts w:ascii="Times New Roman" w:cs="Times New Roman" w:eastAsia="Times New Roman" w:hAnsi="Times New Roman"/>
          <w:i/>
          <w:iCs/>
          <w:sz w:val="24"/>
          <w:szCs w:val="24"/>
        </w:rPr>
        <w:t xml:space="preserve">The Lancet Gastroenterology &amp; </w:t>
      </w:r>
      <w:r>
        <w:rPr>
          <w:rFonts w:ascii="Times New Roman" w:cs="Times New Roman" w:eastAsia="Times New Roman" w:hAnsi="Times New Roman"/>
          <w:i/>
          <w:iCs/>
          <w:sz w:val="24"/>
          <w:szCs w:val="24"/>
        </w:rPr>
        <w:t>Hepatology</w:t>
      </w:r>
      <w:r>
        <w:rPr>
          <w:rFonts w:ascii="Times New Roman" w:cs="Times New Roman" w:eastAsia="Times New Roman" w:hAnsi="Times New Roman"/>
          <w:i/>
          <w:iCs/>
          <w:sz w:val="24"/>
          <w:szCs w:val="24"/>
        </w:rPr>
        <w:t>, 1</w:t>
      </w:r>
      <w:r>
        <w:rPr>
          <w:rFonts w:ascii="Times New Roman" w:cs="Times New Roman" w:eastAsia="Times New Roman" w:hAnsi="Times New Roman"/>
          <w:sz w:val="24"/>
          <w:szCs w:val="24"/>
        </w:rPr>
        <w:t xml:space="preserve">(1), 78–83. </w:t>
      </w:r>
      <w:r>
        <w:rPr/>
        <w:fldChar w:fldCharType="begin"/>
      </w:r>
      <w:r>
        <w:instrText xml:space="preserve"> HYPERLINK "https://doi.org/10.1016/S2468-1253(16)30013-9" </w:instrText>
      </w:r>
      <w:r>
        <w:rPr/>
        <w:fldChar w:fldCharType="separate"/>
      </w:r>
      <w:r>
        <w:rPr>
          <w:rStyle w:val="style85"/>
          <w:rFonts w:ascii="Times New Roman" w:cs="Times New Roman" w:eastAsia="Times New Roman" w:hAnsi="Times New Roman"/>
          <w:color w:val="auto"/>
          <w:sz w:val="24"/>
          <w:szCs w:val="24"/>
        </w:rPr>
        <w:t>https://doi.org/10.1016/S2468-1253(16)30013-9</w:t>
      </w:r>
      <w:r>
        <w:rPr/>
        <w:fldChar w:fldCharType="end"/>
      </w:r>
    </w:p>
    <w:p>
      <w:pPr>
        <w:pStyle w:val="style0"/>
        <w:spacing w:before="100" w:beforeAutospacing="true" w:after="100" w:afterAutospacing="true" w:lineRule="auto" w:line="240"/>
        <w:ind w:left="720" w:hanging="72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Rodriguez-</w:t>
      </w:r>
      <w:r>
        <w:rPr>
          <w:rFonts w:ascii="Times New Roman" w:cs="Times New Roman" w:eastAsia="Times New Roman" w:hAnsi="Times New Roman"/>
          <w:sz w:val="24"/>
          <w:szCs w:val="24"/>
        </w:rPr>
        <w:t>Saona</w:t>
      </w:r>
      <w:r>
        <w:rPr>
          <w:rFonts w:ascii="Times New Roman" w:cs="Times New Roman" w:eastAsia="Times New Roman" w:hAnsi="Times New Roman"/>
          <w:sz w:val="24"/>
          <w:szCs w:val="24"/>
        </w:rPr>
        <w:t xml:space="preserve">, L. E., &amp; </w:t>
      </w:r>
      <w:r>
        <w:rPr>
          <w:rFonts w:ascii="Times New Roman" w:cs="Times New Roman" w:eastAsia="Times New Roman" w:hAnsi="Times New Roman"/>
          <w:sz w:val="24"/>
          <w:szCs w:val="24"/>
        </w:rPr>
        <w:t>Allendorf</w:t>
      </w:r>
      <w:r>
        <w:rPr>
          <w:rFonts w:ascii="Times New Roman" w:cs="Times New Roman" w:eastAsia="Times New Roman" w:hAnsi="Times New Roman"/>
          <w:sz w:val="24"/>
          <w:szCs w:val="24"/>
        </w:rPr>
        <w:t>, M. E. (2011).</w:t>
      </w:r>
      <w:r>
        <w:rPr>
          <w:rFonts w:ascii="Times New Roman" w:cs="Times New Roman" w:eastAsia="Times New Roman" w:hAnsi="Times New Roman"/>
          <w:sz w:val="24"/>
          <w:szCs w:val="24"/>
        </w:rPr>
        <w:t xml:space="preserve"> </w:t>
      </w:r>
      <w:r>
        <w:rPr>
          <w:rFonts w:ascii="Times New Roman" w:cs="Times New Roman" w:eastAsia="Times New Roman" w:hAnsi="Times New Roman"/>
          <w:sz w:val="24"/>
          <w:szCs w:val="24"/>
        </w:rPr>
        <w:t>Use of infrared spectroscopy for rapid authentication and detection of adulteration of food.</w:t>
      </w:r>
      <w:r>
        <w:rPr>
          <w:rFonts w:ascii="Times New Roman" w:cs="Times New Roman" w:eastAsia="Times New Roman" w:hAnsi="Times New Roman"/>
          <w:sz w:val="24"/>
          <w:szCs w:val="24"/>
        </w:rPr>
        <w:t xml:space="preserve"> </w:t>
      </w:r>
      <w:r>
        <w:rPr>
          <w:rFonts w:ascii="Times New Roman" w:cs="Times New Roman" w:eastAsia="Times New Roman" w:hAnsi="Times New Roman"/>
          <w:i/>
          <w:iCs/>
          <w:sz w:val="24"/>
          <w:szCs w:val="24"/>
        </w:rPr>
        <w:t>Annual Review of Food Science and Technology, 2</w:t>
      </w:r>
      <w:r>
        <w:rPr>
          <w:rFonts w:ascii="Times New Roman" w:cs="Times New Roman" w:eastAsia="Times New Roman" w:hAnsi="Times New Roman"/>
          <w:sz w:val="24"/>
          <w:szCs w:val="24"/>
        </w:rPr>
        <w:t xml:space="preserve">, 467–493. </w:t>
      </w:r>
      <w:r>
        <w:rPr/>
        <w:fldChar w:fldCharType="begin"/>
      </w:r>
      <w:r>
        <w:instrText xml:space="preserve"> HYPERLINK "https://doi.org/10.1146/annurev-food-022510-133750" </w:instrText>
      </w:r>
      <w:r>
        <w:rPr/>
        <w:fldChar w:fldCharType="separate"/>
      </w:r>
      <w:r>
        <w:rPr>
          <w:rStyle w:val="style85"/>
          <w:rFonts w:ascii="Times New Roman" w:cs="Times New Roman" w:eastAsia="Times New Roman" w:hAnsi="Times New Roman"/>
          <w:color w:val="auto"/>
          <w:sz w:val="24"/>
          <w:szCs w:val="24"/>
        </w:rPr>
        <w:t>https://doi.org/10.1146/annurev-food-022510-133750</w:t>
      </w:r>
      <w:r>
        <w:rPr/>
        <w:fldChar w:fldCharType="end"/>
      </w:r>
    </w:p>
    <w:p>
      <w:pPr>
        <w:pStyle w:val="style4097"/>
        <w:spacing w:before="280" w:after="280" w:lineRule="auto" w:line="240"/>
        <w:ind w:left="720" w:hanging="720"/>
        <w:jc w:val="both"/>
        <w:rPr>
          <w:rFonts w:ascii="Times New Roman" w:cs="Times New Roman" w:eastAsia="Arial" w:hAnsi="Times New Roman"/>
          <w:sz w:val="24"/>
          <w:szCs w:val="24"/>
        </w:rPr>
      </w:pPr>
      <w:r>
        <w:rPr>
          <w:rFonts w:ascii="Times New Roman" w:cs="Times New Roman" w:eastAsia="Arial" w:hAnsi="Times New Roman"/>
          <w:sz w:val="24"/>
          <w:szCs w:val="24"/>
        </w:rPr>
        <w:t>Skoog</w:t>
      </w:r>
      <w:r>
        <w:rPr>
          <w:rFonts w:ascii="Times New Roman" w:cs="Times New Roman" w:eastAsia="Arial" w:hAnsi="Times New Roman"/>
          <w:sz w:val="24"/>
          <w:szCs w:val="24"/>
        </w:rPr>
        <w:t>, D. A., West, D. M., &amp; Holler, F. J. (2000).</w:t>
      </w:r>
      <w:r>
        <w:rPr>
          <w:rFonts w:ascii="Times New Roman" w:cs="Times New Roman" w:eastAsia="Arial" w:hAnsi="Times New Roman"/>
          <w:sz w:val="24"/>
          <w:szCs w:val="24"/>
        </w:rPr>
        <w:t xml:space="preserve"> </w:t>
      </w:r>
      <w:r>
        <w:rPr>
          <w:rFonts w:ascii="Times New Roman" w:cs="Times New Roman" w:eastAsia="Arial" w:hAnsi="Times New Roman"/>
          <w:i/>
          <w:sz w:val="24"/>
          <w:szCs w:val="24"/>
        </w:rPr>
        <w:t>Fundamentals of analytical chemistry</w:t>
      </w:r>
      <w:r>
        <w:rPr>
          <w:rFonts w:ascii="Times New Roman" w:cs="Times New Roman" w:eastAsia="Arial" w:hAnsi="Times New Roman"/>
          <w:sz w:val="24"/>
          <w:szCs w:val="24"/>
        </w:rPr>
        <w:t xml:space="preserve"> (7th </w:t>
      </w:r>
      <w:r>
        <w:rPr>
          <w:rFonts w:ascii="Times New Roman" w:cs="Times New Roman" w:eastAsia="Arial" w:hAnsi="Times New Roman"/>
          <w:sz w:val="24"/>
          <w:szCs w:val="24"/>
        </w:rPr>
        <w:t>ed</w:t>
      </w:r>
      <w:r>
        <w:rPr>
          <w:rFonts w:ascii="Times New Roman" w:cs="Times New Roman" w:eastAsia="Arial" w:hAnsi="Times New Roman"/>
          <w:sz w:val="24"/>
          <w:szCs w:val="24"/>
        </w:rPr>
        <w:t xml:space="preserve">.). </w:t>
      </w:r>
      <w:r>
        <w:rPr>
          <w:rFonts w:ascii="Times New Roman" w:cs="Times New Roman" w:eastAsia="Arial" w:hAnsi="Times New Roman"/>
          <w:sz w:val="24"/>
          <w:szCs w:val="24"/>
        </w:rPr>
        <w:t>Saunders College Publishing.</w:t>
      </w:r>
    </w:p>
    <w:p>
      <w:pPr>
        <w:pStyle w:val="style4097"/>
        <w:ind w:left="720" w:hanging="720"/>
        <w:jc w:val="both"/>
        <w:rPr>
          <w:rFonts w:ascii="Times New Roman" w:cs="Times New Roman" w:eastAsia="Arial" w:hAnsi="Times New Roman"/>
          <w:sz w:val="24"/>
          <w:szCs w:val="24"/>
        </w:rPr>
      </w:pPr>
    </w:p>
    <w:p>
      <w:pPr>
        <w:pStyle w:val="style4097"/>
        <w:ind w:left="720" w:hanging="720"/>
        <w:jc w:val="both"/>
        <w:rPr>
          <w:rFonts w:ascii="Times New Roman" w:cs="Times New Roman" w:hAnsi="Times New Roman"/>
          <w:sz w:val="24"/>
          <w:szCs w:val="24"/>
        </w:rPr>
      </w:pPr>
      <w:r>
        <w:rPr>
          <w:rFonts w:ascii="Times New Roman" w:cs="Times New Roman" w:eastAsia="Arial" w:hAnsi="Times New Roman"/>
          <w:sz w:val="24"/>
          <w:szCs w:val="24"/>
        </w:rPr>
        <w:t>World Health Organization (WHO).</w:t>
      </w:r>
      <w:r>
        <w:rPr>
          <w:rFonts w:ascii="Times New Roman" w:cs="Times New Roman" w:eastAsia="Arial" w:hAnsi="Times New Roman"/>
          <w:sz w:val="24"/>
          <w:szCs w:val="24"/>
        </w:rPr>
        <w:t xml:space="preserve"> </w:t>
      </w:r>
      <w:r>
        <w:rPr>
          <w:rFonts w:ascii="Times New Roman" w:cs="Times New Roman" w:eastAsia="Arial" w:hAnsi="Times New Roman"/>
          <w:sz w:val="24"/>
          <w:szCs w:val="24"/>
        </w:rPr>
        <w:t xml:space="preserve">(2014). </w:t>
      </w:r>
      <w:r>
        <w:rPr>
          <w:rFonts w:ascii="Times New Roman" w:cs="Times New Roman" w:eastAsia="Arial" w:hAnsi="Times New Roman"/>
          <w:i/>
          <w:sz w:val="24"/>
          <w:szCs w:val="24"/>
        </w:rPr>
        <w:t>Global status report on alcohol and health 2014.</w:t>
      </w:r>
      <w:r>
        <w:rPr>
          <w:rFonts w:ascii="Times New Roman" w:cs="Times New Roman" w:eastAsia="Arial" w:hAnsi="Times New Roman"/>
          <w:sz w:val="24"/>
          <w:szCs w:val="24"/>
        </w:rPr>
        <w:t xml:space="preserve"> Geneva, Switzerland: World Health Organization. </w:t>
      </w:r>
      <w:r>
        <w:rPr/>
        <w:fldChar w:fldCharType="begin"/>
      </w:r>
      <w:r>
        <w:instrText xml:space="preserve"> HYPERLINK "https://www.who.int/publications/i/item/global-status-report-on-alcohol-and-health-2014" </w:instrText>
      </w:r>
      <w:r>
        <w:rPr/>
        <w:fldChar w:fldCharType="separate"/>
      </w:r>
      <w:r>
        <w:rPr>
          <w:rFonts w:ascii="Times New Roman" w:cs="Times New Roman" w:eastAsia="Arial" w:hAnsi="Times New Roman"/>
          <w:sz w:val="24"/>
          <w:szCs w:val="24"/>
          <w:u w:val="single"/>
        </w:rPr>
        <w:t>https://www.who.int/publications/i/item/global-status-report-on-alcohol-and-health-2014</w:t>
      </w:r>
      <w:r>
        <w:rPr/>
        <w:fldChar w:fldCharType="end"/>
      </w:r>
    </w:p>
    <w:p>
      <w:pPr>
        <w:pStyle w:val="style0"/>
        <w:spacing w:before="100" w:beforeAutospacing="true" w:after="100" w:afterAutospacing="true" w:lineRule="auto" w:line="240"/>
        <w:jc w:val="both"/>
        <w:rPr>
          <w:rFonts w:ascii="Times New Roman" w:cs="Times New Roman" w:eastAsia="Times New Roman" w:hAnsi="Times New Roman"/>
          <w:sz w:val="24"/>
          <w:szCs w:val="24"/>
        </w:rPr>
      </w:pPr>
    </w:p>
    <w:p>
      <w:pPr>
        <w:pStyle w:val="style0"/>
        <w:rPr>
          <w:rStyle w:val="style87"/>
          <w:rFonts w:ascii="Times New Roman" w:cs="Times New Roman" w:hAnsi="Times New Roman"/>
          <w:bCs w:val="false"/>
          <w:sz w:val="24"/>
          <w:szCs w:val="24"/>
        </w:rPr>
      </w:pPr>
      <w:r>
        <w:rPr>
          <w:rStyle w:val="style87"/>
          <w:rFonts w:ascii="Times New Roman" w:cs="Times New Roman" w:hAnsi="Times New Roman"/>
          <w:bCs w:val="false"/>
          <w:sz w:val="24"/>
          <w:szCs w:val="24"/>
        </w:rPr>
        <w:br w:type="page"/>
      </w:r>
    </w:p>
    <w:p>
      <w:pPr>
        <w:pStyle w:val="style0"/>
        <w:jc w:val="center"/>
        <w:rPr>
          <w:rFonts w:ascii="Times New Roman" w:cs="Times New Roman" w:hAnsi="Times New Roman"/>
          <w:sz w:val="24"/>
          <w:szCs w:val="24"/>
        </w:rPr>
      </w:pPr>
      <w:r>
        <w:rPr>
          <w:rStyle w:val="style87"/>
          <w:rFonts w:ascii="Times New Roman" w:cs="Times New Roman" w:hAnsi="Times New Roman"/>
          <w:bCs w:val="false"/>
          <w:sz w:val="24"/>
          <w:szCs w:val="24"/>
        </w:rPr>
        <w:t>APPENDICES</w:t>
      </w:r>
    </w:p>
    <w:bookmarkStart w:id="59" w:name="_Toc213929903"/>
    <w:p>
      <w:pPr>
        <w:pStyle w:val="style3"/>
        <w:spacing w:lineRule="auto" w:line="360"/>
        <w:jc w:val="both"/>
        <w:rPr>
          <w:sz w:val="24"/>
          <w:szCs w:val="24"/>
        </w:rPr>
      </w:pPr>
      <w:r>
        <w:rPr>
          <w:rStyle w:val="style87"/>
          <w:b/>
          <w:bCs/>
          <w:sz w:val="24"/>
          <w:szCs w:val="24"/>
        </w:rPr>
        <w:t>Appendix A: Calibration Data and Curve for Ethanol Standards</w:t>
      </w:r>
      <w:bookmarkEnd w:id="59"/>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696"/>
        <w:gridCol w:w="3330"/>
      </w:tblGrid>
      <w:tr>
        <w:trPr>
          <w:tblHeader/>
          <w:tblCellSpacing w:w="15" w:type="dxa"/>
        </w:trPr>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Ethanol Standard (% v/v)</w:t>
            </w:r>
          </w:p>
        </w:tc>
        <w:tc>
          <w:tcPr>
            <w:tcW w:w="0" w:type="auto"/>
            <w:tcBorders>
              <w:top w:val="single" w:sz="4" w:space="0" w:color="auto"/>
              <w:bottom w:val="single" w:sz="4" w:space="0" w:color="auto"/>
            </w:tcBorders>
            <w:vAlign w:val="center"/>
            <w:hideMark/>
          </w:tcPr>
          <w:p>
            <w:pPr>
              <w:pStyle w:val="style0"/>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   Absorbance at 350 nm (A₃₅₀)</w:t>
            </w:r>
          </w:p>
        </w:tc>
      </w:tr>
      <w:tr>
        <w:tblPrEx/>
        <w:trPr>
          <w:tblCellSpacing w:w="15" w:type="dxa"/>
        </w:trPr>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0.0</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0.000</w:t>
            </w:r>
          </w:p>
        </w:tc>
      </w:tr>
      <w:tr>
        <w:tblPrEx/>
        <w:trPr>
          <w:tblCellSpacing w:w="15" w:type="dxa"/>
        </w:trPr>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2.0</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0.130</w:t>
            </w:r>
          </w:p>
        </w:tc>
      </w:tr>
      <w:tr>
        <w:tblPrEx/>
        <w:trPr>
          <w:tblCellSpacing w:w="15" w:type="dxa"/>
        </w:trPr>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4.0</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0.255</w:t>
            </w:r>
          </w:p>
        </w:tc>
      </w:tr>
      <w:tr>
        <w:tblPrEx/>
        <w:trPr>
          <w:tblCellSpacing w:w="15" w:type="dxa"/>
        </w:trPr>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6.0</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0.370</w:t>
            </w:r>
          </w:p>
        </w:tc>
      </w:tr>
      <w:tr>
        <w:tblPrEx/>
        <w:trPr>
          <w:tblCellSpacing w:w="15" w:type="dxa"/>
        </w:trPr>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8.0</w:t>
            </w:r>
          </w:p>
        </w:tc>
        <w:tc>
          <w:tcPr>
            <w:tcW w:w="0" w:type="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0.521</w:t>
            </w:r>
          </w:p>
        </w:tc>
      </w:tr>
      <w:tr>
        <w:tblPrEx/>
        <w:trPr>
          <w:tblCellSpacing w:w="15" w:type="dxa"/>
        </w:trPr>
        <w:tc>
          <w:tcPr>
            <w:tcW w:w="0" w:type="auto"/>
            <w:tcBorders>
              <w:bottom w:val="single" w:sz="4" w:space="0" w:color="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10.0</w:t>
            </w:r>
          </w:p>
        </w:tc>
        <w:tc>
          <w:tcPr>
            <w:tcW w:w="0" w:type="auto"/>
            <w:tcBorders>
              <w:bottom w:val="single" w:sz="4" w:space="0" w:color="auto"/>
            </w:tcBorders>
            <w:vAlign w:val="center"/>
            <w:hideMark/>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0.648</w:t>
            </w:r>
          </w:p>
        </w:tc>
      </w:tr>
    </w:tbl>
    <w:p>
      <w:pPr>
        <w:pStyle w:val="style94"/>
        <w:tabs>
          <w:tab w:val="left" w:leader="none" w:pos="3480"/>
        </w:tabs>
        <w:spacing w:lineRule="auto" w:line="360"/>
        <w:jc w:val="both"/>
        <w:rPr/>
      </w:pPr>
      <w:r>
        <w:rPr>
          <w:rStyle w:val="style87"/>
        </w:rPr>
        <w:t>Calibration Equation:</w:t>
      </w:r>
      <w:r>
        <w:rPr>
          <w:rStyle w:val="style87"/>
        </w:rPr>
        <w:tab/>
      </w:r>
      <w:r>
        <w:br/>
      </w:r>
      <w:r>
        <w:rPr>
          <w:rStyle w:val="style88"/>
        </w:rPr>
        <w:t>(R² = 0.9989</w:t>
      </w:r>
      <w:r>
        <w:rPr>
          <w:rStyle w:val="style88"/>
        </w:rPr>
        <w:t>)</w:t>
      </w:r>
      <w:r>
        <w:rPr>
          <w:rStyle w:val="style88"/>
        </w:rPr>
        <w:t> </w:t>
      </w:r>
      <w:r>
        <w:rPr>
          <w:rStyle w:val="style88"/>
        </w:rPr>
        <w:t>A = 0.0647 C + 0.0028</w:t>
      </w:r>
    </w:p>
    <w:p>
      <w:pPr>
        <w:pStyle w:val="style94"/>
        <w:tabs>
          <w:tab w:val="left" w:leader="none" w:pos="3480"/>
        </w:tabs>
        <w:spacing w:lineRule="auto" w:line="360"/>
        <w:jc w:val="both"/>
        <w:rPr/>
      </w:pPr>
      <w:r>
        <w:t>where</w:t>
      </w:r>
      <w:r>
        <w:t>:</w:t>
      </w:r>
      <w:r>
        <w:tab/>
      </w:r>
      <w:r>
        <w:br/>
      </w:r>
      <w:r>
        <w:rPr>
          <w:rStyle w:val="style88"/>
        </w:rPr>
        <w:t>A</w:t>
      </w:r>
      <w:r>
        <w:t xml:space="preserve"> = Absorbance</w:t>
      </w:r>
      <w:r>
        <w:t xml:space="preserve">   </w:t>
      </w:r>
    </w:p>
    <w:p>
      <w:pPr>
        <w:pStyle w:val="style94"/>
        <w:tabs>
          <w:tab w:val="left" w:leader="none" w:pos="3480"/>
        </w:tabs>
        <w:spacing w:lineRule="auto" w:line="360"/>
        <w:jc w:val="both"/>
        <w:rPr/>
      </w:pPr>
      <w:r>
        <w:rPr>
          <w:rStyle w:val="style88"/>
        </w:rPr>
        <w:t>C</w:t>
      </w:r>
      <w:r>
        <w:rPr>
          <w:rStyle w:val="style88"/>
        </w:rPr>
        <w:t xml:space="preserve"> </w:t>
      </w:r>
      <w:r>
        <w:t>= Ethanol concentration (% v/v)</w:t>
      </w:r>
    </w:p>
    <w:p>
      <w:pPr>
        <w:pStyle w:val="style94"/>
        <w:jc w:val="both"/>
        <w:rPr/>
      </w:pPr>
      <w:r>
        <w:rPr>
          <w:rStyle w:val="style87"/>
        </w:rPr>
        <w:t>Figure A1:</w:t>
      </w:r>
      <w:r>
        <w:t xml:space="preserve"> Calibration curve showing the linear relationship between absorbance and ethanol concentration for standard ethanol solutions.</w:t>
      </w:r>
    </w:p>
    <w:p>
      <w:pPr>
        <w:pStyle w:val="style0"/>
        <w:ind w:firstLine="720"/>
        <w:jc w:val="both"/>
        <w:rPr>
          <w:rFonts w:ascii="Times New Roman" w:cs="Times New Roman" w:hAnsi="Times New Roman"/>
          <w:sz w:val="24"/>
          <w:szCs w:val="24"/>
        </w:rPr>
      </w:pPr>
    </w:p>
    <w:p>
      <w:pPr>
        <w:pStyle w:val="style0"/>
        <w:jc w:val="both"/>
        <w:rPr>
          <w:rFonts w:ascii="Times New Roman" w:cs="Times New Roman" w:hAnsi="Times New Roman"/>
          <w:sz w:val="24"/>
          <w:szCs w:val="24"/>
        </w:rPr>
      </w:pPr>
      <w:r>
        <w:rPr>
          <w:rFonts w:ascii="Times New Roman" w:cs="Times New Roman" w:hAnsi="Times New Roman"/>
          <w:sz w:val="24"/>
          <w:szCs w:val="24"/>
        </w:rPr>
        <w:t xml:space="preserve">                 </w:t>
      </w:r>
      <w:r>
        <w:rPr>
          <w:rFonts w:ascii="Times New Roman" w:cs="Times New Roman" w:hAnsi="Times New Roman"/>
          <w:noProof/>
          <w:sz w:val="24"/>
          <w:szCs w:val="24"/>
        </w:rPr>
      </w:r>
      <w:r>
        <w:rPr>
          <w:rFonts w:ascii="Times New Roman" w:cs="Times New Roman" w:hAnsi="Times New Roman"/>
          <w:noProof/>
          <w:sz w:val="24"/>
          <w:szCs w:val="24"/>
        </w:rPr>
      </w:r>
      <w:r>
        <w:rPr>
          <w:rFonts w:ascii="Times New Roman" w:cs="Times New Roman" w:hAnsi="Times New Roman"/>
          <w:noProof/>
          <w:sz w:val="24"/>
          <w:szCs w:val="24"/>
        </w:rPr>
      </w:r>
      <w:r>
        <w:rPr>
          <w:rFonts w:ascii="Times New Roman" w:cs="Times New Roman" w:hAnsi="Times New Roman"/>
          <w:noProof/>
          <w:sz w:val="24"/>
          <w:szCs w:val="24"/>
        </w:rPr>
        <w:drawing>
          <wp:inline distL="114300" distT="0" distB="0" distR="114300">
            <wp:extent cx="4572000" cy="2743200"/>
            <wp:effectExtent l="0" t="0" r="0" b="0"/>
            <wp:docPr id="1030"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r>
        <w:rPr>
          <w:rFonts w:ascii="Times New Roman" w:cs="Times New Roman" w:hAnsi="Times New Roman"/>
          <w:noProof/>
          <w:sz w:val="24"/>
          <w:szCs w:val="24"/>
        </w:rPr>
      </w:r>
    </w:p>
    <w:p>
      <w:pPr>
        <w:pStyle w:val="style4097"/>
        <w:spacing w:lineRule="auto" w:line="360"/>
        <w:jc w:val="both"/>
        <w:rPr>
          <w:rFonts w:ascii="Times New Roman" w:cs="Times New Roman" w:eastAsia="Arial" w:hAnsi="Times New Roman"/>
          <w:sz w:val="24"/>
          <w:szCs w:val="24"/>
        </w:rPr>
      </w:pPr>
    </w:p>
    <w:bookmarkStart w:id="60" w:name="_Toc213929904"/>
    <w:p>
      <w:pPr>
        <w:pStyle w:val="style0"/>
        <w:spacing w:before="100" w:beforeAutospacing="true" w:after="100" w:afterAutospacing="true" w:lineRule="auto" w:line="360"/>
        <w:outlineLvl w:val="2"/>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Appendix B: FTIR Absorption Peaks of Analyzed Energy Drinks</w:t>
      </w:r>
      <w:bookmarkEnd w:id="60"/>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84"/>
        <w:gridCol w:w="2476"/>
        <w:gridCol w:w="1677"/>
        <w:gridCol w:w="3418"/>
      </w:tblGrid>
      <w:tr>
        <w:trPr>
          <w:tblHeader/>
          <w:tblCellSpacing w:w="15" w:type="dxa"/>
        </w:trPr>
        <w:tc>
          <w:tcPr>
            <w:tcW w:w="0" w:type="auto"/>
            <w:tcBorders>
              <w:top w:val="single" w:sz="4" w:space="0" w:color="auto"/>
              <w:bottom w:val="single" w:sz="4" w:space="0" w:color="auto"/>
            </w:tcBorders>
            <w:vAlign w:val="center"/>
            <w:hideMark/>
          </w:tcPr>
          <w:p>
            <w:pPr>
              <w:pStyle w:val="style0"/>
              <w:spacing w:after="0" w:lineRule="auto" w:line="360"/>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Sample</w:t>
            </w:r>
          </w:p>
        </w:tc>
        <w:tc>
          <w:tcPr>
            <w:tcW w:w="0" w:type="auto"/>
            <w:tcBorders>
              <w:top w:val="single" w:sz="4" w:space="0" w:color="auto"/>
              <w:bottom w:val="single" w:sz="4" w:space="0" w:color="auto"/>
            </w:tcBorders>
            <w:vAlign w:val="center"/>
            <w:hideMark/>
          </w:tcPr>
          <w:p>
            <w:pPr>
              <w:pStyle w:val="style0"/>
              <w:spacing w:after="0" w:lineRule="auto" w:line="360"/>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Major Wavenumber (cm⁻¹)</w:t>
            </w:r>
          </w:p>
        </w:tc>
        <w:tc>
          <w:tcPr>
            <w:tcW w:w="0" w:type="auto"/>
            <w:tcBorders>
              <w:top w:val="single" w:sz="4" w:space="0" w:color="auto"/>
              <w:bottom w:val="single" w:sz="4" w:space="0" w:color="auto"/>
            </w:tcBorders>
            <w:vAlign w:val="center"/>
            <w:hideMark/>
          </w:tcPr>
          <w:p>
            <w:pPr>
              <w:pStyle w:val="style0"/>
              <w:spacing w:after="0" w:lineRule="auto" w:line="360"/>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Functional Group</w:t>
            </w:r>
          </w:p>
        </w:tc>
        <w:tc>
          <w:tcPr>
            <w:tcW w:w="0" w:type="auto"/>
            <w:tcBorders>
              <w:top w:val="single" w:sz="4" w:space="0" w:color="auto"/>
              <w:bottom w:val="single" w:sz="4" w:space="0" w:color="auto"/>
            </w:tcBorders>
            <w:vAlign w:val="center"/>
            <w:hideMark/>
          </w:tcPr>
          <w:p>
            <w:pPr>
              <w:pStyle w:val="style0"/>
              <w:spacing w:after="0" w:lineRule="auto" w:line="360"/>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Interpretation</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Monster Energy</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3315.5</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O–H stretch</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Ethanol or water O–H vibration</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1039.9</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C–O stretch</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Ethanol fingerprint region</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Predator</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3306.1</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O–H stretch</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Alcoholic O–H vibration</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1126.8 / 1062.3 / 1000.8</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C–O stretch</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Ethanol / carbohydrate vibrations</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Climax</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3295.0</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O–H stretch</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Alcoholic O–H vibration</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1083.8</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C–O stretch</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Ethanol fingerprint band</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Red Bull</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3319.2</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O–H stretch</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Alcoholic or water O–H stretch</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1099–1039</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C–O stretch</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Alcoholic / carbohydrate vibration</w:t>
            </w:r>
          </w:p>
        </w:tc>
      </w:tr>
      <w:tr>
        <w:tblPrEx/>
        <w:trPr>
          <w:tblCellSpacing w:w="15" w:type="dxa"/>
        </w:trPr>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Power Horse</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3295.0</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O–H stretch</w:t>
            </w:r>
          </w:p>
        </w:tc>
        <w:tc>
          <w:tcPr>
            <w:tcW w:w="0" w:type="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Alcoholic O–H vibration</w:t>
            </w:r>
          </w:p>
        </w:tc>
      </w:tr>
      <w:tr>
        <w:tblPrEx/>
        <w:trPr>
          <w:tblCellSpacing w:w="15" w:type="dxa"/>
        </w:trPr>
        <w:tc>
          <w:tcPr>
            <w:tcW w:w="0" w:type="auto"/>
            <w:tcBorders>
              <w:bottom w:val="single" w:sz="4" w:space="0" w:color="auto"/>
            </w:tcBorders>
            <w:vAlign w:val="center"/>
            <w:hideMark/>
          </w:tcPr>
          <w:p>
            <w:pPr>
              <w:pStyle w:val="style0"/>
              <w:spacing w:after="0" w:lineRule="auto" w:line="360"/>
              <w:rPr>
                <w:rFonts w:ascii="Times New Roman" w:cs="Times New Roman" w:eastAsia="Times New Roman" w:hAnsi="Times New Roman"/>
                <w:sz w:val="24"/>
                <w:szCs w:val="24"/>
              </w:rPr>
            </w:pPr>
          </w:p>
        </w:tc>
        <w:tc>
          <w:tcPr>
            <w:tcW w:w="0" w:type="auto"/>
            <w:tcBorders>
              <w:bottom w:val="single" w:sz="4" w:space="0" w:color="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1086.9 / 1032.5</w:t>
            </w:r>
          </w:p>
        </w:tc>
        <w:tc>
          <w:tcPr>
            <w:tcW w:w="0" w:type="auto"/>
            <w:tcBorders>
              <w:bottom w:val="single" w:sz="4" w:space="0" w:color="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C–O stretch</w:t>
            </w:r>
          </w:p>
        </w:tc>
        <w:tc>
          <w:tcPr>
            <w:tcW w:w="0" w:type="auto"/>
            <w:tcBorders>
              <w:bottom w:val="single" w:sz="4" w:space="0" w:color="auto"/>
            </w:tcBorders>
            <w:vAlign w:val="center"/>
            <w:hideMark/>
          </w:tcPr>
          <w:p>
            <w:pPr>
              <w:pStyle w:val="style0"/>
              <w:spacing w:after="0"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Secondary alcohol or </w:t>
            </w:r>
            <w:r>
              <w:rPr>
                <w:rFonts w:ascii="Times New Roman" w:cs="Times New Roman" w:eastAsia="Times New Roman" w:hAnsi="Times New Roman"/>
                <w:sz w:val="24"/>
                <w:szCs w:val="24"/>
              </w:rPr>
              <w:t>glycosidic</w:t>
            </w:r>
            <w:r>
              <w:rPr>
                <w:rFonts w:ascii="Times New Roman" w:cs="Times New Roman" w:eastAsia="Times New Roman" w:hAnsi="Times New Roman"/>
                <w:sz w:val="24"/>
                <w:szCs w:val="24"/>
              </w:rPr>
              <w:t xml:space="preserve"> linkage</w:t>
            </w:r>
          </w:p>
        </w:tc>
      </w:tr>
    </w:tbl>
    <w:p>
      <w:pPr>
        <w:pStyle w:val="style0"/>
        <w:spacing w:before="100" w:beforeAutospacing="true" w:after="100" w:afterAutospacing="true" w:lineRule="auto" w:line="36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Figure B1:</w:t>
      </w:r>
      <w:r>
        <w:rPr>
          <w:rFonts w:ascii="Times New Roman" w:cs="Times New Roman" w:eastAsia="Times New Roman" w:hAnsi="Times New Roman"/>
          <w:sz w:val="24"/>
          <w:szCs w:val="24"/>
        </w:rPr>
        <w:t xml:space="preserve"> Representative FTIR spectra of selected energy drink showing key absorption bands for ethanol (O–H, C–O).</w:t>
      </w:r>
    </w:p>
    <w:p>
      <w:pPr>
        <w:pStyle w:val="style4097"/>
        <w:numPr>
          <w:ilvl w:val="0"/>
          <w:numId w:val="24"/>
        </w:numPr>
        <w:spacing w:lineRule="auto" w:line="360"/>
        <w:jc w:val="both"/>
        <w:rPr>
          <w:rFonts w:ascii="Times New Roman" w:cs="Times New Roman" w:eastAsia="Arial" w:hAnsi="Times New Roman"/>
          <w:sz w:val="24"/>
          <w:szCs w:val="24"/>
        </w:rPr>
      </w:pPr>
      <w:r>
        <w:rPr>
          <w:rFonts w:ascii="Times New Roman" w:cs="Times New Roman" w:eastAsia="Arial" w:hAnsi="Times New Roman"/>
          <w:noProof/>
          <w:sz w:val="24"/>
          <w:szCs w:val="24"/>
        </w:rPr>
        <w:object>
          <v:shape id="1031" type="#_x0000_t75" filled="f" stroked="f" style="position:absolute;margin-left:72.0pt;margin-top:32.35pt;width:426.0pt;height:178.5pt;z-index:-2147483645;mso-position-horizontal-relative:page;mso-position-vertical-relative:text;mso-width-relative:page;mso-height-relative:page;mso-wrap-distance-left:0.0pt;mso-wrap-distance-right:0.0pt;visibility:visible;">
            <v:imagedata r:id="rId7" embosscolor="white" o:title=""/>
            <w10:wrap type="topAndBottom"/>
            <v:fill/>
          </v:shape>
          <o:OLEObject Type="EMBED" ProgID="Excel.Chart.8" ShapeID="1031" DrawAspect="Content" ObjectID="0" r:id="rId8"/>
        </w:object>
      </w:r>
      <w:r>
        <w:rPr>
          <w:rFonts w:ascii="Times New Roman" w:cs="Times New Roman" w:eastAsia="Arial" w:hAnsi="Times New Roman"/>
          <w:sz w:val="24"/>
          <w:szCs w:val="24"/>
        </w:rPr>
        <w:t>Monster Energy Spectrum</w:t>
      </w:r>
    </w:p>
    <w:p>
      <w:pPr>
        <w:pStyle w:val="style4097"/>
        <w:spacing w:lineRule="auto" w:line="360"/>
        <w:ind w:left="720"/>
        <w:jc w:val="both"/>
        <w:rPr>
          <w:rFonts w:ascii="Times New Roman" w:cs="Times New Roman" w:eastAsia="Arial" w:hAnsi="Times New Roman"/>
          <w:sz w:val="24"/>
          <w:szCs w:val="24"/>
        </w:rPr>
      </w:pPr>
    </w:p>
    <w:p>
      <w:pPr>
        <w:pStyle w:val="style4097"/>
        <w:numPr>
          <w:ilvl w:val="0"/>
          <w:numId w:val="24"/>
        </w:numPr>
        <w:spacing w:lineRule="auto" w:line="360"/>
        <w:jc w:val="both"/>
        <w:rPr>
          <w:rFonts w:ascii="Times New Roman" w:cs="Times New Roman" w:eastAsia="Arial" w:hAnsi="Times New Roman"/>
          <w:sz w:val="24"/>
          <w:szCs w:val="24"/>
        </w:rPr>
      </w:pPr>
      <w:r>
        <w:rPr>
          <w:rFonts w:ascii="Times New Roman" w:cs="Times New Roman" w:eastAsia="Arial" w:hAnsi="Times New Roman"/>
          <w:noProof/>
          <w:sz w:val="24"/>
          <w:szCs w:val="24"/>
        </w:rPr>
        <w:drawing>
          <wp:anchor distT="0" distB="0" distL="0" distR="0" simplePos="false" relativeHeight="3" behindDoc="true" locked="false" layoutInCell="true" allowOverlap="true">
            <wp:simplePos x="0" y="0"/>
            <wp:positionH relativeFrom="page">
              <wp:posOffset>914400</wp:posOffset>
            </wp:positionH>
            <wp:positionV relativeFrom="paragraph">
              <wp:posOffset>391160</wp:posOffset>
            </wp:positionV>
            <wp:extent cx="5553075" cy="2343150"/>
            <wp:effectExtent l="19050" t="0" r="9525" b="0"/>
            <wp:wrapTopAndBottom/>
            <wp:docPr id="1032" name="Image 4"/>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2" name="Image 4"/>
                    <pic:cNvPicPr/>
                  </pic:nvPicPr>
                  <pic:blipFill>
                    <a:blip r:embed="rId9" cstate="print"/>
                    <a:srcRect l="0" t="0" r="0" b="0"/>
                    <a:stretch/>
                  </pic:blipFill>
                  <pic:spPr>
                    <a:xfrm rot="0">
                      <a:off x="0" y="0"/>
                      <a:ext cx="5553075" cy="2343150"/>
                    </a:xfrm>
                    <a:prstGeom prst="rect"/>
                  </pic:spPr>
                </pic:pic>
              </a:graphicData>
            </a:graphic>
          </wp:anchor>
        </w:drawing>
      </w:r>
      <w:r>
        <w:rPr>
          <w:rFonts w:ascii="Times New Roman" w:cs="Times New Roman" w:eastAsia="Arial" w:hAnsi="Times New Roman"/>
          <w:sz w:val="24"/>
          <w:szCs w:val="24"/>
        </w:rPr>
        <w:t>Predator Spectrum</w:t>
      </w:r>
    </w:p>
    <w:p>
      <w:pPr>
        <w:pStyle w:val="style179"/>
        <w:rPr>
          <w:rFonts w:ascii="Times New Roman" w:cs="Times New Roman" w:eastAsia="Arial" w:hAnsi="Times New Roman"/>
          <w:sz w:val="24"/>
          <w:szCs w:val="24"/>
        </w:rPr>
      </w:pPr>
    </w:p>
    <w:p>
      <w:pPr>
        <w:pStyle w:val="style179"/>
        <w:rPr>
          <w:rFonts w:ascii="Times New Roman" w:cs="Times New Roman" w:eastAsia="Arial" w:hAnsi="Times New Roman"/>
          <w:sz w:val="24"/>
          <w:szCs w:val="24"/>
        </w:rPr>
      </w:pPr>
    </w:p>
    <w:p>
      <w:pPr>
        <w:pStyle w:val="style179"/>
        <w:rPr>
          <w:rFonts w:ascii="Times New Roman" w:cs="Times New Roman" w:eastAsia="Arial" w:hAnsi="Times New Roman"/>
          <w:sz w:val="24"/>
          <w:szCs w:val="24"/>
        </w:rPr>
      </w:pPr>
    </w:p>
    <w:p>
      <w:pPr>
        <w:pStyle w:val="style179"/>
        <w:rPr>
          <w:rFonts w:ascii="Times New Roman" w:cs="Times New Roman" w:eastAsia="Arial" w:hAnsi="Times New Roman"/>
          <w:sz w:val="24"/>
          <w:szCs w:val="24"/>
        </w:rPr>
      </w:pPr>
    </w:p>
    <w:p>
      <w:pPr>
        <w:pStyle w:val="style179"/>
        <w:rPr>
          <w:rFonts w:ascii="Times New Roman" w:cs="Times New Roman" w:eastAsia="Arial" w:hAnsi="Times New Roman"/>
          <w:sz w:val="24"/>
          <w:szCs w:val="24"/>
        </w:rPr>
      </w:pPr>
    </w:p>
    <w:p>
      <w:pPr>
        <w:pStyle w:val="style179"/>
        <w:rPr>
          <w:rFonts w:ascii="Times New Roman" w:cs="Times New Roman" w:eastAsia="Arial" w:hAnsi="Times New Roman"/>
          <w:sz w:val="24"/>
          <w:szCs w:val="24"/>
        </w:rPr>
      </w:pPr>
    </w:p>
    <w:p>
      <w:pPr>
        <w:pStyle w:val="style179"/>
        <w:rPr>
          <w:rFonts w:ascii="Times New Roman" w:cs="Times New Roman" w:eastAsia="Arial" w:hAnsi="Times New Roman"/>
          <w:sz w:val="24"/>
          <w:szCs w:val="24"/>
        </w:rPr>
      </w:pPr>
    </w:p>
    <w:p>
      <w:pPr>
        <w:pStyle w:val="style179"/>
        <w:rPr>
          <w:rFonts w:ascii="Times New Roman" w:cs="Times New Roman" w:eastAsia="Arial" w:hAnsi="Times New Roman"/>
          <w:sz w:val="24"/>
          <w:szCs w:val="24"/>
        </w:rPr>
      </w:pPr>
    </w:p>
    <w:p>
      <w:pPr>
        <w:pStyle w:val="style4097"/>
        <w:numPr>
          <w:ilvl w:val="0"/>
          <w:numId w:val="24"/>
        </w:numPr>
        <w:spacing w:lineRule="auto" w:line="360"/>
        <w:jc w:val="both"/>
        <w:rPr>
          <w:rFonts w:ascii="Times New Roman" w:cs="Times New Roman" w:eastAsia="Arial" w:hAnsi="Times New Roman"/>
          <w:sz w:val="24"/>
          <w:szCs w:val="24"/>
        </w:rPr>
      </w:pPr>
      <w:r>
        <w:rPr>
          <w:rFonts w:ascii="Times New Roman" w:cs="Times New Roman" w:eastAsia="Arial" w:hAnsi="Times New Roman"/>
          <w:noProof/>
          <w:sz w:val="24"/>
          <w:szCs w:val="24"/>
        </w:rPr>
        <w:drawing>
          <wp:anchor distT="0" distB="0" distL="0" distR="0" simplePos="false" relativeHeight="4" behindDoc="true" locked="false" layoutInCell="true" allowOverlap="true">
            <wp:simplePos x="0" y="0"/>
            <wp:positionH relativeFrom="page">
              <wp:posOffset>914400</wp:posOffset>
            </wp:positionH>
            <wp:positionV relativeFrom="paragraph">
              <wp:posOffset>428625</wp:posOffset>
            </wp:positionV>
            <wp:extent cx="5553075" cy="2362200"/>
            <wp:effectExtent l="19050" t="0" r="9525" b="0"/>
            <wp:wrapTopAndBottom/>
            <wp:docPr id="1033" name="Image 4"/>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3" name="Image 4"/>
                    <pic:cNvPicPr/>
                  </pic:nvPicPr>
                  <pic:blipFill>
                    <a:blip r:embed="rId10" cstate="print"/>
                    <a:srcRect l="0" t="0" r="0" b="0"/>
                    <a:stretch/>
                  </pic:blipFill>
                  <pic:spPr>
                    <a:xfrm rot="0">
                      <a:off x="0" y="0"/>
                      <a:ext cx="5553075" cy="2362200"/>
                    </a:xfrm>
                    <a:prstGeom prst="rect"/>
                  </pic:spPr>
                </pic:pic>
              </a:graphicData>
            </a:graphic>
          </wp:anchor>
        </w:drawing>
      </w:r>
      <w:r>
        <w:rPr>
          <w:rFonts w:ascii="Times New Roman" w:cs="Times New Roman" w:eastAsia="Arial" w:hAnsi="Times New Roman"/>
          <w:sz w:val="24"/>
          <w:szCs w:val="24"/>
        </w:rPr>
        <w:t>Climax Spectrum</w:t>
      </w:r>
    </w:p>
    <w:p>
      <w:pPr>
        <w:pStyle w:val="style179"/>
        <w:rPr>
          <w:rFonts w:ascii="Times New Roman" w:cs="Times New Roman" w:eastAsia="Arial" w:hAnsi="Times New Roman"/>
          <w:sz w:val="24"/>
          <w:szCs w:val="24"/>
        </w:rPr>
      </w:pPr>
    </w:p>
    <w:p>
      <w:pPr>
        <w:pStyle w:val="style179"/>
        <w:rPr>
          <w:rFonts w:ascii="Times New Roman" w:cs="Times New Roman" w:eastAsia="Arial" w:hAnsi="Times New Roman"/>
          <w:sz w:val="24"/>
          <w:szCs w:val="24"/>
        </w:rPr>
      </w:pPr>
    </w:p>
    <w:p>
      <w:pPr>
        <w:pStyle w:val="style179"/>
        <w:rPr>
          <w:rFonts w:ascii="Times New Roman" w:cs="Times New Roman" w:eastAsia="Arial" w:hAnsi="Times New Roman"/>
          <w:sz w:val="24"/>
          <w:szCs w:val="24"/>
        </w:rPr>
      </w:pPr>
    </w:p>
    <w:p>
      <w:pPr>
        <w:pStyle w:val="style4097"/>
        <w:numPr>
          <w:ilvl w:val="0"/>
          <w:numId w:val="24"/>
        </w:numPr>
        <w:spacing w:lineRule="auto" w:line="360"/>
        <w:jc w:val="both"/>
        <w:rPr>
          <w:rFonts w:ascii="Times New Roman" w:cs="Times New Roman" w:eastAsia="Arial" w:hAnsi="Times New Roman"/>
          <w:sz w:val="24"/>
          <w:szCs w:val="24"/>
        </w:rPr>
      </w:pPr>
      <w:r>
        <w:rPr>
          <w:rFonts w:ascii="Times New Roman" w:cs="Times New Roman" w:eastAsia="Arial" w:hAnsi="Times New Roman"/>
          <w:noProof/>
          <w:sz w:val="24"/>
          <w:szCs w:val="24"/>
        </w:rPr>
        <w:drawing>
          <wp:anchor distT="0" distB="0" distL="0" distR="0" simplePos="false" relativeHeight="5" behindDoc="true" locked="false" layoutInCell="true" allowOverlap="true">
            <wp:simplePos x="0" y="0"/>
            <wp:positionH relativeFrom="page">
              <wp:posOffset>913764</wp:posOffset>
            </wp:positionH>
            <wp:positionV relativeFrom="paragraph">
              <wp:posOffset>440054</wp:posOffset>
            </wp:positionV>
            <wp:extent cx="5553075" cy="2428875"/>
            <wp:effectExtent l="19050" t="0" r="9525" b="0"/>
            <wp:wrapTopAndBottom/>
            <wp:docPr id="1034" name="Image 4"/>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1" cstate="print"/>
                    <a:srcRect l="0" t="0" r="0" b="0"/>
                    <a:stretch/>
                  </pic:blipFill>
                  <pic:spPr>
                    <a:xfrm rot="0">
                      <a:off x="0" y="0"/>
                      <a:ext cx="5553075" cy="2428875"/>
                    </a:xfrm>
                    <a:prstGeom prst="rect"/>
                  </pic:spPr>
                </pic:pic>
              </a:graphicData>
            </a:graphic>
          </wp:anchor>
        </w:drawing>
      </w:r>
      <w:r>
        <w:rPr>
          <w:rFonts w:ascii="Times New Roman" w:cs="Times New Roman" w:eastAsia="Arial" w:hAnsi="Times New Roman"/>
          <w:sz w:val="24"/>
          <w:szCs w:val="24"/>
        </w:rPr>
        <w:t>Red Bull Spectrum</w:t>
      </w:r>
    </w:p>
    <w:p>
      <w:pPr>
        <w:pStyle w:val="style4097"/>
        <w:tabs>
          <w:tab w:val="left" w:leader="none" w:pos="8595"/>
        </w:tabs>
        <w:spacing w:lineRule="auto" w:line="360"/>
        <w:ind w:left="720"/>
        <w:jc w:val="both"/>
        <w:rPr>
          <w:rFonts w:ascii="Times New Roman" w:cs="Times New Roman" w:eastAsia="Arial" w:hAnsi="Times New Roman"/>
          <w:sz w:val="24"/>
          <w:szCs w:val="24"/>
        </w:rPr>
      </w:pPr>
      <w:r>
        <w:rPr>
          <w:rFonts w:ascii="Times New Roman" w:cs="Times New Roman" w:eastAsia="Arial" w:hAnsi="Times New Roman"/>
          <w:sz w:val="24"/>
          <w:szCs w:val="24"/>
        </w:rPr>
        <w:tab/>
      </w:r>
    </w:p>
    <w:p>
      <w:pPr>
        <w:pStyle w:val="style4097"/>
        <w:spacing w:lineRule="auto" w:line="360"/>
        <w:jc w:val="both"/>
        <w:rPr>
          <w:rFonts w:ascii="Times New Roman" w:cs="Times New Roman" w:eastAsia="Arial" w:hAnsi="Times New Roman"/>
          <w:sz w:val="24"/>
          <w:szCs w:val="24"/>
        </w:rPr>
      </w:pPr>
    </w:p>
    <w:p>
      <w:pPr>
        <w:pStyle w:val="style4097"/>
        <w:spacing w:lineRule="auto" w:line="360"/>
        <w:jc w:val="both"/>
        <w:rPr>
          <w:rFonts w:ascii="Times New Roman" w:cs="Times New Roman" w:eastAsia="Arial" w:hAnsi="Times New Roman"/>
          <w:sz w:val="24"/>
          <w:szCs w:val="24"/>
        </w:rPr>
      </w:pPr>
    </w:p>
    <w:p>
      <w:pPr>
        <w:pStyle w:val="style4097"/>
        <w:spacing w:lineRule="auto" w:line="360"/>
        <w:jc w:val="both"/>
        <w:rPr>
          <w:rFonts w:ascii="Times New Roman" w:cs="Times New Roman" w:eastAsia="Arial" w:hAnsi="Times New Roman"/>
          <w:sz w:val="24"/>
          <w:szCs w:val="24"/>
        </w:rPr>
      </w:pPr>
    </w:p>
    <w:p>
      <w:pPr>
        <w:pStyle w:val="style4097"/>
        <w:spacing w:lineRule="auto" w:line="360"/>
        <w:jc w:val="both"/>
        <w:rPr>
          <w:rFonts w:ascii="Times New Roman" w:cs="Times New Roman" w:eastAsia="Arial" w:hAnsi="Times New Roman"/>
          <w:sz w:val="24"/>
          <w:szCs w:val="24"/>
        </w:rPr>
      </w:pPr>
    </w:p>
    <w:p>
      <w:pPr>
        <w:pStyle w:val="style4097"/>
        <w:numPr>
          <w:ilvl w:val="0"/>
          <w:numId w:val="24"/>
        </w:numPr>
        <w:spacing w:lineRule="auto" w:line="360"/>
        <w:jc w:val="both"/>
        <w:rPr>
          <w:rFonts w:ascii="Times New Roman" w:cs="Times New Roman" w:eastAsia="Arial" w:hAnsi="Times New Roman"/>
          <w:sz w:val="24"/>
          <w:szCs w:val="24"/>
        </w:rPr>
      </w:pPr>
      <w:r>
        <w:rPr>
          <w:rFonts w:ascii="Times New Roman" w:cs="Times New Roman" w:eastAsia="Arial" w:hAnsi="Times New Roman"/>
          <w:noProof/>
          <w:sz w:val="24"/>
          <w:szCs w:val="24"/>
        </w:rPr>
        <w:drawing>
          <wp:anchor distT="0" distB="0" distL="0" distR="0" simplePos="false" relativeHeight="6" behindDoc="true" locked="false" layoutInCell="true" allowOverlap="true">
            <wp:simplePos x="0" y="0"/>
            <wp:positionH relativeFrom="page">
              <wp:posOffset>914400</wp:posOffset>
            </wp:positionH>
            <wp:positionV relativeFrom="paragraph">
              <wp:posOffset>419100</wp:posOffset>
            </wp:positionV>
            <wp:extent cx="5638800" cy="2447925"/>
            <wp:effectExtent l="19050" t="0" r="0" b="0"/>
            <wp:wrapTopAndBottom/>
            <wp:docPr id="1035" name="Image 4"/>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5" name="Image 4"/>
                    <pic:cNvPicPr/>
                  </pic:nvPicPr>
                  <pic:blipFill>
                    <a:blip r:embed="rId12" cstate="print"/>
                    <a:srcRect l="0" t="0" r="0" b="0"/>
                    <a:stretch/>
                  </pic:blipFill>
                  <pic:spPr>
                    <a:xfrm rot="0">
                      <a:off x="0" y="0"/>
                      <a:ext cx="5638800" cy="2447925"/>
                    </a:xfrm>
                    <a:prstGeom prst="rect"/>
                  </pic:spPr>
                </pic:pic>
              </a:graphicData>
            </a:graphic>
          </wp:anchor>
        </w:drawing>
      </w:r>
      <w:r>
        <w:rPr>
          <w:rFonts w:ascii="Times New Roman" w:cs="Times New Roman" w:eastAsia="Arial" w:hAnsi="Times New Roman"/>
          <w:sz w:val="24"/>
          <w:szCs w:val="24"/>
        </w:rPr>
        <w:t>Power Horse Spectrum</w:t>
      </w:r>
    </w:p>
    <w:p>
      <w:pPr>
        <w:pStyle w:val="style4097"/>
        <w:spacing w:lineRule="auto" w:line="360"/>
        <w:ind w:left="720"/>
        <w:jc w:val="both"/>
        <w:rPr>
          <w:rFonts w:ascii="Times New Roman" w:cs="Times New Roman" w:eastAsia="Arial" w:hAnsi="Times New Roman"/>
          <w:sz w:val="24"/>
          <w:szCs w:val="24"/>
        </w:rPr>
      </w:pPr>
    </w:p>
    <w:bookmarkStart w:id="61" w:name="_Toc213929905"/>
    <w:p>
      <w:pPr>
        <w:pStyle w:val="style0"/>
        <w:spacing w:before="100" w:beforeAutospacing="true" w:after="100" w:afterAutospacing="true" w:lineRule="auto" w:line="360"/>
        <w:outlineLvl w:val="2"/>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Appendix C: UV–Visible Spectrophotometric Determination of Ethanol</w:t>
      </w:r>
      <w:bookmarkEnd w:id="61"/>
    </w:p>
    <w:p>
      <w:pPr>
        <w:pStyle w:val="style0"/>
        <w:spacing w:before="100" w:beforeAutospacing="true" w:after="100" w:afterAutospacing="true" w:lineRule="auto" w:line="36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Instrument:</w:t>
      </w:r>
      <w:r>
        <w:rPr>
          <w:rFonts w:ascii="Times New Roman" w:cs="Times New Roman" w:eastAsia="Times New Roman" w:hAnsi="Times New Roman"/>
          <w:sz w:val="24"/>
          <w:szCs w:val="24"/>
        </w:rPr>
        <w:t xml:space="preserve"> Shimadzu UV-1650 Spectrophotometer</w:t>
      </w:r>
      <w:r>
        <w:rPr>
          <w:rFonts w:ascii="Times New Roman" w:cs="Times New Roman" w:eastAsia="Times New Roman" w:hAnsi="Times New Roman"/>
          <w:sz w:val="24"/>
          <w:szCs w:val="24"/>
        </w:rPr>
        <w:br/>
      </w:r>
      <w:r>
        <w:rPr>
          <w:rFonts w:ascii="Times New Roman" w:cs="Times New Roman" w:eastAsia="Times New Roman" w:hAnsi="Times New Roman"/>
          <w:b/>
          <w:bCs/>
          <w:sz w:val="24"/>
          <w:szCs w:val="24"/>
        </w:rPr>
        <w:t>Wavelength:</w:t>
      </w:r>
      <w:r>
        <w:rPr>
          <w:rFonts w:ascii="Times New Roman" w:cs="Times New Roman" w:eastAsia="Times New Roman" w:hAnsi="Times New Roman"/>
          <w:sz w:val="24"/>
          <w:szCs w:val="24"/>
        </w:rPr>
        <w:t xml:space="preserve"> 350 nm</w:t>
      </w:r>
      <w:r>
        <w:rPr>
          <w:rFonts w:ascii="Times New Roman" w:cs="Times New Roman" w:eastAsia="Times New Roman" w:hAnsi="Times New Roman"/>
          <w:sz w:val="24"/>
          <w:szCs w:val="24"/>
        </w:rPr>
        <w:br/>
      </w:r>
      <w:r>
        <w:rPr>
          <w:rFonts w:ascii="Times New Roman" w:cs="Times New Roman" w:eastAsia="Times New Roman" w:hAnsi="Times New Roman"/>
          <w:b/>
          <w:bCs/>
          <w:sz w:val="24"/>
          <w:szCs w:val="24"/>
        </w:rPr>
        <w:t>Blank:</w:t>
      </w:r>
      <w:r>
        <w:rPr>
          <w:rFonts w:ascii="Times New Roman" w:cs="Times New Roman" w:eastAsia="Times New Roman" w:hAnsi="Times New Roman"/>
          <w:sz w:val="24"/>
          <w:szCs w:val="24"/>
        </w:rPr>
        <w:t xml:space="preserve"> 0.02 M </w:t>
      </w:r>
      <w:r>
        <w:rPr>
          <w:rFonts w:ascii="Times New Roman" w:cs="Times New Roman" w:eastAsia="Times New Roman" w:hAnsi="Times New Roman"/>
          <w:sz w:val="24"/>
          <w:szCs w:val="24"/>
        </w:rPr>
        <w:t>K₂Cr₂O</w:t>
      </w:r>
      <w:r>
        <w:rPr>
          <w:rFonts w:ascii="Times New Roman" w:cs="Times New Roman" w:eastAsia="Times New Roman" w:hAnsi="Times New Roman"/>
          <w:sz w:val="24"/>
          <w:szCs w:val="24"/>
        </w:rPr>
        <w:t>₇ in 1 M H₂SO₄</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408"/>
        <w:gridCol w:w="1998"/>
        <w:gridCol w:w="2800"/>
        <w:gridCol w:w="2785"/>
      </w:tblGrid>
      <w:tr>
        <w:trPr>
          <w:tblHeader/>
          <w:tblCellSpacing w:w="15" w:type="dxa"/>
        </w:trPr>
        <w:tc>
          <w:tcPr>
            <w:tcW w:w="0" w:type="auto"/>
            <w:tcBorders>
              <w:top w:val="nil"/>
              <w:bottom w:val="single" w:sz="4" w:space="0" w:color="auto"/>
            </w:tcBorders>
            <w:vAlign w:val="center"/>
            <w:hideMark/>
          </w:tcPr>
          <w:p>
            <w:pPr>
              <w:pStyle w:val="style0"/>
              <w:spacing w:lineRule="auto" w:line="360"/>
              <w:jc w:val="both"/>
              <w:rPr>
                <w:rFonts w:ascii="Times New Roman" w:hAnsi="Times New Roman"/>
                <w:b/>
                <w:bCs/>
                <w:sz w:val="24"/>
                <w:szCs w:val="24"/>
              </w:rPr>
            </w:pPr>
            <w:r>
              <w:rPr>
                <w:rFonts w:ascii="Times New Roman" w:hAnsi="Times New Roman"/>
                <w:b/>
                <w:bCs/>
                <w:sz w:val="24"/>
                <w:szCs w:val="24"/>
              </w:rPr>
              <w:t>Sample</w:t>
            </w:r>
          </w:p>
        </w:tc>
        <w:tc>
          <w:tcPr>
            <w:tcW w:w="0" w:type="auto"/>
            <w:tcBorders>
              <w:top w:val="nil"/>
              <w:bottom w:val="single" w:sz="4" w:space="0" w:color="auto"/>
            </w:tcBorders>
            <w:vAlign w:val="center"/>
            <w:hideMark/>
          </w:tcPr>
          <w:p>
            <w:pPr>
              <w:pStyle w:val="style0"/>
              <w:spacing w:lineRule="auto" w:line="360"/>
              <w:jc w:val="both"/>
              <w:rPr>
                <w:rFonts w:ascii="Times New Roman" w:hAnsi="Times New Roman"/>
                <w:b/>
                <w:bCs/>
                <w:sz w:val="24"/>
                <w:szCs w:val="24"/>
              </w:rPr>
            </w:pPr>
            <w:r>
              <w:rPr>
                <w:rFonts w:ascii="Times New Roman" w:hAnsi="Times New Roman"/>
                <w:b/>
                <w:bCs/>
                <w:sz w:val="24"/>
                <w:szCs w:val="24"/>
              </w:rPr>
              <w:t>Absorbance (A₃₅₀)</w:t>
            </w:r>
          </w:p>
        </w:tc>
        <w:tc>
          <w:tcPr>
            <w:tcW w:w="0" w:type="auto"/>
            <w:tcBorders>
              <w:top w:val="nil"/>
              <w:bottom w:val="single" w:sz="4" w:space="0" w:color="auto"/>
            </w:tcBorders>
            <w:vAlign w:val="center"/>
            <w:hideMark/>
          </w:tcPr>
          <w:p>
            <w:pPr>
              <w:pStyle w:val="style0"/>
              <w:spacing w:lineRule="auto" w:line="360"/>
              <w:jc w:val="both"/>
              <w:rPr>
                <w:rFonts w:ascii="Times New Roman" w:hAnsi="Times New Roman"/>
                <w:b/>
                <w:bCs/>
                <w:sz w:val="24"/>
                <w:szCs w:val="24"/>
              </w:rPr>
            </w:pPr>
            <w:r>
              <w:rPr>
                <w:rFonts w:ascii="Times New Roman" w:hAnsi="Times New Roman"/>
                <w:b/>
                <w:bCs/>
                <w:sz w:val="24"/>
                <w:szCs w:val="24"/>
              </w:rPr>
              <w:t>Measured Ethanol (% v/v)</w:t>
            </w:r>
          </w:p>
        </w:tc>
        <w:tc>
          <w:tcPr>
            <w:tcW w:w="0" w:type="auto"/>
            <w:tcBorders>
              <w:top w:val="nil"/>
              <w:bottom w:val="single" w:sz="4" w:space="0" w:color="auto"/>
            </w:tcBorders>
            <w:vAlign w:val="center"/>
            <w:hideMark/>
          </w:tcPr>
          <w:p>
            <w:pPr>
              <w:pStyle w:val="style0"/>
              <w:spacing w:lineRule="auto" w:line="360"/>
              <w:jc w:val="both"/>
              <w:rPr>
                <w:rFonts w:ascii="Times New Roman" w:hAnsi="Times New Roman"/>
                <w:b/>
                <w:bCs/>
                <w:sz w:val="24"/>
                <w:szCs w:val="24"/>
              </w:rPr>
            </w:pPr>
            <w:r>
              <w:rPr>
                <w:rFonts w:ascii="Times New Roman" w:hAnsi="Times New Roman"/>
                <w:b/>
                <w:bCs/>
                <w:sz w:val="24"/>
                <w:szCs w:val="24"/>
              </w:rPr>
              <w:t>Corrected Ethanol (% v/v)</w:t>
            </w:r>
          </w:p>
        </w:tc>
      </w:tr>
      <w:tr>
        <w:tblPrEx/>
        <w:trPr>
          <w:tblCellSpacing w:w="15" w:type="dxa"/>
        </w:trPr>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Climax</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0.005</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0.05</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0.10</w:t>
            </w:r>
          </w:p>
        </w:tc>
      </w:tr>
      <w:tr>
        <w:tblPrEx/>
        <w:trPr>
          <w:tblCellSpacing w:w="15" w:type="dxa"/>
        </w:trPr>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Power Horse</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0.011</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0.14</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0.28</w:t>
            </w:r>
          </w:p>
        </w:tc>
      </w:tr>
      <w:tr>
        <w:tblPrEx/>
        <w:trPr>
          <w:tblCellSpacing w:w="15" w:type="dxa"/>
        </w:trPr>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Monster</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0.007</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0.08</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0.16</w:t>
            </w:r>
          </w:p>
        </w:tc>
      </w:tr>
      <w:tr>
        <w:tblPrEx/>
        <w:trPr>
          <w:tblCellSpacing w:w="15" w:type="dxa"/>
        </w:trPr>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Red Bull</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0.003</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0.02</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0.04</w:t>
            </w:r>
          </w:p>
        </w:tc>
      </w:tr>
      <w:tr>
        <w:tblPrEx/>
        <w:trPr>
          <w:tblCellSpacing w:w="15" w:type="dxa"/>
        </w:trPr>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Predator</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0.008</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0.09</w:t>
            </w:r>
          </w:p>
        </w:tc>
        <w:tc>
          <w:tcPr>
            <w:tcW w:w="0" w:type="auto"/>
            <w:tcBorders/>
            <w:vAlign w:val="center"/>
            <w:hideMark/>
          </w:tcPr>
          <w:p>
            <w:pPr>
              <w:pStyle w:val="style0"/>
              <w:spacing w:lineRule="auto" w:line="360"/>
              <w:jc w:val="both"/>
              <w:rPr>
                <w:rFonts w:ascii="Times New Roman" w:hAnsi="Times New Roman"/>
                <w:sz w:val="24"/>
                <w:szCs w:val="24"/>
              </w:rPr>
            </w:pPr>
            <w:r>
              <w:rPr>
                <w:rFonts w:ascii="Times New Roman" w:hAnsi="Times New Roman"/>
                <w:sz w:val="24"/>
                <w:szCs w:val="24"/>
              </w:rPr>
              <w:t xml:space="preserve">    0.18</w:t>
            </w:r>
          </w:p>
        </w:tc>
      </w:tr>
    </w:tbl>
    <w:p>
      <w:pPr>
        <w:pStyle w:val="style0"/>
        <w:spacing w:before="100" w:beforeAutospacing="true" w:after="100" w:afterAutospacing="true" w:lineRule="auto" w:line="240"/>
        <w:jc w:val="both"/>
        <w:rPr>
          <w:rFonts w:ascii="Times New Roman" w:cs="Times New Roman" w:eastAsia="Times New Roman" w:hAnsi="Times New Roman"/>
          <w:sz w:val="24"/>
          <w:szCs w:val="24"/>
        </w:rPr>
      </w:pPr>
      <w:r>
        <w:rPr>
          <w:rFonts w:ascii="Times New Roman" w:cs="Times New Roman" w:eastAsia="Times New Roman" w:hAnsi="Times New Roman"/>
          <w:i/>
          <w:iCs/>
          <w:sz w:val="24"/>
          <w:szCs w:val="24"/>
        </w:rPr>
        <w:t>Source: CASRAS Analytical Laboratory (2025)</w:t>
      </w:r>
    </w:p>
    <w:p>
      <w:pPr>
        <w:pStyle w:val="style0"/>
        <w:spacing w:after="0" w:lineRule="auto" w:line="360"/>
        <w:jc w:val="both"/>
        <w:rPr>
          <w:rStyle w:val="style87"/>
          <w:rFonts w:ascii="Times New Roman" w:cs="Times New Roman" w:hAnsi="Times New Roman"/>
          <w:sz w:val="24"/>
          <w:szCs w:val="24"/>
        </w:rPr>
      </w:pPr>
    </w:p>
    <w:p>
      <w:pPr>
        <w:pStyle w:val="style0"/>
        <w:spacing w:after="0" w:lineRule="auto" w:line="480"/>
        <w:jc w:val="both"/>
        <w:rPr>
          <w:rFonts w:ascii="Times New Roman" w:cs="Times New Roman" w:eastAsia="Times New Roman" w:hAnsi="Times New Roman"/>
          <w:b/>
          <w:bCs/>
          <w:sz w:val="24"/>
          <w:szCs w:val="24"/>
        </w:rPr>
      </w:pPr>
      <w:r>
        <w:rPr>
          <w:rStyle w:val="style87"/>
          <w:rFonts w:ascii="Times New Roman" w:cs="Times New Roman" w:hAnsi="Times New Roman"/>
          <w:sz w:val="24"/>
          <w:szCs w:val="24"/>
        </w:rPr>
        <w:t>Note</w:t>
      </w:r>
      <w:r>
        <w:rPr>
          <w:rStyle w:val="style87"/>
          <w:rFonts w:ascii="Times New Roman" w:cs="Times New Roman" w:hAnsi="Times New Roman"/>
          <w:sz w:val="24"/>
          <w:szCs w:val="24"/>
        </w:rPr>
        <w:t>:</w:t>
      </w:r>
      <w:r>
        <w:rPr>
          <w:rFonts w:ascii="Times New Roman" w:cs="Times New Roman" w:hAnsi="Times New Roman"/>
          <w:sz w:val="24"/>
          <w:szCs w:val="24"/>
        </w:rPr>
        <w:br/>
      </w:r>
      <w:r>
        <w:rPr>
          <w:rFonts w:ascii="Times New Roman" w:cs="Times New Roman" w:hAnsi="Times New Roman"/>
          <w:sz w:val="24"/>
          <w:szCs w:val="24"/>
        </w:rPr>
        <w:t xml:space="preserve">Ethanol concentrations were calculated from the calibration equation (A = 0.0647C + 0.0028) </w:t>
      </w:r>
      <w:r>
        <w:rPr>
          <w:rFonts w:ascii="Times New Roman" w:cs="Times New Roman" w:hAnsi="Times New Roman"/>
          <w:sz w:val="24"/>
          <w:szCs w:val="24"/>
        </w:rPr>
        <w:t>and corrected for the dilution factor of 2, since 50 mL of each distillate was diluted to 100 mL before analysis. All values were rounded to two decimal places (±0.01% v/v) in line with analytical precision. Minor rounding differences are within acceptable spectrophotometric limits and do not affect result interpretation. The corrected ethanol contents remained below the 0.5% v/v threshold specified by NAFDAC (2021) and WHO (2014) for non-alcoholic beverages.</w:t>
      </w:r>
    </w:p>
    <w:p>
      <w:pPr>
        <w:pStyle w:val="style0"/>
        <w:spacing w:before="100" w:beforeAutospacing="true" w:after="100" w:afterAutospacing="true" w:lineRule="auto" w:line="36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Figure C1:</w:t>
      </w:r>
      <w:r>
        <w:rPr>
          <w:rFonts w:ascii="Times New Roman" w:cs="Times New Roman" w:eastAsia="Times New Roman" w:hAnsi="Times New Roman"/>
          <w:sz w:val="24"/>
          <w:szCs w:val="24"/>
        </w:rPr>
        <w:t xml:space="preserve"> Comparison of ethanol concentrations in energy drinks as determined by UV–Vis spectrophotometry.</w:t>
      </w:r>
    </w:p>
    <w:p>
      <w:pPr>
        <w:pStyle w:val="style4097"/>
        <w:tabs>
          <w:tab w:val="left" w:leader="none" w:pos="4200"/>
        </w:tabs>
        <w:spacing w:lineRule="auto" w:line="360"/>
        <w:ind w:left="720"/>
        <w:rPr>
          <w:rFonts w:ascii="Times New Roman" w:cs="Times New Roman" w:eastAsia="Arial" w:hAnsi="Times New Roman"/>
          <w:sz w:val="24"/>
          <w:szCs w:val="24"/>
        </w:rPr>
      </w:pPr>
      <w:r>
        <w:rPr>
          <w:noProof/>
        </w:rPr>
        <w:drawing>
          <wp:inline distL="0" distT="0" distB="0" distR="0">
            <wp:extent cx="4923790" cy="2811013"/>
            <wp:effectExtent l="0" t="0" r="0" b="8890"/>
            <wp:docPr id="1036" name="Picture 2"/>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4" cstate="print"/>
                    <a:srcRect l="0" t="0" r="0" b="0"/>
                    <a:stretch/>
                  </pic:blipFill>
                  <pic:spPr>
                    <a:xfrm rot="0">
                      <a:off x="0" y="0"/>
                      <a:ext cx="4923790" cy="2811013"/>
                    </a:xfrm>
                    <a:prstGeom prst="rect"/>
                    <a:ln>
                      <a:noFill/>
                    </a:ln>
                  </pic:spPr>
                </pic:pic>
              </a:graphicData>
            </a:graphic>
          </wp:inline>
        </w:drawing>
      </w:r>
      <w:r>
        <w:rPr>
          <w:rFonts w:ascii="Times New Roman" w:cs="Times New Roman" w:eastAsia="Arial" w:hAnsi="Times New Roman"/>
          <w:sz w:val="24"/>
          <w:szCs w:val="24"/>
        </w:rPr>
        <w:tab/>
      </w:r>
    </w:p>
    <w:bookmarkStart w:id="62" w:name="_Toc213929906"/>
    <w:p>
      <w:pPr>
        <w:pStyle w:val="style0"/>
        <w:spacing w:before="100" w:beforeAutospacing="true" w:after="100" w:afterAutospacing="true" w:lineRule="auto" w:line="360"/>
        <w:jc w:val="both"/>
        <w:outlineLvl w:val="2"/>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Appendix D: Sample Preparation and Analytical Procedures</w:t>
      </w:r>
      <w:bookmarkEnd w:id="62"/>
    </w:p>
    <w:p>
      <w:pPr>
        <w:pStyle w:val="style0"/>
        <w:numPr>
          <w:ilvl w:val="0"/>
          <w:numId w:val="25"/>
        </w:numPr>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Degassing:</w:t>
      </w:r>
      <w:r>
        <w:rPr>
          <w:rFonts w:ascii="Times New Roman" w:cs="Times New Roman" w:eastAsia="Times New Roman" w:hAnsi="Times New Roman"/>
          <w:sz w:val="24"/>
          <w:szCs w:val="24"/>
        </w:rPr>
        <w:t xml:space="preserve"> Each beverage was </w:t>
      </w:r>
      <w:r>
        <w:rPr>
          <w:rFonts w:ascii="Times New Roman" w:cs="Times New Roman" w:eastAsia="Times New Roman" w:hAnsi="Times New Roman"/>
          <w:sz w:val="24"/>
          <w:szCs w:val="24"/>
        </w:rPr>
        <w:t>sonicated</w:t>
      </w:r>
      <w:r>
        <w:rPr>
          <w:rFonts w:ascii="Times New Roman" w:cs="Times New Roman" w:eastAsia="Times New Roman" w:hAnsi="Times New Roman"/>
          <w:sz w:val="24"/>
          <w:szCs w:val="24"/>
        </w:rPr>
        <w:t xml:space="preserve"> (~10 min) to remove CO₂.</w:t>
      </w:r>
    </w:p>
    <w:p>
      <w:pPr>
        <w:pStyle w:val="style0"/>
        <w:numPr>
          <w:ilvl w:val="0"/>
          <w:numId w:val="25"/>
        </w:numPr>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Filtration:</w:t>
      </w:r>
      <w:r>
        <w:rPr>
          <w:rFonts w:ascii="Times New Roman" w:cs="Times New Roman" w:eastAsia="Times New Roman" w:hAnsi="Times New Roman"/>
          <w:sz w:val="24"/>
          <w:szCs w:val="24"/>
        </w:rPr>
        <w:t xml:space="preserve"> Samples filtered through </w:t>
      </w:r>
      <w:r>
        <w:rPr>
          <w:rFonts w:ascii="Times New Roman" w:cs="Times New Roman" w:eastAsia="Times New Roman" w:hAnsi="Times New Roman"/>
          <w:sz w:val="24"/>
          <w:szCs w:val="24"/>
        </w:rPr>
        <w:t>Whatman</w:t>
      </w:r>
      <w:r>
        <w:rPr>
          <w:rFonts w:ascii="Times New Roman" w:cs="Times New Roman" w:eastAsia="Times New Roman" w:hAnsi="Times New Roman"/>
          <w:sz w:val="24"/>
          <w:szCs w:val="24"/>
        </w:rPr>
        <w:t xml:space="preserve"> No. 1 paper.</w:t>
      </w:r>
    </w:p>
    <w:p>
      <w:pPr>
        <w:pStyle w:val="style0"/>
        <w:numPr>
          <w:ilvl w:val="0"/>
          <w:numId w:val="25"/>
        </w:numPr>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Distillation:</w:t>
      </w:r>
      <w:r>
        <w:rPr>
          <w:rFonts w:ascii="Times New Roman" w:cs="Times New Roman" w:eastAsia="Times New Roman" w:hAnsi="Times New Roman"/>
          <w:sz w:val="24"/>
          <w:szCs w:val="24"/>
        </w:rPr>
        <w:t xml:space="preserve"> 50 mL of sample distilled; distillate collected and diluted to 100 mL with distilled water.</w:t>
      </w:r>
    </w:p>
    <w:p>
      <w:pPr>
        <w:pStyle w:val="style0"/>
        <w:numPr>
          <w:ilvl w:val="0"/>
          <w:numId w:val="25"/>
        </w:numPr>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Reaction:</w:t>
      </w:r>
      <w:r>
        <w:rPr>
          <w:rFonts w:ascii="Times New Roman" w:cs="Times New Roman" w:eastAsia="Times New Roman" w:hAnsi="Times New Roman"/>
          <w:sz w:val="24"/>
          <w:szCs w:val="24"/>
        </w:rPr>
        <w:t xml:space="preserve"> 5 mL distillate + 5 mL acidified 0.02 M </w:t>
      </w:r>
      <w:r>
        <w:rPr>
          <w:rFonts w:ascii="Times New Roman" w:cs="Times New Roman" w:eastAsia="Times New Roman" w:hAnsi="Times New Roman"/>
          <w:sz w:val="24"/>
          <w:szCs w:val="24"/>
        </w:rPr>
        <w:t>K₂Cr₂O</w:t>
      </w:r>
      <w:r>
        <w:rPr>
          <w:rFonts w:ascii="Times New Roman" w:cs="Times New Roman" w:eastAsia="Times New Roman" w:hAnsi="Times New Roman"/>
          <w:sz w:val="24"/>
          <w:szCs w:val="24"/>
        </w:rPr>
        <w:t>₇; incubated at 65 °C for 10 min.</w:t>
      </w:r>
    </w:p>
    <w:p>
      <w:pPr>
        <w:pStyle w:val="style0"/>
        <w:numPr>
          <w:ilvl w:val="0"/>
          <w:numId w:val="25"/>
        </w:numPr>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Measurement:</w:t>
      </w:r>
      <w:r>
        <w:rPr>
          <w:rFonts w:ascii="Times New Roman" w:cs="Times New Roman" w:eastAsia="Times New Roman" w:hAnsi="Times New Roman"/>
          <w:sz w:val="24"/>
          <w:szCs w:val="24"/>
        </w:rPr>
        <w:t xml:space="preserve"> Cooled, made up to 25 mL with distilled water, measured at 350 nm.</w:t>
      </w:r>
    </w:p>
    <w:p>
      <w:pPr>
        <w:pStyle w:val="style0"/>
        <w:numPr>
          <w:ilvl w:val="0"/>
          <w:numId w:val="25"/>
        </w:numPr>
        <w:spacing w:before="100" w:beforeAutospacing="true" w:after="100" w:afterAutospacing="true" w:lineRule="auto" w:line="360"/>
        <w:jc w:val="both"/>
        <w:rPr>
          <w:rStyle w:val="style87"/>
          <w:rFonts w:ascii="Times New Roman" w:cs="Times New Roman" w:eastAsia="Times New Roman" w:hAnsi="Times New Roman"/>
          <w:b w:val="false"/>
          <w:bCs w:val="false"/>
          <w:sz w:val="24"/>
          <w:szCs w:val="24"/>
        </w:rPr>
      </w:pPr>
      <w:r>
        <w:rPr>
          <w:rFonts w:ascii="Times New Roman" w:cs="Times New Roman" w:eastAsia="Times New Roman" w:hAnsi="Times New Roman"/>
          <w:b/>
          <w:bCs/>
          <w:sz w:val="24"/>
          <w:szCs w:val="24"/>
        </w:rPr>
        <w:t>Computation:</w:t>
      </w:r>
      <w:r>
        <w:rPr>
          <w:rFonts w:ascii="Times New Roman" w:cs="Times New Roman" w:eastAsia="Times New Roman" w:hAnsi="Times New Roman"/>
          <w:sz w:val="24"/>
          <w:szCs w:val="24"/>
        </w:rPr>
        <w:t xml:space="preserve"> Ethanol content = (A – 0.0028)/0.0647.</w:t>
      </w:r>
      <w:r>
        <w:rPr>
          <w:rStyle w:val="style87"/>
          <w:rFonts w:ascii="Times New Roman" w:cs="Times New Roman" w:hAnsi="Times New Roman"/>
          <w:bCs w:val="false"/>
          <w:sz w:val="24"/>
          <w:szCs w:val="24"/>
        </w:rPr>
        <w:br w:type="page"/>
      </w:r>
    </w:p>
    <w:p>
      <w:pPr>
        <w:pStyle w:val="style0"/>
        <w:rPr>
          <w:rFonts w:ascii="Times New Roman" w:cs="Times New Roman" w:hAnsi="Times New Roman"/>
          <w:sz w:val="24"/>
          <w:szCs w:val="24"/>
        </w:rPr>
      </w:pPr>
      <w:r>
        <w:rPr>
          <w:rStyle w:val="style87"/>
          <w:rFonts w:ascii="Times New Roman" w:cs="Times New Roman" w:hAnsi="Times New Roman"/>
          <w:bCs w:val="false"/>
          <w:sz w:val="24"/>
          <w:szCs w:val="24"/>
        </w:rPr>
        <w:t>Appendix</w:t>
      </w:r>
      <w:r>
        <w:rPr>
          <w:rStyle w:val="style87"/>
          <w:rFonts w:ascii="Times New Roman" w:cs="Times New Roman" w:hAnsi="Times New Roman"/>
          <w:b w:val="false"/>
          <w:bCs w:val="false"/>
          <w:sz w:val="24"/>
          <w:szCs w:val="24"/>
        </w:rPr>
        <w:t xml:space="preserve"> </w:t>
      </w:r>
      <w:r>
        <w:rPr>
          <w:rStyle w:val="style87"/>
          <w:rFonts w:ascii="Times New Roman" w:cs="Times New Roman" w:hAnsi="Times New Roman"/>
          <w:bCs w:val="false"/>
          <w:sz w:val="24"/>
          <w:szCs w:val="24"/>
        </w:rPr>
        <w:t>E</w:t>
      </w:r>
      <w:r>
        <w:rPr>
          <w:rStyle w:val="style87"/>
          <w:rFonts w:ascii="Times New Roman" w:cs="Times New Roman" w:hAnsi="Times New Roman"/>
          <w:sz w:val="24"/>
          <w:szCs w:val="24"/>
        </w:rPr>
        <w:t>: Sample Calculations</w:t>
      </w:r>
    </w:p>
    <w:p>
      <w:pPr>
        <w:pStyle w:val="style0"/>
        <w:rPr>
          <w:rFonts w:ascii="Times New Roman" w:cs="Times New Roman" w:hAnsi="Times New Roman"/>
          <w:i/>
          <w:sz w:val="24"/>
          <w:szCs w:val="24"/>
        </w:rPr>
      </w:pPr>
      <w:r>
        <w:rPr>
          <w:rStyle w:val="style87"/>
          <w:rFonts w:ascii="Times New Roman" w:cs="Times New Roman" w:hAnsi="Times New Roman"/>
          <w:sz w:val="24"/>
          <w:szCs w:val="24"/>
        </w:rPr>
        <w:t>Using the calibration equation:</w:t>
      </w:r>
      <w:r>
        <w:rPr>
          <w:rFonts w:ascii="Times New Roman" w:cs="Times New Roman" w:hAnsi="Times New Roman"/>
          <w:sz w:val="24"/>
          <w:szCs w:val="24"/>
        </w:rPr>
        <w:br/>
      </w:r>
      <w:r>
        <w:rPr>
          <w:rFonts w:ascii="Times New Roman" w:cs="Times New Roman" w:hAnsi="Times New Roman"/>
          <w:sz w:val="24"/>
          <w:szCs w:val="24"/>
        </w:rPr>
        <w:br/>
      </w:r>
      <w:r>
        <w:rPr>
          <w:rFonts w:ascii="Times New Roman" w:cs="Times New Roman" w:hAnsi="Times New Roman"/>
          <w:i/>
          <w:sz w:val="24"/>
          <w:szCs w:val="24"/>
        </w:rPr>
        <w:t xml:space="preserve">              </w:t>
      </w:r>
      <w:r>
        <w:rPr>
          <w:rFonts w:ascii="Times New Roman" w:cs="Times New Roman" w:hAnsi="Times New Roman"/>
          <w:i/>
          <w:sz w:val="24"/>
          <w:szCs w:val="24"/>
        </w:rPr>
        <w:t>A = 0.0647C + 0.0028</w:t>
      </w:r>
    </w:p>
    <w:p>
      <w:pPr>
        <w:pStyle w:val="style0"/>
        <w:tabs>
          <w:tab w:val="left" w:leader="none" w:pos="2895"/>
        </w:tabs>
        <w:rPr>
          <w:rFonts w:ascii="Times New Roman" w:cs="Times New Roman" w:hAnsi="Times New Roman"/>
          <w:sz w:val="24"/>
          <w:szCs w:val="24"/>
        </w:rPr>
      </w:pPr>
      <m:oMathPara>
        <m:oMath>
          <m:r>
            <w:rPr>
              <w:rFonts w:ascii="Cambria Math" w:cs="Times New Roman" w:hAnsi="Cambria Math"/>
              <w:sz w:val="24"/>
              <w:szCs w:val="24"/>
            </w:rPr>
            <m:t>C=</m:t>
          </m:r>
          <m:f>
            <m:fPr>
              <m:ctrlPr>
                <w:rPr>
                  <w:rFonts w:ascii="Cambria Math" w:cs="Times New Roman" w:hAnsi="Cambria Math"/>
                  <w:i/>
                  <w:sz w:val="24"/>
                  <w:szCs w:val="24"/>
                </w:rPr>
              </m:ctrlPr>
            </m:fPr>
            <m:num>
              <m:r>
                <w:rPr>
                  <w:rFonts w:ascii="Cambria Math" w:cs="Times New Roman" w:hAnsi="Cambria Math"/>
                  <w:sz w:val="24"/>
                  <w:szCs w:val="24"/>
                </w:rPr>
                <m:t>A-0.0028</m:t>
              </m:r>
            </m:num>
            <m:den>
              <m:r>
                <w:rPr>
                  <w:rFonts w:ascii="Cambria Math" w:cs="Times New Roman" w:hAnsi="Cambria Math"/>
                  <w:sz w:val="24"/>
                  <w:szCs w:val="24"/>
                </w:rPr>
                <m:t>0.0647</m:t>
              </m:r>
            </m:den>
          </m:f>
        </m:oMath>
      </m:oMathPara>
    </w:p>
    <w:p>
      <w:pPr>
        <w:pStyle w:val="style0"/>
        <w:rPr>
          <w:rStyle w:val="style87"/>
          <w:rFonts w:ascii="Times New Roman" w:cs="Times New Roman" w:hAnsi="Times New Roman"/>
          <w:sz w:val="24"/>
          <w:szCs w:val="24"/>
        </w:rPr>
      </w:pPr>
    </w:p>
    <w:p>
      <w:pPr>
        <w:pStyle w:val="style0"/>
        <w:rPr>
          <w:rStyle w:val="style87"/>
          <w:rFonts w:ascii="Times New Roman" w:cs="Times New Roman" w:hAnsi="Times New Roman"/>
          <w:sz w:val="24"/>
          <w:szCs w:val="24"/>
        </w:rPr>
      </w:pPr>
      <w:r>
        <w:rPr>
          <w:rStyle w:val="style87"/>
          <w:rFonts w:ascii="Times New Roman" w:cs="Times New Roman" w:hAnsi="Times New Roman"/>
          <w:sz w:val="24"/>
          <w:szCs w:val="24"/>
        </w:rPr>
        <w:t>Example (Power Horse):</w:t>
      </w:r>
    </w:p>
    <w:p>
      <w:pPr>
        <w:pStyle w:val="style94"/>
        <w:rPr/>
      </w:pPr>
      <w:r>
        <w:rPr>
          <w:rStyle w:val="style87"/>
        </w:rPr>
        <w:t xml:space="preserve"> </w:t>
      </w:r>
      <w:r>
        <w:t>Given:</w:t>
      </w:r>
    </w:p>
    <w:p>
      <w:pPr>
        <w:pStyle w:val="style94"/>
        <w:numPr>
          <w:ilvl w:val="0"/>
          <w:numId w:val="26"/>
        </w:numPr>
        <w:rPr/>
      </w:pPr>
      <w:r>
        <w:t>Measured absorbance (A) = 0.011</w:t>
      </w:r>
    </w:p>
    <w:p>
      <w:pPr>
        <w:pStyle w:val="style94"/>
        <w:numPr>
          <w:ilvl w:val="0"/>
          <w:numId w:val="26"/>
        </w:numPr>
        <w:rPr>
          <w:rStyle w:val="style87"/>
          <w:b w:val="false"/>
          <w:bCs w:val="false"/>
        </w:rPr>
      </w:pPr>
      <w:r>
        <w:t>Calibration equation: A = 0.0647 C + 0.0028</w:t>
      </w:r>
    </w:p>
    <w:p>
      <w:pPr>
        <w:pStyle w:val="style0"/>
        <w:rPr>
          <w:rFonts w:ascii="Times New Roman" w:cs="Times New Roman" w:hAnsi="Times New Roman"/>
          <w:sz w:val="24"/>
          <w:szCs w:val="24"/>
        </w:rPr>
      </w:pPr>
      <w:r>
        <w:rPr>
          <w:rStyle w:val="style87"/>
          <w:rFonts w:ascii="Times New Roman" w:cs="Times New Roman" w:hAnsi="Times New Roman"/>
          <w:sz w:val="24"/>
          <w:szCs w:val="24"/>
        </w:rPr>
        <w:t xml:space="preserve">                            </w:t>
      </w:r>
      <w:r>
        <w:rPr>
          <w:rFonts w:ascii="Times New Roman" w:cs="Times New Roman" w:hAnsi="Times New Roman"/>
          <w:sz w:val="24"/>
          <w:szCs w:val="24"/>
        </w:rPr>
        <w:br/>
      </w:r>
      <m:oMathPara>
        <m:oMath>
          <m:r>
            <w:rPr>
              <w:rFonts w:ascii="Cambria Math" w:cs="Times New Roman" w:hAnsi="Cambria Math"/>
              <w:sz w:val="24"/>
              <w:szCs w:val="24"/>
            </w:rPr>
            <m:t>C=</m:t>
          </m:r>
          <m:f>
            <m:fPr>
              <m:ctrlPr>
                <w:rPr>
                  <w:rFonts w:ascii="Cambria Math" w:cs="Times New Roman" w:hAnsi="Cambria Math"/>
                  <w:i/>
                  <w:sz w:val="24"/>
                  <w:szCs w:val="24"/>
                </w:rPr>
              </m:ctrlPr>
            </m:fPr>
            <m:num>
              <m:r>
                <w:rPr>
                  <w:rFonts w:ascii="Cambria Math" w:cs="Times New Roman" w:hAnsi="Cambria Math"/>
                  <w:sz w:val="24"/>
                  <w:szCs w:val="24"/>
                </w:rPr>
                <m:t>0.011-0.0028</m:t>
              </m:r>
            </m:num>
            <m:den>
              <m:r>
                <w:rPr>
                  <w:rFonts w:ascii="Cambria Math" w:cs="Times New Roman" w:hAnsi="Cambria Math"/>
                  <w:sz w:val="24"/>
                  <w:szCs w:val="24"/>
                </w:rPr>
                <m:t>0.0647</m:t>
              </m:r>
            </m:den>
          </m:f>
        </m:oMath>
      </m:oMathPara>
    </w:p>
    <w:p>
      <w:pPr>
        <w:pStyle w:val="style0"/>
        <w:jc w:val="center"/>
        <w:rPr>
          <w:rFonts w:ascii="Times New Roman" w:cs="Times New Roman" w:hAnsi="Times New Roman"/>
          <w:sz w:val="24"/>
          <w:szCs w:val="24"/>
        </w:rPr>
      </w:pPr>
      <w:r>
        <w:rPr>
          <w:rFonts w:ascii="Times New Roman" w:cs="Times New Roman" w:hAnsi="Times New Roman"/>
          <w:sz w:val="24"/>
          <w:szCs w:val="24"/>
        </w:rPr>
        <w:br/>
      </w:r>
      <w:r>
        <w:rPr>
          <w:rFonts w:ascii="Times New Roman" w:cs="Times New Roman" w:hAnsi="Times New Roman"/>
          <w:sz w:val="24"/>
          <w:szCs w:val="24"/>
        </w:rPr>
        <w:t xml:space="preserve">  </w:t>
      </w:r>
      <w:r>
        <w:rPr>
          <w:rFonts w:ascii="Times New Roman" w:cs="Times New Roman" w:hAnsi="Times New Roman"/>
          <w:sz w:val="24"/>
          <w:szCs w:val="24"/>
        </w:rPr>
        <w:br/>
      </w:r>
      <m:oMathPara>
        <m:oMath>
          <m:r>
            <w:rPr>
              <w:rFonts w:ascii="Cambria Math" w:cs="Times New Roman" w:hAnsi="Cambria Math"/>
              <w:sz w:val="24"/>
              <w:szCs w:val="24"/>
            </w:rPr>
            <m:t>C=</m:t>
          </m:r>
          <m:f>
            <m:fPr>
              <m:ctrlPr>
                <w:rPr>
                  <w:rFonts w:ascii="Cambria Math" w:cs="Times New Roman" w:hAnsi="Cambria Math"/>
                  <w:i/>
                  <w:sz w:val="24"/>
                  <w:szCs w:val="24"/>
                </w:rPr>
              </m:ctrlPr>
            </m:fPr>
            <m:num>
              <m:r>
                <w:rPr>
                  <w:rFonts w:ascii="Cambria Math" w:cs="Times New Roman" w:hAnsi="Cambria Math"/>
                  <w:sz w:val="24"/>
                  <w:szCs w:val="24"/>
                </w:rPr>
                <m:t>0.0082</m:t>
              </m:r>
            </m:num>
            <m:den>
              <m:r>
                <w:rPr>
                  <w:rFonts w:ascii="Cambria Math" w:cs="Times New Roman" w:hAnsi="Cambria Math"/>
                  <w:sz w:val="24"/>
                  <w:szCs w:val="24"/>
                </w:rPr>
                <m:t>0.0647</m:t>
              </m:r>
            </m:den>
          </m:f>
          <m:r>
            <w:rPr>
              <w:rFonts w:ascii="Cambria Math" w:cs="Times New Roman" w:hAnsi="Cambria Math"/>
              <w:sz w:val="24"/>
              <w:szCs w:val="24"/>
            </w:rPr>
            <m:t>=0.1268≈0.14%</m:t>
          </m:r>
        </m:oMath>
      </m:oMathPara>
    </w:p>
    <w:p>
      <w:pPr>
        <w:pStyle w:val="style94"/>
        <w:rPr/>
      </w:pPr>
      <w:r>
        <w:t xml:space="preserve">Considering the </w:t>
      </w:r>
      <w:r>
        <w:rPr>
          <w:rStyle w:val="style87"/>
        </w:rPr>
        <w:t>dilution factor (× 2)</w:t>
      </w:r>
      <w:r>
        <w:t>—since 50 mL of distillate was diluted to 100 mL—the corrected ethanol concentration becomes:</w:t>
      </w:r>
    </w:p>
    <w:p>
      <w:pPr>
        <w:pStyle w:val="style0"/>
        <w:spacing w:after="0" w:lineRule="auto" w:line="360"/>
        <w:jc w:val="both"/>
        <w:rPr>
          <w:rStyle w:val="style87"/>
        </w:rPr>
      </w:pPr>
      <m:oMathPara>
        <m:oMath>
          <m:r>
            <w:rPr>
              <w:rFonts w:ascii="Cambria Math" w:hAnsi="Cambria Math"/>
            </w:rPr>
            <m:t>0.14×2=0.28% v/v</m:t>
          </m:r>
          <m:r>
            <m:rPr>
              <m:sty m:val="p"/>
            </m:rPr>
            <w:rPr/>
            <w:br/>
          </m:r>
        </m:oMath>
      </m:oMathPara>
    </w:p>
    <w:p>
      <w:pPr>
        <w:pStyle w:val="style0"/>
        <w:spacing w:after="0" w:lineRule="auto" w:line="360"/>
        <w:jc w:val="both"/>
        <w:rPr>
          <w:rStyle w:val="style87"/>
          <w:rFonts w:ascii="Times New Roman" w:cs="Times New Roman" w:hAnsi="Times New Roman"/>
          <w:sz w:val="24"/>
          <w:szCs w:val="24"/>
        </w:rPr>
      </w:pPr>
      <w:r>
        <w:rPr>
          <w:rFonts w:ascii="Times New Roman" w:cs="Times New Roman" w:hAnsi="Times New Roman"/>
          <w:sz w:val="24"/>
          <w:szCs w:val="24"/>
        </w:rPr>
        <w:t xml:space="preserve">The same procedure was applied to all other energy drink samples using their respective absorbance readings. The final ethanol concentrations obtained after dilution correction were presented in </w:t>
      </w:r>
      <w:r>
        <w:rPr>
          <w:rStyle w:val="style87"/>
          <w:rFonts w:ascii="Times New Roman" w:cs="Times New Roman" w:hAnsi="Times New Roman"/>
          <w:sz w:val="24"/>
          <w:szCs w:val="24"/>
        </w:rPr>
        <w:t>Table 4.3.</w:t>
      </w:r>
    </w:p>
    <w:p>
      <w:pPr>
        <w:pStyle w:val="style0"/>
        <w:spacing w:after="0" w:lineRule="auto" w:line="360"/>
        <w:jc w:val="both"/>
        <w:rPr>
          <w:rStyle w:val="style87"/>
        </w:rPr>
      </w:pPr>
    </w:p>
    <w:p>
      <w:pPr>
        <w:pStyle w:val="style0"/>
        <w:spacing w:after="0" w:lineRule="auto" w:line="360"/>
        <w:jc w:val="both"/>
        <w:rPr>
          <w:rFonts w:ascii="Times New Roman" w:cs="Times New Roman" w:eastAsia="Times New Roman" w:hAnsi="Times New Roman"/>
          <w:b/>
          <w:bCs/>
          <w:sz w:val="24"/>
          <w:szCs w:val="24"/>
        </w:rPr>
      </w:pPr>
      <w:r>
        <w:rPr>
          <w:rStyle w:val="style87"/>
        </w:rPr>
        <w:t>Note</w:t>
      </w:r>
      <w:r>
        <w:rPr>
          <w:rStyle w:val="style87"/>
        </w:rPr>
        <w:t>:</w:t>
      </w:r>
      <w:r>
        <w:br/>
      </w:r>
      <w:r>
        <w:rPr>
          <w:rFonts w:ascii="Times New Roman" w:cs="Times New Roman" w:hAnsi="Times New Roman"/>
          <w:sz w:val="24"/>
          <w:szCs w:val="24"/>
        </w:rPr>
        <w:t xml:space="preserve">Ethanol concentrations were calculated from the calibration equation (A = 0.0647C + 0.0028) and corrected for the dilution factor of 2, since 50 mL of each distillate was diluted to 100 mL before analysis. All values were rounded to two decimal places (±0.01% v/v) in line with analytical precision. Minor rounding differences are within acceptable spectrophotometric limits and do not affect result interpretation. The corrected ethanol contents remained below </w:t>
      </w:r>
      <w:r>
        <w:rPr>
          <w:rFonts w:ascii="Times New Roman" w:cs="Times New Roman" w:hAnsi="Times New Roman"/>
          <w:sz w:val="24"/>
          <w:szCs w:val="24"/>
        </w:rPr>
        <w:t>the 0.5% v/v threshold specified by NAFDAC (2021) and WHO (2014) for non-alcoholic beverages.</w:t>
      </w:r>
    </w:p>
    <w:bookmarkStart w:id="63" w:name="_Toc213929907"/>
    <w:p>
      <w:pPr>
        <w:pStyle w:val="style0"/>
        <w:spacing w:before="100" w:beforeAutospacing="true" w:after="100" w:afterAutospacing="true" w:lineRule="auto" w:line="360"/>
        <w:jc w:val="both"/>
        <w:outlineLvl w:val="2"/>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Appendix F</w:t>
      </w:r>
      <w:r>
        <w:rPr>
          <w:rFonts w:ascii="Times New Roman" w:cs="Times New Roman" w:eastAsia="Times New Roman" w:hAnsi="Times New Roman"/>
          <w:b/>
          <w:bCs/>
          <w:sz w:val="24"/>
          <w:szCs w:val="24"/>
        </w:rPr>
        <w:t>: Laboratory Equipment and Reagents</w:t>
      </w:r>
      <w:bookmarkEnd w:id="63"/>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03"/>
        <w:gridCol w:w="6253"/>
      </w:tblGrid>
      <w:tr>
        <w:trPr>
          <w:tblHeader/>
          <w:tblCellSpacing w:w="15" w:type="dxa"/>
        </w:trPr>
        <w:tc>
          <w:tcPr>
            <w:tcW w:w="0" w:type="auto"/>
            <w:tcBorders>
              <w:top w:val="single" w:sz="4" w:space="0" w:color="auto"/>
              <w:bottom w:val="single" w:sz="4" w:space="0" w:color="auto"/>
            </w:tcBorders>
            <w:vAlign w:val="center"/>
            <w:hideMark/>
          </w:tcPr>
          <w:p>
            <w:pPr>
              <w:pStyle w:val="style0"/>
              <w:spacing w:after="0" w:lineRule="auto" w:line="360"/>
              <w:jc w:val="both"/>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Equipment</w:t>
            </w:r>
          </w:p>
        </w:tc>
        <w:tc>
          <w:tcPr>
            <w:tcW w:w="0" w:type="auto"/>
            <w:tcBorders>
              <w:top w:val="single" w:sz="4" w:space="0" w:color="auto"/>
              <w:bottom w:val="single" w:sz="4" w:space="0" w:color="auto"/>
            </w:tcBorders>
            <w:vAlign w:val="center"/>
            <w:hideMark/>
          </w:tcPr>
          <w:p>
            <w:pPr>
              <w:pStyle w:val="style0"/>
              <w:spacing w:after="0" w:lineRule="auto" w:line="360"/>
              <w:jc w:val="both"/>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Specification / Use</w:t>
            </w:r>
          </w:p>
        </w:tc>
      </w:tr>
      <w:tr>
        <w:tblPrEx/>
        <w:trPr>
          <w:tblCellSpacing w:w="15" w:type="dxa"/>
        </w:trPr>
        <w:tc>
          <w:tcPr>
            <w:tcW w:w="0" w:type="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FTIR Spectrometer</w:t>
            </w:r>
          </w:p>
        </w:tc>
        <w:tc>
          <w:tcPr>
            <w:tcW w:w="0" w:type="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Agilent Cary 630 ATR – qualitative detection of ethanol bands</w:t>
            </w:r>
          </w:p>
        </w:tc>
      </w:tr>
      <w:tr>
        <w:tblPrEx/>
        <w:trPr>
          <w:tblCellSpacing w:w="15" w:type="dxa"/>
        </w:trPr>
        <w:tc>
          <w:tcPr>
            <w:tcW w:w="0" w:type="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UV–Vis Spectrophotometer</w:t>
            </w:r>
          </w:p>
        </w:tc>
        <w:tc>
          <w:tcPr>
            <w:tcW w:w="0" w:type="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Shimadzu UV-1650 – quantitative measurement at 350 nm</w:t>
            </w:r>
          </w:p>
        </w:tc>
      </w:tr>
      <w:tr>
        <w:tblPrEx/>
        <w:trPr>
          <w:tblCellSpacing w:w="15" w:type="dxa"/>
        </w:trPr>
        <w:tc>
          <w:tcPr>
            <w:tcW w:w="0" w:type="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Water Bath</w:t>
            </w:r>
          </w:p>
        </w:tc>
        <w:tc>
          <w:tcPr>
            <w:tcW w:w="0" w:type="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65 ± 2 °C – oxidation reaction control</w:t>
            </w:r>
          </w:p>
        </w:tc>
      </w:tr>
      <w:tr>
        <w:tblPrEx/>
        <w:trPr>
          <w:tblCellSpacing w:w="15" w:type="dxa"/>
        </w:trPr>
        <w:tc>
          <w:tcPr>
            <w:tcW w:w="0" w:type="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Volumetric Flasks</w:t>
            </w:r>
          </w:p>
        </w:tc>
        <w:tc>
          <w:tcPr>
            <w:tcW w:w="0" w:type="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10–100 mL – standard and sample preparation</w:t>
            </w:r>
          </w:p>
        </w:tc>
      </w:tr>
      <w:tr>
        <w:tblPrEx/>
        <w:trPr>
          <w:tblCellSpacing w:w="15" w:type="dxa"/>
        </w:trPr>
        <w:tc>
          <w:tcPr>
            <w:tcW w:w="0" w:type="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Pipettes / Cuvettes</w:t>
            </w:r>
          </w:p>
        </w:tc>
        <w:tc>
          <w:tcPr>
            <w:tcW w:w="0" w:type="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 cm path length – measurement accuracy</w:t>
            </w:r>
          </w:p>
        </w:tc>
      </w:tr>
      <w:tr>
        <w:tblPrEx/>
        <w:trPr>
          <w:tblCellSpacing w:w="15" w:type="dxa"/>
        </w:trPr>
        <w:tc>
          <w:tcPr>
            <w:tcW w:w="0" w:type="auto"/>
            <w:tcBorders>
              <w:bottom w:val="single" w:sz="4" w:space="0" w:color="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Reagents</w:t>
            </w:r>
          </w:p>
        </w:tc>
        <w:tc>
          <w:tcPr>
            <w:tcW w:w="0" w:type="auto"/>
            <w:tcBorders>
              <w:bottom w:val="single" w:sz="4" w:space="0" w:color="auto"/>
            </w:tcBorders>
            <w:vAlign w:val="center"/>
            <w:hideMark/>
          </w:tcPr>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0.02 M </w:t>
            </w:r>
            <w:r>
              <w:rPr>
                <w:rFonts w:ascii="Times New Roman" w:cs="Times New Roman" w:eastAsia="Times New Roman" w:hAnsi="Times New Roman"/>
                <w:sz w:val="24"/>
                <w:szCs w:val="24"/>
              </w:rPr>
              <w:t>K₂Cr₂O</w:t>
            </w:r>
            <w:r>
              <w:rPr>
                <w:rFonts w:ascii="Times New Roman" w:cs="Times New Roman" w:eastAsia="Times New Roman" w:hAnsi="Times New Roman"/>
                <w:sz w:val="24"/>
                <w:szCs w:val="24"/>
              </w:rPr>
              <w:t>₇ in 1 M H₂SO₄; 99.9 % ethanol standard; distilled water</w:t>
            </w:r>
          </w:p>
        </w:tc>
      </w:tr>
    </w:tbl>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sectPr>
      <w:pgSz w:w="11907" w:h="16839" w:orient="portrait" w:code="9"/>
      <w:pgMar w:top="1440" w:right="1440" w:bottom="1440" w:left="1440" w:header="720" w:footer="910" w:gutter="0"/>
      <w:pgNumType w:start="1"/>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altName w:val="Symbol"/>
    <w:panose1 w:val="05050102010007020507"/>
    <w:charset w:val="02"/>
    <w:family w:val="roman"/>
    <w:pitch w:val="variable"/>
    <w:sig w:usb0="00000000" w:usb1="10000000" w:usb2="00000000" w:usb3="00000000" w:csb0="80000000" w:csb1="00000000"/>
  </w:font>
  <w:font w:name="Times New Roman">
    <w:altName w:val="Times New Roman"/>
    <w:panose1 w:val="02020603050004020304"/>
    <w:charset w:val="00"/>
    <w:family w:val="roman"/>
    <w:pitch w:val="variable"/>
    <w:sig w:usb0="E0002EFF" w:usb1="C000785B" w:usb2="00000009" w:usb3="00000000" w:csb0="000001FF" w:csb1="00000000"/>
  </w:font>
  <w:font w:name="Courier New">
    <w:altName w:val="Courier New"/>
    <w:panose1 w:val="02070309020002020404"/>
    <w:charset w:val="00"/>
    <w:family w:val="modern"/>
    <w:pitch w:val="fixed"/>
    <w:sig w:usb0="E0002E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Calibri">
    <w:altName w:val="Calibri"/>
    <w:panose1 w:val="020f0502020002030204"/>
    <w:charset w:val="00"/>
    <w:family w:val="swiss"/>
    <w:pitch w:val="variable"/>
    <w:sig w:usb0="E4002EFF" w:usb1="C000247B" w:usb2="00000009" w:usb3="00000000" w:csb0="000001FF" w:csb1="00000000"/>
  </w:font>
  <w:font w:name="Cambria">
    <w:altName w:val="Cambria"/>
    <w:panose1 w:val="02040503050004030204"/>
    <w:charset w:val="00"/>
    <w:family w:val="roman"/>
    <w:pitch w:val="variable"/>
    <w:sig w:usb0="E00006FF" w:usb1="420024FF" w:usb2="02000000" w:usb3="00000000" w:csb0="0000019F" w:csb1="00000000"/>
  </w:font>
  <w:font w:name="Tahoma">
    <w:altName w:val="Tahoma"/>
    <w:panose1 w:val="020b0604030005040204"/>
    <w:charset w:val="00"/>
    <w:family w:val="swiss"/>
    <w:pitch w:val="variable"/>
    <w:sig w:usb0="E1002EFF" w:usb1="C000605B" w:usb2="00000029" w:usb3="00000000" w:csb0="000101FF" w:csb1="00000000"/>
  </w:font>
  <w:font w:name="Arial">
    <w:altName w:val="Arial"/>
    <w:panose1 w:val="020b0604020002020204"/>
    <w:charset w:val="00"/>
    <w:family w:val="swiss"/>
    <w:pitch w:val="variable"/>
    <w:sig w:usb0="E0002EFF" w:usb1="C000785B" w:usb2="00000009" w:usb3="00000000" w:csb0="000001FF" w:csb1="00000000"/>
  </w:font>
  <w:font w:name="SimSun">
    <w:altName w:val="宋体"/>
    <w:panose1 w:val="02010600030001010101"/>
    <w:charset w:val="86"/>
    <w:family w:val="auto"/>
    <w:pitch w:val="variable"/>
    <w:sig w:usb0="00000203" w:usb1="288F0000" w:usb2="00000016" w:usb3="00000000" w:csb0="00040001" w:csb1="00000000"/>
  </w:font>
  <w:font w:name="Cambria Math">
    <w:altName w:val="Cambria Math"/>
    <w:panose1 w:val="02040503050004030204"/>
    <w:charset w:val="00"/>
    <w:family w:val="roman"/>
    <w:pitch w:val="variable"/>
    <w:sig w:usb0="E00006FF" w:usb1="420024FF" w:usb2="02000000" w:usb3="00000000" w:csb0="0000019F" w:csb1="00000000"/>
  </w:font>
  <w:font w:name="Arial Unicode MS">
    <w:altName w:val="Arial Unicode MS"/>
    <w:panose1 w:val="020b0604020002020204"/>
    <w:charset w:val="80"/>
    <w:family w:val="swiss"/>
    <w:pitch w:val="variable"/>
    <w:sig w:usb0="F7FFAFFF" w:usb1="E9DFFFFF" w:usb2="0000003F" w:usb3="00000000" w:csb0="003F01FF" w:csb1="00000000"/>
  </w:font>
  <w:font w:name="宋体">
    <w:altName w:val="Wingdings 2"/>
    <w:panose1 w:val="05020102010007070707"/>
    <w:charset w:val="02"/>
    <w:family w:val="roman"/>
    <w:pitch w:val="default"/>
    <w:sig w:usb0="00000000" w:usb1="10000000" w:usb2="00000000" w:usb3="00000000" w:csb0="80000000"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jc w:val="center"/>
      <w:rPr>
        <w:b/>
      </w:rPr>
    </w:pPr>
    <w:r>
      <w:rPr>
        <w:b/>
      </w:rPr>
      <w:fldChar w:fldCharType="begin"/>
    </w:r>
    <w:r>
      <w:rPr>
        <w:b/>
      </w:rPr>
      <w:instrText xml:space="preserve"> PAGE   \* MERGEFORMAT </w:instrText>
    </w:r>
    <w:r>
      <w:rPr>
        <w:b/>
      </w:rPr>
      <w:fldChar w:fldCharType="separate"/>
    </w:r>
    <w:r>
      <w:rPr>
        <w:b/>
        <w:noProof/>
      </w:rPr>
      <w:t>xii</w:t>
    </w:r>
    <w:r>
      <w:rPr>
        <w:b/>
        <w:noProof/>
      </w:rPr>
      <w:fldChar w:fldCharType="end"/>
    </w:r>
  </w:p>
  <w:p>
    <w:pPr>
      <w:pStyle w:val="style32"/>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hybridMultilevel"/>
    <w:tmpl w:val="7A1850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000001"/>
    <w:multiLevelType w:val="multilevel"/>
    <w:tmpl w:val="C2364234"/>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2">
    <w:nsid w:val="00000002"/>
    <w:multiLevelType w:val="multilevel"/>
    <w:tmpl w:val="EAE84F6E"/>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3">
    <w:nsid w:val="00000003"/>
    <w:multiLevelType w:val="hybridMultilevel"/>
    <w:tmpl w:val="E71A6C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0000004"/>
    <w:multiLevelType w:val="hybridMultilevel"/>
    <w:tmpl w:val="5A9EF0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0000005"/>
    <w:multiLevelType w:val="multilevel"/>
    <w:tmpl w:val="87E02202"/>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6">
    <w:nsid w:val="00000006"/>
    <w:multiLevelType w:val="hybridMultilevel"/>
    <w:tmpl w:val="F882597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00000007"/>
    <w:multiLevelType w:val="multilevel"/>
    <w:tmpl w:val="E306E7B2"/>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8">
    <w:nsid w:val="00000008"/>
    <w:multiLevelType w:val="hybridMultilevel"/>
    <w:tmpl w:val="72CA44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0000009"/>
    <w:multiLevelType w:val="hybridMultilevel"/>
    <w:tmpl w:val="00AAEB72"/>
    <w:lvl w:ilvl="0" w:tplc="206895A8">
      <w:start w:val="1"/>
      <w:numFmt w:val="lowerRoman"/>
      <w:lvlText w:val="%1."/>
      <w:lvlJc w:val="left"/>
      <w:pPr>
        <w:ind w:left="720" w:hanging="360"/>
      </w:pPr>
      <w:rPr>
        <w:rFonts w:ascii="Times New Roman" w:cs="Times New Roman" w:eastAsia="宋体" w:hAnsi="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000000A"/>
    <w:multiLevelType w:val="multilevel"/>
    <w:tmpl w:val="D55A80EC"/>
    <w:lvl w:ilvl="0">
      <w:start w:val="1"/>
      <w:numFmt w:val="decimal"/>
      <w:lvlText w:val="%1."/>
      <w:lvlJc w:val="lef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11">
    <w:nsid w:val="0000000B"/>
    <w:multiLevelType w:val="multilevel"/>
    <w:tmpl w:val="0EBA7080"/>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12">
    <w:nsid w:val="0000000C"/>
    <w:multiLevelType w:val="multilevel"/>
    <w:tmpl w:val="C1F6937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0000000D"/>
    <w:multiLevelType w:val="multilevel"/>
    <w:tmpl w:val="292CD74C"/>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14">
    <w:nsid w:val="0000000E"/>
    <w:multiLevelType w:val="multilevel"/>
    <w:tmpl w:val="2D56C10E"/>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15">
    <w:nsid w:val="0000000F"/>
    <w:multiLevelType w:val="multilevel"/>
    <w:tmpl w:val="08AABC00"/>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16">
    <w:nsid w:val="00000010"/>
    <w:multiLevelType w:val="multilevel"/>
    <w:tmpl w:val="5970803A"/>
    <w:lvl w:ilvl="0">
      <w:start w:val="1"/>
      <w:numFmt w:val="bullet"/>
      <w:lvlText w:val=""/>
      <w:lvlJc w:val="left"/>
      <w:pPr>
        <w:tabs>
          <w:tab w:val="left" w:leader="none" w:pos="720"/>
        </w:tabs>
        <w:ind w:left="720" w:hanging="360"/>
      </w:pPr>
      <w:rPr>
        <w:rFonts w:ascii="Symbol" w:hAnsi="Symbol" w:hint="default"/>
        <w:sz w:val="20"/>
      </w:rPr>
    </w:lvl>
    <w:lvl w:ilvl="1">
      <w:start w:val="1"/>
      <w:numFmt w:val="decimal"/>
      <w:lvlText w:val="%2."/>
      <w:lvlJc w:val="left"/>
      <w:pPr>
        <w:tabs>
          <w:tab w:val="left" w:leader="none" w:pos="1440"/>
        </w:tabs>
        <w:ind w:left="1440" w:hanging="360"/>
      </w:pPr>
    </w:lvl>
    <w:lvl w:ilvl="2">
      <w:start w:val="1"/>
      <w:numFmt w:val="decimal"/>
      <w:lvlText w:val="%3."/>
      <w:lvlJc w:val="left"/>
      <w:pPr>
        <w:tabs>
          <w:tab w:val="left" w:leader="none" w:pos="2160"/>
        </w:tabs>
        <w:ind w:left="2160" w:hanging="360"/>
      </w:pPr>
    </w:lvl>
    <w:lvl w:ilvl="3">
      <w:start w:val="1"/>
      <w:numFmt w:val="decimal"/>
      <w:lvlText w:val="%4."/>
      <w:lvlJc w:val="left"/>
      <w:pPr>
        <w:tabs>
          <w:tab w:val="left" w:leader="none" w:pos="2880"/>
        </w:tabs>
        <w:ind w:left="2880" w:hanging="360"/>
      </w:pPr>
    </w:lvl>
    <w:lvl w:ilvl="4">
      <w:start w:val="1"/>
      <w:numFmt w:val="decimal"/>
      <w:lvlText w:val="%5."/>
      <w:lvlJc w:val="left"/>
      <w:pPr>
        <w:tabs>
          <w:tab w:val="left" w:leader="none" w:pos="3600"/>
        </w:tabs>
        <w:ind w:left="3600" w:hanging="360"/>
      </w:pPr>
    </w:lvl>
    <w:lvl w:ilvl="5">
      <w:start w:val="1"/>
      <w:numFmt w:val="decimal"/>
      <w:lvlText w:val="%6."/>
      <w:lvlJc w:val="left"/>
      <w:pPr>
        <w:tabs>
          <w:tab w:val="left" w:leader="none" w:pos="4320"/>
        </w:tabs>
        <w:ind w:left="4320" w:hanging="360"/>
      </w:pPr>
    </w:lvl>
    <w:lvl w:ilvl="6">
      <w:start w:val="1"/>
      <w:numFmt w:val="decimal"/>
      <w:lvlText w:val="%7."/>
      <w:lvlJc w:val="left"/>
      <w:pPr>
        <w:tabs>
          <w:tab w:val="left" w:leader="none" w:pos="5040"/>
        </w:tabs>
        <w:ind w:left="5040" w:hanging="360"/>
      </w:pPr>
    </w:lvl>
    <w:lvl w:ilvl="7">
      <w:start w:val="1"/>
      <w:numFmt w:val="decimal"/>
      <w:lvlText w:val="%8."/>
      <w:lvlJc w:val="left"/>
      <w:pPr>
        <w:tabs>
          <w:tab w:val="left" w:leader="none" w:pos="5760"/>
        </w:tabs>
        <w:ind w:left="5760" w:hanging="360"/>
      </w:pPr>
    </w:lvl>
    <w:lvl w:ilvl="8">
      <w:start w:val="1"/>
      <w:numFmt w:val="decimal"/>
      <w:lvlText w:val="%9."/>
      <w:lvlJc w:val="left"/>
      <w:pPr>
        <w:tabs>
          <w:tab w:val="left" w:leader="none" w:pos="6480"/>
        </w:tabs>
        <w:ind w:left="6480" w:hanging="360"/>
      </w:pPr>
    </w:lvl>
  </w:abstractNum>
  <w:abstractNum w:abstractNumId="17">
    <w:nsid w:val="00000011"/>
    <w:multiLevelType w:val="multilevel"/>
    <w:tmpl w:val="D188DE54"/>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18">
    <w:nsid w:val="00000012"/>
    <w:multiLevelType w:val="multilevel"/>
    <w:tmpl w:val="5908FC9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00000013"/>
    <w:multiLevelType w:val="multilevel"/>
    <w:tmpl w:val="F9945570"/>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20">
    <w:nsid w:val="00000014"/>
    <w:multiLevelType w:val="multilevel"/>
    <w:tmpl w:val="49BE56C0"/>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21">
    <w:nsid w:val="00000015"/>
    <w:multiLevelType w:val="multilevel"/>
    <w:tmpl w:val="E0DE21F4"/>
    <w:lvl w:ilvl="0">
      <w:start w:val="1"/>
      <w:numFmt w:val="decimal"/>
      <w:lvlText w:val="%1."/>
      <w:lvlJc w:val="left"/>
      <w:pPr>
        <w:ind w:left="720" w:hanging="360"/>
      </w:pPr>
    </w:lvl>
    <w:lvl w:ilvl="1">
      <w:start w:val="5"/>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2">
    <w:nsid w:val="00000016"/>
    <w:multiLevelType w:val="multilevel"/>
    <w:tmpl w:val="426443F0"/>
    <w:lvl w:ilvl="0">
      <w:start w:val="1"/>
      <w:numFmt w:val="bullet"/>
      <w:lvlText w:val=""/>
      <w:lvlJc w:val="left"/>
      <w:pPr>
        <w:tabs>
          <w:tab w:val="left" w:leader="none" w:pos="720"/>
        </w:tabs>
        <w:ind w:left="720" w:hanging="360"/>
      </w:pPr>
      <w:rPr>
        <w:rFonts w:ascii="Symbol" w:hAnsi="Symbol" w:hint="default"/>
        <w:sz w:val="20"/>
      </w:rPr>
    </w:lvl>
    <w:lvl w:ilvl="1">
      <w:start w:val="1"/>
      <w:numFmt w:val="decimal"/>
      <w:lvlText w:val="%2."/>
      <w:lvlJc w:val="left"/>
      <w:pPr>
        <w:tabs>
          <w:tab w:val="left" w:leader="none" w:pos="1440"/>
        </w:tabs>
        <w:ind w:left="1440" w:hanging="360"/>
      </w:pPr>
    </w:lvl>
    <w:lvl w:ilvl="2">
      <w:start w:val="1"/>
      <w:numFmt w:val="decimal"/>
      <w:lvlText w:val="%3."/>
      <w:lvlJc w:val="left"/>
      <w:pPr>
        <w:tabs>
          <w:tab w:val="left" w:leader="none" w:pos="2160"/>
        </w:tabs>
        <w:ind w:left="2160" w:hanging="360"/>
      </w:pPr>
    </w:lvl>
    <w:lvl w:ilvl="3">
      <w:start w:val="1"/>
      <w:numFmt w:val="decimal"/>
      <w:lvlText w:val="%4."/>
      <w:lvlJc w:val="left"/>
      <w:pPr>
        <w:tabs>
          <w:tab w:val="left" w:leader="none" w:pos="2880"/>
        </w:tabs>
        <w:ind w:left="2880" w:hanging="360"/>
      </w:pPr>
    </w:lvl>
    <w:lvl w:ilvl="4">
      <w:start w:val="1"/>
      <w:numFmt w:val="decimal"/>
      <w:lvlText w:val="%5."/>
      <w:lvlJc w:val="left"/>
      <w:pPr>
        <w:tabs>
          <w:tab w:val="left" w:leader="none" w:pos="3600"/>
        </w:tabs>
        <w:ind w:left="3600" w:hanging="360"/>
      </w:pPr>
    </w:lvl>
    <w:lvl w:ilvl="5">
      <w:start w:val="1"/>
      <w:numFmt w:val="decimal"/>
      <w:lvlText w:val="%6."/>
      <w:lvlJc w:val="left"/>
      <w:pPr>
        <w:tabs>
          <w:tab w:val="left" w:leader="none" w:pos="4320"/>
        </w:tabs>
        <w:ind w:left="4320" w:hanging="360"/>
      </w:pPr>
    </w:lvl>
    <w:lvl w:ilvl="6">
      <w:start w:val="1"/>
      <w:numFmt w:val="decimal"/>
      <w:lvlText w:val="%7."/>
      <w:lvlJc w:val="left"/>
      <w:pPr>
        <w:tabs>
          <w:tab w:val="left" w:leader="none" w:pos="5040"/>
        </w:tabs>
        <w:ind w:left="5040" w:hanging="360"/>
      </w:pPr>
    </w:lvl>
    <w:lvl w:ilvl="7">
      <w:start w:val="1"/>
      <w:numFmt w:val="decimal"/>
      <w:lvlText w:val="%8."/>
      <w:lvlJc w:val="left"/>
      <w:pPr>
        <w:tabs>
          <w:tab w:val="left" w:leader="none" w:pos="5760"/>
        </w:tabs>
        <w:ind w:left="5760" w:hanging="360"/>
      </w:pPr>
    </w:lvl>
    <w:lvl w:ilvl="8">
      <w:start w:val="1"/>
      <w:numFmt w:val="decimal"/>
      <w:lvlText w:val="%9."/>
      <w:lvlJc w:val="left"/>
      <w:pPr>
        <w:tabs>
          <w:tab w:val="left" w:leader="none" w:pos="6480"/>
        </w:tabs>
        <w:ind w:left="6480" w:hanging="360"/>
      </w:pPr>
    </w:lvl>
  </w:abstractNum>
  <w:abstractNum w:abstractNumId="23">
    <w:nsid w:val="00000017"/>
    <w:multiLevelType w:val="multilevel"/>
    <w:tmpl w:val="36EA1F70"/>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24">
    <w:nsid w:val="00000018"/>
    <w:multiLevelType w:val="multilevel"/>
    <w:tmpl w:val="F9723C32"/>
    <w:lvl w:ilvl="0">
      <w:start w:val="1"/>
      <w:numFmt w:val="decimal"/>
      <w:lvlText w:val="%1."/>
      <w:lvlJc w:val="left"/>
      <w:pPr>
        <w:tabs>
          <w:tab w:val="left" w:leader="none" w:pos="720"/>
        </w:tabs>
        <w:ind w:left="720" w:hanging="360"/>
      </w:pPr>
    </w:lvl>
    <w:lvl w:ilvl="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25">
    <w:nsid w:val="00000019"/>
    <w:multiLevelType w:val="hybridMultilevel"/>
    <w:tmpl w:val="401E12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0000001A"/>
    <w:multiLevelType w:val="multilevel"/>
    <w:tmpl w:val="914C995A"/>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27">
    <w:nsid w:val="0000001B"/>
    <w:multiLevelType w:val="hybridMultilevel"/>
    <w:tmpl w:val="E500D130"/>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cs="Courier New" w:hAnsi="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cs="Courier New" w:hAnsi="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cs="Courier New" w:hAnsi="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8">
    <w:nsid w:val="0000001C"/>
    <w:multiLevelType w:val="hybridMultilevel"/>
    <w:tmpl w:val="E64A20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0000001D"/>
    <w:multiLevelType w:val="multilevel"/>
    <w:tmpl w:val="655E2BA6"/>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30">
    <w:nsid w:val="0000001E"/>
    <w:multiLevelType w:val="multilevel"/>
    <w:tmpl w:val="2862AB2A"/>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31">
    <w:nsid w:val="0000001F"/>
    <w:multiLevelType w:val="multilevel"/>
    <w:tmpl w:val="D2BE7BFE"/>
    <w:lvl w:ilvl="0">
      <w:start w:val="1"/>
      <w:numFmt w:val="lowerRoman"/>
      <w:lvlText w:val="%1."/>
      <w:lvlJc w:val="left"/>
      <w:pPr>
        <w:tabs>
          <w:tab w:val="left" w:leader="none" w:pos="720"/>
        </w:tabs>
        <w:ind w:left="720" w:hanging="360"/>
      </w:pPr>
      <w:rPr>
        <w:rFonts w:ascii="Times New Roman" w:cs="Times New Roman" w:eastAsia="Times New Roman" w:hAnsi="Times New Roman"/>
      </w:rPr>
    </w:lvl>
    <w:lvl w:ilvl="1">
      <w:start w:val="1"/>
      <w:numFmt w:val="decimal"/>
      <w:lvlText w:val="%2."/>
      <w:lvlJc w:val="left"/>
      <w:pPr>
        <w:tabs>
          <w:tab w:val="left" w:leader="none" w:pos="1440"/>
        </w:tabs>
        <w:ind w:left="1440" w:hanging="360"/>
      </w:pPr>
    </w:lvl>
    <w:lvl w:ilvl="2">
      <w:start w:val="1"/>
      <w:numFmt w:val="decimal"/>
      <w:lvlText w:val="%3."/>
      <w:lvlJc w:val="left"/>
      <w:pPr>
        <w:tabs>
          <w:tab w:val="left" w:leader="none" w:pos="2160"/>
        </w:tabs>
        <w:ind w:left="2160" w:hanging="360"/>
      </w:pPr>
    </w:lvl>
    <w:lvl w:ilvl="3">
      <w:start w:val="1"/>
      <w:numFmt w:val="decimal"/>
      <w:lvlText w:val="%4."/>
      <w:lvlJc w:val="left"/>
      <w:pPr>
        <w:tabs>
          <w:tab w:val="left" w:leader="none" w:pos="2880"/>
        </w:tabs>
        <w:ind w:left="2880" w:hanging="360"/>
      </w:pPr>
    </w:lvl>
    <w:lvl w:ilvl="4">
      <w:start w:val="1"/>
      <w:numFmt w:val="decimal"/>
      <w:lvlText w:val="%5."/>
      <w:lvlJc w:val="left"/>
      <w:pPr>
        <w:tabs>
          <w:tab w:val="left" w:leader="none" w:pos="3600"/>
        </w:tabs>
        <w:ind w:left="3600" w:hanging="360"/>
      </w:pPr>
    </w:lvl>
    <w:lvl w:ilvl="5">
      <w:start w:val="1"/>
      <w:numFmt w:val="decimal"/>
      <w:lvlText w:val="%6."/>
      <w:lvlJc w:val="left"/>
      <w:pPr>
        <w:tabs>
          <w:tab w:val="left" w:leader="none" w:pos="4320"/>
        </w:tabs>
        <w:ind w:left="4320" w:hanging="360"/>
      </w:pPr>
    </w:lvl>
    <w:lvl w:ilvl="6">
      <w:start w:val="1"/>
      <w:numFmt w:val="decimal"/>
      <w:lvlText w:val="%7."/>
      <w:lvlJc w:val="left"/>
      <w:pPr>
        <w:tabs>
          <w:tab w:val="left" w:leader="none" w:pos="5040"/>
        </w:tabs>
        <w:ind w:left="5040" w:hanging="360"/>
      </w:pPr>
    </w:lvl>
    <w:lvl w:ilvl="7">
      <w:start w:val="1"/>
      <w:numFmt w:val="decimal"/>
      <w:lvlText w:val="%8."/>
      <w:lvlJc w:val="left"/>
      <w:pPr>
        <w:tabs>
          <w:tab w:val="left" w:leader="none" w:pos="5760"/>
        </w:tabs>
        <w:ind w:left="5760" w:hanging="360"/>
      </w:pPr>
    </w:lvl>
    <w:lvl w:ilvl="8">
      <w:start w:val="1"/>
      <w:numFmt w:val="decimal"/>
      <w:lvlText w:val="%9."/>
      <w:lvlJc w:val="left"/>
      <w:pPr>
        <w:tabs>
          <w:tab w:val="left" w:leader="none" w:pos="6480"/>
        </w:tabs>
        <w:ind w:left="6480" w:hanging="360"/>
      </w:pPr>
    </w:lvl>
  </w:abstractNum>
  <w:num w:numId="1">
    <w:abstractNumId w:val="9"/>
  </w:num>
  <w:num w:numId="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5"/>
  </w:num>
  <w:num w:numId="4">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num>
  <w:num w:numId="7">
    <w:abstractNumId w:val="0"/>
  </w:num>
  <w:num w:numId="8">
    <w:abstractNumId w:val="10"/>
  </w:num>
  <w:num w:numId="9">
    <w:abstractNumId w:val="18"/>
  </w:num>
  <w:num w:numId="10">
    <w:abstractNumId w:val="15"/>
  </w:num>
  <w:num w:numId="11">
    <w:abstractNumId w:val="17"/>
  </w:num>
  <w:num w:numId="12">
    <w:abstractNumId w:val="3"/>
  </w:num>
  <w:num w:numId="13">
    <w:abstractNumId w:val="24"/>
  </w:num>
  <w:num w:numId="14">
    <w:abstractNumId w:val="26"/>
  </w:num>
  <w:num w:numId="15">
    <w:abstractNumId w:val="5"/>
  </w:num>
  <w:num w:numId="16">
    <w:abstractNumId w:val="27"/>
  </w:num>
  <w:num w:numId="17">
    <w:abstractNumId w:val="4"/>
  </w:num>
  <w:num w:numId="18">
    <w:abstractNumId w:val="8"/>
  </w:num>
  <w:num w:numId="19">
    <w:abstractNumId w:val="6"/>
  </w:num>
  <w:num w:numId="20">
    <w:abstractNumId w:val="21"/>
  </w:num>
  <w:num w:numId="21">
    <w:abstractNumId w:val="2"/>
  </w:num>
  <w:num w:numId="22">
    <w:abstractNumId w:val="19"/>
  </w:num>
  <w:num w:numId="23">
    <w:abstractNumId w:val="29"/>
  </w:num>
  <w:num w:numId="24">
    <w:abstractNumId w:val="28"/>
  </w:num>
  <w:num w:numId="25">
    <w:abstractNumId w:val="30"/>
  </w:num>
  <w:num w:numId="26">
    <w:abstractNumId w:val="11"/>
  </w:num>
  <w:num w:numId="27">
    <w:abstractNumId w:val="14"/>
  </w:num>
  <w:num w:numId="28">
    <w:abstractNumId w:val="1"/>
  </w:num>
  <w:num w:numId="29">
    <w:abstractNumId w:val="23"/>
  </w:num>
  <w:num w:numId="30">
    <w:abstractNumId w:val="20"/>
  </w:num>
  <w:num w:numId="31">
    <w:abstractNumId w:val="13"/>
  </w:num>
  <w:num w:numId="32">
    <w:abstractNumId w:val="7"/>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宋体" w:eastAsia="宋体" w:hAnsi="Calibri"/>
        <w:sz w:val="22"/>
        <w:szCs w:val="22"/>
        <w:lang w:val="en-US" w:bidi="ar-SA" w:eastAsia="en-US"/>
      </w:rPr>
    </w:rPrDefault>
    <w:pPrDefault>
      <w:pPr>
        <w:spacing w:after="200" w:lineRule="auto" w:line="276"/>
      </w:pPr>
    </w:pPrDefault>
  </w:docDefaults>
  <w:style w:type="paragraph" w:default="1" w:styleId="style0">
    <w:name w:val="Normal"/>
    <w:next w:val="style0"/>
    <w:qFormat/>
    <w:pPr/>
  </w:style>
  <w:style w:type="paragraph" w:styleId="style1">
    <w:name w:val="heading 1"/>
    <w:basedOn w:val="style0"/>
    <w:next w:val="style0"/>
    <w:link w:val="style4105"/>
    <w:qFormat/>
    <w:uiPriority w:val="9"/>
    <w:pPr>
      <w:keepNext/>
      <w:keepLines/>
      <w:spacing w:before="480" w:after="0" w:lineRule="auto" w:line="480"/>
      <w:outlineLvl w:val="0"/>
    </w:pPr>
    <w:rPr>
      <w:rFonts w:ascii="Times New Roman" w:cs="宋体" w:eastAsia="宋体" w:hAnsi="Times New Roman"/>
      <w:b/>
      <w:bCs/>
      <w:sz w:val="24"/>
      <w:szCs w:val="28"/>
    </w:rPr>
  </w:style>
  <w:style w:type="paragraph" w:styleId="style2">
    <w:name w:val="heading 2"/>
    <w:basedOn w:val="style0"/>
    <w:next w:val="style0"/>
    <w:link w:val="style4102"/>
    <w:qFormat/>
    <w:uiPriority w:val="9"/>
    <w:pPr>
      <w:keepNext/>
      <w:keepLines/>
      <w:spacing w:before="200" w:after="0"/>
      <w:outlineLvl w:val="1"/>
    </w:pPr>
    <w:rPr>
      <w:rFonts w:ascii="Cambria" w:cs="宋体" w:eastAsia="宋体" w:hAnsi="Cambria"/>
      <w:b/>
      <w:bCs/>
      <w:color w:val="4f81bd"/>
      <w:sz w:val="26"/>
      <w:szCs w:val="26"/>
    </w:rPr>
  </w:style>
  <w:style w:type="paragraph" w:styleId="style3">
    <w:name w:val="heading 3"/>
    <w:basedOn w:val="style0"/>
    <w:next w:val="style3"/>
    <w:link w:val="style4099"/>
    <w:qFormat/>
    <w:uiPriority w:val="9"/>
    <w:pPr>
      <w:spacing w:before="100" w:beforeAutospacing="true" w:after="100" w:afterAutospacing="true" w:lineRule="auto" w:line="240"/>
      <w:outlineLvl w:val="2"/>
    </w:pPr>
    <w:rPr>
      <w:rFonts w:ascii="Times New Roman" w:cs="Times New Roman" w:eastAsia="Times New Roman" w:hAnsi="Times New Roman"/>
      <w:b/>
      <w:bCs/>
      <w:sz w:val="27"/>
      <w:szCs w:val="27"/>
    </w:rPr>
  </w:style>
  <w:style w:type="paragraph" w:styleId="style4">
    <w:name w:val="heading 4"/>
    <w:basedOn w:val="style0"/>
    <w:next w:val="style0"/>
    <w:link w:val="style4101"/>
    <w:qFormat/>
    <w:uiPriority w:val="9"/>
    <w:pPr>
      <w:keepNext/>
      <w:keepLines/>
      <w:spacing w:before="200" w:after="0"/>
      <w:outlineLvl w:val="3"/>
    </w:pPr>
    <w:rPr>
      <w:rFonts w:ascii="Cambria" w:cs="宋体" w:eastAsia="宋体" w:hAnsi="Cambria"/>
      <w:b/>
      <w:bCs/>
      <w:i/>
      <w:iCs/>
      <w:color w:val="4f81bd"/>
    </w:rPr>
  </w:style>
  <w:style w:type="paragraph" w:styleId="style5">
    <w:name w:val="heading 5"/>
    <w:basedOn w:val="style0"/>
    <w:next w:val="style0"/>
    <w:link w:val="style4100"/>
    <w:qFormat/>
    <w:uiPriority w:val="9"/>
    <w:pPr>
      <w:keepNext/>
      <w:keepLines/>
      <w:spacing w:before="200" w:after="0"/>
      <w:outlineLvl w:val="4"/>
    </w:pPr>
    <w:rPr>
      <w:rFonts w:ascii="Cambria" w:cs="宋体" w:eastAsia="宋体" w:hAnsi="Cambria"/>
      <w:color w:val="243f60"/>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paragraph" w:styleId="style94">
    <w:name w:val="Normal (Web)"/>
    <w:basedOn w:val="style0"/>
    <w:next w:val="style94"/>
    <w:uiPriority w:val="99"/>
    <w:pPr>
      <w:spacing w:before="100" w:beforeAutospacing="true" w:after="100" w:afterAutospacing="true" w:lineRule="auto" w:line="240"/>
    </w:pPr>
    <w:rPr>
      <w:rFonts w:ascii="Times New Roman" w:cs="Times New Roman" w:eastAsia="Times New Roman" w:hAnsi="Times New Roman"/>
      <w:sz w:val="24"/>
      <w:szCs w:val="24"/>
    </w:rPr>
  </w:style>
  <w:style w:type="character" w:styleId="style87">
    <w:name w:val="Strong"/>
    <w:basedOn w:val="style65"/>
    <w:next w:val="style87"/>
    <w:qFormat/>
    <w:uiPriority w:val="22"/>
    <w:rPr>
      <w:b/>
      <w:bCs/>
    </w:rPr>
  </w:style>
  <w:style w:type="paragraph" w:styleId="style179">
    <w:name w:val="List Paragraph"/>
    <w:basedOn w:val="style0"/>
    <w:next w:val="style179"/>
    <w:qFormat/>
    <w:uiPriority w:val="34"/>
    <w:pPr>
      <w:ind w:left="720"/>
      <w:contextualSpacing/>
    </w:pPr>
    <w:rPr/>
  </w:style>
  <w:style w:type="paragraph" w:customStyle="1" w:styleId="style4097">
    <w:name w:val="Normal1"/>
    <w:next w:val="style4097"/>
    <w:pPr/>
    <w:rPr>
      <w:rFonts w:ascii="Calibri" w:cs="Calibri" w:eastAsia="Calibri" w:hAnsi="Calibri"/>
    </w:rPr>
  </w:style>
  <w:style w:type="paragraph" w:styleId="style153">
    <w:name w:val="Balloon Text"/>
    <w:basedOn w:val="style0"/>
    <w:next w:val="style153"/>
    <w:link w:val="style4098"/>
    <w:uiPriority w:val="99"/>
    <w:pPr>
      <w:spacing w:after="0" w:lineRule="auto" w:line="240"/>
    </w:pPr>
    <w:rPr>
      <w:rFonts w:ascii="Tahoma" w:cs="Tahoma" w:hAnsi="Tahoma"/>
      <w:sz w:val="16"/>
      <w:szCs w:val="16"/>
    </w:rPr>
  </w:style>
  <w:style w:type="character" w:customStyle="1" w:styleId="style4098">
    <w:name w:val="Balloon Text Char"/>
    <w:basedOn w:val="style65"/>
    <w:next w:val="style4098"/>
    <w:link w:val="style153"/>
    <w:uiPriority w:val="99"/>
    <w:rPr>
      <w:rFonts w:ascii="Tahoma" w:cs="Tahoma" w:hAnsi="Tahoma"/>
      <w:sz w:val="16"/>
      <w:szCs w:val="16"/>
    </w:rPr>
  </w:style>
  <w:style w:type="table" w:styleId="style154">
    <w:name w:val="Table Grid"/>
    <w:basedOn w:val="style105"/>
    <w:next w:val="style154"/>
    <w:uiPriority w:val="59"/>
    <w:pPr>
      <w:spacing w:after="0" w:lineRule="auto" w:line="240"/>
    </w:pP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cPr>
  </w:style>
  <w:style w:type="character" w:styleId="style88">
    <w:name w:val="Emphasis"/>
    <w:basedOn w:val="style65"/>
    <w:next w:val="style88"/>
    <w:qFormat/>
    <w:uiPriority w:val="20"/>
    <w:rPr>
      <w:i/>
      <w:iCs/>
    </w:rPr>
  </w:style>
  <w:style w:type="character" w:styleId="style85">
    <w:name w:val="Hyperlink"/>
    <w:basedOn w:val="style65"/>
    <w:next w:val="style85"/>
    <w:uiPriority w:val="99"/>
    <w:rPr>
      <w:color w:val="0000ff"/>
      <w:u w:val="single"/>
    </w:rPr>
  </w:style>
  <w:style w:type="character" w:customStyle="1" w:styleId="style4099">
    <w:name w:val="Heading 3 Char_49f7dbbf-2735-4c79-a736-2b6d87e0c1c1"/>
    <w:basedOn w:val="style65"/>
    <w:next w:val="style4099"/>
    <w:link w:val="style3"/>
    <w:uiPriority w:val="9"/>
    <w:rPr>
      <w:rFonts w:ascii="Times New Roman" w:cs="Times New Roman" w:eastAsia="Times New Roman" w:hAnsi="Times New Roman"/>
      <w:b/>
      <w:bCs/>
      <w:sz w:val="27"/>
      <w:szCs w:val="27"/>
    </w:rPr>
  </w:style>
  <w:style w:type="character" w:customStyle="1" w:styleId="style4100">
    <w:name w:val="Heading 5 Char_8eb721b9-8b18-4680-b520-618ddfa1414c"/>
    <w:basedOn w:val="style65"/>
    <w:next w:val="style4100"/>
    <w:link w:val="style5"/>
    <w:uiPriority w:val="9"/>
    <w:rPr>
      <w:rFonts w:ascii="Cambria" w:cs="宋体" w:eastAsia="宋体" w:hAnsi="Cambria"/>
      <w:color w:val="243f60"/>
    </w:rPr>
  </w:style>
  <w:style w:type="character" w:customStyle="1" w:styleId="style4101">
    <w:name w:val="Heading 4 Char_a6603849-fbcb-4e71-ac3c-5a9f2c1c21ee"/>
    <w:basedOn w:val="style65"/>
    <w:next w:val="style4101"/>
    <w:link w:val="style4"/>
    <w:uiPriority w:val="9"/>
    <w:rPr>
      <w:rFonts w:ascii="Cambria" w:cs="宋体" w:eastAsia="宋体" w:hAnsi="Cambria"/>
      <w:b/>
      <w:bCs/>
      <w:i/>
      <w:iCs/>
      <w:color w:val="4f81bd"/>
    </w:rPr>
  </w:style>
  <w:style w:type="character" w:customStyle="1" w:styleId="style4102">
    <w:name w:val="Heading 2 Char_7e67dc76-3f1c-4eac-ac93-0db3ab6b76aa"/>
    <w:basedOn w:val="style65"/>
    <w:next w:val="style4102"/>
    <w:link w:val="style2"/>
    <w:uiPriority w:val="9"/>
    <w:rPr>
      <w:rFonts w:ascii="Cambria" w:cs="宋体" w:eastAsia="宋体" w:hAnsi="Cambria"/>
      <w:b/>
      <w:bCs/>
      <w:color w:val="4f81bd"/>
      <w:sz w:val="26"/>
      <w:szCs w:val="26"/>
    </w:rPr>
  </w:style>
  <w:style w:type="paragraph" w:styleId="style31">
    <w:name w:val="header"/>
    <w:basedOn w:val="style0"/>
    <w:next w:val="style31"/>
    <w:link w:val="style4103"/>
    <w:uiPriority w:val="99"/>
    <w:pPr>
      <w:tabs>
        <w:tab w:val="center" w:leader="none" w:pos="4680"/>
        <w:tab w:val="right" w:leader="none" w:pos="9360"/>
      </w:tabs>
      <w:spacing w:after="0" w:lineRule="auto" w:line="240"/>
    </w:pPr>
    <w:rPr/>
  </w:style>
  <w:style w:type="character" w:customStyle="1" w:styleId="style4103">
    <w:name w:val="Header Char_033e339e-b528-439d-af06-38b0499c0fe2"/>
    <w:basedOn w:val="style65"/>
    <w:next w:val="style4103"/>
    <w:link w:val="style31"/>
    <w:uiPriority w:val="99"/>
  </w:style>
  <w:style w:type="paragraph" w:styleId="style32">
    <w:name w:val="footer"/>
    <w:basedOn w:val="style0"/>
    <w:next w:val="style32"/>
    <w:link w:val="style4104"/>
    <w:uiPriority w:val="99"/>
    <w:pPr>
      <w:tabs>
        <w:tab w:val="center" w:leader="none" w:pos="4680"/>
        <w:tab w:val="right" w:leader="none" w:pos="9360"/>
      </w:tabs>
      <w:spacing w:after="0" w:lineRule="auto" w:line="240"/>
    </w:pPr>
    <w:rPr/>
  </w:style>
  <w:style w:type="character" w:customStyle="1" w:styleId="style4104">
    <w:name w:val="Footer Char_ed2c285f-24a4-4645-9268-f321fa949ca3"/>
    <w:basedOn w:val="style65"/>
    <w:next w:val="style4104"/>
    <w:link w:val="style32"/>
    <w:uiPriority w:val="99"/>
  </w:style>
  <w:style w:type="character" w:customStyle="1" w:styleId="style4105">
    <w:name w:val="Heading 1 Char_3c7fc3e3-21e7-492c-8673-5cac20a69470"/>
    <w:basedOn w:val="style65"/>
    <w:next w:val="style4105"/>
    <w:link w:val="style1"/>
    <w:uiPriority w:val="9"/>
    <w:rPr>
      <w:rFonts w:ascii="Times New Roman" w:cs="宋体" w:eastAsia="宋体" w:hAnsi="Times New Roman"/>
      <w:b/>
      <w:bCs/>
      <w:sz w:val="24"/>
      <w:szCs w:val="28"/>
    </w:rPr>
  </w:style>
  <w:style w:type="paragraph" w:styleId="style266">
    <w:name w:val="TOC Heading"/>
    <w:basedOn w:val="style1"/>
    <w:next w:val="style0"/>
    <w:qFormat/>
    <w:uiPriority w:val="39"/>
    <w:pPr>
      <w:spacing w:lineRule="auto" w:line="276"/>
      <w:outlineLvl w:val="9"/>
    </w:pPr>
    <w:rPr>
      <w:rFonts w:ascii="Cambria" w:hAnsi="Cambria"/>
      <w:color w:val="365f91"/>
      <w:sz w:val="28"/>
      <w:lang w:eastAsia="ja-JP"/>
    </w:rPr>
  </w:style>
  <w:style w:type="paragraph" w:styleId="style19">
    <w:name w:val="toc 1"/>
    <w:basedOn w:val="style0"/>
    <w:next w:val="style0"/>
    <w:uiPriority w:val="39"/>
    <w:pPr>
      <w:spacing w:after="100" w:lineRule="auto" w:line="480"/>
    </w:pPr>
    <w:rPr>
      <w:rFonts w:ascii="Times New Roman" w:hAnsi="Times New Roman"/>
      <w:sz w:val="24"/>
    </w:rPr>
  </w:style>
  <w:style w:type="paragraph" w:styleId="style20">
    <w:name w:val="toc 2"/>
    <w:basedOn w:val="style0"/>
    <w:next w:val="style0"/>
    <w:uiPriority w:val="39"/>
    <w:pPr>
      <w:spacing w:after="100"/>
      <w:ind w:left="220"/>
    </w:pPr>
    <w:rPr/>
  </w:style>
  <w:style w:type="paragraph" w:styleId="style21">
    <w:name w:val="toc 3"/>
    <w:basedOn w:val="style0"/>
    <w:next w:val="style0"/>
    <w:uiPriority w:val="39"/>
    <w:pPr>
      <w:tabs>
        <w:tab w:val="right" w:leader="none" w:pos="9017"/>
      </w:tabs>
      <w:spacing w:after="100"/>
      <w:ind w:left="440"/>
    </w:pPr>
    <w:rPr>
      <w:rFonts w:ascii="Times New Roman" w:cs="Times New Roman" w:eastAsia="Times New Roman" w:hAnsi="Times New Roman"/>
      <w:bCs/>
      <w:noProof/>
      <w:sz w:val="24"/>
      <w:szCs w:val="24"/>
    </w:rPr>
  </w:style>
  <w:style w:type="character" w:customStyle="1" w:styleId="style4106">
    <w:name w:val="katex-mathml"/>
    <w:basedOn w:val="style65"/>
    <w:next w:val="style4106"/>
  </w:style>
  <w:style w:type="character" w:styleId="style156">
    <w:name w:val="Placeholder Text"/>
    <w:basedOn w:val="style65"/>
    <w:next w:val="style156"/>
    <w:uiPriority w:val="99"/>
    <w:rPr>
      <w:color w:val="666666"/>
    </w:rPr>
  </w:style>
</w:styles>
</file>

<file path=word/_rels/document.xml.rels><?xml version="1.0" encoding="UTF-8"?>
<Relationships xmlns="http://schemas.openxmlformats.org/package/2006/relationships"><Relationship Id="rId11" Type="http://schemas.openxmlformats.org/officeDocument/2006/relationships/image" Target="media/image5.jpeg"/><Relationship Id="rId10" Type="http://schemas.openxmlformats.org/officeDocument/2006/relationships/image" Target="media/image4.jpeg"/><Relationship Id="rId13" Type="http://schemas.openxmlformats.org/officeDocument/2006/relationships/styles" Target="styles.xml"/><Relationship Id="rId12" Type="http://schemas.openxmlformats.org/officeDocument/2006/relationships/image" Target="media/image6.jpeg"/><Relationship Id="rId1" Type="http://schemas.openxmlformats.org/officeDocument/2006/relationships/numbering" Target="numbering.xml"/><Relationship Id="rId2" Type="http://schemas.openxmlformats.org/officeDocument/2006/relationships/footer" Target="footer1.xml"/><Relationship Id="rId3" Type="http://schemas.openxmlformats.org/officeDocument/2006/relationships/chart" Target="charts/chart1.xml"/><Relationship Id="rId4" Type="http://schemas.openxmlformats.org/officeDocument/2006/relationships/image" Target="media/image1.png"/><Relationship Id="rId9" Type="http://schemas.openxmlformats.org/officeDocument/2006/relationships/image" Target="media/image3.jpeg"/><Relationship Id="rId15" Type="http://schemas.openxmlformats.org/officeDocument/2006/relationships/settings" Target="settings.xml"/><Relationship Id="rId14" Type="http://schemas.openxmlformats.org/officeDocument/2006/relationships/fontTable" Target="fontTable.xml"/><Relationship Id="rId17" Type="http://schemas.openxmlformats.org/officeDocument/2006/relationships/customXml" Target="../customXml/item1.xml"/><Relationship Id="rId16" Type="http://schemas.openxmlformats.org/officeDocument/2006/relationships/theme" Target="theme/theme1.xml"/><Relationship Id="rId5" Type="http://schemas.openxmlformats.org/officeDocument/2006/relationships/oleObject" Target="embeddings/oleObject1.bin"/><Relationship Id="rId6" Type="http://schemas.openxmlformats.org/officeDocument/2006/relationships/chart" Target="charts/chart2.xml"/><Relationship Id="rId7" Type="http://schemas.openxmlformats.org/officeDocument/2006/relationships/image" Target="media/image2.jpeg"/><Relationship Id="rId8" Type="http://schemas.openxmlformats.org/officeDocument/2006/relationships/oleObject" Target="embeddings/oleObject2.bin"/></Relationships>
</file>

<file path=word/charts/_rels/chart1.xml.rels><?xml version="1.0" encoding="UTF-8"?>
<Relationships xmlns="http://schemas.openxmlformats.org/package/2006/relationships"><Relationship Id="rId1" Type="http://schemas.openxmlformats.org/officeDocument/2006/relationships/oleObject" TargetMode="External" Target="Book1"/></Relationships>
</file>

<file path=word/charts/_rels/chart2.xml.rels><?xml version="1.0" encoding="UTF-8"?>
<Relationships xmlns="http://schemas.openxmlformats.org/package/2006/relationships"><Relationship Id="rId1" Type="http://schemas.openxmlformats.org/officeDocument/2006/relationships/oleObject" TargetMode="External" Target="Book1"/></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Calibration Curve for Alcohol</a:t>
            </a:r>
          </a:p>
        </c:rich>
      </c:tx>
      <c:overlay val="1"/>
    </c:title>
    <c:autoTitleDeleted val="0"/>
    <c:plotArea>
      <c:layout>
        <c:manualLayout>
          <c:layoutTarget val="inner"/>
          <c:xMode val="edge"/>
          <c:yMode val="edge"/>
          <c:x val="0.22361351706036792"/>
          <c:y val="0.18103018372703647"/>
          <c:w val="0.7317475940507436"/>
          <c:h val="0.6055322251385243"/>
        </c:manualLayout>
      </c:layout>
      <c:scatterChart>
        <c:scatterStyle val="lineMarker"/>
        <c:varyColors val="0"/>
        <c:ser>
          <c:idx val="0"/>
          <c:order val="0"/>
          <c:spPr>
            <a:ln w="28575">
              <a:noFill/>
            </a:ln>
          </c:spPr>
          <c:trendline>
            <c:trendlineType val="linear"/>
            <c:dispRSqr val="1"/>
            <c:dispEq val="1"/>
            <c:trendlineLbl>
              <c:layout>
                <c:manualLayout>
                  <c:x val="-0.2038475503062117"/>
                  <c:y val="-0.014363517060367616"/>
                </c:manualLayout>
              </c:layout>
              <c:tx>
                <c:rich>
                  <a:bodyPr/>
                  <a:lstStyle/>
                  <a:p>
                    <a:pPr>
                      <a:defRPr/>
                    </a:pPr>
                    <a:r>
                      <a:rPr lang="en-US" sz="1400" b="1" baseline="0">
                        <a:latin typeface="Times New Roman" pitchFamily="18" charset="0"/>
                        <a:cs typeface="Times New Roman" pitchFamily="18" charset="0"/>
                      </a:rPr>
                      <a:t>y = 0.0647x - 0.0028
R² = 0.9989</a:t>
                    </a:r>
                    <a:endParaRPr lang="en-US" sz="1400" b="1">
                      <a:latin typeface="Times New Roman" pitchFamily="18" charset="0"/>
                      <a:cs typeface="Times New Roman" pitchFamily="18" charset="0"/>
                    </a:endParaRPr>
                  </a:p>
                </c:rich>
              </c:tx>
              <c:numFmt formatCode="General" sourceLinked="0"/>
            </c:trendlineLbl>
          </c:trendline>
          <c:xVal>
            <c:numRef>
              <c:f>Sheet1!$B$2:$B$7</c:f>
              <c:numCache>
                <c:formatCode>General</c:formatCode>
                <c:ptCount val="6"/>
                <c:pt idx="0">
                  <c:v>0.0</c:v>
                </c:pt>
                <c:pt idx="1">
                  <c:v>2.0</c:v>
                </c:pt>
                <c:pt idx="2">
                  <c:v>4.0</c:v>
                </c:pt>
                <c:pt idx="3">
                  <c:v>6.0</c:v>
                </c:pt>
                <c:pt idx="4">
                  <c:v>8.0</c:v>
                </c:pt>
                <c:pt idx="5">
                  <c:v>10.0</c:v>
                </c:pt>
              </c:numCache>
            </c:numRef>
          </c:xVal>
          <c:yVal>
            <c:numRef>
              <c:f>Sheet1!$C$2:$C$7</c:f>
              <c:numCache>
                <c:formatCode>General</c:formatCode>
                <c:ptCount val="6"/>
                <c:pt idx="0">
                  <c:v>0.0</c:v>
                </c:pt>
                <c:pt idx="1">
                  <c:v>0.13</c:v>
                </c:pt>
                <c:pt idx="2">
                  <c:v>0.255</c:v>
                </c:pt>
                <c:pt idx="3">
                  <c:v>0.370000000000000</c:v>
                </c:pt>
                <c:pt idx="4">
                  <c:v>0.521</c:v>
                </c:pt>
                <c:pt idx="5">
                  <c:v>0.648000000000006</c:v>
                </c:pt>
              </c:numCache>
            </c:numRef>
          </c:yVal>
          <c:smooth val="0"/>
        </c:ser>
        <c:dLbls>
          <c:showLegendKey val="0"/>
          <c:showVal val="0"/>
          <c:showCatName val="0"/>
          <c:showSerName val="0"/>
          <c:showPercent val="0"/>
          <c:showBubbleSize val="0"/>
        </c:dLbls>
        <c:axId val="167821696"/>
        <c:axId val="169467264"/>
      </c:scatterChart>
      <c:valAx>
        <c:axId val="167821696"/>
        <c:scaling>
          <c:orientation val="minMax"/>
        </c:scaling>
        <c:delete val="0"/>
        <c:axPos val="b"/>
        <c:title>
          <c:tx>
            <c:rich>
              <a:bodyPr/>
              <a:lstStyle/>
              <a:p>
                <a:pPr>
                  <a:defRPr/>
                </a:pPr>
                <a:r>
                  <a:rPr lang="en-US" sz="1400">
                    <a:latin typeface="Times New Roman" pitchFamily="18" charset="0"/>
                    <a:cs typeface="Times New Roman" pitchFamily="18" charset="0"/>
                  </a:rPr>
                  <a:t>Concentration (%)</a:t>
                </a:r>
              </a:p>
            </c:rich>
          </c:tx>
          <c:overlay val="0"/>
        </c:title>
        <c:numFmt formatCode="General" sourceLinked="1"/>
        <c:majorTickMark val="out"/>
        <c:minorTickMark val="none"/>
        <c:tickLblPos val="nextTo"/>
        <c:crossAx val="169467264"/>
        <c:crosses val="autoZero"/>
        <c:crossBetween val="midCat"/>
      </c:valAx>
      <c:valAx>
        <c:axId val="169467264"/>
        <c:scaling>
          <c:orientation val="minMax"/>
        </c:scaling>
        <c:delete val="0"/>
        <c:axPos val="l"/>
        <c:majorGridlines/>
        <c:title>
          <c:tx>
            <c:rich>
              <a:bodyPr rot="0" vert="wordArtVert"/>
              <a:lstStyle/>
              <a:p>
                <a:pPr>
                  <a:defRPr/>
                </a:pPr>
                <a:r>
                  <a:rPr lang="en-US" sz="1200" b="1">
                    <a:latin typeface="Times New Roman" pitchFamily="18" charset="0"/>
                    <a:cs typeface="Times New Roman" pitchFamily="18" charset="0"/>
                  </a:rPr>
                  <a:t>Absorbance</a:t>
                </a:r>
              </a:p>
            </c:rich>
          </c:tx>
          <c:layout>
            <c:manualLayout>
              <c:xMode val="edge"/>
              <c:yMode val="edge"/>
              <c:x val="0.02452777777777806"/>
              <c:y val="0.1301042578011082"/>
            </c:manualLayout>
          </c:layout>
          <c:overlay val="0"/>
        </c:title>
        <c:numFmt formatCode="General" sourceLinked="1"/>
        <c:majorTickMark val="out"/>
        <c:minorTickMark val="none"/>
        <c:tickLblPos val="nextTo"/>
        <c:crossAx val="167821696"/>
        <c:crosses val="autoZero"/>
        <c:crossBetween val="midCat"/>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Calibration Curve for Alcohol</a:t>
            </a:r>
          </a:p>
        </c:rich>
      </c:tx>
      <c:overlay val="1"/>
    </c:title>
    <c:autoTitleDeleted val="0"/>
    <c:plotArea>
      <c:layout>
        <c:manualLayout>
          <c:layoutTarget val="inner"/>
          <c:xMode val="edge"/>
          <c:yMode val="edge"/>
          <c:x val="0.22361351706036792"/>
          <c:y val="0.18103018372703658"/>
          <c:w val="0.7317475940507436"/>
          <c:h val="0.6055322251385243"/>
        </c:manualLayout>
      </c:layout>
      <c:scatterChart>
        <c:scatterStyle val="lineMarker"/>
        <c:varyColors val="0"/>
        <c:ser>
          <c:idx val="0"/>
          <c:order val="0"/>
          <c:spPr>
            <a:ln w="28575">
              <a:noFill/>
            </a:ln>
          </c:spPr>
          <c:trendline>
            <c:trendlineType val="linear"/>
            <c:dispRSqr val="1"/>
            <c:dispEq val="1"/>
            <c:trendlineLbl>
              <c:layout>
                <c:manualLayout>
                  <c:x val="-0.2038475503062117"/>
                  <c:y val="-0.014363517060367623"/>
                </c:manualLayout>
              </c:layout>
              <c:tx>
                <c:rich>
                  <a:bodyPr/>
                  <a:lstStyle/>
                  <a:p>
                    <a:pPr>
                      <a:defRPr/>
                    </a:pPr>
                    <a:r>
                      <a:rPr lang="en-US" sz="1400" b="1" baseline="0">
                        <a:latin typeface="Times New Roman" pitchFamily="18" charset="0"/>
                        <a:cs typeface="Times New Roman" pitchFamily="18" charset="0"/>
                      </a:rPr>
                      <a:t>y = 0.0647x - 0.0028
R² = 0.9989</a:t>
                    </a:r>
                    <a:endParaRPr lang="en-US" sz="1400" b="1">
                      <a:latin typeface="Times New Roman" pitchFamily="18" charset="0"/>
                      <a:cs typeface="Times New Roman" pitchFamily="18" charset="0"/>
                    </a:endParaRPr>
                  </a:p>
                </c:rich>
              </c:tx>
              <c:numFmt formatCode="General" sourceLinked="0"/>
            </c:trendlineLbl>
          </c:trendline>
          <c:xVal>
            <c:numRef>
              <c:f>Sheet1!$B$2:$B$7</c:f>
              <c:numCache>
                <c:formatCode>General</c:formatCode>
                <c:ptCount val="6"/>
                <c:pt idx="0">
                  <c:v>0.0</c:v>
                </c:pt>
                <c:pt idx="1">
                  <c:v>2.0</c:v>
                </c:pt>
                <c:pt idx="2">
                  <c:v>4.0</c:v>
                </c:pt>
                <c:pt idx="3">
                  <c:v>6.0</c:v>
                </c:pt>
                <c:pt idx="4">
                  <c:v>8.0</c:v>
                </c:pt>
                <c:pt idx="5">
                  <c:v>10.0</c:v>
                </c:pt>
              </c:numCache>
            </c:numRef>
          </c:xVal>
          <c:yVal>
            <c:numRef>
              <c:f>Sheet1!$C$2:$C$7</c:f>
              <c:numCache>
                <c:formatCode>General</c:formatCode>
                <c:ptCount val="6"/>
                <c:pt idx="0">
                  <c:v>0.0</c:v>
                </c:pt>
                <c:pt idx="1">
                  <c:v>0.13</c:v>
                </c:pt>
                <c:pt idx="2">
                  <c:v>0.255</c:v>
                </c:pt>
                <c:pt idx="3">
                  <c:v>0.370000000000000</c:v>
                </c:pt>
                <c:pt idx="4">
                  <c:v>0.521</c:v>
                </c:pt>
                <c:pt idx="5">
                  <c:v>0.648000000000006</c:v>
                </c:pt>
              </c:numCache>
            </c:numRef>
          </c:yVal>
          <c:smooth val="0"/>
        </c:ser>
        <c:dLbls>
          <c:showLegendKey val="0"/>
          <c:showVal val="0"/>
          <c:showCatName val="0"/>
          <c:showSerName val="0"/>
          <c:showPercent val="0"/>
          <c:showBubbleSize val="0"/>
        </c:dLbls>
        <c:axId val="194732032"/>
        <c:axId val="194734336"/>
      </c:scatterChart>
      <c:valAx>
        <c:axId val="194732032"/>
        <c:scaling>
          <c:orientation val="minMax"/>
        </c:scaling>
        <c:delete val="0"/>
        <c:axPos val="b"/>
        <c:title>
          <c:tx>
            <c:rich>
              <a:bodyPr/>
              <a:lstStyle/>
              <a:p>
                <a:pPr>
                  <a:defRPr/>
                </a:pPr>
                <a:r>
                  <a:rPr lang="en-US" sz="1400">
                    <a:latin typeface="Times New Roman" pitchFamily="18" charset="0"/>
                    <a:cs typeface="Times New Roman" pitchFamily="18" charset="0"/>
                  </a:rPr>
                  <a:t>Concentration (%)</a:t>
                </a:r>
              </a:p>
            </c:rich>
          </c:tx>
          <c:overlay val="0"/>
        </c:title>
        <c:numFmt formatCode="General" sourceLinked="1"/>
        <c:majorTickMark val="out"/>
        <c:minorTickMark val="none"/>
        <c:tickLblPos val="nextTo"/>
        <c:crossAx val="194734336"/>
        <c:crosses val="autoZero"/>
        <c:crossBetween val="midCat"/>
      </c:valAx>
      <c:valAx>
        <c:axId val="194734336"/>
        <c:scaling>
          <c:orientation val="minMax"/>
        </c:scaling>
        <c:delete val="0"/>
        <c:axPos val="l"/>
        <c:majorGridlines/>
        <c:title>
          <c:tx>
            <c:rich>
              <a:bodyPr rot="0" vert="wordArtVert"/>
              <a:lstStyle/>
              <a:p>
                <a:pPr>
                  <a:defRPr/>
                </a:pPr>
                <a:r>
                  <a:rPr lang="en-US" sz="1200" b="1">
                    <a:latin typeface="Times New Roman" pitchFamily="18" charset="0"/>
                    <a:cs typeface="Times New Roman" pitchFamily="18" charset="0"/>
                  </a:rPr>
                  <a:t>Absorbance</a:t>
                </a:r>
              </a:p>
            </c:rich>
          </c:tx>
          <c:layout>
            <c:manualLayout>
              <c:xMode val="edge"/>
              <c:yMode val="edge"/>
              <c:x val="0.02452777777777807"/>
              <c:y val="0.1301042578011082"/>
            </c:manualLayout>
          </c:layout>
          <c:overlay val="0"/>
        </c:title>
        <c:numFmt formatCode="General" sourceLinked="1"/>
        <c:majorTickMark val="out"/>
        <c:minorTickMark val="none"/>
        <c:tickLblPos val="nextTo"/>
        <c:crossAx val="194732032"/>
        <c:crosses val="autoZero"/>
        <c:crossBetween val="midCat"/>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B7156C-C4D9-43B0-9011-A78A408CD3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Words>8130</Words>
  <Pages>53</Pages>
  <Characters>49282</Characters>
  <Application>WPS Office</Application>
  <DocSecurity>0</DocSecurity>
  <Paragraphs>890</Paragraphs>
  <ScaleCrop>false</ScaleCrop>
  <LinksUpToDate>false</LinksUpToDate>
  <CharactersWithSpaces>57380</CharactersWithSpaces>
  <SharedDoc>false</SharedDoc>
  <HyperlinksChanged>false</HyperlinksChanged>
  <AppVersion>14.000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2025-11-06T16:57:00Z</dcterms:created>
  <dc:creator>HP</dc:creator>
  <keywords>NEWW</keywords>
  <lastModifiedBy>DUB-LX1</lastModifiedBy>
  <lastPrinted>2025-11-13T11:41:00Z</lastPrinted>
  <dcterms:modified xsi:type="dcterms:W3CDTF">2025-11-21T08:51:19Z</dcterms:modified>
  <revision>7</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4091c20f-18a9-45d7-8e8f-5f488fbb4149</vt:lpwstr>
  </property>
  <property fmtid="{D5CDD505-2E9C-101B-9397-08002B2CF9AE}" pid="3" name="ICV">
    <vt:lpwstr>c70a91ec324040b1aa8a0579c642781d</vt:lpwstr>
  </property>
</Properties>
</file>