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6AF766" w14:textId="3C218F0D" w:rsidR="000F4D24" w:rsidRPr="00364998" w:rsidRDefault="000F4D24" w:rsidP="000F4D24">
      <w:pPr>
        <w:jc w:val="center"/>
        <w:rPr>
          <w:rFonts w:asciiTheme="majorBidi" w:hAnsiTheme="majorBidi" w:cstheme="majorBidi"/>
          <w:b/>
          <w:bCs/>
          <w:szCs w:val="24"/>
        </w:rPr>
      </w:pPr>
      <w:r>
        <w:rPr>
          <w:rFonts w:asciiTheme="majorBidi" w:eastAsia="Times New Roman" w:hAnsiTheme="majorBidi" w:cstheme="majorBidi"/>
          <w:b/>
          <w:bCs/>
          <w:szCs w:val="24"/>
        </w:rPr>
        <w:t xml:space="preserve">ASSESSMENT OF ANTIMICROBIAL RESISTANCE PLASMIDS IN </w:t>
      </w:r>
      <w:r w:rsidR="002A61E0" w:rsidRPr="002A61E0">
        <w:rPr>
          <w:rFonts w:asciiTheme="majorBidi" w:eastAsia="Times New Roman" w:hAnsiTheme="majorBidi" w:cstheme="majorBidi"/>
          <w:b/>
          <w:bCs/>
          <w:i/>
          <w:iCs/>
          <w:szCs w:val="24"/>
        </w:rPr>
        <w:t>E</w:t>
      </w:r>
      <w:r w:rsidRPr="002A61E0">
        <w:rPr>
          <w:rFonts w:asciiTheme="majorBidi" w:eastAsia="Times New Roman" w:hAnsiTheme="majorBidi" w:cstheme="majorBidi"/>
          <w:b/>
          <w:bCs/>
          <w:i/>
          <w:iCs/>
          <w:szCs w:val="24"/>
        </w:rPr>
        <w:t>SCHERICHIA COLI</w:t>
      </w:r>
      <w:r>
        <w:rPr>
          <w:rFonts w:asciiTheme="majorBidi" w:eastAsia="Times New Roman" w:hAnsiTheme="majorBidi" w:cstheme="majorBidi"/>
          <w:b/>
          <w:bCs/>
          <w:szCs w:val="24"/>
        </w:rPr>
        <w:t xml:space="preserve"> ISOLATED FROM KWALKWALAWA WATER</w:t>
      </w:r>
    </w:p>
    <w:p w14:paraId="32A1F4E6" w14:textId="77777777" w:rsidR="000F4D24" w:rsidRPr="00364998" w:rsidRDefault="000F4D24" w:rsidP="000F4D24">
      <w:pPr>
        <w:jc w:val="center"/>
        <w:rPr>
          <w:rFonts w:asciiTheme="majorBidi" w:hAnsiTheme="majorBidi" w:cstheme="majorBidi"/>
          <w:szCs w:val="24"/>
        </w:rPr>
      </w:pPr>
    </w:p>
    <w:p w14:paraId="0A3CE42A" w14:textId="77777777" w:rsidR="000F4D24" w:rsidRPr="00364998" w:rsidRDefault="000F4D24" w:rsidP="000F4D24">
      <w:pPr>
        <w:jc w:val="center"/>
        <w:rPr>
          <w:rFonts w:asciiTheme="majorBidi" w:hAnsiTheme="majorBidi" w:cstheme="majorBidi"/>
          <w:b/>
          <w:szCs w:val="24"/>
        </w:rPr>
      </w:pPr>
      <w:r w:rsidRPr="00364998">
        <w:rPr>
          <w:rFonts w:asciiTheme="majorBidi" w:hAnsiTheme="majorBidi" w:cstheme="majorBidi"/>
          <w:b/>
          <w:szCs w:val="24"/>
        </w:rPr>
        <w:t>BY</w:t>
      </w:r>
    </w:p>
    <w:p w14:paraId="5D09D31B" w14:textId="0F3333C9" w:rsidR="000F4D24" w:rsidRPr="00364998" w:rsidRDefault="000F4D24" w:rsidP="000F4D24">
      <w:pPr>
        <w:jc w:val="center"/>
        <w:rPr>
          <w:rFonts w:asciiTheme="majorBidi" w:hAnsiTheme="majorBidi" w:cstheme="majorBidi"/>
          <w:b/>
          <w:szCs w:val="24"/>
        </w:rPr>
      </w:pPr>
      <w:r>
        <w:rPr>
          <w:rFonts w:asciiTheme="majorBidi" w:hAnsiTheme="majorBidi" w:cstheme="majorBidi"/>
          <w:b/>
          <w:szCs w:val="24"/>
        </w:rPr>
        <w:t>HALLIRU SULEIMAN</w:t>
      </w:r>
    </w:p>
    <w:p w14:paraId="5CF4A752" w14:textId="0EA461F8" w:rsidR="000F4D24" w:rsidRPr="00364998" w:rsidRDefault="000F4D24" w:rsidP="000F4D24">
      <w:pPr>
        <w:jc w:val="center"/>
        <w:rPr>
          <w:rFonts w:asciiTheme="majorBidi" w:hAnsiTheme="majorBidi" w:cstheme="majorBidi"/>
          <w:b/>
          <w:szCs w:val="24"/>
        </w:rPr>
      </w:pPr>
      <w:r w:rsidRPr="00364998">
        <w:rPr>
          <w:rFonts w:asciiTheme="majorBidi" w:hAnsiTheme="majorBidi" w:cstheme="majorBidi"/>
          <w:b/>
          <w:szCs w:val="24"/>
        </w:rPr>
        <w:t>(2010304</w:t>
      </w:r>
      <w:r>
        <w:rPr>
          <w:rFonts w:asciiTheme="majorBidi" w:hAnsiTheme="majorBidi" w:cstheme="majorBidi"/>
          <w:b/>
          <w:szCs w:val="24"/>
        </w:rPr>
        <w:t>124</w:t>
      </w:r>
      <w:r w:rsidRPr="00364998">
        <w:rPr>
          <w:rFonts w:asciiTheme="majorBidi" w:hAnsiTheme="majorBidi" w:cstheme="majorBidi"/>
          <w:b/>
          <w:szCs w:val="24"/>
        </w:rPr>
        <w:t>)</w:t>
      </w:r>
    </w:p>
    <w:p w14:paraId="30C3DFF0" w14:textId="77777777" w:rsidR="000F4D24" w:rsidRPr="00364998" w:rsidRDefault="000F4D24" w:rsidP="000F4D24">
      <w:pPr>
        <w:rPr>
          <w:rFonts w:asciiTheme="majorBidi" w:hAnsiTheme="majorBidi" w:cstheme="majorBidi"/>
          <w:szCs w:val="24"/>
        </w:rPr>
      </w:pPr>
    </w:p>
    <w:p w14:paraId="6572CA49" w14:textId="77777777" w:rsidR="000F4D24" w:rsidRPr="00364998" w:rsidRDefault="000F4D24" w:rsidP="000F4D24">
      <w:pPr>
        <w:rPr>
          <w:rFonts w:asciiTheme="majorBidi" w:hAnsiTheme="majorBidi" w:cstheme="majorBidi"/>
          <w:szCs w:val="24"/>
        </w:rPr>
      </w:pPr>
    </w:p>
    <w:p w14:paraId="7FC73306" w14:textId="77777777" w:rsidR="000F4D24" w:rsidRPr="00364998" w:rsidRDefault="000F4D24" w:rsidP="000F4D24">
      <w:pPr>
        <w:jc w:val="center"/>
        <w:rPr>
          <w:rFonts w:asciiTheme="majorBidi" w:hAnsiTheme="majorBidi" w:cstheme="majorBidi"/>
          <w:b/>
          <w:szCs w:val="24"/>
        </w:rPr>
      </w:pPr>
      <w:r w:rsidRPr="00364998">
        <w:rPr>
          <w:rFonts w:asciiTheme="majorBidi" w:hAnsiTheme="majorBidi" w:cstheme="majorBidi"/>
          <w:b/>
          <w:szCs w:val="24"/>
        </w:rPr>
        <w:t xml:space="preserve">A RESEARCH PROJECT </w:t>
      </w:r>
    </w:p>
    <w:p w14:paraId="17FD6B96" w14:textId="77777777" w:rsidR="000F4D24" w:rsidRPr="00364998" w:rsidRDefault="000F4D24" w:rsidP="000F4D24">
      <w:pPr>
        <w:jc w:val="center"/>
        <w:rPr>
          <w:rFonts w:asciiTheme="majorBidi" w:hAnsiTheme="majorBidi" w:cstheme="majorBidi"/>
          <w:b/>
          <w:szCs w:val="24"/>
        </w:rPr>
      </w:pPr>
      <w:r w:rsidRPr="00364998">
        <w:rPr>
          <w:rFonts w:asciiTheme="majorBidi" w:hAnsiTheme="majorBidi" w:cstheme="majorBidi"/>
          <w:b/>
          <w:szCs w:val="24"/>
        </w:rPr>
        <w:t xml:space="preserve">SUBMITTED TO THE </w:t>
      </w:r>
    </w:p>
    <w:p w14:paraId="70151D73" w14:textId="77777777" w:rsidR="000F4D24" w:rsidRPr="00364998" w:rsidRDefault="000F4D24" w:rsidP="000F4D24">
      <w:pPr>
        <w:jc w:val="center"/>
        <w:rPr>
          <w:rFonts w:asciiTheme="majorBidi" w:hAnsiTheme="majorBidi" w:cstheme="majorBidi"/>
          <w:b/>
          <w:szCs w:val="24"/>
        </w:rPr>
      </w:pPr>
      <w:r w:rsidRPr="00364998">
        <w:rPr>
          <w:rFonts w:asciiTheme="majorBidi" w:hAnsiTheme="majorBidi" w:cstheme="majorBidi"/>
          <w:b/>
          <w:szCs w:val="24"/>
        </w:rPr>
        <w:t xml:space="preserve">DEPARTMENT OF BIOCHEMISTRY AND MOLECULAR BIOLOGY, USMANU DANFODIYO UNIVERSITY, SOKOTO, </w:t>
      </w:r>
    </w:p>
    <w:p w14:paraId="7517BB50" w14:textId="77777777" w:rsidR="000F4D24" w:rsidRPr="00364998" w:rsidRDefault="000F4D24" w:rsidP="000F4D24">
      <w:pPr>
        <w:jc w:val="center"/>
        <w:rPr>
          <w:rFonts w:asciiTheme="majorBidi" w:hAnsiTheme="majorBidi" w:cstheme="majorBidi"/>
          <w:b/>
          <w:szCs w:val="24"/>
        </w:rPr>
      </w:pPr>
    </w:p>
    <w:p w14:paraId="2A79D3B1" w14:textId="77777777" w:rsidR="000F4D24" w:rsidRPr="00364998" w:rsidRDefault="000F4D24" w:rsidP="000F4D24">
      <w:pPr>
        <w:jc w:val="center"/>
        <w:rPr>
          <w:rFonts w:asciiTheme="majorBidi" w:hAnsiTheme="majorBidi" w:cstheme="majorBidi"/>
          <w:b/>
          <w:szCs w:val="24"/>
        </w:rPr>
      </w:pPr>
      <w:r w:rsidRPr="00364998">
        <w:rPr>
          <w:rFonts w:asciiTheme="majorBidi" w:hAnsiTheme="majorBidi" w:cstheme="majorBidi"/>
          <w:b/>
          <w:szCs w:val="24"/>
        </w:rPr>
        <w:t>IN PARTIAL FULFILMENT OF THE REQUIREMENTS FOR THE AWARD OF BACHELOR OF SCIENCES B.Sc. (HONS) DEGREE IN BIOCHEMISTRY.</w:t>
      </w:r>
    </w:p>
    <w:p w14:paraId="1EBAE8DF" w14:textId="77777777" w:rsidR="000F4D24" w:rsidRPr="00364998" w:rsidRDefault="000F4D24" w:rsidP="000F4D24">
      <w:pPr>
        <w:jc w:val="center"/>
        <w:rPr>
          <w:rFonts w:asciiTheme="majorBidi" w:hAnsiTheme="majorBidi" w:cstheme="majorBidi"/>
          <w:szCs w:val="24"/>
        </w:rPr>
      </w:pPr>
    </w:p>
    <w:p w14:paraId="03847600" w14:textId="77777777" w:rsidR="000F4D24" w:rsidRPr="00364998" w:rsidRDefault="000F4D24" w:rsidP="000F4D24">
      <w:pPr>
        <w:jc w:val="center"/>
        <w:rPr>
          <w:rFonts w:asciiTheme="majorBidi" w:hAnsiTheme="majorBidi" w:cstheme="majorBidi"/>
          <w:b/>
          <w:szCs w:val="24"/>
        </w:rPr>
      </w:pPr>
    </w:p>
    <w:p w14:paraId="0BAFA051" w14:textId="77777777" w:rsidR="000F4D24" w:rsidRPr="00364998" w:rsidRDefault="000F4D24" w:rsidP="000F4D24">
      <w:pPr>
        <w:jc w:val="center"/>
        <w:rPr>
          <w:rFonts w:asciiTheme="majorBidi" w:hAnsiTheme="majorBidi" w:cstheme="majorBidi"/>
          <w:b/>
          <w:szCs w:val="24"/>
        </w:rPr>
      </w:pPr>
      <w:r w:rsidRPr="00364998">
        <w:rPr>
          <w:rFonts w:asciiTheme="majorBidi" w:hAnsiTheme="majorBidi" w:cstheme="majorBidi"/>
          <w:b/>
          <w:szCs w:val="24"/>
        </w:rPr>
        <w:t>SUPERVISED</w:t>
      </w:r>
    </w:p>
    <w:p w14:paraId="6BA5ED62" w14:textId="77777777" w:rsidR="000F4D24" w:rsidRPr="00364998" w:rsidRDefault="000F4D24" w:rsidP="000F4D24">
      <w:pPr>
        <w:jc w:val="center"/>
        <w:rPr>
          <w:rFonts w:asciiTheme="majorBidi" w:hAnsiTheme="majorBidi" w:cstheme="majorBidi"/>
          <w:b/>
          <w:szCs w:val="24"/>
        </w:rPr>
      </w:pPr>
      <w:r w:rsidRPr="00364998">
        <w:rPr>
          <w:rFonts w:asciiTheme="majorBidi" w:hAnsiTheme="majorBidi" w:cstheme="majorBidi"/>
          <w:b/>
          <w:szCs w:val="24"/>
        </w:rPr>
        <w:t>BY</w:t>
      </w:r>
    </w:p>
    <w:p w14:paraId="5790BE03" w14:textId="77777777" w:rsidR="000F4D24" w:rsidRPr="00364998" w:rsidRDefault="000F4D24" w:rsidP="000F4D24">
      <w:pPr>
        <w:jc w:val="center"/>
        <w:rPr>
          <w:rFonts w:asciiTheme="majorBidi" w:hAnsiTheme="majorBidi" w:cstheme="majorBidi"/>
          <w:b/>
          <w:szCs w:val="24"/>
        </w:rPr>
      </w:pPr>
    </w:p>
    <w:p w14:paraId="66D66B34" w14:textId="77777777" w:rsidR="000F4D24" w:rsidRPr="00364998" w:rsidRDefault="000F4D24" w:rsidP="000F4D24">
      <w:pPr>
        <w:jc w:val="center"/>
        <w:rPr>
          <w:rFonts w:asciiTheme="majorBidi" w:hAnsiTheme="majorBidi" w:cstheme="majorBidi"/>
          <w:b/>
          <w:szCs w:val="24"/>
        </w:rPr>
      </w:pPr>
      <w:r w:rsidRPr="00364998">
        <w:rPr>
          <w:rFonts w:asciiTheme="majorBidi" w:hAnsiTheme="majorBidi" w:cstheme="majorBidi"/>
          <w:b/>
          <w:szCs w:val="24"/>
        </w:rPr>
        <w:t xml:space="preserve">DR. </w:t>
      </w:r>
      <w:r>
        <w:rPr>
          <w:rFonts w:asciiTheme="majorBidi" w:hAnsiTheme="majorBidi" w:cstheme="majorBidi"/>
          <w:b/>
          <w:szCs w:val="24"/>
        </w:rPr>
        <w:t>ANDREW ONU</w:t>
      </w:r>
    </w:p>
    <w:p w14:paraId="4ADB9C3B" w14:textId="77777777" w:rsidR="000F4D24" w:rsidRPr="00364998" w:rsidRDefault="000F4D24" w:rsidP="000F4D24">
      <w:pPr>
        <w:jc w:val="center"/>
        <w:rPr>
          <w:rFonts w:asciiTheme="majorBidi" w:hAnsiTheme="majorBidi" w:cstheme="majorBidi"/>
          <w:szCs w:val="24"/>
        </w:rPr>
      </w:pPr>
    </w:p>
    <w:p w14:paraId="58FC588E" w14:textId="77777777" w:rsidR="000F4D24" w:rsidRPr="00364998" w:rsidRDefault="000F4D24" w:rsidP="000F4D24">
      <w:pPr>
        <w:jc w:val="center"/>
        <w:rPr>
          <w:rFonts w:asciiTheme="majorBidi" w:hAnsiTheme="majorBidi" w:cstheme="majorBidi"/>
          <w:szCs w:val="24"/>
        </w:rPr>
      </w:pPr>
    </w:p>
    <w:p w14:paraId="63DE311A" w14:textId="77777777" w:rsidR="000F4D24" w:rsidRPr="00364998" w:rsidRDefault="000F4D24" w:rsidP="000F4D24">
      <w:pPr>
        <w:jc w:val="center"/>
        <w:rPr>
          <w:rFonts w:asciiTheme="majorBidi" w:hAnsiTheme="majorBidi" w:cstheme="majorBidi"/>
          <w:b/>
          <w:szCs w:val="24"/>
        </w:rPr>
      </w:pPr>
      <w:r w:rsidRPr="00364998">
        <w:rPr>
          <w:rFonts w:asciiTheme="majorBidi" w:hAnsiTheme="majorBidi" w:cstheme="majorBidi"/>
          <w:b/>
          <w:szCs w:val="24"/>
        </w:rPr>
        <w:t>DECEMBER, 2025</w:t>
      </w:r>
    </w:p>
    <w:p w14:paraId="5E0E9367" w14:textId="77777777" w:rsidR="000F4D24" w:rsidRPr="00364998" w:rsidRDefault="000F4D24" w:rsidP="000F4D24">
      <w:pPr>
        <w:rPr>
          <w:rFonts w:asciiTheme="majorBidi" w:eastAsia="Times New Roman" w:hAnsiTheme="majorBidi" w:cstheme="majorBidi"/>
          <w:szCs w:val="24"/>
        </w:rPr>
      </w:pPr>
      <w:r w:rsidRPr="00364998">
        <w:rPr>
          <w:rFonts w:asciiTheme="majorBidi" w:eastAsia="Times New Roman" w:hAnsiTheme="majorBidi" w:cstheme="majorBidi"/>
          <w:szCs w:val="24"/>
        </w:rPr>
        <w:br w:type="page"/>
      </w:r>
    </w:p>
    <w:p w14:paraId="7039B1E7" w14:textId="77777777" w:rsidR="000F4D24" w:rsidRPr="00364998" w:rsidRDefault="000F4D24" w:rsidP="000F4D24">
      <w:pPr>
        <w:jc w:val="center"/>
        <w:rPr>
          <w:rFonts w:asciiTheme="majorBidi" w:hAnsiTheme="majorBidi" w:cstheme="majorBidi"/>
          <w:b/>
          <w:szCs w:val="24"/>
        </w:rPr>
        <w:sectPr w:rsidR="000F4D24" w:rsidRPr="00364998" w:rsidSect="00665E99">
          <w:footerReference w:type="default" r:id="rId7"/>
          <w:pgSz w:w="11907" w:h="16840" w:code="9"/>
          <w:pgMar w:top="1440" w:right="1440" w:bottom="1440" w:left="1440" w:header="709" w:footer="709" w:gutter="0"/>
          <w:cols w:space="708"/>
          <w:titlePg/>
          <w:docGrid w:linePitch="360"/>
        </w:sectPr>
      </w:pPr>
    </w:p>
    <w:p w14:paraId="706AE2CD" w14:textId="77777777" w:rsidR="000F4D24" w:rsidRPr="00364998" w:rsidRDefault="000F4D24" w:rsidP="000F4D24">
      <w:pPr>
        <w:pStyle w:val="Heading1"/>
        <w:jc w:val="center"/>
        <w:rPr>
          <w:szCs w:val="24"/>
        </w:rPr>
      </w:pPr>
      <w:bookmarkStart w:id="0" w:name="_Toc216595131"/>
      <w:r w:rsidRPr="00364998">
        <w:rPr>
          <w:szCs w:val="24"/>
        </w:rPr>
        <w:lastRenderedPageBreak/>
        <w:t>CERTIFICATION</w:t>
      </w:r>
      <w:bookmarkEnd w:id="0"/>
    </w:p>
    <w:p w14:paraId="4F8BC44A" w14:textId="5E66FB74" w:rsidR="000F4D24" w:rsidRPr="00364998" w:rsidRDefault="000F4D24" w:rsidP="00505E89">
      <w:pPr>
        <w:jc w:val="both"/>
        <w:rPr>
          <w:rFonts w:asciiTheme="majorBidi" w:hAnsiTheme="majorBidi" w:cstheme="majorBidi"/>
          <w:szCs w:val="24"/>
        </w:rPr>
      </w:pPr>
      <w:r w:rsidRPr="00364998">
        <w:rPr>
          <w:rFonts w:asciiTheme="majorBidi" w:hAnsiTheme="majorBidi" w:cstheme="majorBidi"/>
          <w:szCs w:val="24"/>
        </w:rPr>
        <w:t xml:space="preserve">This is to certify that the research project have been conducted by </w:t>
      </w:r>
      <w:r w:rsidR="00505E89">
        <w:rPr>
          <w:rFonts w:asciiTheme="majorBidi" w:hAnsiTheme="majorBidi" w:cstheme="majorBidi"/>
          <w:szCs w:val="24"/>
        </w:rPr>
        <w:t>SULEIMAN</w:t>
      </w:r>
      <w:r>
        <w:rPr>
          <w:rFonts w:asciiTheme="majorBidi" w:hAnsiTheme="majorBidi" w:cstheme="majorBidi"/>
          <w:szCs w:val="24"/>
        </w:rPr>
        <w:t xml:space="preserve">, </w:t>
      </w:r>
      <w:proofErr w:type="spellStart"/>
      <w:r w:rsidR="00505E89">
        <w:rPr>
          <w:rFonts w:asciiTheme="majorBidi" w:hAnsiTheme="majorBidi" w:cstheme="majorBidi"/>
          <w:szCs w:val="24"/>
        </w:rPr>
        <w:t>Halliru</w:t>
      </w:r>
      <w:proofErr w:type="spellEnd"/>
      <w:r>
        <w:rPr>
          <w:rFonts w:asciiTheme="majorBidi" w:hAnsiTheme="majorBidi" w:cstheme="majorBidi"/>
          <w:szCs w:val="24"/>
        </w:rPr>
        <w:t xml:space="preserve"> </w:t>
      </w:r>
      <w:r w:rsidRPr="00364998">
        <w:rPr>
          <w:rFonts w:asciiTheme="majorBidi" w:hAnsiTheme="majorBidi" w:cstheme="majorBidi"/>
          <w:szCs w:val="24"/>
        </w:rPr>
        <w:t>(2010304</w:t>
      </w:r>
      <w:r>
        <w:rPr>
          <w:rFonts w:asciiTheme="majorBidi" w:hAnsiTheme="majorBidi" w:cstheme="majorBidi"/>
          <w:szCs w:val="24"/>
        </w:rPr>
        <w:t>124</w:t>
      </w:r>
      <w:r w:rsidRPr="00364998">
        <w:rPr>
          <w:rFonts w:asciiTheme="majorBidi" w:hAnsiTheme="majorBidi" w:cstheme="majorBidi"/>
          <w:szCs w:val="24"/>
        </w:rPr>
        <w:t>) and has been approved as meeting part of the requirements for the award of Bachelor of Science (</w:t>
      </w:r>
      <w:proofErr w:type="spellStart"/>
      <w:proofErr w:type="gramStart"/>
      <w:r w:rsidRPr="00364998">
        <w:rPr>
          <w:rFonts w:asciiTheme="majorBidi" w:hAnsiTheme="majorBidi" w:cstheme="majorBidi"/>
          <w:szCs w:val="24"/>
        </w:rPr>
        <w:t>B.Sc</w:t>
      </w:r>
      <w:proofErr w:type="spellEnd"/>
      <w:proofErr w:type="gramEnd"/>
      <w:r w:rsidRPr="00364998">
        <w:rPr>
          <w:rFonts w:asciiTheme="majorBidi" w:hAnsiTheme="majorBidi" w:cstheme="majorBidi"/>
          <w:szCs w:val="24"/>
        </w:rPr>
        <w:t xml:space="preserve">) degree in Biochemistry of </w:t>
      </w:r>
      <w:proofErr w:type="spellStart"/>
      <w:r w:rsidRPr="00364998">
        <w:rPr>
          <w:rFonts w:asciiTheme="majorBidi" w:hAnsiTheme="majorBidi" w:cstheme="majorBidi"/>
          <w:szCs w:val="24"/>
        </w:rPr>
        <w:t>Usmanu</w:t>
      </w:r>
      <w:proofErr w:type="spellEnd"/>
      <w:r w:rsidRPr="00364998">
        <w:rPr>
          <w:rFonts w:asciiTheme="majorBidi" w:hAnsiTheme="majorBidi" w:cstheme="majorBidi"/>
          <w:szCs w:val="24"/>
        </w:rPr>
        <w:t xml:space="preserve"> </w:t>
      </w:r>
      <w:proofErr w:type="spellStart"/>
      <w:r w:rsidRPr="00364998">
        <w:rPr>
          <w:rFonts w:asciiTheme="majorBidi" w:hAnsiTheme="majorBidi" w:cstheme="majorBidi"/>
          <w:szCs w:val="24"/>
        </w:rPr>
        <w:t>Danfodiyo</w:t>
      </w:r>
      <w:proofErr w:type="spellEnd"/>
      <w:r w:rsidRPr="00364998">
        <w:rPr>
          <w:rFonts w:asciiTheme="majorBidi" w:hAnsiTheme="majorBidi" w:cstheme="majorBidi"/>
          <w:szCs w:val="24"/>
        </w:rPr>
        <w:t xml:space="preserve"> University, Sokoto.</w:t>
      </w:r>
    </w:p>
    <w:p w14:paraId="3FF6216D" w14:textId="77777777" w:rsidR="000F4D24" w:rsidRPr="00364998" w:rsidRDefault="000F4D24" w:rsidP="000F4D24">
      <w:pPr>
        <w:rPr>
          <w:rFonts w:asciiTheme="majorBidi" w:hAnsiTheme="majorBidi" w:cstheme="majorBidi"/>
          <w:szCs w:val="24"/>
        </w:rPr>
      </w:pPr>
      <w:bookmarkStart w:id="1" w:name="_GoBack"/>
      <w:bookmarkEnd w:id="1"/>
    </w:p>
    <w:p w14:paraId="3E92BEF1" w14:textId="537ED333" w:rsidR="00505E89" w:rsidRDefault="0061582C">
      <w:pPr>
        <w:rPr>
          <w:rFonts w:asciiTheme="majorBidi" w:eastAsia="Times New Roman" w:hAnsiTheme="majorBidi" w:cstheme="majorBidi"/>
          <w:b/>
          <w:szCs w:val="24"/>
        </w:rPr>
      </w:pPr>
      <w:r>
        <w:rPr>
          <w:rFonts w:eastAsia="Times New Roman"/>
          <w:noProof/>
          <w:szCs w:val="24"/>
        </w:rPr>
        <w:drawing>
          <wp:inline distT="0" distB="0" distL="0" distR="0" wp14:anchorId="43792E48" wp14:editId="33C8BF5A">
            <wp:extent cx="5732145" cy="6137275"/>
            <wp:effectExtent l="0" t="0" r="190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37520A6.jpg"/>
                    <pic:cNvPicPr/>
                  </pic:nvPicPr>
                  <pic:blipFill>
                    <a:blip r:embed="rId8">
                      <a:extLst>
                        <a:ext uri="{28A0092B-C50C-407E-A947-70E740481C1C}">
                          <a14:useLocalDpi xmlns:a14="http://schemas.microsoft.com/office/drawing/2010/main" val="0"/>
                        </a:ext>
                      </a:extLst>
                    </a:blip>
                    <a:stretch>
                      <a:fillRect/>
                    </a:stretch>
                  </pic:blipFill>
                  <pic:spPr>
                    <a:xfrm>
                      <a:off x="0" y="0"/>
                      <a:ext cx="5732145" cy="6137275"/>
                    </a:xfrm>
                    <a:prstGeom prst="rect">
                      <a:avLst/>
                    </a:prstGeom>
                  </pic:spPr>
                </pic:pic>
              </a:graphicData>
            </a:graphic>
          </wp:inline>
        </w:drawing>
      </w:r>
      <w:r w:rsidR="00505E89">
        <w:rPr>
          <w:rFonts w:eastAsia="Times New Roman"/>
          <w:szCs w:val="24"/>
        </w:rPr>
        <w:br w:type="page"/>
      </w:r>
    </w:p>
    <w:p w14:paraId="7F42359B" w14:textId="68D84BFA" w:rsidR="000F4D24" w:rsidRPr="00364998" w:rsidRDefault="005516EB" w:rsidP="000F4D24">
      <w:pPr>
        <w:pStyle w:val="Heading1"/>
        <w:jc w:val="center"/>
        <w:rPr>
          <w:rFonts w:eastAsia="Times New Roman"/>
          <w:szCs w:val="24"/>
        </w:rPr>
      </w:pPr>
      <w:bookmarkStart w:id="2" w:name="_Toc216595132"/>
      <w:r w:rsidRPr="00364998">
        <w:rPr>
          <w:rFonts w:eastAsia="Times New Roman"/>
          <w:szCs w:val="24"/>
        </w:rPr>
        <w:lastRenderedPageBreak/>
        <w:t>DEDICATION</w:t>
      </w:r>
      <w:bookmarkEnd w:id="2"/>
    </w:p>
    <w:p w14:paraId="392F4031" w14:textId="7BA817CA" w:rsidR="000F4D24" w:rsidRPr="00364998" w:rsidRDefault="000F4D24" w:rsidP="00505E89">
      <w:pPr>
        <w:jc w:val="both"/>
        <w:rPr>
          <w:rFonts w:asciiTheme="majorBidi" w:eastAsia="Calibri" w:hAnsiTheme="majorBidi" w:cstheme="majorBidi"/>
          <w:szCs w:val="24"/>
        </w:rPr>
      </w:pPr>
      <w:r>
        <w:rPr>
          <w:rFonts w:asciiTheme="majorBidi" w:eastAsia="Calibri" w:hAnsiTheme="majorBidi" w:cstheme="majorBidi"/>
          <w:szCs w:val="24"/>
        </w:rPr>
        <w:t xml:space="preserve">This </w:t>
      </w:r>
      <w:r w:rsidR="00505E89">
        <w:rPr>
          <w:rFonts w:asciiTheme="majorBidi" w:eastAsia="Calibri" w:hAnsiTheme="majorBidi" w:cstheme="majorBidi"/>
          <w:szCs w:val="24"/>
        </w:rPr>
        <w:t xml:space="preserve">research project is dedicated to my beloved parents; my father Alhaji Suleiman </w:t>
      </w:r>
      <w:proofErr w:type="spellStart"/>
      <w:r w:rsidR="00505E89">
        <w:rPr>
          <w:rFonts w:asciiTheme="majorBidi" w:eastAsia="Calibri" w:hAnsiTheme="majorBidi" w:cstheme="majorBidi"/>
          <w:szCs w:val="24"/>
        </w:rPr>
        <w:t>Adio</w:t>
      </w:r>
      <w:proofErr w:type="spellEnd"/>
      <w:r w:rsidR="00505E89">
        <w:rPr>
          <w:rFonts w:asciiTheme="majorBidi" w:eastAsia="Calibri" w:hAnsiTheme="majorBidi" w:cstheme="majorBidi"/>
          <w:szCs w:val="24"/>
        </w:rPr>
        <w:t xml:space="preserve"> and my lovely mother </w:t>
      </w:r>
      <w:proofErr w:type="spellStart"/>
      <w:r w:rsidR="00505E89">
        <w:rPr>
          <w:rFonts w:asciiTheme="majorBidi" w:eastAsia="Calibri" w:hAnsiTheme="majorBidi" w:cstheme="majorBidi"/>
          <w:szCs w:val="24"/>
        </w:rPr>
        <w:t>Sikirat</w:t>
      </w:r>
      <w:proofErr w:type="spellEnd"/>
      <w:r w:rsidR="00505E89">
        <w:rPr>
          <w:rFonts w:asciiTheme="majorBidi" w:eastAsia="Calibri" w:hAnsiTheme="majorBidi" w:cstheme="majorBidi"/>
          <w:szCs w:val="24"/>
        </w:rPr>
        <w:t xml:space="preserve"> Suleiman.  </w:t>
      </w:r>
    </w:p>
    <w:p w14:paraId="64BE7B9A" w14:textId="77777777" w:rsidR="000F4D24" w:rsidRPr="00364998" w:rsidRDefault="000F4D24" w:rsidP="000F4D24">
      <w:pPr>
        <w:rPr>
          <w:rFonts w:asciiTheme="majorBidi" w:eastAsia="Times New Roman" w:hAnsiTheme="majorBidi" w:cstheme="majorBidi"/>
          <w:kern w:val="36"/>
          <w:szCs w:val="24"/>
        </w:rPr>
      </w:pPr>
      <w:r w:rsidRPr="00364998">
        <w:rPr>
          <w:rFonts w:asciiTheme="majorBidi" w:eastAsia="Times New Roman" w:hAnsiTheme="majorBidi" w:cstheme="majorBidi"/>
          <w:kern w:val="36"/>
          <w:szCs w:val="24"/>
        </w:rPr>
        <w:br w:type="page"/>
      </w:r>
    </w:p>
    <w:p w14:paraId="7A98C10C" w14:textId="499414A4" w:rsidR="000F4D24" w:rsidRPr="00364998" w:rsidRDefault="005516EB" w:rsidP="000F4D24">
      <w:pPr>
        <w:pStyle w:val="Heading1"/>
        <w:jc w:val="center"/>
        <w:rPr>
          <w:rFonts w:eastAsia="Times New Roman"/>
          <w:szCs w:val="24"/>
        </w:rPr>
      </w:pPr>
      <w:bookmarkStart w:id="3" w:name="_Toc216595133"/>
      <w:r w:rsidRPr="00364998">
        <w:rPr>
          <w:rFonts w:eastAsia="Times New Roman"/>
          <w:szCs w:val="24"/>
        </w:rPr>
        <w:lastRenderedPageBreak/>
        <w:t>ACKNOWLEDGEMENTS</w:t>
      </w:r>
      <w:bookmarkEnd w:id="3"/>
    </w:p>
    <w:p w14:paraId="161071C8" w14:textId="77777777" w:rsidR="00665E99" w:rsidRDefault="00665E99" w:rsidP="000F4D24">
      <w:pPr>
        <w:jc w:val="both"/>
        <w:rPr>
          <w:rFonts w:asciiTheme="majorBidi" w:eastAsia="Times New Roman" w:hAnsiTheme="majorBidi" w:cstheme="majorBidi"/>
          <w:kern w:val="36"/>
          <w:szCs w:val="24"/>
        </w:rPr>
      </w:pPr>
      <w:r>
        <w:rPr>
          <w:rFonts w:asciiTheme="majorBidi" w:eastAsia="Times New Roman" w:hAnsiTheme="majorBidi" w:cstheme="majorBidi"/>
          <w:kern w:val="36"/>
          <w:szCs w:val="24"/>
        </w:rPr>
        <w:t>All praise and gratitude are due to Allah (S.W.T) the Exalted, the Lord of the heavens and the earths, for His guidance offered during the entire course of this work and my life in general. May His peace and blessings be upon our beloved Prophet Muhammad (S.A.W), his entire companions and those who follow him till the last day.</w:t>
      </w:r>
    </w:p>
    <w:p w14:paraId="4A34A8A6" w14:textId="77777777" w:rsidR="00C170C3" w:rsidRDefault="00665E99" w:rsidP="00665E99">
      <w:pPr>
        <w:jc w:val="both"/>
        <w:rPr>
          <w:rFonts w:asciiTheme="majorBidi" w:eastAsia="Times New Roman" w:hAnsiTheme="majorBidi" w:cstheme="majorBidi"/>
          <w:kern w:val="36"/>
          <w:szCs w:val="24"/>
        </w:rPr>
      </w:pPr>
      <w:r>
        <w:rPr>
          <w:rFonts w:asciiTheme="majorBidi" w:eastAsia="Times New Roman" w:hAnsiTheme="majorBidi" w:cstheme="majorBidi"/>
          <w:kern w:val="36"/>
          <w:szCs w:val="24"/>
        </w:rPr>
        <w:t xml:space="preserve">My sincere and profound appreciation goes to my tireless, hardworking supervisor, Dr. Andrew </w:t>
      </w:r>
      <w:proofErr w:type="spellStart"/>
      <w:r>
        <w:rPr>
          <w:rFonts w:asciiTheme="majorBidi" w:eastAsia="Times New Roman" w:hAnsiTheme="majorBidi" w:cstheme="majorBidi"/>
          <w:kern w:val="36"/>
          <w:szCs w:val="24"/>
        </w:rPr>
        <w:t>Onu</w:t>
      </w:r>
      <w:proofErr w:type="spellEnd"/>
      <w:r>
        <w:rPr>
          <w:rFonts w:asciiTheme="majorBidi" w:eastAsia="Times New Roman" w:hAnsiTheme="majorBidi" w:cstheme="majorBidi"/>
          <w:kern w:val="36"/>
          <w:szCs w:val="24"/>
        </w:rPr>
        <w:t xml:space="preserve"> for his support, contribution, useful suggestions, and advises. Thank you very much; I really appreciate your effort </w:t>
      </w:r>
      <w:r w:rsidR="00C170C3">
        <w:rPr>
          <w:rFonts w:asciiTheme="majorBidi" w:eastAsia="Times New Roman" w:hAnsiTheme="majorBidi" w:cstheme="majorBidi"/>
          <w:kern w:val="36"/>
          <w:szCs w:val="24"/>
        </w:rPr>
        <w:t>and encouragement.</w:t>
      </w:r>
    </w:p>
    <w:p w14:paraId="509B5CE4" w14:textId="77777777" w:rsidR="00C170C3" w:rsidRDefault="00C170C3" w:rsidP="00665E99">
      <w:pPr>
        <w:jc w:val="both"/>
        <w:rPr>
          <w:rFonts w:asciiTheme="majorBidi" w:eastAsia="Times New Roman" w:hAnsiTheme="majorBidi" w:cstheme="majorBidi"/>
          <w:kern w:val="36"/>
          <w:szCs w:val="24"/>
        </w:rPr>
      </w:pPr>
      <w:r>
        <w:rPr>
          <w:rFonts w:asciiTheme="majorBidi" w:eastAsia="Times New Roman" w:hAnsiTheme="majorBidi" w:cstheme="majorBidi"/>
          <w:kern w:val="36"/>
          <w:szCs w:val="24"/>
        </w:rPr>
        <w:t xml:space="preserve">I also express my appreciation to all the lecturers in the Department of Biochemistry and Molecular Biology, Faculty of Chemical and Life Sciences, </w:t>
      </w:r>
      <w:proofErr w:type="spellStart"/>
      <w:r>
        <w:rPr>
          <w:rFonts w:asciiTheme="majorBidi" w:eastAsia="Times New Roman" w:hAnsiTheme="majorBidi" w:cstheme="majorBidi"/>
          <w:kern w:val="36"/>
          <w:szCs w:val="24"/>
        </w:rPr>
        <w:t>Usmanu</w:t>
      </w:r>
      <w:proofErr w:type="spellEnd"/>
      <w:r>
        <w:rPr>
          <w:rFonts w:asciiTheme="majorBidi" w:eastAsia="Times New Roman" w:hAnsiTheme="majorBidi" w:cstheme="majorBidi"/>
          <w:kern w:val="36"/>
          <w:szCs w:val="24"/>
        </w:rPr>
        <w:t xml:space="preserve"> </w:t>
      </w:r>
      <w:proofErr w:type="spellStart"/>
      <w:r>
        <w:rPr>
          <w:rFonts w:asciiTheme="majorBidi" w:eastAsia="Times New Roman" w:hAnsiTheme="majorBidi" w:cstheme="majorBidi"/>
          <w:kern w:val="36"/>
          <w:szCs w:val="24"/>
        </w:rPr>
        <w:t>Danfodiyo</w:t>
      </w:r>
      <w:proofErr w:type="spellEnd"/>
      <w:r>
        <w:rPr>
          <w:rFonts w:asciiTheme="majorBidi" w:eastAsia="Times New Roman" w:hAnsiTheme="majorBidi" w:cstheme="majorBidi"/>
          <w:kern w:val="36"/>
          <w:szCs w:val="24"/>
        </w:rPr>
        <w:t xml:space="preserve"> University Sokoto, for their contributions and immense support to this great achievement in my life. May Allah reward you all.</w:t>
      </w:r>
    </w:p>
    <w:p w14:paraId="0C1194A9" w14:textId="03F9639A" w:rsidR="000F4D24" w:rsidRPr="00364998" w:rsidRDefault="00C170C3" w:rsidP="00C170C3">
      <w:pPr>
        <w:jc w:val="both"/>
        <w:rPr>
          <w:rFonts w:asciiTheme="majorBidi" w:eastAsia="Calibri" w:hAnsiTheme="majorBidi" w:cstheme="majorBidi"/>
          <w:szCs w:val="24"/>
        </w:rPr>
      </w:pPr>
      <w:r>
        <w:rPr>
          <w:rFonts w:asciiTheme="majorBidi" w:eastAsia="Times New Roman" w:hAnsiTheme="majorBidi" w:cstheme="majorBidi"/>
          <w:kern w:val="36"/>
          <w:szCs w:val="24"/>
        </w:rPr>
        <w:t xml:space="preserve">I express my gratitude to my beloved parents; my father Alhaji Suleiman </w:t>
      </w:r>
      <w:proofErr w:type="spellStart"/>
      <w:r>
        <w:rPr>
          <w:rFonts w:asciiTheme="majorBidi" w:eastAsia="Times New Roman" w:hAnsiTheme="majorBidi" w:cstheme="majorBidi"/>
          <w:kern w:val="36"/>
          <w:szCs w:val="24"/>
        </w:rPr>
        <w:t>Adio</w:t>
      </w:r>
      <w:proofErr w:type="spellEnd"/>
      <w:r>
        <w:rPr>
          <w:rFonts w:asciiTheme="majorBidi" w:eastAsia="Times New Roman" w:hAnsiTheme="majorBidi" w:cstheme="majorBidi"/>
          <w:kern w:val="36"/>
          <w:szCs w:val="24"/>
        </w:rPr>
        <w:t xml:space="preserve"> and my mother </w:t>
      </w:r>
      <w:proofErr w:type="spellStart"/>
      <w:r>
        <w:rPr>
          <w:rFonts w:asciiTheme="majorBidi" w:eastAsia="Times New Roman" w:hAnsiTheme="majorBidi" w:cstheme="majorBidi"/>
          <w:kern w:val="36"/>
          <w:szCs w:val="24"/>
        </w:rPr>
        <w:t>Sikirat</w:t>
      </w:r>
      <w:proofErr w:type="spellEnd"/>
      <w:r>
        <w:rPr>
          <w:rFonts w:asciiTheme="majorBidi" w:eastAsia="Times New Roman" w:hAnsiTheme="majorBidi" w:cstheme="majorBidi"/>
          <w:kern w:val="36"/>
          <w:szCs w:val="24"/>
        </w:rPr>
        <w:t xml:space="preserve"> Suleiman for their care, countless support, encouragement and effort. May Almighty Allah reward them abundantly.</w:t>
      </w:r>
      <w:r w:rsidR="000F4D24" w:rsidRPr="00364998">
        <w:rPr>
          <w:rFonts w:asciiTheme="majorBidi" w:eastAsia="Calibri" w:hAnsiTheme="majorBidi" w:cstheme="majorBidi"/>
          <w:szCs w:val="24"/>
        </w:rPr>
        <w:t xml:space="preserve"> </w:t>
      </w:r>
    </w:p>
    <w:p w14:paraId="1980C70D" w14:textId="77777777" w:rsidR="000F4D24" w:rsidRPr="00364998" w:rsidRDefault="000F4D24" w:rsidP="000F4D24">
      <w:pPr>
        <w:jc w:val="both"/>
        <w:rPr>
          <w:rFonts w:asciiTheme="majorBidi" w:eastAsia="Times New Roman" w:hAnsiTheme="majorBidi" w:cstheme="majorBidi"/>
          <w:kern w:val="36"/>
          <w:szCs w:val="24"/>
        </w:rPr>
      </w:pPr>
    </w:p>
    <w:p w14:paraId="7C610547" w14:textId="77777777" w:rsidR="000F4D24" w:rsidRPr="00364998" w:rsidRDefault="000F4D24" w:rsidP="000F4D24">
      <w:pPr>
        <w:rPr>
          <w:rFonts w:asciiTheme="majorBidi" w:eastAsia="Times New Roman" w:hAnsiTheme="majorBidi" w:cstheme="majorBidi"/>
          <w:kern w:val="36"/>
          <w:szCs w:val="24"/>
        </w:rPr>
      </w:pPr>
      <w:r w:rsidRPr="00364998">
        <w:rPr>
          <w:rFonts w:asciiTheme="majorBidi" w:eastAsia="Times New Roman" w:hAnsiTheme="majorBidi" w:cstheme="majorBidi"/>
          <w:kern w:val="36"/>
          <w:szCs w:val="24"/>
        </w:rPr>
        <w:br w:type="page"/>
      </w:r>
    </w:p>
    <w:p w14:paraId="3114608B" w14:textId="617A3917" w:rsidR="000F4D24" w:rsidRPr="00364998" w:rsidRDefault="005516EB" w:rsidP="000F4D24">
      <w:pPr>
        <w:jc w:val="center"/>
        <w:outlineLvl w:val="2"/>
        <w:rPr>
          <w:rFonts w:asciiTheme="majorBidi" w:eastAsia="Times New Roman" w:hAnsiTheme="majorBidi" w:cstheme="majorBidi"/>
          <w:b/>
          <w:bCs/>
          <w:szCs w:val="24"/>
        </w:rPr>
      </w:pPr>
      <w:bookmarkStart w:id="4" w:name="_Toc216595134"/>
      <w:r w:rsidRPr="00364998">
        <w:rPr>
          <w:rFonts w:asciiTheme="majorBidi" w:eastAsia="Times New Roman" w:hAnsiTheme="majorBidi" w:cstheme="majorBidi"/>
          <w:b/>
          <w:bCs/>
          <w:szCs w:val="24"/>
        </w:rPr>
        <w:lastRenderedPageBreak/>
        <w:t>ABSTRACT</w:t>
      </w:r>
      <w:bookmarkEnd w:id="4"/>
    </w:p>
    <w:p w14:paraId="1B89F335" w14:textId="3545D1FB" w:rsidR="003F03C6" w:rsidRPr="002C48EA" w:rsidRDefault="003F03C6" w:rsidP="003F03C6">
      <w:pPr>
        <w:spacing w:line="240" w:lineRule="auto"/>
        <w:jc w:val="both"/>
        <w:rPr>
          <w:rFonts w:asciiTheme="majorBidi" w:hAnsiTheme="majorBidi" w:cstheme="majorBidi"/>
          <w:szCs w:val="24"/>
        </w:rPr>
      </w:pPr>
      <w:r w:rsidRPr="002C48EA">
        <w:rPr>
          <w:rFonts w:asciiTheme="majorBidi" w:hAnsiTheme="majorBidi" w:cstheme="majorBidi"/>
          <w:szCs w:val="24"/>
        </w:rPr>
        <w:t xml:space="preserve">This study assessed the microbial quality, antibiotic resistance patterns, and plasmid profiles of bacteria isolated from </w:t>
      </w:r>
      <w:proofErr w:type="spellStart"/>
      <w:r w:rsidRPr="002C48EA">
        <w:rPr>
          <w:rFonts w:asciiTheme="majorBidi" w:hAnsiTheme="majorBidi" w:cstheme="majorBidi"/>
          <w:szCs w:val="24"/>
        </w:rPr>
        <w:t>Kwalkwalawa</w:t>
      </w:r>
      <w:proofErr w:type="spellEnd"/>
      <w:r w:rsidRPr="002C48EA">
        <w:rPr>
          <w:rFonts w:asciiTheme="majorBidi" w:hAnsiTheme="majorBidi" w:cstheme="majorBidi"/>
          <w:szCs w:val="24"/>
        </w:rPr>
        <w:t xml:space="preserve"> River. Biochemical characterization identified both environmental and fecal-associated bacteria, including </w:t>
      </w:r>
      <w:r w:rsidRPr="002A61E0">
        <w:rPr>
          <w:rFonts w:asciiTheme="majorBidi" w:hAnsiTheme="majorBidi" w:cstheme="majorBidi"/>
          <w:i/>
          <w:iCs/>
          <w:szCs w:val="24"/>
        </w:rPr>
        <w:t xml:space="preserve">Bacillus </w:t>
      </w:r>
      <w:proofErr w:type="spellStart"/>
      <w:r w:rsidRPr="002A61E0">
        <w:rPr>
          <w:rFonts w:asciiTheme="majorBidi" w:hAnsiTheme="majorBidi" w:cstheme="majorBidi"/>
          <w:i/>
          <w:iCs/>
          <w:szCs w:val="24"/>
        </w:rPr>
        <w:t>pumilus</w:t>
      </w:r>
      <w:proofErr w:type="spellEnd"/>
      <w:r w:rsidRPr="002C48EA">
        <w:rPr>
          <w:rFonts w:asciiTheme="majorBidi" w:hAnsiTheme="majorBidi" w:cstheme="majorBidi"/>
          <w:szCs w:val="24"/>
        </w:rPr>
        <w:t xml:space="preserve">, </w:t>
      </w:r>
      <w:r w:rsidRPr="002A61E0">
        <w:rPr>
          <w:rFonts w:asciiTheme="majorBidi" w:hAnsiTheme="majorBidi" w:cstheme="majorBidi"/>
          <w:i/>
          <w:iCs/>
          <w:szCs w:val="24"/>
        </w:rPr>
        <w:t xml:space="preserve">Bacillus </w:t>
      </w:r>
      <w:proofErr w:type="spellStart"/>
      <w:r w:rsidRPr="002A61E0">
        <w:rPr>
          <w:rFonts w:asciiTheme="majorBidi" w:hAnsiTheme="majorBidi" w:cstheme="majorBidi"/>
          <w:i/>
          <w:iCs/>
          <w:szCs w:val="24"/>
        </w:rPr>
        <w:t>laterosporus</w:t>
      </w:r>
      <w:proofErr w:type="spellEnd"/>
      <w:r w:rsidRPr="002C48EA">
        <w:rPr>
          <w:rFonts w:asciiTheme="majorBidi" w:hAnsiTheme="majorBidi" w:cstheme="majorBidi"/>
          <w:szCs w:val="24"/>
        </w:rPr>
        <w:t xml:space="preserve">, </w:t>
      </w:r>
      <w:r w:rsidRPr="002A61E0">
        <w:rPr>
          <w:rFonts w:asciiTheme="majorBidi" w:hAnsiTheme="majorBidi" w:cstheme="majorBidi"/>
          <w:i/>
          <w:iCs/>
          <w:szCs w:val="24"/>
        </w:rPr>
        <w:t>Serratia marcescens</w:t>
      </w:r>
      <w:r w:rsidRPr="002C48EA">
        <w:rPr>
          <w:rFonts w:asciiTheme="majorBidi" w:hAnsiTheme="majorBidi" w:cstheme="majorBidi"/>
          <w:szCs w:val="24"/>
        </w:rPr>
        <w:t xml:space="preserve">, </w:t>
      </w:r>
      <w:r w:rsidRPr="002A61E0">
        <w:rPr>
          <w:rFonts w:asciiTheme="majorBidi" w:hAnsiTheme="majorBidi" w:cstheme="majorBidi"/>
          <w:i/>
          <w:iCs/>
          <w:szCs w:val="24"/>
        </w:rPr>
        <w:t>Enterobacter cloacae</w:t>
      </w:r>
      <w:r w:rsidRPr="002C48EA">
        <w:rPr>
          <w:rFonts w:asciiTheme="majorBidi" w:hAnsiTheme="majorBidi" w:cstheme="majorBidi"/>
          <w:szCs w:val="24"/>
        </w:rPr>
        <w:t xml:space="preserve">, and </w:t>
      </w:r>
      <w:r w:rsidRPr="002A61E0">
        <w:rPr>
          <w:rFonts w:asciiTheme="majorBidi" w:hAnsiTheme="majorBidi" w:cstheme="majorBidi"/>
          <w:i/>
          <w:iCs/>
          <w:szCs w:val="24"/>
        </w:rPr>
        <w:t>Escherichia coli</w:t>
      </w:r>
      <w:r w:rsidRPr="002C48EA">
        <w:rPr>
          <w:rFonts w:asciiTheme="majorBidi" w:hAnsiTheme="majorBidi" w:cstheme="majorBidi"/>
          <w:szCs w:val="24"/>
        </w:rPr>
        <w:t xml:space="preserve">. The presence of </w:t>
      </w:r>
      <w:r w:rsidR="005516EB" w:rsidRPr="005516EB">
        <w:rPr>
          <w:rFonts w:asciiTheme="majorBidi" w:hAnsiTheme="majorBidi" w:cstheme="majorBidi"/>
          <w:i/>
          <w:iCs/>
          <w:szCs w:val="24"/>
        </w:rPr>
        <w:t>E. coli</w:t>
      </w:r>
      <w:r w:rsidRPr="002C48EA">
        <w:rPr>
          <w:rFonts w:asciiTheme="majorBidi" w:hAnsiTheme="majorBidi" w:cstheme="majorBidi"/>
          <w:szCs w:val="24"/>
        </w:rPr>
        <w:t xml:space="preserve"> indicates fecal contamination and potential health risks for communities utilizing the river. Coliform enumeration using the Most Probable Number (MPN) method revealed severe contamination at sampling point KWA (1100 MPN/100 mL) compared to KWB (75 MPN/100 mL), far exceeding WHO’s recommended limit of zero coliforms in potable water. Antibiotic susceptibility testing showed widespread resistance to beta-lactam antibiotics, with all isolates resistant to Ampicillin and Amoxicillin, whereas fluoroquinolones, including Ciprofloxacin and Ofloxacin, remained highly effective. Plasmid analysis indicated that only one </w:t>
      </w:r>
      <w:r w:rsidR="005516EB" w:rsidRPr="005516EB">
        <w:rPr>
          <w:rFonts w:asciiTheme="majorBidi" w:hAnsiTheme="majorBidi" w:cstheme="majorBidi"/>
          <w:i/>
          <w:iCs/>
          <w:szCs w:val="24"/>
        </w:rPr>
        <w:t>E. coli</w:t>
      </w:r>
      <w:r w:rsidRPr="002C48EA">
        <w:rPr>
          <w:rFonts w:asciiTheme="majorBidi" w:hAnsiTheme="majorBidi" w:cstheme="majorBidi"/>
          <w:szCs w:val="24"/>
        </w:rPr>
        <w:t xml:space="preserve"> isolate carried a detectable plasmid, suggesting plasmid-mediated resistance, while other isolates may possess chromosomal resistance determinants. These findings highlight significant microbial pollution and the presence of antibiotic-resistant bacteria in the river, emphasizing the need for improved water quality monitoring and public health interventions.</w:t>
      </w:r>
    </w:p>
    <w:p w14:paraId="25747FAE" w14:textId="77777777" w:rsidR="000F4D24" w:rsidRDefault="000F4D24" w:rsidP="005516EB">
      <w:pPr>
        <w:spacing w:line="240" w:lineRule="auto"/>
        <w:jc w:val="both"/>
        <w:rPr>
          <w:rFonts w:asciiTheme="majorBidi" w:hAnsiTheme="majorBidi" w:cstheme="majorBidi"/>
          <w:szCs w:val="24"/>
        </w:rPr>
      </w:pPr>
    </w:p>
    <w:p w14:paraId="0DE957BD" w14:textId="4679CA4D" w:rsidR="002A61E0" w:rsidRPr="00E65AB3" w:rsidRDefault="002A61E0" w:rsidP="005516EB">
      <w:pPr>
        <w:spacing w:line="240" w:lineRule="auto"/>
        <w:jc w:val="both"/>
        <w:rPr>
          <w:rFonts w:asciiTheme="majorBidi" w:hAnsiTheme="majorBidi" w:cstheme="majorBidi"/>
          <w:szCs w:val="24"/>
        </w:rPr>
      </w:pPr>
      <w:r>
        <w:rPr>
          <w:rFonts w:asciiTheme="majorBidi" w:hAnsiTheme="majorBidi" w:cstheme="majorBidi"/>
          <w:b/>
          <w:bCs/>
          <w:szCs w:val="24"/>
        </w:rPr>
        <w:t xml:space="preserve">Keywords: </w:t>
      </w:r>
      <w:r w:rsidR="00E65AB3" w:rsidRPr="002A61E0">
        <w:rPr>
          <w:rFonts w:asciiTheme="majorBidi" w:hAnsiTheme="majorBidi" w:cstheme="majorBidi"/>
          <w:i/>
          <w:iCs/>
          <w:szCs w:val="24"/>
        </w:rPr>
        <w:t>Escherichia coli</w:t>
      </w:r>
      <w:r w:rsidR="00E65AB3">
        <w:rPr>
          <w:rFonts w:asciiTheme="majorBidi" w:hAnsiTheme="majorBidi" w:cstheme="majorBidi"/>
          <w:szCs w:val="24"/>
        </w:rPr>
        <w:t xml:space="preserve">, antimicrobial resistance, plasmid-mediated antimicrobial </w:t>
      </w:r>
      <w:proofErr w:type="spellStart"/>
      <w:r w:rsidR="00E65AB3">
        <w:rPr>
          <w:rFonts w:asciiTheme="majorBidi" w:hAnsiTheme="majorBidi" w:cstheme="majorBidi"/>
          <w:szCs w:val="24"/>
        </w:rPr>
        <w:t>resuistance</w:t>
      </w:r>
      <w:proofErr w:type="spellEnd"/>
      <w:r w:rsidR="00E65AB3">
        <w:rPr>
          <w:rFonts w:asciiTheme="majorBidi" w:hAnsiTheme="majorBidi" w:cstheme="majorBidi"/>
          <w:szCs w:val="24"/>
        </w:rPr>
        <w:t>, biochemical characterization</w:t>
      </w:r>
      <w:r w:rsidR="005516EB">
        <w:rPr>
          <w:rFonts w:asciiTheme="majorBidi" w:hAnsiTheme="majorBidi" w:cstheme="majorBidi"/>
          <w:szCs w:val="24"/>
        </w:rPr>
        <w:t>.</w:t>
      </w:r>
    </w:p>
    <w:p w14:paraId="01530929" w14:textId="77777777" w:rsidR="000F4D24" w:rsidRDefault="000F4D24" w:rsidP="000F4D24">
      <w:pPr>
        <w:jc w:val="both"/>
        <w:rPr>
          <w:rtl/>
        </w:rPr>
      </w:pPr>
    </w:p>
    <w:p w14:paraId="6993204A" w14:textId="77777777" w:rsidR="000F4D24" w:rsidRPr="009435B2" w:rsidRDefault="000F4D24" w:rsidP="000F4D24">
      <w:pPr>
        <w:jc w:val="both"/>
        <w:rPr>
          <w:rFonts w:asciiTheme="majorBidi" w:eastAsia="Times New Roman" w:hAnsiTheme="majorBidi" w:cstheme="majorBidi"/>
          <w:szCs w:val="24"/>
        </w:rPr>
      </w:pPr>
    </w:p>
    <w:p w14:paraId="4C4AB224" w14:textId="77777777" w:rsidR="000F4D24" w:rsidRPr="00A16489" w:rsidRDefault="000F4D24" w:rsidP="000F4D24">
      <w:pPr>
        <w:jc w:val="both"/>
        <w:rPr>
          <w:rFonts w:asciiTheme="majorBidi" w:hAnsiTheme="majorBidi" w:cstheme="majorBidi"/>
          <w:szCs w:val="24"/>
        </w:rPr>
      </w:pPr>
    </w:p>
    <w:p w14:paraId="68A0ECA9" w14:textId="77777777" w:rsidR="000F4D24" w:rsidRPr="008A695A" w:rsidRDefault="000F4D24" w:rsidP="000F4D24">
      <w:pPr>
        <w:spacing w:before="100" w:beforeAutospacing="1" w:after="100" w:afterAutospacing="1"/>
        <w:jc w:val="both"/>
        <w:rPr>
          <w:rFonts w:eastAsia="Times New Roman" w:cs="Times New Roman"/>
          <w:szCs w:val="24"/>
        </w:rPr>
      </w:pPr>
    </w:p>
    <w:p w14:paraId="00A40A95" w14:textId="77777777" w:rsidR="000F4D24" w:rsidRDefault="000F4D24" w:rsidP="000F4D24">
      <w:pPr>
        <w:jc w:val="both"/>
      </w:pPr>
    </w:p>
    <w:p w14:paraId="30369AEC" w14:textId="77777777" w:rsidR="000F4D24" w:rsidRDefault="000F4D24" w:rsidP="000F4D24">
      <w:pPr>
        <w:rPr>
          <w:rFonts w:asciiTheme="majorBidi" w:eastAsia="Times New Roman" w:hAnsiTheme="majorBidi" w:cstheme="majorBidi"/>
          <w:kern w:val="36"/>
          <w:szCs w:val="24"/>
        </w:rPr>
      </w:pPr>
      <w:r>
        <w:rPr>
          <w:rFonts w:asciiTheme="majorBidi" w:eastAsia="Times New Roman" w:hAnsiTheme="majorBidi" w:cstheme="majorBidi"/>
          <w:kern w:val="36"/>
          <w:szCs w:val="24"/>
        </w:rPr>
        <w:br w:type="page"/>
      </w:r>
    </w:p>
    <w:sdt>
      <w:sdtPr>
        <w:rPr>
          <w:rFonts w:asciiTheme="majorBidi" w:eastAsiaTheme="minorHAnsi" w:hAnsiTheme="majorBidi" w:cstheme="minorBidi"/>
          <w:b/>
          <w:color w:val="auto"/>
          <w:kern w:val="2"/>
          <w:sz w:val="24"/>
          <w:szCs w:val="24"/>
          <w:lang w:eastAsia="zh-CN"/>
          <w14:ligatures w14:val="standardContextual"/>
        </w:rPr>
        <w:id w:val="1114789588"/>
        <w:docPartObj>
          <w:docPartGallery w:val="Table of Contents"/>
          <w:docPartUnique/>
        </w:docPartObj>
      </w:sdtPr>
      <w:sdtEndPr>
        <w:rPr>
          <w:rFonts w:ascii="Times New Roman" w:hAnsi="Times New Roman"/>
          <w:b w:val="0"/>
          <w:noProof/>
          <w:szCs w:val="22"/>
          <w:lang w:eastAsia="en-US"/>
        </w:rPr>
      </w:sdtEndPr>
      <w:sdtContent>
        <w:p w14:paraId="39E20A55" w14:textId="637EB97B" w:rsidR="000F4D24" w:rsidRPr="00B00B9A" w:rsidRDefault="005516EB" w:rsidP="003E7D30">
          <w:pPr>
            <w:pStyle w:val="TOCHeading"/>
            <w:spacing w:before="0" w:line="480" w:lineRule="auto"/>
            <w:contextualSpacing/>
            <w:jc w:val="center"/>
            <w:rPr>
              <w:rFonts w:asciiTheme="majorBidi" w:hAnsiTheme="majorBidi"/>
              <w:b/>
              <w:bCs/>
              <w:color w:val="auto"/>
              <w:sz w:val="24"/>
              <w:szCs w:val="24"/>
            </w:rPr>
          </w:pPr>
          <w:r w:rsidRPr="00B00B9A">
            <w:rPr>
              <w:rFonts w:asciiTheme="majorBidi" w:hAnsiTheme="majorBidi"/>
              <w:b/>
              <w:bCs/>
              <w:color w:val="auto"/>
              <w:sz w:val="24"/>
              <w:szCs w:val="24"/>
            </w:rPr>
            <w:t>TABLE OF CONTENT</w:t>
          </w:r>
        </w:p>
        <w:p w14:paraId="46364D3B" w14:textId="4DE88C79" w:rsidR="003E7D30" w:rsidRDefault="000F4D24" w:rsidP="003E7D30">
          <w:pPr>
            <w:pStyle w:val="TOC1"/>
            <w:spacing w:line="480" w:lineRule="auto"/>
            <w:rPr>
              <w:rFonts w:asciiTheme="minorHAnsi" w:eastAsiaTheme="minorEastAsia" w:hAnsiTheme="minorHAnsi"/>
              <w:noProof/>
              <w:sz w:val="22"/>
            </w:rPr>
          </w:pPr>
          <w:r w:rsidRPr="00B00B9A">
            <w:rPr>
              <w:rFonts w:asciiTheme="majorBidi" w:hAnsiTheme="majorBidi" w:cstheme="majorBidi"/>
              <w:szCs w:val="24"/>
            </w:rPr>
            <w:fldChar w:fldCharType="begin"/>
          </w:r>
          <w:r w:rsidRPr="00B00B9A">
            <w:rPr>
              <w:rFonts w:asciiTheme="majorBidi" w:hAnsiTheme="majorBidi" w:cstheme="majorBidi"/>
              <w:szCs w:val="24"/>
            </w:rPr>
            <w:instrText xml:space="preserve"> TOC \o "1-3" \h \z \u </w:instrText>
          </w:r>
          <w:r w:rsidRPr="00B00B9A">
            <w:rPr>
              <w:rFonts w:asciiTheme="majorBidi" w:hAnsiTheme="majorBidi" w:cstheme="majorBidi"/>
              <w:szCs w:val="24"/>
            </w:rPr>
            <w:fldChar w:fldCharType="separate"/>
          </w:r>
          <w:hyperlink w:anchor="_Toc216595131" w:history="1">
            <w:r w:rsidR="001D3AED" w:rsidRPr="00391AF9">
              <w:rPr>
                <w:rStyle w:val="Hyperlink"/>
                <w:noProof/>
              </w:rPr>
              <w:t>C</w:t>
            </w:r>
            <w:r w:rsidR="001D3AED">
              <w:rPr>
                <w:rStyle w:val="Hyperlink"/>
                <w:noProof/>
              </w:rPr>
              <w:t>ERTIFICATION</w:t>
            </w:r>
            <w:r w:rsidR="001D3AED">
              <w:rPr>
                <w:noProof/>
                <w:webHidden/>
              </w:rPr>
              <w:tab/>
            </w:r>
            <w:r w:rsidR="003E7D30">
              <w:rPr>
                <w:noProof/>
                <w:webHidden/>
              </w:rPr>
              <w:fldChar w:fldCharType="begin"/>
            </w:r>
            <w:r w:rsidR="003E7D30">
              <w:rPr>
                <w:noProof/>
                <w:webHidden/>
              </w:rPr>
              <w:instrText xml:space="preserve"> PAGEREF _Toc216595131 \h </w:instrText>
            </w:r>
            <w:r w:rsidR="003E7D30">
              <w:rPr>
                <w:noProof/>
                <w:webHidden/>
              </w:rPr>
            </w:r>
            <w:r w:rsidR="003E7D30">
              <w:rPr>
                <w:noProof/>
                <w:webHidden/>
              </w:rPr>
              <w:fldChar w:fldCharType="separate"/>
            </w:r>
            <w:r w:rsidR="001D3AED">
              <w:rPr>
                <w:noProof/>
                <w:webHidden/>
              </w:rPr>
              <w:t>I</w:t>
            </w:r>
            <w:r w:rsidR="003E7D30">
              <w:rPr>
                <w:noProof/>
                <w:webHidden/>
              </w:rPr>
              <w:fldChar w:fldCharType="end"/>
            </w:r>
          </w:hyperlink>
        </w:p>
        <w:p w14:paraId="2C3DB2F7" w14:textId="67987131" w:rsidR="003E7D30" w:rsidRDefault="009A7742" w:rsidP="003E7D30">
          <w:pPr>
            <w:pStyle w:val="TOC1"/>
            <w:spacing w:line="480" w:lineRule="auto"/>
            <w:rPr>
              <w:rFonts w:asciiTheme="minorHAnsi" w:eastAsiaTheme="minorEastAsia" w:hAnsiTheme="minorHAnsi"/>
              <w:noProof/>
              <w:sz w:val="22"/>
            </w:rPr>
          </w:pPr>
          <w:hyperlink w:anchor="_Toc216595132" w:history="1">
            <w:r w:rsidR="001D3AED" w:rsidRPr="00391AF9">
              <w:rPr>
                <w:rStyle w:val="Hyperlink"/>
                <w:rFonts w:eastAsia="Times New Roman"/>
                <w:noProof/>
              </w:rPr>
              <w:t>DEDICATION</w:t>
            </w:r>
            <w:r w:rsidR="001D3AED">
              <w:rPr>
                <w:noProof/>
                <w:webHidden/>
              </w:rPr>
              <w:tab/>
            </w:r>
            <w:r w:rsidR="003E7D30">
              <w:rPr>
                <w:noProof/>
                <w:webHidden/>
              </w:rPr>
              <w:fldChar w:fldCharType="begin"/>
            </w:r>
            <w:r w:rsidR="003E7D30">
              <w:rPr>
                <w:noProof/>
                <w:webHidden/>
              </w:rPr>
              <w:instrText xml:space="preserve"> PAGEREF _Toc216595132 \h </w:instrText>
            </w:r>
            <w:r w:rsidR="003E7D30">
              <w:rPr>
                <w:noProof/>
                <w:webHidden/>
              </w:rPr>
            </w:r>
            <w:r w:rsidR="003E7D30">
              <w:rPr>
                <w:noProof/>
                <w:webHidden/>
              </w:rPr>
              <w:fldChar w:fldCharType="separate"/>
            </w:r>
            <w:r w:rsidR="001D3AED">
              <w:rPr>
                <w:noProof/>
                <w:webHidden/>
              </w:rPr>
              <w:t>II</w:t>
            </w:r>
            <w:r w:rsidR="003E7D30">
              <w:rPr>
                <w:noProof/>
                <w:webHidden/>
              </w:rPr>
              <w:fldChar w:fldCharType="end"/>
            </w:r>
          </w:hyperlink>
        </w:p>
        <w:p w14:paraId="56078219" w14:textId="211B7375" w:rsidR="003E7D30" w:rsidRDefault="009A7742" w:rsidP="003E7D30">
          <w:pPr>
            <w:pStyle w:val="TOC1"/>
            <w:spacing w:line="480" w:lineRule="auto"/>
            <w:rPr>
              <w:rFonts w:asciiTheme="minorHAnsi" w:eastAsiaTheme="minorEastAsia" w:hAnsiTheme="minorHAnsi"/>
              <w:noProof/>
              <w:sz w:val="22"/>
            </w:rPr>
          </w:pPr>
          <w:hyperlink w:anchor="_Toc216595133" w:history="1">
            <w:r w:rsidR="001D3AED" w:rsidRPr="00391AF9">
              <w:rPr>
                <w:rStyle w:val="Hyperlink"/>
                <w:rFonts w:eastAsia="Times New Roman"/>
                <w:noProof/>
              </w:rPr>
              <w:t>ACKNOWLEDGEMENTS</w:t>
            </w:r>
            <w:r w:rsidR="001D3AED">
              <w:rPr>
                <w:noProof/>
                <w:webHidden/>
              </w:rPr>
              <w:tab/>
            </w:r>
            <w:r w:rsidR="003E7D30">
              <w:rPr>
                <w:noProof/>
                <w:webHidden/>
              </w:rPr>
              <w:fldChar w:fldCharType="begin"/>
            </w:r>
            <w:r w:rsidR="003E7D30">
              <w:rPr>
                <w:noProof/>
                <w:webHidden/>
              </w:rPr>
              <w:instrText xml:space="preserve"> PAGEREF _Toc216595133 \h </w:instrText>
            </w:r>
            <w:r w:rsidR="003E7D30">
              <w:rPr>
                <w:noProof/>
                <w:webHidden/>
              </w:rPr>
            </w:r>
            <w:r w:rsidR="003E7D30">
              <w:rPr>
                <w:noProof/>
                <w:webHidden/>
              </w:rPr>
              <w:fldChar w:fldCharType="separate"/>
            </w:r>
            <w:r w:rsidR="001D3AED">
              <w:rPr>
                <w:noProof/>
                <w:webHidden/>
              </w:rPr>
              <w:t>III</w:t>
            </w:r>
            <w:r w:rsidR="003E7D30">
              <w:rPr>
                <w:noProof/>
                <w:webHidden/>
              </w:rPr>
              <w:fldChar w:fldCharType="end"/>
            </w:r>
          </w:hyperlink>
        </w:p>
        <w:p w14:paraId="7916E726" w14:textId="1D930AAE" w:rsidR="003E7D30" w:rsidRDefault="009A7742" w:rsidP="003E7D30">
          <w:pPr>
            <w:pStyle w:val="TOC3"/>
            <w:rPr>
              <w:rFonts w:asciiTheme="minorHAnsi" w:eastAsiaTheme="minorEastAsia" w:hAnsiTheme="minorHAnsi" w:cstheme="minorBidi"/>
              <w:sz w:val="22"/>
            </w:rPr>
          </w:pPr>
          <w:hyperlink w:anchor="_Toc216595134" w:history="1">
            <w:r w:rsidR="001D3AED" w:rsidRPr="003E7D30">
              <w:rPr>
                <w:rStyle w:val="Hyperlink"/>
                <w:rFonts w:asciiTheme="majorBidi" w:hAnsiTheme="majorBidi" w:cstheme="majorBidi"/>
              </w:rPr>
              <w:t>ABSTRACT</w:t>
            </w:r>
            <w:r w:rsidR="001D3AED">
              <w:rPr>
                <w:webHidden/>
              </w:rPr>
              <w:tab/>
            </w:r>
            <w:r w:rsidR="003E7D30">
              <w:rPr>
                <w:webHidden/>
              </w:rPr>
              <w:fldChar w:fldCharType="begin"/>
            </w:r>
            <w:r w:rsidR="003E7D30">
              <w:rPr>
                <w:webHidden/>
              </w:rPr>
              <w:instrText xml:space="preserve"> PAGEREF _Toc216595134 \h </w:instrText>
            </w:r>
            <w:r w:rsidR="003E7D30">
              <w:rPr>
                <w:webHidden/>
              </w:rPr>
            </w:r>
            <w:r w:rsidR="003E7D30">
              <w:rPr>
                <w:webHidden/>
              </w:rPr>
              <w:fldChar w:fldCharType="separate"/>
            </w:r>
            <w:r w:rsidR="001D3AED">
              <w:rPr>
                <w:webHidden/>
              </w:rPr>
              <w:t>IV</w:t>
            </w:r>
            <w:r w:rsidR="003E7D30">
              <w:rPr>
                <w:webHidden/>
              </w:rPr>
              <w:fldChar w:fldCharType="end"/>
            </w:r>
          </w:hyperlink>
        </w:p>
        <w:p w14:paraId="7EAE967C" w14:textId="51051177" w:rsidR="003E7D30" w:rsidRDefault="009A7742" w:rsidP="003E7D30">
          <w:pPr>
            <w:pStyle w:val="TOC1"/>
            <w:spacing w:line="480" w:lineRule="auto"/>
            <w:rPr>
              <w:rFonts w:asciiTheme="minorHAnsi" w:eastAsiaTheme="minorEastAsia" w:hAnsiTheme="minorHAnsi"/>
              <w:noProof/>
              <w:sz w:val="22"/>
            </w:rPr>
          </w:pPr>
          <w:hyperlink w:anchor="_Toc216595135" w:history="1">
            <w:r w:rsidR="003E7D30" w:rsidRPr="00391AF9">
              <w:rPr>
                <w:rStyle w:val="Hyperlink"/>
                <w:noProof/>
              </w:rPr>
              <w:t>CHAPTER ONE</w:t>
            </w:r>
            <w:r w:rsidR="003E7D30">
              <w:rPr>
                <w:noProof/>
                <w:webHidden/>
              </w:rPr>
              <w:tab/>
            </w:r>
            <w:r w:rsidR="003E7D30">
              <w:rPr>
                <w:noProof/>
                <w:webHidden/>
              </w:rPr>
              <w:fldChar w:fldCharType="begin"/>
            </w:r>
            <w:r w:rsidR="003E7D30">
              <w:rPr>
                <w:noProof/>
                <w:webHidden/>
              </w:rPr>
              <w:instrText xml:space="preserve"> PAGEREF _Toc216595135 \h </w:instrText>
            </w:r>
            <w:r w:rsidR="003E7D30">
              <w:rPr>
                <w:noProof/>
                <w:webHidden/>
              </w:rPr>
            </w:r>
            <w:r w:rsidR="003E7D30">
              <w:rPr>
                <w:noProof/>
                <w:webHidden/>
              </w:rPr>
              <w:fldChar w:fldCharType="separate"/>
            </w:r>
            <w:r w:rsidR="001D3AED">
              <w:rPr>
                <w:noProof/>
                <w:webHidden/>
              </w:rPr>
              <w:t>1</w:t>
            </w:r>
            <w:r w:rsidR="003E7D30">
              <w:rPr>
                <w:noProof/>
                <w:webHidden/>
              </w:rPr>
              <w:fldChar w:fldCharType="end"/>
            </w:r>
          </w:hyperlink>
        </w:p>
        <w:p w14:paraId="0AD012A7" w14:textId="3B5FE692" w:rsidR="003E7D30" w:rsidRDefault="009A7742" w:rsidP="003E7D30">
          <w:pPr>
            <w:pStyle w:val="TOC1"/>
            <w:spacing w:line="480" w:lineRule="auto"/>
            <w:rPr>
              <w:rFonts w:asciiTheme="minorHAnsi" w:eastAsiaTheme="minorEastAsia" w:hAnsiTheme="minorHAnsi"/>
              <w:noProof/>
              <w:sz w:val="22"/>
            </w:rPr>
          </w:pPr>
          <w:hyperlink w:anchor="_Toc216595136" w:history="1">
            <w:r w:rsidR="003E7D30" w:rsidRPr="00391AF9">
              <w:rPr>
                <w:rStyle w:val="Hyperlink"/>
                <w:noProof/>
              </w:rPr>
              <w:t>1.1 Background of the Study</w:t>
            </w:r>
            <w:r w:rsidR="003E7D30">
              <w:rPr>
                <w:noProof/>
                <w:webHidden/>
              </w:rPr>
              <w:tab/>
            </w:r>
            <w:r w:rsidR="003E7D30">
              <w:rPr>
                <w:noProof/>
                <w:webHidden/>
              </w:rPr>
              <w:fldChar w:fldCharType="begin"/>
            </w:r>
            <w:r w:rsidR="003E7D30">
              <w:rPr>
                <w:noProof/>
                <w:webHidden/>
              </w:rPr>
              <w:instrText xml:space="preserve"> PAGEREF _Toc216595136 \h </w:instrText>
            </w:r>
            <w:r w:rsidR="003E7D30">
              <w:rPr>
                <w:noProof/>
                <w:webHidden/>
              </w:rPr>
            </w:r>
            <w:r w:rsidR="003E7D30">
              <w:rPr>
                <w:noProof/>
                <w:webHidden/>
              </w:rPr>
              <w:fldChar w:fldCharType="separate"/>
            </w:r>
            <w:r w:rsidR="001D3AED">
              <w:rPr>
                <w:noProof/>
                <w:webHidden/>
              </w:rPr>
              <w:t>1</w:t>
            </w:r>
            <w:r w:rsidR="003E7D30">
              <w:rPr>
                <w:noProof/>
                <w:webHidden/>
              </w:rPr>
              <w:fldChar w:fldCharType="end"/>
            </w:r>
          </w:hyperlink>
        </w:p>
        <w:p w14:paraId="6B685107" w14:textId="6041C845" w:rsidR="003E7D30" w:rsidRDefault="009A7742" w:rsidP="003E7D30">
          <w:pPr>
            <w:pStyle w:val="TOC1"/>
            <w:spacing w:line="480" w:lineRule="auto"/>
            <w:rPr>
              <w:rFonts w:asciiTheme="minorHAnsi" w:eastAsiaTheme="minorEastAsia" w:hAnsiTheme="minorHAnsi"/>
              <w:noProof/>
              <w:sz w:val="22"/>
            </w:rPr>
          </w:pPr>
          <w:hyperlink w:anchor="_Toc216595137" w:history="1">
            <w:r w:rsidR="003E7D30" w:rsidRPr="00391AF9">
              <w:rPr>
                <w:rStyle w:val="Hyperlink"/>
                <w:noProof/>
              </w:rPr>
              <w:t>1.2 Statement of the Problem</w:t>
            </w:r>
            <w:r w:rsidR="003E7D30">
              <w:rPr>
                <w:noProof/>
                <w:webHidden/>
              </w:rPr>
              <w:tab/>
            </w:r>
            <w:r w:rsidR="003E7D30">
              <w:rPr>
                <w:noProof/>
                <w:webHidden/>
              </w:rPr>
              <w:fldChar w:fldCharType="begin"/>
            </w:r>
            <w:r w:rsidR="003E7D30">
              <w:rPr>
                <w:noProof/>
                <w:webHidden/>
              </w:rPr>
              <w:instrText xml:space="preserve"> PAGEREF _Toc216595137 \h </w:instrText>
            </w:r>
            <w:r w:rsidR="003E7D30">
              <w:rPr>
                <w:noProof/>
                <w:webHidden/>
              </w:rPr>
            </w:r>
            <w:r w:rsidR="003E7D30">
              <w:rPr>
                <w:noProof/>
                <w:webHidden/>
              </w:rPr>
              <w:fldChar w:fldCharType="separate"/>
            </w:r>
            <w:r w:rsidR="001D3AED">
              <w:rPr>
                <w:noProof/>
                <w:webHidden/>
              </w:rPr>
              <w:t>3</w:t>
            </w:r>
            <w:r w:rsidR="003E7D30">
              <w:rPr>
                <w:noProof/>
                <w:webHidden/>
              </w:rPr>
              <w:fldChar w:fldCharType="end"/>
            </w:r>
          </w:hyperlink>
        </w:p>
        <w:p w14:paraId="1BF97ADF" w14:textId="2E2A8EDC" w:rsidR="003E7D30" w:rsidRDefault="009A7742" w:rsidP="003E7D30">
          <w:pPr>
            <w:pStyle w:val="TOC1"/>
            <w:spacing w:line="480" w:lineRule="auto"/>
            <w:rPr>
              <w:rFonts w:asciiTheme="minorHAnsi" w:eastAsiaTheme="minorEastAsia" w:hAnsiTheme="minorHAnsi"/>
              <w:noProof/>
              <w:sz w:val="22"/>
            </w:rPr>
          </w:pPr>
          <w:hyperlink w:anchor="_Toc216595138" w:history="1">
            <w:r w:rsidR="003E7D30" w:rsidRPr="00391AF9">
              <w:rPr>
                <w:rStyle w:val="Hyperlink"/>
                <w:noProof/>
              </w:rPr>
              <w:t>1.3 Aim and Objectives of the Study</w:t>
            </w:r>
            <w:r w:rsidR="003E7D30">
              <w:rPr>
                <w:noProof/>
                <w:webHidden/>
              </w:rPr>
              <w:tab/>
            </w:r>
            <w:r w:rsidR="003E7D30">
              <w:rPr>
                <w:noProof/>
                <w:webHidden/>
              </w:rPr>
              <w:fldChar w:fldCharType="begin"/>
            </w:r>
            <w:r w:rsidR="003E7D30">
              <w:rPr>
                <w:noProof/>
                <w:webHidden/>
              </w:rPr>
              <w:instrText xml:space="preserve"> PAGEREF _Toc216595138 \h </w:instrText>
            </w:r>
            <w:r w:rsidR="003E7D30">
              <w:rPr>
                <w:noProof/>
                <w:webHidden/>
              </w:rPr>
            </w:r>
            <w:r w:rsidR="003E7D30">
              <w:rPr>
                <w:noProof/>
                <w:webHidden/>
              </w:rPr>
              <w:fldChar w:fldCharType="separate"/>
            </w:r>
            <w:r w:rsidR="001D3AED">
              <w:rPr>
                <w:noProof/>
                <w:webHidden/>
              </w:rPr>
              <w:t>4</w:t>
            </w:r>
            <w:r w:rsidR="003E7D30">
              <w:rPr>
                <w:noProof/>
                <w:webHidden/>
              </w:rPr>
              <w:fldChar w:fldCharType="end"/>
            </w:r>
          </w:hyperlink>
        </w:p>
        <w:p w14:paraId="4CEB8445" w14:textId="69BF94BF" w:rsidR="003E7D30" w:rsidRDefault="009A7742" w:rsidP="003E7D30">
          <w:pPr>
            <w:pStyle w:val="TOC1"/>
            <w:spacing w:line="480" w:lineRule="auto"/>
            <w:rPr>
              <w:rFonts w:asciiTheme="minorHAnsi" w:eastAsiaTheme="minorEastAsia" w:hAnsiTheme="minorHAnsi"/>
              <w:noProof/>
              <w:sz w:val="22"/>
            </w:rPr>
          </w:pPr>
          <w:hyperlink w:anchor="_Toc216595139" w:history="1">
            <w:r w:rsidR="003E7D30" w:rsidRPr="00391AF9">
              <w:rPr>
                <w:rStyle w:val="Hyperlink"/>
                <w:noProof/>
              </w:rPr>
              <w:t>1.4 Justification of the Study</w:t>
            </w:r>
            <w:r w:rsidR="003E7D30">
              <w:rPr>
                <w:noProof/>
                <w:webHidden/>
              </w:rPr>
              <w:tab/>
            </w:r>
            <w:r w:rsidR="003E7D30">
              <w:rPr>
                <w:noProof/>
                <w:webHidden/>
              </w:rPr>
              <w:fldChar w:fldCharType="begin"/>
            </w:r>
            <w:r w:rsidR="003E7D30">
              <w:rPr>
                <w:noProof/>
                <w:webHidden/>
              </w:rPr>
              <w:instrText xml:space="preserve"> PAGEREF _Toc216595139 \h </w:instrText>
            </w:r>
            <w:r w:rsidR="003E7D30">
              <w:rPr>
                <w:noProof/>
                <w:webHidden/>
              </w:rPr>
            </w:r>
            <w:r w:rsidR="003E7D30">
              <w:rPr>
                <w:noProof/>
                <w:webHidden/>
              </w:rPr>
              <w:fldChar w:fldCharType="separate"/>
            </w:r>
            <w:r w:rsidR="001D3AED">
              <w:rPr>
                <w:noProof/>
                <w:webHidden/>
              </w:rPr>
              <w:t>3</w:t>
            </w:r>
            <w:r w:rsidR="003E7D30">
              <w:rPr>
                <w:noProof/>
                <w:webHidden/>
              </w:rPr>
              <w:fldChar w:fldCharType="end"/>
            </w:r>
          </w:hyperlink>
        </w:p>
        <w:p w14:paraId="023E1AF2" w14:textId="1AF2606D" w:rsidR="003E7D30" w:rsidRDefault="009A7742" w:rsidP="003E7D30">
          <w:pPr>
            <w:pStyle w:val="TOC1"/>
            <w:spacing w:line="480" w:lineRule="auto"/>
            <w:rPr>
              <w:rFonts w:asciiTheme="minorHAnsi" w:eastAsiaTheme="minorEastAsia" w:hAnsiTheme="minorHAnsi"/>
              <w:noProof/>
              <w:sz w:val="22"/>
            </w:rPr>
          </w:pPr>
          <w:hyperlink w:anchor="_Toc216595140" w:history="1">
            <w:r w:rsidR="003E7D30" w:rsidRPr="00391AF9">
              <w:rPr>
                <w:rStyle w:val="Hyperlink"/>
                <w:noProof/>
              </w:rPr>
              <w:t>1.5 Scope and Limitations</w:t>
            </w:r>
            <w:r w:rsidR="003E7D30">
              <w:rPr>
                <w:noProof/>
                <w:webHidden/>
              </w:rPr>
              <w:tab/>
            </w:r>
            <w:r w:rsidR="003E7D30">
              <w:rPr>
                <w:noProof/>
                <w:webHidden/>
              </w:rPr>
              <w:fldChar w:fldCharType="begin"/>
            </w:r>
            <w:r w:rsidR="003E7D30">
              <w:rPr>
                <w:noProof/>
                <w:webHidden/>
              </w:rPr>
              <w:instrText xml:space="preserve"> PAGEREF _Toc216595140 \h </w:instrText>
            </w:r>
            <w:r w:rsidR="003E7D30">
              <w:rPr>
                <w:noProof/>
                <w:webHidden/>
              </w:rPr>
            </w:r>
            <w:r w:rsidR="003E7D30">
              <w:rPr>
                <w:noProof/>
                <w:webHidden/>
              </w:rPr>
              <w:fldChar w:fldCharType="separate"/>
            </w:r>
            <w:r w:rsidR="001D3AED">
              <w:rPr>
                <w:noProof/>
                <w:webHidden/>
              </w:rPr>
              <w:t>4</w:t>
            </w:r>
            <w:r w:rsidR="003E7D30">
              <w:rPr>
                <w:noProof/>
                <w:webHidden/>
              </w:rPr>
              <w:fldChar w:fldCharType="end"/>
            </w:r>
          </w:hyperlink>
        </w:p>
        <w:p w14:paraId="239C5B28" w14:textId="08CA4175" w:rsidR="003E7D30" w:rsidRDefault="009A7742" w:rsidP="003E7D30">
          <w:pPr>
            <w:pStyle w:val="TOC1"/>
            <w:spacing w:line="480" w:lineRule="auto"/>
            <w:rPr>
              <w:rFonts w:asciiTheme="minorHAnsi" w:eastAsiaTheme="minorEastAsia" w:hAnsiTheme="minorHAnsi"/>
              <w:noProof/>
              <w:sz w:val="22"/>
            </w:rPr>
          </w:pPr>
          <w:hyperlink w:anchor="_Toc216595141" w:history="1">
            <w:r w:rsidR="003E7D30" w:rsidRPr="00391AF9">
              <w:rPr>
                <w:rStyle w:val="Hyperlink"/>
                <w:noProof/>
              </w:rPr>
              <w:t>CHAPTER TWO</w:t>
            </w:r>
            <w:r w:rsidR="003E7D30">
              <w:rPr>
                <w:noProof/>
                <w:webHidden/>
              </w:rPr>
              <w:tab/>
            </w:r>
            <w:r w:rsidR="003E7D30">
              <w:rPr>
                <w:noProof/>
                <w:webHidden/>
              </w:rPr>
              <w:fldChar w:fldCharType="begin"/>
            </w:r>
            <w:r w:rsidR="003E7D30">
              <w:rPr>
                <w:noProof/>
                <w:webHidden/>
              </w:rPr>
              <w:instrText xml:space="preserve"> PAGEREF _Toc216595141 \h </w:instrText>
            </w:r>
            <w:r w:rsidR="003E7D30">
              <w:rPr>
                <w:noProof/>
                <w:webHidden/>
              </w:rPr>
            </w:r>
            <w:r w:rsidR="003E7D30">
              <w:rPr>
                <w:noProof/>
                <w:webHidden/>
              </w:rPr>
              <w:fldChar w:fldCharType="separate"/>
            </w:r>
            <w:r w:rsidR="001D3AED">
              <w:rPr>
                <w:noProof/>
                <w:webHidden/>
              </w:rPr>
              <w:t>6</w:t>
            </w:r>
            <w:r w:rsidR="003E7D30">
              <w:rPr>
                <w:noProof/>
                <w:webHidden/>
              </w:rPr>
              <w:fldChar w:fldCharType="end"/>
            </w:r>
          </w:hyperlink>
        </w:p>
        <w:p w14:paraId="4061CB93" w14:textId="68C69DB3" w:rsidR="003E7D30" w:rsidRDefault="009A7742" w:rsidP="003E7D30">
          <w:pPr>
            <w:pStyle w:val="TOC1"/>
            <w:spacing w:line="480" w:lineRule="auto"/>
            <w:rPr>
              <w:rFonts w:asciiTheme="minorHAnsi" w:eastAsiaTheme="minorEastAsia" w:hAnsiTheme="minorHAnsi"/>
              <w:noProof/>
              <w:sz w:val="22"/>
            </w:rPr>
          </w:pPr>
          <w:hyperlink w:anchor="_Toc216595142" w:history="1">
            <w:r w:rsidR="003E7D30" w:rsidRPr="00391AF9">
              <w:rPr>
                <w:rStyle w:val="Hyperlink"/>
                <w:noProof/>
              </w:rPr>
              <w:t>2.1.1 Escherichia coli: Taxonomy, Physiology, and Environmental Relevance</w:t>
            </w:r>
            <w:r w:rsidR="003E7D30">
              <w:rPr>
                <w:noProof/>
                <w:webHidden/>
              </w:rPr>
              <w:tab/>
            </w:r>
            <w:r w:rsidR="003E7D30">
              <w:rPr>
                <w:noProof/>
                <w:webHidden/>
              </w:rPr>
              <w:fldChar w:fldCharType="begin"/>
            </w:r>
            <w:r w:rsidR="003E7D30">
              <w:rPr>
                <w:noProof/>
                <w:webHidden/>
              </w:rPr>
              <w:instrText xml:space="preserve"> PAGEREF _Toc216595142 \h </w:instrText>
            </w:r>
            <w:r w:rsidR="003E7D30">
              <w:rPr>
                <w:noProof/>
                <w:webHidden/>
              </w:rPr>
            </w:r>
            <w:r w:rsidR="003E7D30">
              <w:rPr>
                <w:noProof/>
                <w:webHidden/>
              </w:rPr>
              <w:fldChar w:fldCharType="separate"/>
            </w:r>
            <w:r w:rsidR="001D3AED">
              <w:rPr>
                <w:noProof/>
                <w:webHidden/>
              </w:rPr>
              <w:t>7</w:t>
            </w:r>
            <w:r w:rsidR="003E7D30">
              <w:rPr>
                <w:noProof/>
                <w:webHidden/>
              </w:rPr>
              <w:fldChar w:fldCharType="end"/>
            </w:r>
          </w:hyperlink>
        </w:p>
        <w:p w14:paraId="02CBA02C" w14:textId="21A84D3C" w:rsidR="003E7D30" w:rsidRDefault="009A7742" w:rsidP="003E7D30">
          <w:pPr>
            <w:pStyle w:val="TOC1"/>
            <w:spacing w:line="480" w:lineRule="auto"/>
            <w:rPr>
              <w:rFonts w:asciiTheme="minorHAnsi" w:eastAsiaTheme="minorEastAsia" w:hAnsiTheme="minorHAnsi"/>
              <w:noProof/>
              <w:sz w:val="22"/>
            </w:rPr>
          </w:pPr>
          <w:hyperlink w:anchor="_Toc216595143" w:history="1">
            <w:r w:rsidR="003E7D30" w:rsidRPr="00391AF9">
              <w:rPr>
                <w:rStyle w:val="Hyperlink"/>
                <w:noProof/>
              </w:rPr>
              <w:t>2.1.2 Riverine Microbial Ecology and Fecal Contamination Sources</w:t>
            </w:r>
            <w:r w:rsidR="003E7D30">
              <w:rPr>
                <w:noProof/>
                <w:webHidden/>
              </w:rPr>
              <w:tab/>
            </w:r>
            <w:r w:rsidR="003E7D30">
              <w:rPr>
                <w:noProof/>
                <w:webHidden/>
              </w:rPr>
              <w:fldChar w:fldCharType="begin"/>
            </w:r>
            <w:r w:rsidR="003E7D30">
              <w:rPr>
                <w:noProof/>
                <w:webHidden/>
              </w:rPr>
              <w:instrText xml:space="preserve"> PAGEREF _Toc216595143 \h </w:instrText>
            </w:r>
            <w:r w:rsidR="003E7D30">
              <w:rPr>
                <w:noProof/>
                <w:webHidden/>
              </w:rPr>
            </w:r>
            <w:r w:rsidR="003E7D30">
              <w:rPr>
                <w:noProof/>
                <w:webHidden/>
              </w:rPr>
              <w:fldChar w:fldCharType="separate"/>
            </w:r>
            <w:r w:rsidR="001D3AED">
              <w:rPr>
                <w:noProof/>
                <w:webHidden/>
              </w:rPr>
              <w:t>9</w:t>
            </w:r>
            <w:r w:rsidR="003E7D30">
              <w:rPr>
                <w:noProof/>
                <w:webHidden/>
              </w:rPr>
              <w:fldChar w:fldCharType="end"/>
            </w:r>
          </w:hyperlink>
        </w:p>
        <w:p w14:paraId="58CC5C53" w14:textId="5D2CD40E" w:rsidR="003E7D30" w:rsidRDefault="009A7742" w:rsidP="003E7D30">
          <w:pPr>
            <w:pStyle w:val="TOC1"/>
            <w:spacing w:line="480" w:lineRule="auto"/>
            <w:rPr>
              <w:rFonts w:asciiTheme="minorHAnsi" w:eastAsiaTheme="minorEastAsia" w:hAnsiTheme="minorHAnsi"/>
              <w:noProof/>
              <w:sz w:val="22"/>
            </w:rPr>
          </w:pPr>
          <w:hyperlink w:anchor="_Toc216595144" w:history="1">
            <w:r w:rsidR="003E7D30" w:rsidRPr="00391AF9">
              <w:rPr>
                <w:rStyle w:val="Hyperlink"/>
                <w:noProof/>
              </w:rPr>
              <w:t>2.1.3 Antibiotic Resistance Mechanisms in Bacteria</w:t>
            </w:r>
            <w:r w:rsidR="003E7D30">
              <w:rPr>
                <w:noProof/>
                <w:webHidden/>
              </w:rPr>
              <w:tab/>
            </w:r>
            <w:r w:rsidR="003E7D30">
              <w:rPr>
                <w:noProof/>
                <w:webHidden/>
              </w:rPr>
              <w:fldChar w:fldCharType="begin"/>
            </w:r>
            <w:r w:rsidR="003E7D30">
              <w:rPr>
                <w:noProof/>
                <w:webHidden/>
              </w:rPr>
              <w:instrText xml:space="preserve"> PAGEREF _Toc216595144 \h </w:instrText>
            </w:r>
            <w:r w:rsidR="003E7D30">
              <w:rPr>
                <w:noProof/>
                <w:webHidden/>
              </w:rPr>
            </w:r>
            <w:r w:rsidR="003E7D30">
              <w:rPr>
                <w:noProof/>
                <w:webHidden/>
              </w:rPr>
              <w:fldChar w:fldCharType="separate"/>
            </w:r>
            <w:r w:rsidR="001D3AED">
              <w:rPr>
                <w:noProof/>
                <w:webHidden/>
              </w:rPr>
              <w:t>11</w:t>
            </w:r>
            <w:r w:rsidR="003E7D30">
              <w:rPr>
                <w:noProof/>
                <w:webHidden/>
              </w:rPr>
              <w:fldChar w:fldCharType="end"/>
            </w:r>
          </w:hyperlink>
        </w:p>
        <w:p w14:paraId="32FEB9AB" w14:textId="0C9AFF27" w:rsidR="003E7D30" w:rsidRDefault="009A7742" w:rsidP="003E7D30">
          <w:pPr>
            <w:pStyle w:val="TOC1"/>
            <w:spacing w:line="480" w:lineRule="auto"/>
            <w:rPr>
              <w:rFonts w:asciiTheme="minorHAnsi" w:eastAsiaTheme="minorEastAsia" w:hAnsiTheme="minorHAnsi"/>
              <w:noProof/>
              <w:sz w:val="22"/>
            </w:rPr>
          </w:pPr>
          <w:hyperlink w:anchor="_Toc216595145" w:history="1">
            <w:r w:rsidR="003E7D30" w:rsidRPr="00391AF9">
              <w:rPr>
                <w:rStyle w:val="Hyperlink"/>
                <w:noProof/>
              </w:rPr>
              <w:t>2.1.4 Plasmid-Mediated Antimicrobial Resistance</w:t>
            </w:r>
            <w:r w:rsidR="003E7D30">
              <w:rPr>
                <w:noProof/>
                <w:webHidden/>
              </w:rPr>
              <w:tab/>
            </w:r>
            <w:r w:rsidR="003E7D30">
              <w:rPr>
                <w:noProof/>
                <w:webHidden/>
              </w:rPr>
              <w:fldChar w:fldCharType="begin"/>
            </w:r>
            <w:r w:rsidR="003E7D30">
              <w:rPr>
                <w:noProof/>
                <w:webHidden/>
              </w:rPr>
              <w:instrText xml:space="preserve"> PAGEREF _Toc216595145 \h </w:instrText>
            </w:r>
            <w:r w:rsidR="003E7D30">
              <w:rPr>
                <w:noProof/>
                <w:webHidden/>
              </w:rPr>
            </w:r>
            <w:r w:rsidR="003E7D30">
              <w:rPr>
                <w:noProof/>
                <w:webHidden/>
              </w:rPr>
              <w:fldChar w:fldCharType="separate"/>
            </w:r>
            <w:r w:rsidR="001D3AED">
              <w:rPr>
                <w:noProof/>
                <w:webHidden/>
              </w:rPr>
              <w:t>13</w:t>
            </w:r>
            <w:r w:rsidR="003E7D30">
              <w:rPr>
                <w:noProof/>
                <w:webHidden/>
              </w:rPr>
              <w:fldChar w:fldCharType="end"/>
            </w:r>
          </w:hyperlink>
        </w:p>
        <w:p w14:paraId="7125939C" w14:textId="21644A77" w:rsidR="003E7D30" w:rsidRDefault="009A7742" w:rsidP="003E7D30">
          <w:pPr>
            <w:pStyle w:val="TOC1"/>
            <w:spacing w:line="480" w:lineRule="auto"/>
            <w:rPr>
              <w:rFonts w:asciiTheme="minorHAnsi" w:eastAsiaTheme="minorEastAsia" w:hAnsiTheme="minorHAnsi"/>
              <w:noProof/>
              <w:sz w:val="22"/>
            </w:rPr>
          </w:pPr>
          <w:hyperlink w:anchor="_Toc216595146" w:history="1">
            <w:r w:rsidR="003E7D30" w:rsidRPr="00391AF9">
              <w:rPr>
                <w:rStyle w:val="Hyperlink"/>
                <w:noProof/>
              </w:rPr>
              <w:t>2.2 Conceptual Framework</w:t>
            </w:r>
            <w:r w:rsidR="003E7D30">
              <w:rPr>
                <w:noProof/>
                <w:webHidden/>
              </w:rPr>
              <w:tab/>
            </w:r>
            <w:r w:rsidR="003E7D30">
              <w:rPr>
                <w:noProof/>
                <w:webHidden/>
              </w:rPr>
              <w:fldChar w:fldCharType="begin"/>
            </w:r>
            <w:r w:rsidR="003E7D30">
              <w:rPr>
                <w:noProof/>
                <w:webHidden/>
              </w:rPr>
              <w:instrText xml:space="preserve"> PAGEREF _Toc216595146 \h </w:instrText>
            </w:r>
            <w:r w:rsidR="003E7D30">
              <w:rPr>
                <w:noProof/>
                <w:webHidden/>
              </w:rPr>
            </w:r>
            <w:r w:rsidR="003E7D30">
              <w:rPr>
                <w:noProof/>
                <w:webHidden/>
              </w:rPr>
              <w:fldChar w:fldCharType="separate"/>
            </w:r>
            <w:r w:rsidR="001D3AED">
              <w:rPr>
                <w:noProof/>
                <w:webHidden/>
              </w:rPr>
              <w:t>15</w:t>
            </w:r>
            <w:r w:rsidR="003E7D30">
              <w:rPr>
                <w:noProof/>
                <w:webHidden/>
              </w:rPr>
              <w:fldChar w:fldCharType="end"/>
            </w:r>
          </w:hyperlink>
        </w:p>
        <w:p w14:paraId="499CB43E" w14:textId="094D44A5" w:rsidR="003E7D30" w:rsidRDefault="009A7742" w:rsidP="003E7D30">
          <w:pPr>
            <w:pStyle w:val="TOC1"/>
            <w:spacing w:line="480" w:lineRule="auto"/>
            <w:rPr>
              <w:rFonts w:asciiTheme="minorHAnsi" w:eastAsiaTheme="minorEastAsia" w:hAnsiTheme="minorHAnsi"/>
              <w:noProof/>
              <w:sz w:val="22"/>
            </w:rPr>
          </w:pPr>
          <w:hyperlink w:anchor="_Toc216595147" w:history="1">
            <w:r w:rsidR="003E7D30" w:rsidRPr="00391AF9">
              <w:rPr>
                <w:rStyle w:val="Hyperlink"/>
                <w:noProof/>
              </w:rPr>
              <w:t>CHAPTER THREE</w:t>
            </w:r>
            <w:r w:rsidR="003E7D30">
              <w:rPr>
                <w:noProof/>
                <w:webHidden/>
              </w:rPr>
              <w:tab/>
            </w:r>
            <w:r w:rsidR="003E7D30">
              <w:rPr>
                <w:noProof/>
                <w:webHidden/>
              </w:rPr>
              <w:fldChar w:fldCharType="begin"/>
            </w:r>
            <w:r w:rsidR="003E7D30">
              <w:rPr>
                <w:noProof/>
                <w:webHidden/>
              </w:rPr>
              <w:instrText xml:space="preserve"> PAGEREF _Toc216595147 \h </w:instrText>
            </w:r>
            <w:r w:rsidR="003E7D30">
              <w:rPr>
                <w:noProof/>
                <w:webHidden/>
              </w:rPr>
            </w:r>
            <w:r w:rsidR="003E7D30">
              <w:rPr>
                <w:noProof/>
                <w:webHidden/>
              </w:rPr>
              <w:fldChar w:fldCharType="separate"/>
            </w:r>
            <w:r w:rsidR="001D3AED">
              <w:rPr>
                <w:noProof/>
                <w:webHidden/>
              </w:rPr>
              <w:t>17</w:t>
            </w:r>
            <w:r w:rsidR="003E7D30">
              <w:rPr>
                <w:noProof/>
                <w:webHidden/>
              </w:rPr>
              <w:fldChar w:fldCharType="end"/>
            </w:r>
          </w:hyperlink>
        </w:p>
        <w:p w14:paraId="1BBB9002" w14:textId="4C583838" w:rsidR="003E7D30" w:rsidRDefault="009A7742" w:rsidP="003E7D30">
          <w:pPr>
            <w:pStyle w:val="TOC1"/>
            <w:spacing w:line="480" w:lineRule="auto"/>
            <w:rPr>
              <w:rFonts w:asciiTheme="minorHAnsi" w:eastAsiaTheme="minorEastAsia" w:hAnsiTheme="minorHAnsi"/>
              <w:noProof/>
              <w:sz w:val="22"/>
            </w:rPr>
          </w:pPr>
          <w:hyperlink w:anchor="_Toc216595148" w:history="1">
            <w:r w:rsidR="003E7D30" w:rsidRPr="00391AF9">
              <w:rPr>
                <w:rStyle w:val="Hyperlink"/>
                <w:noProof/>
              </w:rPr>
              <w:t>3.1 Study Area</w:t>
            </w:r>
            <w:r w:rsidR="003E7D30">
              <w:rPr>
                <w:noProof/>
                <w:webHidden/>
              </w:rPr>
              <w:tab/>
            </w:r>
            <w:r w:rsidR="003E7D30">
              <w:rPr>
                <w:noProof/>
                <w:webHidden/>
              </w:rPr>
              <w:fldChar w:fldCharType="begin"/>
            </w:r>
            <w:r w:rsidR="003E7D30">
              <w:rPr>
                <w:noProof/>
                <w:webHidden/>
              </w:rPr>
              <w:instrText xml:space="preserve"> PAGEREF _Toc216595148 \h </w:instrText>
            </w:r>
            <w:r w:rsidR="003E7D30">
              <w:rPr>
                <w:noProof/>
                <w:webHidden/>
              </w:rPr>
            </w:r>
            <w:r w:rsidR="003E7D30">
              <w:rPr>
                <w:noProof/>
                <w:webHidden/>
              </w:rPr>
              <w:fldChar w:fldCharType="separate"/>
            </w:r>
            <w:r w:rsidR="001D3AED">
              <w:rPr>
                <w:noProof/>
                <w:webHidden/>
              </w:rPr>
              <w:t>17</w:t>
            </w:r>
            <w:r w:rsidR="003E7D30">
              <w:rPr>
                <w:noProof/>
                <w:webHidden/>
              </w:rPr>
              <w:fldChar w:fldCharType="end"/>
            </w:r>
          </w:hyperlink>
        </w:p>
        <w:p w14:paraId="05905C45" w14:textId="4FD51B54" w:rsidR="003E7D30" w:rsidRDefault="009A7742" w:rsidP="003E7D30">
          <w:pPr>
            <w:pStyle w:val="TOC1"/>
            <w:spacing w:line="480" w:lineRule="auto"/>
            <w:rPr>
              <w:rFonts w:asciiTheme="minorHAnsi" w:eastAsiaTheme="minorEastAsia" w:hAnsiTheme="minorHAnsi"/>
              <w:noProof/>
              <w:sz w:val="22"/>
            </w:rPr>
          </w:pPr>
          <w:hyperlink w:anchor="_Toc216595149" w:history="1">
            <w:r w:rsidR="003E7D30" w:rsidRPr="00391AF9">
              <w:rPr>
                <w:rStyle w:val="Hyperlink"/>
                <w:noProof/>
              </w:rPr>
              <w:t>3.2 Sample Collection</w:t>
            </w:r>
            <w:r w:rsidR="003E7D30">
              <w:rPr>
                <w:noProof/>
                <w:webHidden/>
              </w:rPr>
              <w:tab/>
            </w:r>
            <w:r w:rsidR="003E7D30">
              <w:rPr>
                <w:noProof/>
                <w:webHidden/>
              </w:rPr>
              <w:fldChar w:fldCharType="begin"/>
            </w:r>
            <w:r w:rsidR="003E7D30">
              <w:rPr>
                <w:noProof/>
                <w:webHidden/>
              </w:rPr>
              <w:instrText xml:space="preserve"> PAGEREF _Toc216595149 \h </w:instrText>
            </w:r>
            <w:r w:rsidR="003E7D30">
              <w:rPr>
                <w:noProof/>
                <w:webHidden/>
              </w:rPr>
            </w:r>
            <w:r w:rsidR="003E7D30">
              <w:rPr>
                <w:noProof/>
                <w:webHidden/>
              </w:rPr>
              <w:fldChar w:fldCharType="separate"/>
            </w:r>
            <w:r w:rsidR="001D3AED">
              <w:rPr>
                <w:noProof/>
                <w:webHidden/>
              </w:rPr>
              <w:t>17</w:t>
            </w:r>
            <w:r w:rsidR="003E7D30">
              <w:rPr>
                <w:noProof/>
                <w:webHidden/>
              </w:rPr>
              <w:fldChar w:fldCharType="end"/>
            </w:r>
          </w:hyperlink>
        </w:p>
        <w:p w14:paraId="0E3077BF" w14:textId="7633403F" w:rsidR="003E7D30" w:rsidRDefault="009A7742" w:rsidP="003E7D30">
          <w:pPr>
            <w:pStyle w:val="TOC1"/>
            <w:spacing w:line="480" w:lineRule="auto"/>
            <w:rPr>
              <w:rFonts w:asciiTheme="minorHAnsi" w:eastAsiaTheme="minorEastAsia" w:hAnsiTheme="minorHAnsi"/>
              <w:noProof/>
              <w:sz w:val="22"/>
            </w:rPr>
          </w:pPr>
          <w:hyperlink w:anchor="_Toc216595150" w:history="1">
            <w:r w:rsidR="003E7D30" w:rsidRPr="00391AF9">
              <w:rPr>
                <w:rStyle w:val="Hyperlink"/>
                <w:noProof/>
              </w:rPr>
              <w:t>3.3 Materials, Reagents, and Instruments</w:t>
            </w:r>
            <w:r w:rsidR="003E7D30">
              <w:rPr>
                <w:noProof/>
                <w:webHidden/>
              </w:rPr>
              <w:tab/>
            </w:r>
            <w:r w:rsidR="003E7D30">
              <w:rPr>
                <w:noProof/>
                <w:webHidden/>
              </w:rPr>
              <w:fldChar w:fldCharType="begin"/>
            </w:r>
            <w:r w:rsidR="003E7D30">
              <w:rPr>
                <w:noProof/>
                <w:webHidden/>
              </w:rPr>
              <w:instrText xml:space="preserve"> PAGEREF _Toc216595150 \h </w:instrText>
            </w:r>
            <w:r w:rsidR="003E7D30">
              <w:rPr>
                <w:noProof/>
                <w:webHidden/>
              </w:rPr>
            </w:r>
            <w:r w:rsidR="003E7D30">
              <w:rPr>
                <w:noProof/>
                <w:webHidden/>
              </w:rPr>
              <w:fldChar w:fldCharType="separate"/>
            </w:r>
            <w:r w:rsidR="001D3AED">
              <w:rPr>
                <w:noProof/>
                <w:webHidden/>
              </w:rPr>
              <w:t>18</w:t>
            </w:r>
            <w:r w:rsidR="003E7D30">
              <w:rPr>
                <w:noProof/>
                <w:webHidden/>
              </w:rPr>
              <w:fldChar w:fldCharType="end"/>
            </w:r>
          </w:hyperlink>
        </w:p>
        <w:p w14:paraId="746E8219" w14:textId="61DCF5BD" w:rsidR="003E7D30" w:rsidRDefault="009A7742" w:rsidP="003E7D30">
          <w:pPr>
            <w:pStyle w:val="TOC1"/>
            <w:spacing w:line="480" w:lineRule="auto"/>
            <w:rPr>
              <w:rFonts w:asciiTheme="minorHAnsi" w:eastAsiaTheme="minorEastAsia" w:hAnsiTheme="minorHAnsi"/>
              <w:noProof/>
              <w:sz w:val="22"/>
            </w:rPr>
          </w:pPr>
          <w:hyperlink w:anchor="_Toc216595151" w:history="1">
            <w:r w:rsidR="003E7D30" w:rsidRPr="00391AF9">
              <w:rPr>
                <w:rStyle w:val="Hyperlink"/>
                <w:noProof/>
              </w:rPr>
              <w:t>3.4 Isolation and Identification of Escherichia coli</w:t>
            </w:r>
            <w:r w:rsidR="003E7D30">
              <w:rPr>
                <w:noProof/>
                <w:webHidden/>
              </w:rPr>
              <w:tab/>
            </w:r>
            <w:r w:rsidR="003E7D30">
              <w:rPr>
                <w:noProof/>
                <w:webHidden/>
              </w:rPr>
              <w:fldChar w:fldCharType="begin"/>
            </w:r>
            <w:r w:rsidR="003E7D30">
              <w:rPr>
                <w:noProof/>
                <w:webHidden/>
              </w:rPr>
              <w:instrText xml:space="preserve"> PAGEREF _Toc216595151 \h </w:instrText>
            </w:r>
            <w:r w:rsidR="003E7D30">
              <w:rPr>
                <w:noProof/>
                <w:webHidden/>
              </w:rPr>
            </w:r>
            <w:r w:rsidR="003E7D30">
              <w:rPr>
                <w:noProof/>
                <w:webHidden/>
              </w:rPr>
              <w:fldChar w:fldCharType="separate"/>
            </w:r>
            <w:r w:rsidR="001D3AED">
              <w:rPr>
                <w:noProof/>
                <w:webHidden/>
              </w:rPr>
              <w:t>20</w:t>
            </w:r>
            <w:r w:rsidR="003E7D30">
              <w:rPr>
                <w:noProof/>
                <w:webHidden/>
              </w:rPr>
              <w:fldChar w:fldCharType="end"/>
            </w:r>
          </w:hyperlink>
        </w:p>
        <w:p w14:paraId="4E81DD43" w14:textId="50AF2864" w:rsidR="003E7D30" w:rsidRDefault="009A7742" w:rsidP="003E7D30">
          <w:pPr>
            <w:pStyle w:val="TOC1"/>
            <w:spacing w:line="480" w:lineRule="auto"/>
            <w:rPr>
              <w:rFonts w:asciiTheme="minorHAnsi" w:eastAsiaTheme="minorEastAsia" w:hAnsiTheme="minorHAnsi"/>
              <w:noProof/>
              <w:sz w:val="22"/>
            </w:rPr>
          </w:pPr>
          <w:hyperlink w:anchor="_Toc216595152" w:history="1">
            <w:r w:rsidR="003E7D30" w:rsidRPr="00391AF9">
              <w:rPr>
                <w:rStyle w:val="Hyperlink"/>
                <w:noProof/>
              </w:rPr>
              <w:t>3.5 Antibiotic Susceptibility Testing</w:t>
            </w:r>
            <w:r w:rsidR="003E7D30">
              <w:rPr>
                <w:noProof/>
                <w:webHidden/>
              </w:rPr>
              <w:tab/>
            </w:r>
            <w:r w:rsidR="003E7D30">
              <w:rPr>
                <w:noProof/>
                <w:webHidden/>
              </w:rPr>
              <w:fldChar w:fldCharType="begin"/>
            </w:r>
            <w:r w:rsidR="003E7D30">
              <w:rPr>
                <w:noProof/>
                <w:webHidden/>
              </w:rPr>
              <w:instrText xml:space="preserve"> PAGEREF _Toc216595152 \h </w:instrText>
            </w:r>
            <w:r w:rsidR="003E7D30">
              <w:rPr>
                <w:noProof/>
                <w:webHidden/>
              </w:rPr>
            </w:r>
            <w:r w:rsidR="003E7D30">
              <w:rPr>
                <w:noProof/>
                <w:webHidden/>
              </w:rPr>
              <w:fldChar w:fldCharType="separate"/>
            </w:r>
            <w:r w:rsidR="001D3AED">
              <w:rPr>
                <w:noProof/>
                <w:webHidden/>
              </w:rPr>
              <w:t>21</w:t>
            </w:r>
            <w:r w:rsidR="003E7D30">
              <w:rPr>
                <w:noProof/>
                <w:webHidden/>
              </w:rPr>
              <w:fldChar w:fldCharType="end"/>
            </w:r>
          </w:hyperlink>
        </w:p>
        <w:p w14:paraId="671227A2" w14:textId="47218EE7" w:rsidR="003E7D30" w:rsidRDefault="009A7742" w:rsidP="003E7D30">
          <w:pPr>
            <w:pStyle w:val="TOC1"/>
            <w:spacing w:line="480" w:lineRule="auto"/>
            <w:rPr>
              <w:rFonts w:asciiTheme="minorHAnsi" w:eastAsiaTheme="minorEastAsia" w:hAnsiTheme="minorHAnsi"/>
              <w:noProof/>
              <w:sz w:val="22"/>
            </w:rPr>
          </w:pPr>
          <w:hyperlink w:anchor="_Toc216595153" w:history="1">
            <w:r w:rsidR="003E7D30" w:rsidRPr="00391AF9">
              <w:rPr>
                <w:rStyle w:val="Hyperlink"/>
                <w:noProof/>
              </w:rPr>
              <w:t>3.6 Plasmid Extraction</w:t>
            </w:r>
            <w:r w:rsidR="003E7D30">
              <w:rPr>
                <w:noProof/>
                <w:webHidden/>
              </w:rPr>
              <w:tab/>
            </w:r>
            <w:r w:rsidR="003E7D30">
              <w:rPr>
                <w:noProof/>
                <w:webHidden/>
              </w:rPr>
              <w:fldChar w:fldCharType="begin"/>
            </w:r>
            <w:r w:rsidR="003E7D30">
              <w:rPr>
                <w:noProof/>
                <w:webHidden/>
              </w:rPr>
              <w:instrText xml:space="preserve"> PAGEREF _Toc216595153 \h </w:instrText>
            </w:r>
            <w:r w:rsidR="003E7D30">
              <w:rPr>
                <w:noProof/>
                <w:webHidden/>
              </w:rPr>
            </w:r>
            <w:r w:rsidR="003E7D30">
              <w:rPr>
                <w:noProof/>
                <w:webHidden/>
              </w:rPr>
              <w:fldChar w:fldCharType="separate"/>
            </w:r>
            <w:r w:rsidR="001D3AED">
              <w:rPr>
                <w:noProof/>
                <w:webHidden/>
              </w:rPr>
              <w:t>22</w:t>
            </w:r>
            <w:r w:rsidR="003E7D30">
              <w:rPr>
                <w:noProof/>
                <w:webHidden/>
              </w:rPr>
              <w:fldChar w:fldCharType="end"/>
            </w:r>
          </w:hyperlink>
        </w:p>
        <w:p w14:paraId="3E8758F4" w14:textId="0611083F" w:rsidR="003E7D30" w:rsidRDefault="009A7742" w:rsidP="003E7D30">
          <w:pPr>
            <w:pStyle w:val="TOC1"/>
            <w:spacing w:line="480" w:lineRule="auto"/>
            <w:rPr>
              <w:rFonts w:asciiTheme="minorHAnsi" w:eastAsiaTheme="minorEastAsia" w:hAnsiTheme="minorHAnsi"/>
              <w:noProof/>
              <w:sz w:val="22"/>
            </w:rPr>
          </w:pPr>
          <w:hyperlink w:anchor="_Toc216595154" w:history="1">
            <w:r w:rsidR="003E7D30" w:rsidRPr="00391AF9">
              <w:rPr>
                <w:rStyle w:val="Hyperlink"/>
                <w:noProof/>
              </w:rPr>
              <w:t>3.7 Agarose Gel Electrophoresis</w:t>
            </w:r>
            <w:r w:rsidR="003E7D30">
              <w:rPr>
                <w:noProof/>
                <w:webHidden/>
              </w:rPr>
              <w:tab/>
            </w:r>
            <w:r w:rsidR="003E7D30">
              <w:rPr>
                <w:noProof/>
                <w:webHidden/>
              </w:rPr>
              <w:fldChar w:fldCharType="begin"/>
            </w:r>
            <w:r w:rsidR="003E7D30">
              <w:rPr>
                <w:noProof/>
                <w:webHidden/>
              </w:rPr>
              <w:instrText xml:space="preserve"> PAGEREF _Toc216595154 \h </w:instrText>
            </w:r>
            <w:r w:rsidR="003E7D30">
              <w:rPr>
                <w:noProof/>
                <w:webHidden/>
              </w:rPr>
            </w:r>
            <w:r w:rsidR="003E7D30">
              <w:rPr>
                <w:noProof/>
                <w:webHidden/>
              </w:rPr>
              <w:fldChar w:fldCharType="separate"/>
            </w:r>
            <w:r w:rsidR="001D3AED">
              <w:rPr>
                <w:noProof/>
                <w:webHidden/>
              </w:rPr>
              <w:t>23</w:t>
            </w:r>
            <w:r w:rsidR="003E7D30">
              <w:rPr>
                <w:noProof/>
                <w:webHidden/>
              </w:rPr>
              <w:fldChar w:fldCharType="end"/>
            </w:r>
          </w:hyperlink>
        </w:p>
        <w:p w14:paraId="696C6014" w14:textId="09946D8D" w:rsidR="003E7D30" w:rsidRDefault="009A7742" w:rsidP="003E7D30">
          <w:pPr>
            <w:pStyle w:val="TOC1"/>
            <w:spacing w:line="480" w:lineRule="auto"/>
            <w:rPr>
              <w:rFonts w:asciiTheme="minorHAnsi" w:eastAsiaTheme="minorEastAsia" w:hAnsiTheme="minorHAnsi"/>
              <w:noProof/>
              <w:sz w:val="22"/>
            </w:rPr>
          </w:pPr>
          <w:hyperlink w:anchor="_Toc216595155" w:history="1">
            <w:r w:rsidR="003E7D30" w:rsidRPr="00391AF9">
              <w:rPr>
                <w:rStyle w:val="Hyperlink"/>
                <w:noProof/>
              </w:rPr>
              <w:t>CHAPTER FOUR</w:t>
            </w:r>
            <w:r w:rsidR="003E7D30">
              <w:rPr>
                <w:noProof/>
                <w:webHidden/>
              </w:rPr>
              <w:tab/>
            </w:r>
            <w:r w:rsidR="003E7D30">
              <w:rPr>
                <w:noProof/>
                <w:webHidden/>
              </w:rPr>
              <w:fldChar w:fldCharType="begin"/>
            </w:r>
            <w:r w:rsidR="003E7D30">
              <w:rPr>
                <w:noProof/>
                <w:webHidden/>
              </w:rPr>
              <w:instrText xml:space="preserve"> PAGEREF _Toc216595155 \h </w:instrText>
            </w:r>
            <w:r w:rsidR="003E7D30">
              <w:rPr>
                <w:noProof/>
                <w:webHidden/>
              </w:rPr>
            </w:r>
            <w:r w:rsidR="003E7D30">
              <w:rPr>
                <w:noProof/>
                <w:webHidden/>
              </w:rPr>
              <w:fldChar w:fldCharType="separate"/>
            </w:r>
            <w:r w:rsidR="001D3AED">
              <w:rPr>
                <w:noProof/>
                <w:webHidden/>
              </w:rPr>
              <w:t>24</w:t>
            </w:r>
            <w:r w:rsidR="003E7D30">
              <w:rPr>
                <w:noProof/>
                <w:webHidden/>
              </w:rPr>
              <w:fldChar w:fldCharType="end"/>
            </w:r>
          </w:hyperlink>
        </w:p>
        <w:p w14:paraId="7DAEDE7E" w14:textId="36EFB192" w:rsidR="003E7D30" w:rsidRDefault="009A7742" w:rsidP="003E7D30">
          <w:pPr>
            <w:pStyle w:val="TOC1"/>
            <w:spacing w:line="480" w:lineRule="auto"/>
            <w:rPr>
              <w:rFonts w:asciiTheme="minorHAnsi" w:eastAsiaTheme="minorEastAsia" w:hAnsiTheme="minorHAnsi"/>
              <w:noProof/>
              <w:sz w:val="22"/>
            </w:rPr>
          </w:pPr>
          <w:hyperlink w:anchor="_Toc216595156" w:history="1">
            <w:r w:rsidR="003E7D30" w:rsidRPr="00391AF9">
              <w:rPr>
                <w:rStyle w:val="Hyperlink"/>
                <w:noProof/>
              </w:rPr>
              <w:t>4.1 Results</w:t>
            </w:r>
            <w:r w:rsidR="003E7D30">
              <w:rPr>
                <w:noProof/>
                <w:webHidden/>
              </w:rPr>
              <w:tab/>
            </w:r>
            <w:r w:rsidR="003E7D30">
              <w:rPr>
                <w:noProof/>
                <w:webHidden/>
              </w:rPr>
              <w:fldChar w:fldCharType="begin"/>
            </w:r>
            <w:r w:rsidR="003E7D30">
              <w:rPr>
                <w:noProof/>
                <w:webHidden/>
              </w:rPr>
              <w:instrText xml:space="preserve"> PAGEREF _Toc216595156 \h </w:instrText>
            </w:r>
            <w:r w:rsidR="003E7D30">
              <w:rPr>
                <w:noProof/>
                <w:webHidden/>
              </w:rPr>
            </w:r>
            <w:r w:rsidR="003E7D30">
              <w:rPr>
                <w:noProof/>
                <w:webHidden/>
              </w:rPr>
              <w:fldChar w:fldCharType="separate"/>
            </w:r>
            <w:r w:rsidR="001D3AED">
              <w:rPr>
                <w:noProof/>
                <w:webHidden/>
              </w:rPr>
              <w:t>24</w:t>
            </w:r>
            <w:r w:rsidR="003E7D30">
              <w:rPr>
                <w:noProof/>
                <w:webHidden/>
              </w:rPr>
              <w:fldChar w:fldCharType="end"/>
            </w:r>
          </w:hyperlink>
        </w:p>
        <w:p w14:paraId="389A71F3" w14:textId="0120B31C" w:rsidR="003E7D30" w:rsidRDefault="009A7742" w:rsidP="003E7D30">
          <w:pPr>
            <w:pStyle w:val="TOC1"/>
            <w:spacing w:line="480" w:lineRule="auto"/>
            <w:rPr>
              <w:rFonts w:asciiTheme="minorHAnsi" w:eastAsiaTheme="minorEastAsia" w:hAnsiTheme="minorHAnsi"/>
              <w:noProof/>
              <w:sz w:val="22"/>
            </w:rPr>
          </w:pPr>
          <w:hyperlink w:anchor="_Toc216595157" w:history="1">
            <w:r w:rsidR="003E7D30" w:rsidRPr="00391AF9">
              <w:rPr>
                <w:rStyle w:val="Hyperlink"/>
                <w:noProof/>
              </w:rPr>
              <w:t>4.1.1 Biochemical Identification of Isolates</w:t>
            </w:r>
            <w:r w:rsidR="003E7D30">
              <w:rPr>
                <w:noProof/>
                <w:webHidden/>
              </w:rPr>
              <w:tab/>
            </w:r>
            <w:r w:rsidR="003E7D30">
              <w:rPr>
                <w:noProof/>
                <w:webHidden/>
              </w:rPr>
              <w:fldChar w:fldCharType="begin"/>
            </w:r>
            <w:r w:rsidR="003E7D30">
              <w:rPr>
                <w:noProof/>
                <w:webHidden/>
              </w:rPr>
              <w:instrText xml:space="preserve"> PAGEREF _Toc216595157 \h </w:instrText>
            </w:r>
            <w:r w:rsidR="003E7D30">
              <w:rPr>
                <w:noProof/>
                <w:webHidden/>
              </w:rPr>
            </w:r>
            <w:r w:rsidR="003E7D30">
              <w:rPr>
                <w:noProof/>
                <w:webHidden/>
              </w:rPr>
              <w:fldChar w:fldCharType="separate"/>
            </w:r>
            <w:r w:rsidR="001D3AED">
              <w:rPr>
                <w:noProof/>
                <w:webHidden/>
              </w:rPr>
              <w:t>24</w:t>
            </w:r>
            <w:r w:rsidR="003E7D30">
              <w:rPr>
                <w:noProof/>
                <w:webHidden/>
              </w:rPr>
              <w:fldChar w:fldCharType="end"/>
            </w:r>
          </w:hyperlink>
        </w:p>
        <w:p w14:paraId="18123997" w14:textId="54361300" w:rsidR="003E7D30" w:rsidRDefault="009A7742" w:rsidP="003E7D30">
          <w:pPr>
            <w:pStyle w:val="TOC1"/>
            <w:spacing w:line="480" w:lineRule="auto"/>
            <w:rPr>
              <w:rFonts w:asciiTheme="minorHAnsi" w:eastAsiaTheme="minorEastAsia" w:hAnsiTheme="minorHAnsi"/>
              <w:noProof/>
              <w:sz w:val="22"/>
            </w:rPr>
          </w:pPr>
          <w:hyperlink w:anchor="_Toc216595158" w:history="1">
            <w:r w:rsidR="003E7D30" w:rsidRPr="00391AF9">
              <w:rPr>
                <w:rStyle w:val="Hyperlink"/>
                <w:noProof/>
              </w:rPr>
              <w:t>4.1.2 Most Probable Number (MPN) of Coliforms</w:t>
            </w:r>
            <w:r w:rsidR="003E7D30">
              <w:rPr>
                <w:noProof/>
                <w:webHidden/>
              </w:rPr>
              <w:tab/>
            </w:r>
            <w:r w:rsidR="003E7D30">
              <w:rPr>
                <w:noProof/>
                <w:webHidden/>
              </w:rPr>
              <w:fldChar w:fldCharType="begin"/>
            </w:r>
            <w:r w:rsidR="003E7D30">
              <w:rPr>
                <w:noProof/>
                <w:webHidden/>
              </w:rPr>
              <w:instrText xml:space="preserve"> PAGEREF _Toc216595158 \h </w:instrText>
            </w:r>
            <w:r w:rsidR="003E7D30">
              <w:rPr>
                <w:noProof/>
                <w:webHidden/>
              </w:rPr>
            </w:r>
            <w:r w:rsidR="003E7D30">
              <w:rPr>
                <w:noProof/>
                <w:webHidden/>
              </w:rPr>
              <w:fldChar w:fldCharType="separate"/>
            </w:r>
            <w:r w:rsidR="001D3AED">
              <w:rPr>
                <w:noProof/>
                <w:webHidden/>
              </w:rPr>
              <w:t>25</w:t>
            </w:r>
            <w:r w:rsidR="003E7D30">
              <w:rPr>
                <w:noProof/>
                <w:webHidden/>
              </w:rPr>
              <w:fldChar w:fldCharType="end"/>
            </w:r>
          </w:hyperlink>
        </w:p>
        <w:p w14:paraId="0E38262F" w14:textId="21AE4B40" w:rsidR="003E7D30" w:rsidRDefault="009A7742" w:rsidP="003E7D30">
          <w:pPr>
            <w:pStyle w:val="TOC1"/>
            <w:spacing w:line="480" w:lineRule="auto"/>
            <w:rPr>
              <w:rFonts w:asciiTheme="minorHAnsi" w:eastAsiaTheme="minorEastAsia" w:hAnsiTheme="minorHAnsi"/>
              <w:noProof/>
              <w:sz w:val="22"/>
            </w:rPr>
          </w:pPr>
          <w:hyperlink w:anchor="_Toc216595159" w:history="1">
            <w:r w:rsidR="003E7D30" w:rsidRPr="00391AF9">
              <w:rPr>
                <w:rStyle w:val="Hyperlink"/>
                <w:noProof/>
              </w:rPr>
              <w:t>4.1.3 Antibiotic Susceptibility Profiles of Isolates</w:t>
            </w:r>
            <w:r w:rsidR="003E7D30">
              <w:rPr>
                <w:noProof/>
                <w:webHidden/>
              </w:rPr>
              <w:tab/>
            </w:r>
            <w:r w:rsidR="003E7D30">
              <w:rPr>
                <w:noProof/>
                <w:webHidden/>
              </w:rPr>
              <w:fldChar w:fldCharType="begin"/>
            </w:r>
            <w:r w:rsidR="003E7D30">
              <w:rPr>
                <w:noProof/>
                <w:webHidden/>
              </w:rPr>
              <w:instrText xml:space="preserve"> PAGEREF _Toc216595159 \h </w:instrText>
            </w:r>
            <w:r w:rsidR="003E7D30">
              <w:rPr>
                <w:noProof/>
                <w:webHidden/>
              </w:rPr>
            </w:r>
            <w:r w:rsidR="003E7D30">
              <w:rPr>
                <w:noProof/>
                <w:webHidden/>
              </w:rPr>
              <w:fldChar w:fldCharType="separate"/>
            </w:r>
            <w:r w:rsidR="001D3AED">
              <w:rPr>
                <w:noProof/>
                <w:webHidden/>
              </w:rPr>
              <w:t>26</w:t>
            </w:r>
            <w:r w:rsidR="003E7D30">
              <w:rPr>
                <w:noProof/>
                <w:webHidden/>
              </w:rPr>
              <w:fldChar w:fldCharType="end"/>
            </w:r>
          </w:hyperlink>
        </w:p>
        <w:p w14:paraId="1B1D81C3" w14:textId="10CBD3BD" w:rsidR="003E7D30" w:rsidRDefault="009A7742" w:rsidP="003E7D30">
          <w:pPr>
            <w:pStyle w:val="TOC1"/>
            <w:spacing w:line="480" w:lineRule="auto"/>
            <w:rPr>
              <w:rFonts w:asciiTheme="minorHAnsi" w:eastAsiaTheme="minorEastAsia" w:hAnsiTheme="minorHAnsi"/>
              <w:noProof/>
              <w:sz w:val="22"/>
            </w:rPr>
          </w:pPr>
          <w:hyperlink w:anchor="_Toc216595160" w:history="1">
            <w:r w:rsidR="003E7D30" w:rsidRPr="00391AF9">
              <w:rPr>
                <w:rStyle w:val="Hyperlink"/>
                <w:noProof/>
              </w:rPr>
              <w:t>4.1.4 Plasmid Profile Analysis</w:t>
            </w:r>
            <w:r w:rsidR="003E7D30">
              <w:rPr>
                <w:noProof/>
                <w:webHidden/>
              </w:rPr>
              <w:tab/>
            </w:r>
            <w:r w:rsidR="003E7D30">
              <w:rPr>
                <w:noProof/>
                <w:webHidden/>
              </w:rPr>
              <w:fldChar w:fldCharType="begin"/>
            </w:r>
            <w:r w:rsidR="003E7D30">
              <w:rPr>
                <w:noProof/>
                <w:webHidden/>
              </w:rPr>
              <w:instrText xml:space="preserve"> PAGEREF _Toc216595160 \h </w:instrText>
            </w:r>
            <w:r w:rsidR="003E7D30">
              <w:rPr>
                <w:noProof/>
                <w:webHidden/>
              </w:rPr>
            </w:r>
            <w:r w:rsidR="003E7D30">
              <w:rPr>
                <w:noProof/>
                <w:webHidden/>
              </w:rPr>
              <w:fldChar w:fldCharType="separate"/>
            </w:r>
            <w:r w:rsidR="001D3AED">
              <w:rPr>
                <w:noProof/>
                <w:webHidden/>
              </w:rPr>
              <w:t>27</w:t>
            </w:r>
            <w:r w:rsidR="003E7D30">
              <w:rPr>
                <w:noProof/>
                <w:webHidden/>
              </w:rPr>
              <w:fldChar w:fldCharType="end"/>
            </w:r>
          </w:hyperlink>
        </w:p>
        <w:p w14:paraId="07637054" w14:textId="44FFBDB0" w:rsidR="003E7D30" w:rsidRDefault="009A7742" w:rsidP="003E7D30">
          <w:pPr>
            <w:pStyle w:val="TOC1"/>
            <w:spacing w:line="480" w:lineRule="auto"/>
            <w:rPr>
              <w:rFonts w:asciiTheme="minorHAnsi" w:eastAsiaTheme="minorEastAsia" w:hAnsiTheme="minorHAnsi"/>
              <w:noProof/>
              <w:sz w:val="22"/>
            </w:rPr>
          </w:pPr>
          <w:hyperlink w:anchor="_Toc216595162" w:history="1">
            <w:r w:rsidR="003E7D30" w:rsidRPr="00391AF9">
              <w:rPr>
                <w:rStyle w:val="Hyperlink"/>
                <w:noProof/>
              </w:rPr>
              <w:t>4.2 Discussion</w:t>
            </w:r>
            <w:r w:rsidR="003E7D30">
              <w:rPr>
                <w:noProof/>
                <w:webHidden/>
              </w:rPr>
              <w:tab/>
            </w:r>
            <w:r w:rsidR="003E7D30">
              <w:rPr>
                <w:noProof/>
                <w:webHidden/>
              </w:rPr>
              <w:fldChar w:fldCharType="begin"/>
            </w:r>
            <w:r w:rsidR="003E7D30">
              <w:rPr>
                <w:noProof/>
                <w:webHidden/>
              </w:rPr>
              <w:instrText xml:space="preserve"> PAGEREF _Toc216595162 \h </w:instrText>
            </w:r>
            <w:r w:rsidR="003E7D30">
              <w:rPr>
                <w:noProof/>
                <w:webHidden/>
              </w:rPr>
            </w:r>
            <w:r w:rsidR="003E7D30">
              <w:rPr>
                <w:noProof/>
                <w:webHidden/>
              </w:rPr>
              <w:fldChar w:fldCharType="separate"/>
            </w:r>
            <w:r w:rsidR="001D3AED">
              <w:rPr>
                <w:noProof/>
                <w:webHidden/>
              </w:rPr>
              <w:t>28</w:t>
            </w:r>
            <w:r w:rsidR="003E7D30">
              <w:rPr>
                <w:noProof/>
                <w:webHidden/>
              </w:rPr>
              <w:fldChar w:fldCharType="end"/>
            </w:r>
          </w:hyperlink>
        </w:p>
        <w:p w14:paraId="0CD90529" w14:textId="11B92CE2" w:rsidR="003E7D30" w:rsidRDefault="009A7742" w:rsidP="003E7D30">
          <w:pPr>
            <w:pStyle w:val="TOC1"/>
            <w:spacing w:line="480" w:lineRule="auto"/>
            <w:rPr>
              <w:rFonts w:asciiTheme="minorHAnsi" w:eastAsiaTheme="minorEastAsia" w:hAnsiTheme="minorHAnsi"/>
              <w:noProof/>
              <w:sz w:val="22"/>
            </w:rPr>
          </w:pPr>
          <w:hyperlink w:anchor="_Toc216595163" w:history="1">
            <w:r w:rsidR="003E7D30" w:rsidRPr="00391AF9">
              <w:rPr>
                <w:rStyle w:val="Hyperlink"/>
                <w:noProof/>
              </w:rPr>
              <w:t>4.3 Implications of Findings</w:t>
            </w:r>
            <w:r w:rsidR="003E7D30">
              <w:rPr>
                <w:noProof/>
                <w:webHidden/>
              </w:rPr>
              <w:tab/>
            </w:r>
            <w:r w:rsidR="003E7D30">
              <w:rPr>
                <w:noProof/>
                <w:webHidden/>
              </w:rPr>
              <w:fldChar w:fldCharType="begin"/>
            </w:r>
            <w:r w:rsidR="003E7D30">
              <w:rPr>
                <w:noProof/>
                <w:webHidden/>
              </w:rPr>
              <w:instrText xml:space="preserve"> PAGEREF _Toc216595163 \h </w:instrText>
            </w:r>
            <w:r w:rsidR="003E7D30">
              <w:rPr>
                <w:noProof/>
                <w:webHidden/>
              </w:rPr>
            </w:r>
            <w:r w:rsidR="003E7D30">
              <w:rPr>
                <w:noProof/>
                <w:webHidden/>
              </w:rPr>
              <w:fldChar w:fldCharType="separate"/>
            </w:r>
            <w:r w:rsidR="001D3AED">
              <w:rPr>
                <w:noProof/>
                <w:webHidden/>
              </w:rPr>
              <w:t>30</w:t>
            </w:r>
            <w:r w:rsidR="003E7D30">
              <w:rPr>
                <w:noProof/>
                <w:webHidden/>
              </w:rPr>
              <w:fldChar w:fldCharType="end"/>
            </w:r>
          </w:hyperlink>
        </w:p>
        <w:p w14:paraId="7CA7A3AC" w14:textId="11E4BE47" w:rsidR="003E7D30" w:rsidRDefault="009A7742" w:rsidP="003E7D30">
          <w:pPr>
            <w:pStyle w:val="TOC1"/>
            <w:spacing w:line="480" w:lineRule="auto"/>
            <w:rPr>
              <w:rFonts w:asciiTheme="minorHAnsi" w:eastAsiaTheme="minorEastAsia" w:hAnsiTheme="minorHAnsi"/>
              <w:noProof/>
              <w:sz w:val="22"/>
            </w:rPr>
          </w:pPr>
          <w:hyperlink w:anchor="_Toc216595164" w:history="1">
            <w:r w:rsidR="003E7D30" w:rsidRPr="00391AF9">
              <w:rPr>
                <w:rStyle w:val="Hyperlink"/>
                <w:noProof/>
              </w:rPr>
              <w:t>4.4 Conclusion</w:t>
            </w:r>
            <w:r w:rsidR="003E7D30">
              <w:rPr>
                <w:noProof/>
                <w:webHidden/>
              </w:rPr>
              <w:tab/>
            </w:r>
            <w:r w:rsidR="003E7D30">
              <w:rPr>
                <w:noProof/>
                <w:webHidden/>
              </w:rPr>
              <w:fldChar w:fldCharType="begin"/>
            </w:r>
            <w:r w:rsidR="003E7D30">
              <w:rPr>
                <w:noProof/>
                <w:webHidden/>
              </w:rPr>
              <w:instrText xml:space="preserve"> PAGEREF _Toc216595164 \h </w:instrText>
            </w:r>
            <w:r w:rsidR="003E7D30">
              <w:rPr>
                <w:noProof/>
                <w:webHidden/>
              </w:rPr>
            </w:r>
            <w:r w:rsidR="003E7D30">
              <w:rPr>
                <w:noProof/>
                <w:webHidden/>
              </w:rPr>
              <w:fldChar w:fldCharType="separate"/>
            </w:r>
            <w:r w:rsidR="001D3AED">
              <w:rPr>
                <w:noProof/>
                <w:webHidden/>
              </w:rPr>
              <w:t>31</w:t>
            </w:r>
            <w:r w:rsidR="003E7D30">
              <w:rPr>
                <w:noProof/>
                <w:webHidden/>
              </w:rPr>
              <w:fldChar w:fldCharType="end"/>
            </w:r>
          </w:hyperlink>
        </w:p>
        <w:p w14:paraId="463EFD03" w14:textId="5DE56902" w:rsidR="003E7D30" w:rsidRDefault="009A7742" w:rsidP="003E7D30">
          <w:pPr>
            <w:pStyle w:val="TOC1"/>
            <w:spacing w:line="480" w:lineRule="auto"/>
            <w:rPr>
              <w:rFonts w:asciiTheme="minorHAnsi" w:eastAsiaTheme="minorEastAsia" w:hAnsiTheme="minorHAnsi"/>
              <w:noProof/>
              <w:sz w:val="22"/>
            </w:rPr>
          </w:pPr>
          <w:hyperlink w:anchor="_Toc216595165" w:history="1">
            <w:r w:rsidR="003E7D30" w:rsidRPr="00391AF9">
              <w:rPr>
                <w:rStyle w:val="Hyperlink"/>
                <w:noProof/>
              </w:rPr>
              <w:t>4.5 Recommendations</w:t>
            </w:r>
            <w:r w:rsidR="003E7D30">
              <w:rPr>
                <w:noProof/>
                <w:webHidden/>
              </w:rPr>
              <w:tab/>
            </w:r>
            <w:r w:rsidR="003E7D30">
              <w:rPr>
                <w:noProof/>
                <w:webHidden/>
              </w:rPr>
              <w:fldChar w:fldCharType="begin"/>
            </w:r>
            <w:r w:rsidR="003E7D30">
              <w:rPr>
                <w:noProof/>
                <w:webHidden/>
              </w:rPr>
              <w:instrText xml:space="preserve"> PAGEREF _Toc216595165 \h </w:instrText>
            </w:r>
            <w:r w:rsidR="003E7D30">
              <w:rPr>
                <w:noProof/>
                <w:webHidden/>
              </w:rPr>
            </w:r>
            <w:r w:rsidR="003E7D30">
              <w:rPr>
                <w:noProof/>
                <w:webHidden/>
              </w:rPr>
              <w:fldChar w:fldCharType="separate"/>
            </w:r>
            <w:r w:rsidR="001D3AED">
              <w:rPr>
                <w:noProof/>
                <w:webHidden/>
              </w:rPr>
              <w:t>32</w:t>
            </w:r>
            <w:r w:rsidR="003E7D30">
              <w:rPr>
                <w:noProof/>
                <w:webHidden/>
              </w:rPr>
              <w:fldChar w:fldCharType="end"/>
            </w:r>
          </w:hyperlink>
        </w:p>
        <w:p w14:paraId="797D3BEC" w14:textId="5BCE3E3E" w:rsidR="003E7D30" w:rsidRDefault="009A7742" w:rsidP="003E7D30">
          <w:pPr>
            <w:pStyle w:val="TOC1"/>
            <w:spacing w:line="480" w:lineRule="auto"/>
            <w:rPr>
              <w:rFonts w:asciiTheme="minorHAnsi" w:eastAsiaTheme="minorEastAsia" w:hAnsiTheme="minorHAnsi"/>
              <w:noProof/>
              <w:sz w:val="22"/>
            </w:rPr>
          </w:pPr>
          <w:hyperlink w:anchor="_Toc216595166" w:history="1">
            <w:r w:rsidR="003E7D30" w:rsidRPr="00391AF9">
              <w:rPr>
                <w:rStyle w:val="Hyperlink"/>
                <w:noProof/>
              </w:rPr>
              <w:t>R</w:t>
            </w:r>
            <w:r w:rsidR="003E7D30">
              <w:rPr>
                <w:rStyle w:val="Hyperlink"/>
                <w:noProof/>
              </w:rPr>
              <w:t>eferences</w:t>
            </w:r>
            <w:r w:rsidR="003E7D30">
              <w:rPr>
                <w:noProof/>
                <w:webHidden/>
              </w:rPr>
              <w:tab/>
            </w:r>
            <w:r w:rsidR="003E7D30">
              <w:rPr>
                <w:noProof/>
                <w:webHidden/>
              </w:rPr>
              <w:fldChar w:fldCharType="begin"/>
            </w:r>
            <w:r w:rsidR="003E7D30">
              <w:rPr>
                <w:noProof/>
                <w:webHidden/>
              </w:rPr>
              <w:instrText xml:space="preserve"> PAGEREF _Toc216595166 \h </w:instrText>
            </w:r>
            <w:r w:rsidR="003E7D30">
              <w:rPr>
                <w:noProof/>
                <w:webHidden/>
              </w:rPr>
            </w:r>
            <w:r w:rsidR="003E7D30">
              <w:rPr>
                <w:noProof/>
                <w:webHidden/>
              </w:rPr>
              <w:fldChar w:fldCharType="separate"/>
            </w:r>
            <w:r w:rsidR="001D3AED">
              <w:rPr>
                <w:noProof/>
                <w:webHidden/>
              </w:rPr>
              <w:t>34</w:t>
            </w:r>
            <w:r w:rsidR="003E7D30">
              <w:rPr>
                <w:noProof/>
                <w:webHidden/>
              </w:rPr>
              <w:fldChar w:fldCharType="end"/>
            </w:r>
          </w:hyperlink>
        </w:p>
        <w:p w14:paraId="5A6D141C" w14:textId="560984BE" w:rsidR="000F4D24" w:rsidRDefault="000F4D24" w:rsidP="00844E43">
          <w:pPr>
            <w:rPr>
              <w:noProof/>
            </w:rPr>
          </w:pPr>
          <w:r w:rsidRPr="00B00B9A">
            <w:rPr>
              <w:noProof/>
            </w:rPr>
            <w:fldChar w:fldCharType="end"/>
          </w:r>
        </w:p>
      </w:sdtContent>
    </w:sdt>
    <w:p w14:paraId="27FEFC09" w14:textId="77777777" w:rsidR="000F4D24" w:rsidRDefault="000F4D24" w:rsidP="000F4D24">
      <w:pPr>
        <w:pStyle w:val="Heading1"/>
        <w:jc w:val="center"/>
        <w:sectPr w:rsidR="000F4D24" w:rsidSect="000F4D24">
          <w:footerReference w:type="default" r:id="rId9"/>
          <w:pgSz w:w="11907" w:h="16840" w:code="9"/>
          <w:pgMar w:top="1440" w:right="1440" w:bottom="1440" w:left="1440" w:header="709" w:footer="709" w:gutter="0"/>
          <w:pgNumType w:fmt="lowerRoman" w:start="1"/>
          <w:cols w:space="708"/>
          <w:docGrid w:linePitch="360"/>
        </w:sectPr>
      </w:pPr>
    </w:p>
    <w:p w14:paraId="1CBF5DE3" w14:textId="163FC897" w:rsidR="00A53E7C" w:rsidRDefault="00A53E7C" w:rsidP="000F4D24">
      <w:pPr>
        <w:pStyle w:val="Heading1"/>
        <w:jc w:val="center"/>
      </w:pPr>
      <w:bookmarkStart w:id="5" w:name="_Toc216595135"/>
      <w:r w:rsidRPr="00A53E7C">
        <w:lastRenderedPageBreak/>
        <w:t>CHAPTER ONE</w:t>
      </w:r>
      <w:bookmarkEnd w:id="5"/>
    </w:p>
    <w:p w14:paraId="4EBB09EB" w14:textId="5C7E030A" w:rsidR="005516EB" w:rsidRPr="005516EB" w:rsidRDefault="005516EB" w:rsidP="005516EB">
      <w:pPr>
        <w:pStyle w:val="Heading2"/>
      </w:pPr>
      <w:r>
        <w:t>1.0 INTRODUCTION</w:t>
      </w:r>
    </w:p>
    <w:p w14:paraId="7481A01C" w14:textId="77777777" w:rsidR="00A53E7C" w:rsidRPr="00A53E7C" w:rsidRDefault="00A53E7C" w:rsidP="008C4854">
      <w:pPr>
        <w:pStyle w:val="Heading1"/>
      </w:pPr>
      <w:bookmarkStart w:id="6" w:name="_Toc216595136"/>
      <w:r w:rsidRPr="00A53E7C">
        <w:t>1.1 Background of the Study</w:t>
      </w:r>
      <w:bookmarkEnd w:id="6"/>
    </w:p>
    <w:p w14:paraId="2BE8396D" w14:textId="3E83ED65"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Escherichia coli is a Gram-negative, facultative anaerobic bacterium commonly found in the intestinal tract of humans and animals, where most strains exist as harmless commensals that support normal gut function (Madigan </w:t>
      </w:r>
      <w:r w:rsidR="005516EB" w:rsidRPr="005516EB">
        <w:rPr>
          <w:rFonts w:asciiTheme="majorBidi" w:hAnsiTheme="majorBidi" w:cstheme="majorBidi"/>
          <w:i/>
          <w:iCs/>
          <w:szCs w:val="24"/>
        </w:rPr>
        <w:t>et al</w:t>
      </w:r>
      <w:r w:rsidRPr="00A53E7C">
        <w:rPr>
          <w:rFonts w:asciiTheme="majorBidi" w:hAnsiTheme="majorBidi" w:cstheme="majorBidi"/>
          <w:szCs w:val="24"/>
        </w:rPr>
        <w:t>., 2021). However, several strains have acquired genetic elements that confer pathogenicity or antimicrobial resistance, enabling them to cause significant infections in humans and animals (</w:t>
      </w:r>
      <w:proofErr w:type="spellStart"/>
      <w:r w:rsidRPr="00A53E7C">
        <w:rPr>
          <w:rFonts w:asciiTheme="majorBidi" w:hAnsiTheme="majorBidi" w:cstheme="majorBidi"/>
          <w:szCs w:val="24"/>
        </w:rPr>
        <w:t>Kaper</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2020). River systems often serve as reservoirs for both commensal and resistant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because they continuously receive inputs from domestic waste, agricultural runoff, and fecal contamination from humans and livestock (World Health Organization [WHO], 2021). Contamination of surface waters with resistant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has become a global public health concern because such environments facilitate the transfer of resistance determinants between bacterial strains and across species (Centers for Disease Control and Prevention [CDC], 2022).</w:t>
      </w:r>
    </w:p>
    <w:p w14:paraId="06EFC9C4" w14:textId="69B21A8B"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Antimicrobial resistance is now recognized as one of the most urgent threats to global health, largely driven by the misuse and overuse of antibiotics in clinical, agricultural, and environmental settings (WHO, 2020). Bacteria frequently develop resistance through chromosomal mutations or through the acquisition of mobile genetic elements, with plasmids being the most prominent drivers of horizontal gene transfer (Martínez &amp; </w:t>
      </w:r>
      <w:proofErr w:type="spellStart"/>
      <w:r w:rsidRPr="00A53E7C">
        <w:rPr>
          <w:rFonts w:asciiTheme="majorBidi" w:hAnsiTheme="majorBidi" w:cstheme="majorBidi"/>
          <w:szCs w:val="24"/>
        </w:rPr>
        <w:t>Baquero</w:t>
      </w:r>
      <w:proofErr w:type="spellEnd"/>
      <w:r w:rsidRPr="00A53E7C">
        <w:rPr>
          <w:rFonts w:asciiTheme="majorBidi" w:hAnsiTheme="majorBidi" w:cstheme="majorBidi"/>
          <w:szCs w:val="24"/>
        </w:rPr>
        <w:t xml:space="preserve">, 2021). Plasmids are extrachromosomal DNA molecules capable of self-replication and transfer between bacteria, and they frequently carry genes that encode resistance to multiple antibiotic classes such as beta-lactams, tetracyclines, aminoglycosides, and fluoroquinolones (Partridge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2018). The pervasive circulation of plasmid-harboring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strains in river water increases the possibility of community exposure and poses risks for environmental spread of resistance genes (Manaia, 2022).</w:t>
      </w:r>
    </w:p>
    <w:p w14:paraId="381C1C66" w14:textId="58433D1E" w:rsidR="00A53E7C" w:rsidRPr="00A53E7C" w:rsidRDefault="00A53E7C" w:rsidP="008C4854">
      <w:pPr>
        <w:jc w:val="both"/>
        <w:rPr>
          <w:rFonts w:asciiTheme="majorBidi" w:hAnsiTheme="majorBidi" w:cstheme="majorBidi"/>
          <w:szCs w:val="24"/>
        </w:rPr>
      </w:pPr>
      <w:proofErr w:type="spellStart"/>
      <w:r w:rsidRPr="00A53E7C">
        <w:rPr>
          <w:rFonts w:asciiTheme="majorBidi" w:hAnsiTheme="majorBidi" w:cstheme="majorBidi"/>
          <w:szCs w:val="24"/>
        </w:rPr>
        <w:lastRenderedPageBreak/>
        <w:t>Kwalkwalawa</w:t>
      </w:r>
      <w:proofErr w:type="spellEnd"/>
      <w:r w:rsidRPr="00A53E7C">
        <w:rPr>
          <w:rFonts w:asciiTheme="majorBidi" w:hAnsiTheme="majorBidi" w:cstheme="majorBidi"/>
          <w:szCs w:val="24"/>
        </w:rPr>
        <w:t xml:space="preserve"> River, located near populated academic and residential communities in Sokoto State, is routinely used for domestic, agricultural, and recreational activities, which may expose the water to fecal contamination and subsequent microbial pollution (Afolabi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2021). Rivers situated near settlements often receive untreated wastewater and agricultural effluents that introduce high microbial loads, including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and other pathogenic enteric bacteria (</w:t>
      </w:r>
      <w:proofErr w:type="spellStart"/>
      <w:r w:rsidRPr="00A53E7C">
        <w:rPr>
          <w:rFonts w:asciiTheme="majorBidi" w:hAnsiTheme="majorBidi" w:cstheme="majorBidi"/>
          <w:szCs w:val="24"/>
        </w:rPr>
        <w:t>Odonkor</w:t>
      </w:r>
      <w:proofErr w:type="spellEnd"/>
      <w:r w:rsidRPr="00A53E7C">
        <w:rPr>
          <w:rFonts w:asciiTheme="majorBidi" w:hAnsiTheme="majorBidi" w:cstheme="majorBidi"/>
          <w:szCs w:val="24"/>
        </w:rPr>
        <w:t xml:space="preserve"> &amp; </w:t>
      </w:r>
      <w:proofErr w:type="spellStart"/>
      <w:r w:rsidRPr="00A53E7C">
        <w:rPr>
          <w:rFonts w:asciiTheme="majorBidi" w:hAnsiTheme="majorBidi" w:cstheme="majorBidi"/>
          <w:szCs w:val="24"/>
        </w:rPr>
        <w:t>Ampofo</w:t>
      </w:r>
      <w:proofErr w:type="spellEnd"/>
      <w:r w:rsidRPr="00A53E7C">
        <w:rPr>
          <w:rFonts w:asciiTheme="majorBidi" w:hAnsiTheme="majorBidi" w:cstheme="majorBidi"/>
          <w:szCs w:val="24"/>
        </w:rPr>
        <w:t xml:space="preserve">, 2021). The isolation and characterization of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from such a river thus provide critical information on environmental safety and the potential for the river to act as a conduit for antimicrobial resistance dissemination (</w:t>
      </w:r>
      <w:proofErr w:type="spellStart"/>
      <w:r w:rsidRPr="00A53E7C">
        <w:rPr>
          <w:rFonts w:asciiTheme="majorBidi" w:hAnsiTheme="majorBidi" w:cstheme="majorBidi"/>
          <w:szCs w:val="24"/>
        </w:rPr>
        <w:t>Iwu</w:t>
      </w:r>
      <w:proofErr w:type="spellEnd"/>
      <w:r w:rsidRPr="00A53E7C">
        <w:rPr>
          <w:rFonts w:asciiTheme="majorBidi" w:hAnsiTheme="majorBidi" w:cstheme="majorBidi"/>
          <w:szCs w:val="24"/>
        </w:rPr>
        <w:t xml:space="preserve"> &amp; </w:t>
      </w:r>
      <w:proofErr w:type="spellStart"/>
      <w:r w:rsidRPr="00A53E7C">
        <w:rPr>
          <w:rFonts w:asciiTheme="majorBidi" w:hAnsiTheme="majorBidi" w:cstheme="majorBidi"/>
          <w:szCs w:val="24"/>
        </w:rPr>
        <w:t>Okoh</w:t>
      </w:r>
      <w:proofErr w:type="spellEnd"/>
      <w:r w:rsidRPr="00A53E7C">
        <w:rPr>
          <w:rFonts w:asciiTheme="majorBidi" w:hAnsiTheme="majorBidi" w:cstheme="majorBidi"/>
          <w:szCs w:val="24"/>
        </w:rPr>
        <w:t xml:space="preserve">, 2020). Understanding whether plasmids contribute to the resistance profiles of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strains from this river is essential because plasmid-mediated resistance typically spreads more rapidly than chromosomal resistance (Rawat &amp; Nair, 2020).</w:t>
      </w:r>
    </w:p>
    <w:p w14:paraId="297A57BD" w14:textId="25A2C3E4"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Evaluating resistant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isolates from environmental water not only highlights the ecological distribution of resistance genes but also informs risk assessment and local health planning (</w:t>
      </w:r>
      <w:proofErr w:type="spellStart"/>
      <w:r w:rsidRPr="00A53E7C">
        <w:rPr>
          <w:rFonts w:asciiTheme="majorBidi" w:hAnsiTheme="majorBidi" w:cstheme="majorBidi"/>
          <w:szCs w:val="24"/>
        </w:rPr>
        <w:t>Berendonk</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t>et al</w:t>
      </w:r>
      <w:r w:rsidRPr="00A53E7C">
        <w:rPr>
          <w:rFonts w:asciiTheme="majorBidi" w:hAnsiTheme="majorBidi" w:cstheme="majorBidi"/>
          <w:szCs w:val="24"/>
        </w:rPr>
        <w:t>., 2019). Determining whether these isolates harbor plasmids allows researchers to understand the mechanisms driving their resistance patterns and the likelihood that resistance traits can be transferred to other bacteria within the environment or to human pathogens (</w:t>
      </w:r>
      <w:proofErr w:type="spellStart"/>
      <w:r w:rsidRPr="00A53E7C">
        <w:rPr>
          <w:rFonts w:asciiTheme="majorBidi" w:hAnsiTheme="majorBidi" w:cstheme="majorBidi"/>
          <w:szCs w:val="24"/>
        </w:rPr>
        <w:t>Carattoli</w:t>
      </w:r>
      <w:proofErr w:type="spellEnd"/>
      <w:r w:rsidRPr="00A53E7C">
        <w:rPr>
          <w:rFonts w:asciiTheme="majorBidi" w:hAnsiTheme="majorBidi" w:cstheme="majorBidi"/>
          <w:szCs w:val="24"/>
        </w:rPr>
        <w:t xml:space="preserve">, 2019). Such information is valuable in regions where water sources serve both domestic and agricultural functions, as resistant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may enter food chains, irrigation systems, or human contact pathways (Hendriksen </w:t>
      </w:r>
      <w:r w:rsidR="005516EB" w:rsidRPr="005516EB">
        <w:rPr>
          <w:rFonts w:asciiTheme="majorBidi" w:hAnsiTheme="majorBidi" w:cstheme="majorBidi"/>
          <w:i/>
          <w:iCs/>
          <w:szCs w:val="24"/>
        </w:rPr>
        <w:t>et al</w:t>
      </w:r>
      <w:r w:rsidRPr="00A53E7C">
        <w:rPr>
          <w:rFonts w:asciiTheme="majorBidi" w:hAnsiTheme="majorBidi" w:cstheme="majorBidi"/>
          <w:szCs w:val="24"/>
        </w:rPr>
        <w:t>., 2019).</w:t>
      </w:r>
    </w:p>
    <w:p w14:paraId="5584A99A" w14:textId="7B3FC998"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Given the public health relevance of resistant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in environmental waters, assessing the plasmid profiles of isolates from </w:t>
      </w:r>
      <w:proofErr w:type="spellStart"/>
      <w:r w:rsidRPr="00A53E7C">
        <w:rPr>
          <w:rFonts w:asciiTheme="majorBidi" w:hAnsiTheme="majorBidi" w:cstheme="majorBidi"/>
          <w:szCs w:val="24"/>
        </w:rPr>
        <w:t>Kwalkwalawa</w:t>
      </w:r>
      <w:proofErr w:type="spellEnd"/>
      <w:r w:rsidRPr="00A53E7C">
        <w:rPr>
          <w:rFonts w:asciiTheme="majorBidi" w:hAnsiTheme="majorBidi" w:cstheme="majorBidi"/>
          <w:szCs w:val="24"/>
        </w:rPr>
        <w:t xml:space="preserve"> River provides essential insight into the genetic basis of antimicrobial resistance within this ecosystem (Manaia, 2022). This study therefore focuses on isolating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from the river, determining their antibiotic susceptibility patterns, and evaluating whether plasmid DNA contributes to observed antimicrobial resistance.</w:t>
      </w:r>
    </w:p>
    <w:p w14:paraId="5D6B5EC5" w14:textId="3BD6A1B3" w:rsidR="00A53E7C" w:rsidRPr="00A53E7C" w:rsidRDefault="00A53E7C" w:rsidP="008C4854">
      <w:pPr>
        <w:jc w:val="both"/>
        <w:rPr>
          <w:rFonts w:asciiTheme="majorBidi" w:hAnsiTheme="majorBidi" w:cstheme="majorBidi"/>
          <w:szCs w:val="24"/>
        </w:rPr>
      </w:pPr>
    </w:p>
    <w:p w14:paraId="7B1FA5FF" w14:textId="77777777" w:rsidR="00A53E7C" w:rsidRPr="00A53E7C" w:rsidRDefault="00A53E7C" w:rsidP="008C4854">
      <w:pPr>
        <w:pStyle w:val="Heading1"/>
      </w:pPr>
      <w:bookmarkStart w:id="7" w:name="_Toc216595137"/>
      <w:r w:rsidRPr="00A53E7C">
        <w:lastRenderedPageBreak/>
        <w:t>1.2 Statement of the Problem</w:t>
      </w:r>
      <w:bookmarkEnd w:id="7"/>
    </w:p>
    <w:p w14:paraId="08302033" w14:textId="24C99804"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Environmental water bodies have increasingly become reservoirs of multidrug-resistant bacteria due to escalating contamination from untreated sewage, animal waste, and indiscriminate antibiotic usage (WHO, 2020). </w:t>
      </w:r>
      <w:proofErr w:type="spellStart"/>
      <w:r w:rsidRPr="00A53E7C">
        <w:rPr>
          <w:rFonts w:asciiTheme="majorBidi" w:hAnsiTheme="majorBidi" w:cstheme="majorBidi"/>
          <w:szCs w:val="24"/>
        </w:rPr>
        <w:t>Kwalkwalawa</w:t>
      </w:r>
      <w:proofErr w:type="spellEnd"/>
      <w:r w:rsidRPr="00A53E7C">
        <w:rPr>
          <w:rFonts w:asciiTheme="majorBidi" w:hAnsiTheme="majorBidi" w:cstheme="majorBidi"/>
          <w:szCs w:val="24"/>
        </w:rPr>
        <w:t xml:space="preserve"> River, which is close to residential communities and agricultural activities, is vulnerable to such contamination, raising concerns about the presence of resistant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in the water used by local populations (Afolabi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2021). Although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is widely recognized as an indicator organism for fecal pollution, the extent to which isolates from this river harbor antimicrobial resistance genes remains insufficiently documented (</w:t>
      </w:r>
      <w:proofErr w:type="spellStart"/>
      <w:r w:rsidRPr="00A53E7C">
        <w:rPr>
          <w:rFonts w:asciiTheme="majorBidi" w:hAnsiTheme="majorBidi" w:cstheme="majorBidi"/>
          <w:szCs w:val="24"/>
        </w:rPr>
        <w:t>Odonkor</w:t>
      </w:r>
      <w:proofErr w:type="spellEnd"/>
      <w:r w:rsidRPr="00A53E7C">
        <w:rPr>
          <w:rFonts w:asciiTheme="majorBidi" w:hAnsiTheme="majorBidi" w:cstheme="majorBidi"/>
          <w:szCs w:val="24"/>
        </w:rPr>
        <w:t xml:space="preserve"> &amp; </w:t>
      </w:r>
      <w:proofErr w:type="spellStart"/>
      <w:r w:rsidRPr="00A53E7C">
        <w:rPr>
          <w:rFonts w:asciiTheme="majorBidi" w:hAnsiTheme="majorBidi" w:cstheme="majorBidi"/>
          <w:szCs w:val="24"/>
        </w:rPr>
        <w:t>Ampofo</w:t>
      </w:r>
      <w:proofErr w:type="spellEnd"/>
      <w:r w:rsidRPr="00A53E7C">
        <w:rPr>
          <w:rFonts w:asciiTheme="majorBidi" w:hAnsiTheme="majorBidi" w:cstheme="majorBidi"/>
          <w:szCs w:val="24"/>
        </w:rPr>
        <w:t>, 2021). More critically, the role of plasmids in mediating resistance in these isolates has not been thoroughly investigated, despite evidence that plasmid-borne resistance accelerates the spread of multidrug resistance across environmental and clinical settings (</w:t>
      </w:r>
      <w:proofErr w:type="spellStart"/>
      <w:r w:rsidRPr="00A53E7C">
        <w:rPr>
          <w:rFonts w:asciiTheme="majorBidi" w:hAnsiTheme="majorBidi" w:cstheme="majorBidi"/>
          <w:szCs w:val="24"/>
        </w:rPr>
        <w:t>Carattoli</w:t>
      </w:r>
      <w:proofErr w:type="spellEnd"/>
      <w:r w:rsidRPr="00A53E7C">
        <w:rPr>
          <w:rFonts w:asciiTheme="majorBidi" w:hAnsiTheme="majorBidi" w:cstheme="majorBidi"/>
          <w:szCs w:val="24"/>
        </w:rPr>
        <w:t>, 2019).</w:t>
      </w:r>
    </w:p>
    <w:p w14:paraId="3950020B" w14:textId="69D92936" w:rsid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Without clear characterization of the resistance mechanisms in river-derived </w:t>
      </w:r>
      <w:r w:rsidR="005516EB" w:rsidRPr="005516EB">
        <w:rPr>
          <w:rFonts w:asciiTheme="majorBidi" w:hAnsiTheme="majorBidi" w:cstheme="majorBidi"/>
          <w:i/>
          <w:iCs/>
          <w:szCs w:val="24"/>
        </w:rPr>
        <w:t>E. coli</w:t>
      </w:r>
      <w:r w:rsidRPr="00A53E7C">
        <w:rPr>
          <w:rFonts w:asciiTheme="majorBidi" w:hAnsiTheme="majorBidi" w:cstheme="majorBidi"/>
          <w:szCs w:val="24"/>
        </w:rPr>
        <w:t>, communities relying on the river may be at increased risk of exposure to harmful, resistant strains, and local health authorities may lack the evidence needed to develop effective monitoring programs (</w:t>
      </w:r>
      <w:proofErr w:type="spellStart"/>
      <w:r w:rsidRPr="00A53E7C">
        <w:rPr>
          <w:rFonts w:asciiTheme="majorBidi" w:hAnsiTheme="majorBidi" w:cstheme="majorBidi"/>
          <w:szCs w:val="24"/>
        </w:rPr>
        <w:t>Iwu</w:t>
      </w:r>
      <w:proofErr w:type="spellEnd"/>
      <w:r w:rsidRPr="00A53E7C">
        <w:rPr>
          <w:rFonts w:asciiTheme="majorBidi" w:hAnsiTheme="majorBidi" w:cstheme="majorBidi"/>
          <w:szCs w:val="24"/>
        </w:rPr>
        <w:t xml:space="preserve"> &amp; </w:t>
      </w:r>
      <w:proofErr w:type="spellStart"/>
      <w:r w:rsidRPr="00A53E7C">
        <w:rPr>
          <w:rFonts w:asciiTheme="majorBidi" w:hAnsiTheme="majorBidi" w:cstheme="majorBidi"/>
          <w:szCs w:val="24"/>
        </w:rPr>
        <w:t>Okoh</w:t>
      </w:r>
      <w:proofErr w:type="spellEnd"/>
      <w:r w:rsidRPr="00A53E7C">
        <w:rPr>
          <w:rFonts w:asciiTheme="majorBidi" w:hAnsiTheme="majorBidi" w:cstheme="majorBidi"/>
          <w:szCs w:val="24"/>
        </w:rPr>
        <w:t xml:space="preserve">, 2020). This gap underscores the need for a systematic assessment of antimicrobial resistance and plasmid profiles in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isolated from </w:t>
      </w:r>
      <w:proofErr w:type="spellStart"/>
      <w:r w:rsidRPr="00A53E7C">
        <w:rPr>
          <w:rFonts w:asciiTheme="majorBidi" w:hAnsiTheme="majorBidi" w:cstheme="majorBidi"/>
          <w:szCs w:val="24"/>
        </w:rPr>
        <w:t>Kwalkwalawa</w:t>
      </w:r>
      <w:proofErr w:type="spellEnd"/>
      <w:r w:rsidRPr="00A53E7C">
        <w:rPr>
          <w:rFonts w:asciiTheme="majorBidi" w:hAnsiTheme="majorBidi" w:cstheme="majorBidi"/>
          <w:szCs w:val="24"/>
        </w:rPr>
        <w:t xml:space="preserve"> River.</w:t>
      </w:r>
    </w:p>
    <w:p w14:paraId="1E013F1B" w14:textId="705B8E22" w:rsidR="005516EB" w:rsidRPr="00A53E7C" w:rsidRDefault="005516EB" w:rsidP="005516EB">
      <w:pPr>
        <w:pStyle w:val="Heading1"/>
      </w:pPr>
      <w:bookmarkStart w:id="8" w:name="_Toc216595139"/>
      <w:r w:rsidRPr="00A53E7C">
        <w:t>1.</w:t>
      </w:r>
      <w:r>
        <w:t>3</w:t>
      </w:r>
      <w:r w:rsidRPr="00A53E7C">
        <w:t xml:space="preserve"> Justification of the Study</w:t>
      </w:r>
      <w:bookmarkEnd w:id="8"/>
    </w:p>
    <w:p w14:paraId="7955CE37" w14:textId="35799B4C" w:rsidR="005516EB" w:rsidRPr="00A53E7C" w:rsidRDefault="005516EB" w:rsidP="008C4854">
      <w:pPr>
        <w:jc w:val="both"/>
        <w:rPr>
          <w:rFonts w:asciiTheme="majorBidi" w:hAnsiTheme="majorBidi" w:cstheme="majorBidi"/>
          <w:szCs w:val="24"/>
        </w:rPr>
      </w:pPr>
      <w:r w:rsidRPr="00A53E7C">
        <w:rPr>
          <w:rFonts w:asciiTheme="majorBidi" w:hAnsiTheme="majorBidi" w:cstheme="majorBidi"/>
          <w:szCs w:val="24"/>
        </w:rPr>
        <w:t xml:space="preserve">The increasing emergence of multidrug-resistant </w:t>
      </w:r>
      <w:r w:rsidRPr="005516EB">
        <w:rPr>
          <w:rFonts w:asciiTheme="majorBidi" w:hAnsiTheme="majorBidi" w:cstheme="majorBidi"/>
          <w:i/>
          <w:iCs/>
          <w:szCs w:val="24"/>
        </w:rPr>
        <w:t>E. coli</w:t>
      </w:r>
      <w:r w:rsidRPr="00A53E7C">
        <w:rPr>
          <w:rFonts w:asciiTheme="majorBidi" w:hAnsiTheme="majorBidi" w:cstheme="majorBidi"/>
          <w:szCs w:val="24"/>
        </w:rPr>
        <w:t xml:space="preserve"> in environmental waters necessitates routine surveillance to protect public health and prevent the spread of resistance within communities (WHO, 2021). Understanding whether plasmids mediate resistance in local isolates provides essential insight into the mechanisms driving antimicrobial resistance in the region (Martínez &amp; </w:t>
      </w:r>
      <w:proofErr w:type="spellStart"/>
      <w:r w:rsidRPr="00A53E7C">
        <w:rPr>
          <w:rFonts w:asciiTheme="majorBidi" w:hAnsiTheme="majorBidi" w:cstheme="majorBidi"/>
          <w:szCs w:val="24"/>
        </w:rPr>
        <w:t>Baquero</w:t>
      </w:r>
      <w:proofErr w:type="spellEnd"/>
      <w:r w:rsidRPr="00A53E7C">
        <w:rPr>
          <w:rFonts w:asciiTheme="majorBidi" w:hAnsiTheme="majorBidi" w:cstheme="majorBidi"/>
          <w:szCs w:val="24"/>
        </w:rPr>
        <w:t xml:space="preserve">, 2021). This information can support environmental monitoring programs, guide local water safety policies, and contribute to national and global efforts aimed </w:t>
      </w:r>
      <w:r w:rsidRPr="00A53E7C">
        <w:rPr>
          <w:rFonts w:asciiTheme="majorBidi" w:hAnsiTheme="majorBidi" w:cstheme="majorBidi"/>
          <w:szCs w:val="24"/>
        </w:rPr>
        <w:lastRenderedPageBreak/>
        <w:t>at reducing the spread of plasmid-borne resistance (</w:t>
      </w:r>
      <w:proofErr w:type="spellStart"/>
      <w:r w:rsidRPr="00A53E7C">
        <w:rPr>
          <w:rFonts w:asciiTheme="majorBidi" w:hAnsiTheme="majorBidi" w:cstheme="majorBidi"/>
          <w:szCs w:val="24"/>
        </w:rPr>
        <w:t>Berendonk</w:t>
      </w:r>
      <w:proofErr w:type="spellEnd"/>
      <w:r w:rsidRPr="00A53E7C">
        <w:rPr>
          <w:rFonts w:asciiTheme="majorBidi" w:hAnsiTheme="majorBidi" w:cstheme="majorBidi"/>
          <w:szCs w:val="24"/>
        </w:rPr>
        <w:t xml:space="preserve"> </w:t>
      </w:r>
      <w:r w:rsidRPr="005516EB">
        <w:rPr>
          <w:rFonts w:asciiTheme="majorBidi" w:hAnsiTheme="majorBidi" w:cstheme="majorBidi"/>
          <w:i/>
          <w:iCs/>
          <w:szCs w:val="24"/>
        </w:rPr>
        <w:t>et al</w:t>
      </w:r>
      <w:r w:rsidRPr="00A53E7C">
        <w:rPr>
          <w:rFonts w:asciiTheme="majorBidi" w:hAnsiTheme="majorBidi" w:cstheme="majorBidi"/>
          <w:szCs w:val="24"/>
        </w:rPr>
        <w:t xml:space="preserve">., 2019). Furthermore, data generated from this study may assist future researchers in understanding resistance dynamics in similar ecological settings and inform intervention strategies (Hendriksen </w:t>
      </w:r>
      <w:r w:rsidRPr="005516EB">
        <w:rPr>
          <w:rFonts w:asciiTheme="majorBidi" w:hAnsiTheme="majorBidi" w:cstheme="majorBidi"/>
          <w:i/>
          <w:iCs/>
          <w:szCs w:val="24"/>
        </w:rPr>
        <w:t>et al</w:t>
      </w:r>
      <w:r w:rsidRPr="00A53E7C">
        <w:rPr>
          <w:rFonts w:asciiTheme="majorBidi" w:hAnsiTheme="majorBidi" w:cstheme="majorBidi"/>
          <w:szCs w:val="24"/>
        </w:rPr>
        <w:t>., 2019).</w:t>
      </w:r>
    </w:p>
    <w:p w14:paraId="26517002" w14:textId="7480772C" w:rsidR="00A53E7C" w:rsidRPr="00A53E7C" w:rsidRDefault="00A53E7C" w:rsidP="008C4854">
      <w:pPr>
        <w:pStyle w:val="Heading1"/>
      </w:pPr>
      <w:bookmarkStart w:id="9" w:name="_Toc216595138"/>
      <w:r w:rsidRPr="00A53E7C">
        <w:t>1.</w:t>
      </w:r>
      <w:r w:rsidR="005516EB">
        <w:t>4</w:t>
      </w:r>
      <w:r w:rsidRPr="00A53E7C">
        <w:t xml:space="preserve"> Aim and Objectives of the Study</w:t>
      </w:r>
      <w:bookmarkEnd w:id="9"/>
    </w:p>
    <w:p w14:paraId="6535704C" w14:textId="77777777" w:rsidR="008C4854" w:rsidRPr="008C4854" w:rsidRDefault="008C4854" w:rsidP="008C4854">
      <w:pPr>
        <w:jc w:val="both"/>
        <w:rPr>
          <w:rFonts w:asciiTheme="majorBidi" w:hAnsiTheme="majorBidi" w:cstheme="majorBidi"/>
          <w:b/>
          <w:bCs/>
          <w:szCs w:val="24"/>
        </w:rPr>
      </w:pPr>
      <w:r w:rsidRPr="008C4854">
        <w:rPr>
          <w:rFonts w:asciiTheme="majorBidi" w:hAnsiTheme="majorBidi" w:cstheme="majorBidi"/>
          <w:b/>
          <w:bCs/>
          <w:szCs w:val="24"/>
        </w:rPr>
        <w:t>Aim</w:t>
      </w:r>
    </w:p>
    <w:p w14:paraId="1D42D6CB" w14:textId="0F5FB1D2"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The aim of this study is to assess plasmid-mediated antimicrobial resistance in Escherichia coli isolated from </w:t>
      </w:r>
      <w:proofErr w:type="spellStart"/>
      <w:r w:rsidRPr="00A53E7C">
        <w:rPr>
          <w:rFonts w:asciiTheme="majorBidi" w:hAnsiTheme="majorBidi" w:cstheme="majorBidi"/>
          <w:szCs w:val="24"/>
        </w:rPr>
        <w:t>Kwalkwalawa</w:t>
      </w:r>
      <w:proofErr w:type="spellEnd"/>
      <w:r w:rsidRPr="00A53E7C">
        <w:rPr>
          <w:rFonts w:asciiTheme="majorBidi" w:hAnsiTheme="majorBidi" w:cstheme="majorBidi"/>
          <w:szCs w:val="24"/>
        </w:rPr>
        <w:t xml:space="preserve"> River.</w:t>
      </w:r>
    </w:p>
    <w:p w14:paraId="381A8E7D" w14:textId="77777777" w:rsidR="008C4854" w:rsidRDefault="008C4854" w:rsidP="008C4854">
      <w:pPr>
        <w:jc w:val="both"/>
        <w:rPr>
          <w:rFonts w:asciiTheme="majorBidi" w:hAnsiTheme="majorBidi" w:cstheme="majorBidi"/>
          <w:b/>
          <w:bCs/>
          <w:szCs w:val="24"/>
        </w:rPr>
      </w:pPr>
      <w:r>
        <w:rPr>
          <w:rFonts w:asciiTheme="majorBidi" w:hAnsiTheme="majorBidi" w:cstheme="majorBidi"/>
          <w:b/>
          <w:bCs/>
          <w:szCs w:val="24"/>
        </w:rPr>
        <w:t>Objectives</w:t>
      </w:r>
    </w:p>
    <w:p w14:paraId="499453BE" w14:textId="77777777" w:rsidR="008C4854"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The objectives of the study are to </w:t>
      </w:r>
    </w:p>
    <w:p w14:paraId="445E83AB" w14:textId="264B265E" w:rsidR="008C4854" w:rsidRDefault="00A53E7C" w:rsidP="008C4854">
      <w:pPr>
        <w:pStyle w:val="ListParagraph"/>
        <w:numPr>
          <w:ilvl w:val="0"/>
          <w:numId w:val="1"/>
        </w:numPr>
        <w:jc w:val="both"/>
        <w:rPr>
          <w:rFonts w:asciiTheme="majorBidi" w:hAnsiTheme="majorBidi" w:cstheme="majorBidi"/>
          <w:szCs w:val="24"/>
        </w:rPr>
      </w:pPr>
      <w:r w:rsidRPr="008C4854">
        <w:rPr>
          <w:rFonts w:asciiTheme="majorBidi" w:hAnsiTheme="majorBidi" w:cstheme="majorBidi"/>
          <w:szCs w:val="24"/>
        </w:rPr>
        <w:t xml:space="preserve">isolate and identify </w:t>
      </w:r>
      <w:r w:rsidR="005516EB" w:rsidRPr="005516EB">
        <w:rPr>
          <w:rFonts w:asciiTheme="majorBidi" w:hAnsiTheme="majorBidi" w:cstheme="majorBidi"/>
          <w:i/>
          <w:iCs/>
          <w:szCs w:val="24"/>
        </w:rPr>
        <w:t>E. coli</w:t>
      </w:r>
      <w:r w:rsidRPr="008C4854">
        <w:rPr>
          <w:rFonts w:asciiTheme="majorBidi" w:hAnsiTheme="majorBidi" w:cstheme="majorBidi"/>
          <w:szCs w:val="24"/>
        </w:rPr>
        <w:t xml:space="preserve"> from water samples collected from </w:t>
      </w:r>
      <w:proofErr w:type="spellStart"/>
      <w:r w:rsidRPr="008C4854">
        <w:rPr>
          <w:rFonts w:asciiTheme="majorBidi" w:hAnsiTheme="majorBidi" w:cstheme="majorBidi"/>
          <w:szCs w:val="24"/>
        </w:rPr>
        <w:t>Kwalkwalawa</w:t>
      </w:r>
      <w:proofErr w:type="spellEnd"/>
      <w:r w:rsidRPr="008C4854">
        <w:rPr>
          <w:rFonts w:asciiTheme="majorBidi" w:hAnsiTheme="majorBidi" w:cstheme="majorBidi"/>
          <w:szCs w:val="24"/>
        </w:rPr>
        <w:t xml:space="preserve"> River</w:t>
      </w:r>
    </w:p>
    <w:p w14:paraId="13F2588E" w14:textId="77777777" w:rsidR="008C4854" w:rsidRDefault="00A53E7C" w:rsidP="008C4854">
      <w:pPr>
        <w:pStyle w:val="ListParagraph"/>
        <w:numPr>
          <w:ilvl w:val="0"/>
          <w:numId w:val="1"/>
        </w:numPr>
        <w:jc w:val="both"/>
        <w:rPr>
          <w:rFonts w:asciiTheme="majorBidi" w:hAnsiTheme="majorBidi" w:cstheme="majorBidi"/>
          <w:szCs w:val="24"/>
        </w:rPr>
      </w:pPr>
      <w:r w:rsidRPr="008C4854">
        <w:rPr>
          <w:rFonts w:asciiTheme="majorBidi" w:hAnsiTheme="majorBidi" w:cstheme="majorBidi"/>
          <w:szCs w:val="24"/>
        </w:rPr>
        <w:t>determine the antibiotic susceptibility patterns of the isolates using standardized methods</w:t>
      </w:r>
    </w:p>
    <w:p w14:paraId="2836E9F6" w14:textId="533BEF17" w:rsidR="00A53E7C" w:rsidRPr="008C4854" w:rsidRDefault="00A53E7C" w:rsidP="008C4854">
      <w:pPr>
        <w:pStyle w:val="ListParagraph"/>
        <w:numPr>
          <w:ilvl w:val="0"/>
          <w:numId w:val="1"/>
        </w:numPr>
        <w:jc w:val="both"/>
        <w:rPr>
          <w:rFonts w:asciiTheme="majorBidi" w:hAnsiTheme="majorBidi" w:cstheme="majorBidi"/>
          <w:szCs w:val="24"/>
        </w:rPr>
      </w:pPr>
      <w:r w:rsidRPr="008C4854">
        <w:rPr>
          <w:rFonts w:asciiTheme="majorBidi" w:hAnsiTheme="majorBidi" w:cstheme="majorBidi"/>
          <w:szCs w:val="24"/>
        </w:rPr>
        <w:t>evaluate whether plasmid DNA contributes to observed antimicrobial resistance through plasmid extraction and agarose gel electrophoresis</w:t>
      </w:r>
    </w:p>
    <w:p w14:paraId="4C430CDE" w14:textId="77777777" w:rsidR="00A53E7C" w:rsidRPr="00A53E7C" w:rsidRDefault="00A53E7C" w:rsidP="008C4854">
      <w:pPr>
        <w:pStyle w:val="Heading1"/>
      </w:pPr>
      <w:bookmarkStart w:id="10" w:name="_Toc216595140"/>
      <w:r w:rsidRPr="00A53E7C">
        <w:t>1.5 Scope and Limitations</w:t>
      </w:r>
      <w:bookmarkEnd w:id="10"/>
    </w:p>
    <w:p w14:paraId="43518D12" w14:textId="73D5B59A"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This study focuses on the isolation and biochemical identification of Escherichia coli from water samples collected at selected points along </w:t>
      </w:r>
      <w:proofErr w:type="spellStart"/>
      <w:r w:rsidRPr="00A53E7C">
        <w:rPr>
          <w:rFonts w:asciiTheme="majorBidi" w:hAnsiTheme="majorBidi" w:cstheme="majorBidi"/>
          <w:szCs w:val="24"/>
        </w:rPr>
        <w:t>Kwalkwalawa</w:t>
      </w:r>
      <w:proofErr w:type="spellEnd"/>
      <w:r w:rsidRPr="00A53E7C">
        <w:rPr>
          <w:rFonts w:asciiTheme="majorBidi" w:hAnsiTheme="majorBidi" w:cstheme="majorBidi"/>
          <w:szCs w:val="24"/>
        </w:rPr>
        <w:t xml:space="preserve"> River and evaluates their antimicrobial susceptibility profiles using standardized antibiotic discs (CLSI, 2021). It further assesses the presence of plasmid DNA in resistant isolates using plasmid extraction and agarose gel electrophoresis techniques (Sambrook &amp; Russell, 2020). The study is limited to bacterial isolates obtained during the sampling period and does not evaluate seasonal variations, molecular typing, sequencing of resistance genes, or environmental physicochemical parameters, which may influence microbial distribution or resistance outcomes (Manaia, 2022). Additionally, resource constraints restrict the study to phenotypic resistance testing and </w:t>
      </w:r>
      <w:r w:rsidRPr="00A53E7C">
        <w:rPr>
          <w:rFonts w:asciiTheme="majorBidi" w:hAnsiTheme="majorBidi" w:cstheme="majorBidi"/>
          <w:szCs w:val="24"/>
        </w:rPr>
        <w:lastRenderedPageBreak/>
        <w:t xml:space="preserve">plasmid profiling without assessing chromosomal resistance determinants (Partridge </w:t>
      </w:r>
      <w:r w:rsidR="005516EB" w:rsidRPr="005516EB">
        <w:rPr>
          <w:rFonts w:asciiTheme="majorBidi" w:hAnsiTheme="majorBidi" w:cstheme="majorBidi"/>
          <w:i/>
          <w:iCs/>
          <w:szCs w:val="24"/>
        </w:rPr>
        <w:t>et al</w:t>
      </w:r>
      <w:r w:rsidRPr="00A53E7C">
        <w:rPr>
          <w:rFonts w:asciiTheme="majorBidi" w:hAnsiTheme="majorBidi" w:cstheme="majorBidi"/>
          <w:szCs w:val="24"/>
        </w:rPr>
        <w:t>., 2018).</w:t>
      </w:r>
    </w:p>
    <w:p w14:paraId="516AFA54" w14:textId="3C871ADE" w:rsidR="00A53E7C" w:rsidRPr="00A53E7C" w:rsidRDefault="00A53E7C" w:rsidP="008C4854">
      <w:pPr>
        <w:jc w:val="both"/>
        <w:rPr>
          <w:rFonts w:asciiTheme="majorBidi" w:hAnsiTheme="majorBidi" w:cstheme="majorBidi"/>
          <w:szCs w:val="24"/>
        </w:rPr>
      </w:pPr>
    </w:p>
    <w:p w14:paraId="5D17459C" w14:textId="1A929800" w:rsidR="00A53E7C" w:rsidRPr="008C4854" w:rsidRDefault="00A53E7C" w:rsidP="008C4854">
      <w:pPr>
        <w:jc w:val="both"/>
        <w:rPr>
          <w:rFonts w:asciiTheme="majorBidi" w:hAnsiTheme="majorBidi" w:cstheme="majorBidi"/>
          <w:szCs w:val="24"/>
        </w:rPr>
      </w:pPr>
      <w:r w:rsidRPr="008C4854">
        <w:rPr>
          <w:rFonts w:asciiTheme="majorBidi" w:hAnsiTheme="majorBidi" w:cstheme="majorBidi"/>
          <w:szCs w:val="24"/>
        </w:rPr>
        <w:br w:type="page"/>
      </w:r>
    </w:p>
    <w:p w14:paraId="78183B2B" w14:textId="77777777" w:rsidR="00A53E7C" w:rsidRDefault="00A53E7C" w:rsidP="00CC52D6">
      <w:pPr>
        <w:pStyle w:val="Heading1"/>
        <w:jc w:val="center"/>
      </w:pPr>
      <w:bookmarkStart w:id="11" w:name="_Toc216595141"/>
      <w:r w:rsidRPr="00A53E7C">
        <w:lastRenderedPageBreak/>
        <w:t>CHAPTER TWO</w:t>
      </w:r>
      <w:bookmarkEnd w:id="11"/>
    </w:p>
    <w:p w14:paraId="0CBE373C" w14:textId="54903E2A" w:rsidR="005516EB" w:rsidRDefault="005516EB" w:rsidP="005516EB">
      <w:pPr>
        <w:pStyle w:val="Heading2"/>
      </w:pPr>
      <w:r>
        <w:t>2.0 LITERATURE REVIEW</w:t>
      </w:r>
    </w:p>
    <w:p w14:paraId="7021B1E1" w14:textId="049EB116" w:rsidR="005516EB" w:rsidRPr="005516EB" w:rsidRDefault="005516EB" w:rsidP="005516EB">
      <w:pPr>
        <w:pStyle w:val="Heading3"/>
      </w:pPr>
      <w:r>
        <w:t>2.1</w:t>
      </w:r>
      <w:r w:rsidR="004D4909">
        <w:t xml:space="preserve"> Antimicrobial Resistance</w:t>
      </w:r>
    </w:p>
    <w:p w14:paraId="086F66C7" w14:textId="17105EDD"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Antimicrobial resistance has evolved into one of the most significant biological challenges of the twenty-first century, largely due to constant exposure of microorganisms to selective pressures created by clinical, veterinary, and environmental antibiotic use (Martínez &amp; </w:t>
      </w:r>
      <w:proofErr w:type="spellStart"/>
      <w:r w:rsidRPr="00A53E7C">
        <w:rPr>
          <w:rFonts w:asciiTheme="majorBidi" w:hAnsiTheme="majorBidi" w:cstheme="majorBidi"/>
          <w:szCs w:val="24"/>
        </w:rPr>
        <w:t>Baquero</w:t>
      </w:r>
      <w:proofErr w:type="spellEnd"/>
      <w:r w:rsidRPr="00A53E7C">
        <w:rPr>
          <w:rFonts w:asciiTheme="majorBidi" w:hAnsiTheme="majorBidi" w:cstheme="majorBidi"/>
          <w:szCs w:val="24"/>
        </w:rPr>
        <w:t xml:space="preserve">, 2021). Bacteria respond to these pressures through genetic adaptations that arise either from spontaneous chromosomal mutations or from the acquisition of foreign genetic elements that confer resistance traits (Partridge </w:t>
      </w:r>
      <w:r w:rsidR="005516EB" w:rsidRPr="005516EB">
        <w:rPr>
          <w:rFonts w:asciiTheme="majorBidi" w:hAnsiTheme="majorBidi" w:cstheme="majorBidi"/>
          <w:i/>
          <w:iCs/>
          <w:szCs w:val="24"/>
        </w:rPr>
        <w:t>et al</w:t>
      </w:r>
      <w:r w:rsidRPr="00A53E7C">
        <w:rPr>
          <w:rFonts w:asciiTheme="majorBidi" w:hAnsiTheme="majorBidi" w:cstheme="majorBidi"/>
          <w:szCs w:val="24"/>
        </w:rPr>
        <w:t>., 2018). The capacity of bacteria to exchange genetic material through horizontal gene transfer profoundly influences how resistance emerges and spreads across microbial populations in natural environments, including rivers and other freshwater systems (</w:t>
      </w:r>
      <w:proofErr w:type="spellStart"/>
      <w:r w:rsidRPr="00A53E7C">
        <w:rPr>
          <w:rFonts w:asciiTheme="majorBidi" w:hAnsiTheme="majorBidi" w:cstheme="majorBidi"/>
          <w:szCs w:val="24"/>
        </w:rPr>
        <w:t>Carattoli</w:t>
      </w:r>
      <w:proofErr w:type="spellEnd"/>
      <w:r w:rsidRPr="00A53E7C">
        <w:rPr>
          <w:rFonts w:asciiTheme="majorBidi" w:hAnsiTheme="majorBidi" w:cstheme="majorBidi"/>
          <w:szCs w:val="24"/>
        </w:rPr>
        <w:t>, 2019).</w:t>
      </w:r>
    </w:p>
    <w:p w14:paraId="34C69F15" w14:textId="1DA14828"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Rivers act as dynamic ecosystems that receive inputs from human settlements, animal production facilities, and agricultural fields, making them hotspots for the introduction and dissemination of resistant bacteria (Manaia, 2022). When untreated or poorly treated wastewater enters river systems, it introduces high loads of fecal microorganisms, including Escherichia coli, which serve as indicators of fecal pollution and potential carriers of resistance determinants (World Health Organization [WHO], 2021). These riverine environments provide favorable conditions for the exchange of mobile genetic elements such as plasmids, transposons, and </w:t>
      </w:r>
      <w:proofErr w:type="spellStart"/>
      <w:r w:rsidRPr="00A53E7C">
        <w:rPr>
          <w:rFonts w:asciiTheme="majorBidi" w:hAnsiTheme="majorBidi" w:cstheme="majorBidi"/>
          <w:szCs w:val="24"/>
        </w:rPr>
        <w:t>integrons</w:t>
      </w:r>
      <w:proofErr w:type="spellEnd"/>
      <w:r w:rsidRPr="00A53E7C">
        <w:rPr>
          <w:rFonts w:asciiTheme="majorBidi" w:hAnsiTheme="majorBidi" w:cstheme="majorBidi"/>
          <w:szCs w:val="24"/>
        </w:rPr>
        <w:t xml:space="preserve"> that facilitate rapid spread of antimicrobial resistance genes (</w:t>
      </w:r>
      <w:proofErr w:type="spellStart"/>
      <w:r w:rsidRPr="00A53E7C">
        <w:rPr>
          <w:rFonts w:asciiTheme="majorBidi" w:hAnsiTheme="majorBidi" w:cstheme="majorBidi"/>
          <w:szCs w:val="24"/>
        </w:rPr>
        <w:t>Berendonk</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t>et al</w:t>
      </w:r>
      <w:r w:rsidRPr="00A53E7C">
        <w:rPr>
          <w:rFonts w:asciiTheme="majorBidi" w:hAnsiTheme="majorBidi" w:cstheme="majorBidi"/>
          <w:szCs w:val="24"/>
        </w:rPr>
        <w:t>., 2019).</w:t>
      </w:r>
    </w:p>
    <w:p w14:paraId="42D1CAB6" w14:textId="5802DC4B"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Plasmids are particularly important in this context because they often carry genes encoding resistance to several classes of antibiotics. Their ability to replicate independently and transfer between bacterial cells through conjugation accelerates the dissemination of resistance traits within natural microbial communities (</w:t>
      </w:r>
      <w:proofErr w:type="spellStart"/>
      <w:r w:rsidRPr="00A53E7C">
        <w:rPr>
          <w:rFonts w:asciiTheme="majorBidi" w:hAnsiTheme="majorBidi" w:cstheme="majorBidi"/>
          <w:szCs w:val="24"/>
        </w:rPr>
        <w:t>Carattoli</w:t>
      </w:r>
      <w:proofErr w:type="spellEnd"/>
      <w:r w:rsidRPr="00A53E7C">
        <w:rPr>
          <w:rFonts w:asciiTheme="majorBidi" w:hAnsiTheme="majorBidi" w:cstheme="majorBidi"/>
          <w:szCs w:val="24"/>
        </w:rPr>
        <w:t xml:space="preserve">, 2019). The presence of plasmid-bearing </w:t>
      </w:r>
      <w:r w:rsidR="005516EB" w:rsidRPr="005516EB">
        <w:rPr>
          <w:rFonts w:asciiTheme="majorBidi" w:hAnsiTheme="majorBidi" w:cstheme="majorBidi"/>
          <w:i/>
          <w:iCs/>
          <w:szCs w:val="24"/>
        </w:rPr>
        <w:t xml:space="preserve">E. </w:t>
      </w:r>
      <w:r w:rsidR="005516EB" w:rsidRPr="005516EB">
        <w:rPr>
          <w:rFonts w:asciiTheme="majorBidi" w:hAnsiTheme="majorBidi" w:cstheme="majorBidi"/>
          <w:i/>
          <w:iCs/>
          <w:szCs w:val="24"/>
        </w:rPr>
        <w:lastRenderedPageBreak/>
        <w:t>coli</w:t>
      </w:r>
      <w:r w:rsidRPr="00A53E7C">
        <w:rPr>
          <w:rFonts w:asciiTheme="majorBidi" w:hAnsiTheme="majorBidi" w:cstheme="majorBidi"/>
          <w:szCs w:val="24"/>
        </w:rPr>
        <w:t xml:space="preserve"> in rivers therefore signals a heightened risk of environmental and public health exposure to multidrug-resistant organisms (Hendriksen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2019). Such plasmids may carry genes for beta-lactamases, efflux pumps, aminoglycoside-modifying enzymes, or extended-spectrum resistance mechanisms that compromise the effectiveness of commonly used antimicrobial agents (Partridge </w:t>
      </w:r>
      <w:r w:rsidR="005516EB" w:rsidRPr="005516EB">
        <w:rPr>
          <w:rFonts w:asciiTheme="majorBidi" w:hAnsiTheme="majorBidi" w:cstheme="majorBidi"/>
          <w:i/>
          <w:iCs/>
          <w:szCs w:val="24"/>
        </w:rPr>
        <w:t>et al</w:t>
      </w:r>
      <w:r w:rsidRPr="00A53E7C">
        <w:rPr>
          <w:rFonts w:asciiTheme="majorBidi" w:hAnsiTheme="majorBidi" w:cstheme="majorBidi"/>
          <w:szCs w:val="24"/>
        </w:rPr>
        <w:t>., 2018).</w:t>
      </w:r>
    </w:p>
    <w:p w14:paraId="055A790B" w14:textId="626F02F2"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The examination of resistance profiles in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isolated from river water is especially relevant because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is not only an indicator organism for fecal contamination but also a well-studied model bacterium whose resistance mechanisms are representative of broader resistance patterns among enteric species (</w:t>
      </w:r>
      <w:proofErr w:type="spellStart"/>
      <w:r w:rsidRPr="00A53E7C">
        <w:rPr>
          <w:rFonts w:asciiTheme="majorBidi" w:hAnsiTheme="majorBidi" w:cstheme="majorBidi"/>
          <w:szCs w:val="24"/>
        </w:rPr>
        <w:t>Kaper</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t>et al</w:t>
      </w:r>
      <w:r w:rsidRPr="00A53E7C">
        <w:rPr>
          <w:rFonts w:asciiTheme="majorBidi" w:hAnsiTheme="majorBidi" w:cstheme="majorBidi"/>
          <w:szCs w:val="24"/>
        </w:rPr>
        <w:t>., 2020). Studying its antimicrobial susceptibilities and plasmid content provides insight into the ecological and epidemiological dynamics of resistance in freshwaters (</w:t>
      </w:r>
      <w:proofErr w:type="spellStart"/>
      <w:r w:rsidRPr="00A53E7C">
        <w:rPr>
          <w:rFonts w:asciiTheme="majorBidi" w:hAnsiTheme="majorBidi" w:cstheme="majorBidi"/>
          <w:szCs w:val="24"/>
        </w:rPr>
        <w:t>Iwu</w:t>
      </w:r>
      <w:proofErr w:type="spellEnd"/>
      <w:r w:rsidRPr="00A53E7C">
        <w:rPr>
          <w:rFonts w:asciiTheme="majorBidi" w:hAnsiTheme="majorBidi" w:cstheme="majorBidi"/>
          <w:szCs w:val="24"/>
        </w:rPr>
        <w:t xml:space="preserve"> &amp; </w:t>
      </w:r>
      <w:proofErr w:type="spellStart"/>
      <w:r w:rsidRPr="00A53E7C">
        <w:rPr>
          <w:rFonts w:asciiTheme="majorBidi" w:hAnsiTheme="majorBidi" w:cstheme="majorBidi"/>
          <w:szCs w:val="24"/>
        </w:rPr>
        <w:t>Okoh</w:t>
      </w:r>
      <w:proofErr w:type="spellEnd"/>
      <w:r w:rsidRPr="00A53E7C">
        <w:rPr>
          <w:rFonts w:asciiTheme="majorBidi" w:hAnsiTheme="majorBidi" w:cstheme="majorBidi"/>
          <w:szCs w:val="24"/>
        </w:rPr>
        <w:t>, 2020). Additionally, global health authorities consistently emphasize the importance of environmental surveillance in identifying reservoirs of resistance and informing strategies for antimicrobial stewardship (WHO, 2020).</w:t>
      </w:r>
    </w:p>
    <w:p w14:paraId="7AE25510" w14:textId="74B77F81" w:rsidR="00A53E7C" w:rsidRPr="00A53E7C" w:rsidRDefault="00A53E7C" w:rsidP="00CC52D6">
      <w:pPr>
        <w:jc w:val="both"/>
        <w:rPr>
          <w:rFonts w:asciiTheme="majorBidi" w:hAnsiTheme="majorBidi" w:cstheme="majorBidi"/>
          <w:szCs w:val="24"/>
        </w:rPr>
      </w:pPr>
      <w:r w:rsidRPr="00A53E7C">
        <w:rPr>
          <w:rFonts w:asciiTheme="majorBidi" w:hAnsiTheme="majorBidi" w:cstheme="majorBidi"/>
          <w:szCs w:val="24"/>
        </w:rPr>
        <w:t xml:space="preserve">The theoretical framework for this study therefore rests on the understanding that environmental waters function as both sinks and conduits for resistant bacteria. It also emphasizes the central role of plasmids in mediating antimicrobial resistance and the value of assessing plasmid presence in environmental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isolates as a means of understanding how resistance traits persist and spread within natural ecosystems (Martínez &amp; </w:t>
      </w:r>
      <w:proofErr w:type="spellStart"/>
      <w:r w:rsidRPr="00A53E7C">
        <w:rPr>
          <w:rFonts w:asciiTheme="majorBidi" w:hAnsiTheme="majorBidi" w:cstheme="majorBidi"/>
          <w:szCs w:val="24"/>
        </w:rPr>
        <w:t>Baquero</w:t>
      </w:r>
      <w:proofErr w:type="spellEnd"/>
      <w:r w:rsidRPr="00A53E7C">
        <w:rPr>
          <w:rFonts w:asciiTheme="majorBidi" w:hAnsiTheme="majorBidi" w:cstheme="majorBidi"/>
          <w:szCs w:val="24"/>
        </w:rPr>
        <w:t xml:space="preserve">, 2021). </w:t>
      </w:r>
    </w:p>
    <w:p w14:paraId="09C9304A" w14:textId="77777777" w:rsidR="00A53E7C" w:rsidRPr="00A53E7C" w:rsidRDefault="00A53E7C" w:rsidP="00CC52D6">
      <w:pPr>
        <w:pStyle w:val="Heading1"/>
      </w:pPr>
      <w:bookmarkStart w:id="12" w:name="_Toc216595142"/>
      <w:r w:rsidRPr="00A53E7C">
        <w:t xml:space="preserve">2.1.1 </w:t>
      </w:r>
      <w:r w:rsidRPr="004D4909">
        <w:rPr>
          <w:i/>
          <w:iCs/>
        </w:rPr>
        <w:t>Escherichia coli</w:t>
      </w:r>
      <w:r w:rsidRPr="00A53E7C">
        <w:t>: Taxonomy, Physiology, and Environmental Relevance</w:t>
      </w:r>
      <w:bookmarkEnd w:id="12"/>
    </w:p>
    <w:p w14:paraId="064E2E26" w14:textId="73FA7A21"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Escherichia coli is a member of the family Enterobacteriaceae and is taxonomically classified as a Gram-negative, rod-shaped, facultative anaerobe that inhabits the gastrointestinal tract of humans and warm-blooded animals (Madigan </w:t>
      </w:r>
      <w:r w:rsidR="005516EB" w:rsidRPr="005516EB">
        <w:rPr>
          <w:rFonts w:asciiTheme="majorBidi" w:hAnsiTheme="majorBidi" w:cstheme="majorBidi"/>
          <w:i/>
          <w:iCs/>
          <w:szCs w:val="24"/>
        </w:rPr>
        <w:t>et al</w:t>
      </w:r>
      <w:r w:rsidRPr="00A53E7C">
        <w:rPr>
          <w:rFonts w:asciiTheme="majorBidi" w:hAnsiTheme="majorBidi" w:cstheme="majorBidi"/>
          <w:szCs w:val="24"/>
        </w:rPr>
        <w:t>., 2021). Its taxonomic identity is well established through biochemical, molecular, and phylogenetic analyses that position it as one of the most widely studied bacterial species because of its clinical, ecological, and biotechnological importance (</w:t>
      </w:r>
      <w:proofErr w:type="spellStart"/>
      <w:r w:rsidRPr="00A53E7C">
        <w:rPr>
          <w:rFonts w:asciiTheme="majorBidi" w:hAnsiTheme="majorBidi" w:cstheme="majorBidi"/>
          <w:szCs w:val="24"/>
        </w:rPr>
        <w:t>Kaper</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2020). The species demonstrates remarkable genetic </w:t>
      </w:r>
      <w:r w:rsidRPr="00A53E7C">
        <w:rPr>
          <w:rFonts w:asciiTheme="majorBidi" w:hAnsiTheme="majorBidi" w:cstheme="majorBidi"/>
          <w:szCs w:val="24"/>
        </w:rPr>
        <w:lastRenderedPageBreak/>
        <w:t>diversity, with strains ranging from harmless commensals to highly pathogenic variants that possess virulence factors enabling them to cause gastrointestinal and extraintestinal diseases (</w:t>
      </w:r>
      <w:proofErr w:type="spellStart"/>
      <w:r w:rsidRPr="00A53E7C">
        <w:rPr>
          <w:rFonts w:asciiTheme="majorBidi" w:hAnsiTheme="majorBidi" w:cstheme="majorBidi"/>
          <w:szCs w:val="24"/>
        </w:rPr>
        <w:t>Croxen</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t>et al</w:t>
      </w:r>
      <w:r w:rsidRPr="00A53E7C">
        <w:rPr>
          <w:rFonts w:asciiTheme="majorBidi" w:hAnsiTheme="majorBidi" w:cstheme="majorBidi"/>
          <w:szCs w:val="24"/>
        </w:rPr>
        <w:t>., 2019).</w:t>
      </w:r>
    </w:p>
    <w:p w14:paraId="004D222E" w14:textId="1B102B42"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Physiologically,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is adapted to survive in a broad range of environments due to its metabolic versatility. It grows optimally at 37 degrees Celsius but is capable of persisting in aquatic environments where nutrient and temperature conditions fluctuate (Madigan </w:t>
      </w:r>
      <w:r w:rsidR="005516EB" w:rsidRPr="005516EB">
        <w:rPr>
          <w:rFonts w:asciiTheme="majorBidi" w:hAnsiTheme="majorBidi" w:cstheme="majorBidi"/>
          <w:i/>
          <w:iCs/>
          <w:szCs w:val="24"/>
        </w:rPr>
        <w:t>et al</w:t>
      </w:r>
      <w:r w:rsidRPr="00A53E7C">
        <w:rPr>
          <w:rFonts w:asciiTheme="majorBidi" w:hAnsiTheme="majorBidi" w:cstheme="majorBidi"/>
          <w:szCs w:val="24"/>
        </w:rPr>
        <w:t>., 2021). The organism possesses multiple transport systems and metabolic pathways that enable it to utilize a wide array of carbon sources, promote rapid growth, and maintain fitness in habitats outside the intestinal tract (Lloyd &amp; Allen, 2021). The ability to switch between aerobic and anaerobic respiration further contributes to its survival in rivers where oxygen levels may vary across microhabitats (</w:t>
      </w:r>
      <w:proofErr w:type="spellStart"/>
      <w:r w:rsidRPr="00A53E7C">
        <w:rPr>
          <w:rFonts w:asciiTheme="majorBidi" w:hAnsiTheme="majorBidi" w:cstheme="majorBidi"/>
          <w:szCs w:val="24"/>
        </w:rPr>
        <w:t>Iwu</w:t>
      </w:r>
      <w:proofErr w:type="spellEnd"/>
      <w:r w:rsidRPr="00A53E7C">
        <w:rPr>
          <w:rFonts w:asciiTheme="majorBidi" w:hAnsiTheme="majorBidi" w:cstheme="majorBidi"/>
          <w:szCs w:val="24"/>
        </w:rPr>
        <w:t xml:space="preserve"> &amp; </w:t>
      </w:r>
      <w:proofErr w:type="spellStart"/>
      <w:r w:rsidRPr="00A53E7C">
        <w:rPr>
          <w:rFonts w:asciiTheme="majorBidi" w:hAnsiTheme="majorBidi" w:cstheme="majorBidi"/>
          <w:szCs w:val="24"/>
        </w:rPr>
        <w:t>Okoh</w:t>
      </w:r>
      <w:proofErr w:type="spellEnd"/>
      <w:r w:rsidRPr="00A53E7C">
        <w:rPr>
          <w:rFonts w:asciiTheme="majorBidi" w:hAnsiTheme="majorBidi" w:cstheme="majorBidi"/>
          <w:szCs w:val="24"/>
        </w:rPr>
        <w:t>, 2020).</w:t>
      </w:r>
    </w:p>
    <w:p w14:paraId="2A24DEEF" w14:textId="2282CFCD"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Although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is primarily a gut commensal, its presence in environmental waters such as rivers, lakes, and streams </w:t>
      </w:r>
      <w:proofErr w:type="gramStart"/>
      <w:r w:rsidRPr="00A53E7C">
        <w:rPr>
          <w:rFonts w:asciiTheme="majorBidi" w:hAnsiTheme="majorBidi" w:cstheme="majorBidi"/>
          <w:szCs w:val="24"/>
        </w:rPr>
        <w:t>is</w:t>
      </w:r>
      <w:proofErr w:type="gramEnd"/>
      <w:r w:rsidRPr="00A53E7C">
        <w:rPr>
          <w:rFonts w:asciiTheme="majorBidi" w:hAnsiTheme="majorBidi" w:cstheme="majorBidi"/>
          <w:szCs w:val="24"/>
        </w:rPr>
        <w:t xml:space="preserve"> widely recognized as a reliable indicator of fecal contamination (WHO, 2021). Freshwater bodies receiving runoff from residential areas, agricultural activities, and wastewater discharges often contain high loads of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that originate from human and animal waste (</w:t>
      </w:r>
      <w:proofErr w:type="spellStart"/>
      <w:r w:rsidRPr="00A53E7C">
        <w:rPr>
          <w:rFonts w:asciiTheme="majorBidi" w:hAnsiTheme="majorBidi" w:cstheme="majorBidi"/>
          <w:szCs w:val="24"/>
        </w:rPr>
        <w:t>Odonkor</w:t>
      </w:r>
      <w:proofErr w:type="spellEnd"/>
      <w:r w:rsidRPr="00A53E7C">
        <w:rPr>
          <w:rFonts w:asciiTheme="majorBidi" w:hAnsiTheme="majorBidi" w:cstheme="majorBidi"/>
          <w:szCs w:val="24"/>
        </w:rPr>
        <w:t xml:space="preserve"> &amp; </w:t>
      </w:r>
      <w:proofErr w:type="spellStart"/>
      <w:r w:rsidRPr="00A53E7C">
        <w:rPr>
          <w:rFonts w:asciiTheme="majorBidi" w:hAnsiTheme="majorBidi" w:cstheme="majorBidi"/>
          <w:szCs w:val="24"/>
        </w:rPr>
        <w:t>Ampofo</w:t>
      </w:r>
      <w:proofErr w:type="spellEnd"/>
      <w:r w:rsidRPr="00A53E7C">
        <w:rPr>
          <w:rFonts w:asciiTheme="majorBidi" w:hAnsiTheme="majorBidi" w:cstheme="majorBidi"/>
          <w:szCs w:val="24"/>
        </w:rPr>
        <w:t xml:space="preserve">, 2021). Because of this link to fecal pollution, health agencies routinely use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counts to assess water quality and evaluate the likelihood of pathogen presence in environmental waters (CDC, 2022).</w:t>
      </w:r>
    </w:p>
    <w:p w14:paraId="63892E59" w14:textId="714E85DB" w:rsidR="00A53E7C" w:rsidRPr="00A53E7C" w:rsidRDefault="005516EB" w:rsidP="008C4854">
      <w:pPr>
        <w:jc w:val="both"/>
        <w:rPr>
          <w:rFonts w:asciiTheme="majorBidi" w:hAnsiTheme="majorBidi" w:cstheme="majorBidi"/>
          <w:szCs w:val="24"/>
        </w:rPr>
      </w:pPr>
      <w:r w:rsidRPr="005516EB">
        <w:rPr>
          <w:rFonts w:asciiTheme="majorBidi" w:hAnsiTheme="majorBidi" w:cstheme="majorBidi"/>
          <w:i/>
          <w:iCs/>
          <w:szCs w:val="24"/>
        </w:rPr>
        <w:t>E. coli</w:t>
      </w:r>
      <w:r w:rsidR="00A53E7C" w:rsidRPr="00A53E7C">
        <w:rPr>
          <w:rFonts w:asciiTheme="majorBidi" w:hAnsiTheme="majorBidi" w:cstheme="majorBidi"/>
          <w:szCs w:val="24"/>
        </w:rPr>
        <w:t xml:space="preserve"> also plays a significant role in monitoring antimicrobial resistance in aquatic ecosystems. Environmental strains frequently acquire resistance genes due to exposure to antibiotic residues from wastewater, livestock effluents, and agricultural runoff (Hendriksen </w:t>
      </w:r>
      <w:r w:rsidRPr="005516EB">
        <w:rPr>
          <w:rFonts w:asciiTheme="majorBidi" w:hAnsiTheme="majorBidi" w:cstheme="majorBidi"/>
          <w:i/>
          <w:iCs/>
          <w:szCs w:val="24"/>
        </w:rPr>
        <w:t>et al</w:t>
      </w:r>
      <w:r w:rsidR="00A53E7C" w:rsidRPr="00A53E7C">
        <w:rPr>
          <w:rFonts w:asciiTheme="majorBidi" w:hAnsiTheme="majorBidi" w:cstheme="majorBidi"/>
          <w:szCs w:val="24"/>
        </w:rPr>
        <w:t>., 2019). These selective pressures promote the survival of resistant populations and facilitate horizontal gene transfer among bacterial communities in rivers (</w:t>
      </w:r>
      <w:proofErr w:type="spellStart"/>
      <w:r w:rsidR="00A53E7C" w:rsidRPr="00A53E7C">
        <w:rPr>
          <w:rFonts w:asciiTheme="majorBidi" w:hAnsiTheme="majorBidi" w:cstheme="majorBidi"/>
          <w:szCs w:val="24"/>
        </w:rPr>
        <w:t>Berendonk</w:t>
      </w:r>
      <w:proofErr w:type="spellEnd"/>
      <w:r w:rsidR="00A53E7C" w:rsidRPr="00A53E7C">
        <w:rPr>
          <w:rFonts w:asciiTheme="majorBidi" w:hAnsiTheme="majorBidi" w:cstheme="majorBidi"/>
          <w:szCs w:val="24"/>
        </w:rPr>
        <w:t xml:space="preserve"> </w:t>
      </w:r>
      <w:r w:rsidRPr="005516EB">
        <w:rPr>
          <w:rFonts w:asciiTheme="majorBidi" w:hAnsiTheme="majorBidi" w:cstheme="majorBidi"/>
          <w:i/>
          <w:iCs/>
          <w:szCs w:val="24"/>
        </w:rPr>
        <w:t>et al</w:t>
      </w:r>
      <w:r w:rsidR="00A53E7C" w:rsidRPr="00A53E7C">
        <w:rPr>
          <w:rFonts w:asciiTheme="majorBidi" w:hAnsiTheme="majorBidi" w:cstheme="majorBidi"/>
          <w:szCs w:val="24"/>
        </w:rPr>
        <w:t xml:space="preserve">., 2019). Plasmid exchange among </w:t>
      </w:r>
      <w:r w:rsidRPr="005516EB">
        <w:rPr>
          <w:rFonts w:asciiTheme="majorBidi" w:hAnsiTheme="majorBidi" w:cstheme="majorBidi"/>
          <w:i/>
          <w:iCs/>
          <w:szCs w:val="24"/>
        </w:rPr>
        <w:t>E. coli</w:t>
      </w:r>
      <w:r w:rsidR="00A53E7C" w:rsidRPr="00A53E7C">
        <w:rPr>
          <w:rFonts w:asciiTheme="majorBidi" w:hAnsiTheme="majorBidi" w:cstheme="majorBidi"/>
          <w:szCs w:val="24"/>
        </w:rPr>
        <w:t xml:space="preserve"> and other enteric species occurs readily in such environments, </w:t>
      </w:r>
      <w:r w:rsidR="00A53E7C" w:rsidRPr="00A53E7C">
        <w:rPr>
          <w:rFonts w:asciiTheme="majorBidi" w:hAnsiTheme="majorBidi" w:cstheme="majorBidi"/>
          <w:szCs w:val="24"/>
        </w:rPr>
        <w:lastRenderedPageBreak/>
        <w:t>increasing the prevalence of multidrug resistance and enabling resistance genes to spread into clinically relevant bacterial populations (</w:t>
      </w:r>
      <w:proofErr w:type="spellStart"/>
      <w:r w:rsidR="00A53E7C" w:rsidRPr="00A53E7C">
        <w:rPr>
          <w:rFonts w:asciiTheme="majorBidi" w:hAnsiTheme="majorBidi" w:cstheme="majorBidi"/>
          <w:szCs w:val="24"/>
        </w:rPr>
        <w:t>Carattoli</w:t>
      </w:r>
      <w:proofErr w:type="spellEnd"/>
      <w:r w:rsidR="00A53E7C" w:rsidRPr="00A53E7C">
        <w:rPr>
          <w:rFonts w:asciiTheme="majorBidi" w:hAnsiTheme="majorBidi" w:cstheme="majorBidi"/>
          <w:szCs w:val="24"/>
        </w:rPr>
        <w:t>, 2019).</w:t>
      </w:r>
    </w:p>
    <w:p w14:paraId="21E3606C" w14:textId="3BFC1260" w:rsidR="00A53E7C" w:rsidRPr="00A53E7C" w:rsidRDefault="00A53E7C" w:rsidP="00CC52D6">
      <w:pPr>
        <w:jc w:val="both"/>
        <w:rPr>
          <w:rFonts w:asciiTheme="majorBidi" w:hAnsiTheme="majorBidi" w:cstheme="majorBidi"/>
          <w:szCs w:val="24"/>
        </w:rPr>
      </w:pPr>
      <w:r w:rsidRPr="00A53E7C">
        <w:rPr>
          <w:rFonts w:asciiTheme="majorBidi" w:hAnsiTheme="majorBidi" w:cstheme="majorBidi"/>
          <w:szCs w:val="24"/>
        </w:rPr>
        <w:t xml:space="preserve">The environmental relevance of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therefore extends beyond its role as a water quality indicator. It is a key player in the ecology of resistance, functioning both as a reservoir and a conduit for antimicrobial resistance genes in natural waters (Manaia, 2022). The detection of plasmid-bearing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in rivers signals elevated risks for the dissemination of resistance determinants through environmental, agricultural, and human exposure pathways (</w:t>
      </w:r>
      <w:proofErr w:type="spellStart"/>
      <w:r w:rsidRPr="00A53E7C">
        <w:rPr>
          <w:rFonts w:asciiTheme="majorBidi" w:hAnsiTheme="majorBidi" w:cstheme="majorBidi"/>
          <w:szCs w:val="24"/>
        </w:rPr>
        <w:t>Iwu</w:t>
      </w:r>
      <w:proofErr w:type="spellEnd"/>
      <w:r w:rsidRPr="00A53E7C">
        <w:rPr>
          <w:rFonts w:asciiTheme="majorBidi" w:hAnsiTheme="majorBidi" w:cstheme="majorBidi"/>
          <w:szCs w:val="24"/>
        </w:rPr>
        <w:t xml:space="preserve"> &amp; </w:t>
      </w:r>
      <w:proofErr w:type="spellStart"/>
      <w:r w:rsidRPr="00A53E7C">
        <w:rPr>
          <w:rFonts w:asciiTheme="majorBidi" w:hAnsiTheme="majorBidi" w:cstheme="majorBidi"/>
          <w:szCs w:val="24"/>
        </w:rPr>
        <w:t>Okoh</w:t>
      </w:r>
      <w:proofErr w:type="spellEnd"/>
      <w:r w:rsidRPr="00A53E7C">
        <w:rPr>
          <w:rFonts w:asciiTheme="majorBidi" w:hAnsiTheme="majorBidi" w:cstheme="majorBidi"/>
          <w:szCs w:val="24"/>
        </w:rPr>
        <w:t xml:space="preserve">, 2020). </w:t>
      </w:r>
    </w:p>
    <w:p w14:paraId="2AF6D1EC" w14:textId="77777777" w:rsidR="00A53E7C" w:rsidRPr="00A53E7C" w:rsidRDefault="00A53E7C" w:rsidP="00CC52D6">
      <w:pPr>
        <w:pStyle w:val="Heading1"/>
      </w:pPr>
      <w:bookmarkStart w:id="13" w:name="_Toc216595143"/>
      <w:r w:rsidRPr="00A53E7C">
        <w:t>2.1.2 Riverine Microbial Ecology and Fecal Contamination Sources</w:t>
      </w:r>
      <w:bookmarkEnd w:id="13"/>
    </w:p>
    <w:p w14:paraId="59E01789" w14:textId="6E1A4DB6"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Riverine ecosystems support complex microbial communities that play essential roles in nutrient cycling, organic matter degradation, and ecological balance, making them dynamic environments where bacteria constantly interact, compete, and exchange genetic material (</w:t>
      </w:r>
      <w:proofErr w:type="spellStart"/>
      <w:r w:rsidRPr="00A53E7C">
        <w:rPr>
          <w:rFonts w:asciiTheme="majorBidi" w:hAnsiTheme="majorBidi" w:cstheme="majorBidi"/>
          <w:szCs w:val="24"/>
        </w:rPr>
        <w:t>Iwu</w:t>
      </w:r>
      <w:proofErr w:type="spellEnd"/>
      <w:r w:rsidRPr="00A53E7C">
        <w:rPr>
          <w:rFonts w:asciiTheme="majorBidi" w:hAnsiTheme="majorBidi" w:cstheme="majorBidi"/>
          <w:szCs w:val="24"/>
        </w:rPr>
        <w:t xml:space="preserve"> &amp; </w:t>
      </w:r>
      <w:proofErr w:type="spellStart"/>
      <w:r w:rsidRPr="00A53E7C">
        <w:rPr>
          <w:rFonts w:asciiTheme="majorBidi" w:hAnsiTheme="majorBidi" w:cstheme="majorBidi"/>
          <w:szCs w:val="24"/>
        </w:rPr>
        <w:t>Okoh</w:t>
      </w:r>
      <w:proofErr w:type="spellEnd"/>
      <w:r w:rsidRPr="00A53E7C">
        <w:rPr>
          <w:rFonts w:asciiTheme="majorBidi" w:hAnsiTheme="majorBidi" w:cstheme="majorBidi"/>
          <w:szCs w:val="24"/>
        </w:rPr>
        <w:t>, 2020). The microbial composition of rivers is influenced by hydrological conditions, surrounding land use, and the influx of microorganisms from terrestrial and anthropogenic sources, with freshwater bodies serving as both habitats and transport pathways for a wide range of bacteria, including commensal, pathogenic, and antibiotic-resistant strains (Manaia, 2022). Because rivers receive runoff and effluents from multiple origins, they are recognized as major reservoirs where microbial populations from natural and human-influenced environments converge (</w:t>
      </w:r>
      <w:proofErr w:type="spellStart"/>
      <w:r w:rsidRPr="00A53E7C">
        <w:rPr>
          <w:rFonts w:asciiTheme="majorBidi" w:hAnsiTheme="majorBidi" w:cstheme="majorBidi"/>
          <w:szCs w:val="24"/>
        </w:rPr>
        <w:t>Berendonk</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t>et al</w:t>
      </w:r>
      <w:r w:rsidRPr="00A53E7C">
        <w:rPr>
          <w:rFonts w:asciiTheme="majorBidi" w:hAnsiTheme="majorBidi" w:cstheme="majorBidi"/>
          <w:szCs w:val="24"/>
        </w:rPr>
        <w:t>., 2019).</w:t>
      </w:r>
    </w:p>
    <w:p w14:paraId="04F3C395" w14:textId="77777777"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Fecal contamination is one of the most significant contributors to microbial loads in rivers, stemming from domestic sewage, agricultural runoff, livestock operations, and open defecation in regions with limited sanitation infrastructure (WHO, 2021). The discharge of untreated or partially treated wastewater introduces high concentrations of enteric bacteria such as Escherichia coli, which serves as a reliable indicator of recent fecal contamination because of its abundance in the intestines of warm-blooded animals (CDC, 2022). Rivers situated near </w:t>
      </w:r>
      <w:r w:rsidRPr="00A53E7C">
        <w:rPr>
          <w:rFonts w:asciiTheme="majorBidi" w:hAnsiTheme="majorBidi" w:cstheme="majorBidi"/>
          <w:szCs w:val="24"/>
        </w:rPr>
        <w:lastRenderedPageBreak/>
        <w:t>agricultural settlements often receive animal waste through direct deposition or surface runoff, further increasing the microbial burden and introducing resistant bacteria originating from livestock treated with antibiotics (</w:t>
      </w:r>
      <w:proofErr w:type="spellStart"/>
      <w:r w:rsidRPr="00A53E7C">
        <w:rPr>
          <w:rFonts w:asciiTheme="majorBidi" w:hAnsiTheme="majorBidi" w:cstheme="majorBidi"/>
          <w:szCs w:val="24"/>
        </w:rPr>
        <w:t>Odonkor</w:t>
      </w:r>
      <w:proofErr w:type="spellEnd"/>
      <w:r w:rsidRPr="00A53E7C">
        <w:rPr>
          <w:rFonts w:asciiTheme="majorBidi" w:hAnsiTheme="majorBidi" w:cstheme="majorBidi"/>
          <w:szCs w:val="24"/>
        </w:rPr>
        <w:t xml:space="preserve"> &amp; </w:t>
      </w:r>
      <w:proofErr w:type="spellStart"/>
      <w:r w:rsidRPr="00A53E7C">
        <w:rPr>
          <w:rFonts w:asciiTheme="majorBidi" w:hAnsiTheme="majorBidi" w:cstheme="majorBidi"/>
          <w:szCs w:val="24"/>
        </w:rPr>
        <w:t>Ampofo</w:t>
      </w:r>
      <w:proofErr w:type="spellEnd"/>
      <w:r w:rsidRPr="00A53E7C">
        <w:rPr>
          <w:rFonts w:asciiTheme="majorBidi" w:hAnsiTheme="majorBidi" w:cstheme="majorBidi"/>
          <w:szCs w:val="24"/>
        </w:rPr>
        <w:t>, 2021). These contamination pathways create sustained inputs of fecal microbes that reshape the microbial composition of river systems.</w:t>
      </w:r>
    </w:p>
    <w:p w14:paraId="16A2D252" w14:textId="4143E3C0"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Once introduced into river water, fecal bacteria interact with indigenous aquatic microorganisms, creating opportunities for genetic exchange that can enhance environmental persistence and resistance traits (Hendriksen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2019). Rivers often contain antibiotic residues, heavy metals, and other pollutants that exert selective pressure on bacterial communities, favoring the survival and proliferation of resistant strains (Martínez &amp; </w:t>
      </w:r>
      <w:proofErr w:type="spellStart"/>
      <w:r w:rsidRPr="00A53E7C">
        <w:rPr>
          <w:rFonts w:asciiTheme="majorBidi" w:hAnsiTheme="majorBidi" w:cstheme="majorBidi"/>
          <w:szCs w:val="24"/>
        </w:rPr>
        <w:t>Baquero</w:t>
      </w:r>
      <w:proofErr w:type="spellEnd"/>
      <w:r w:rsidRPr="00A53E7C">
        <w:rPr>
          <w:rFonts w:asciiTheme="majorBidi" w:hAnsiTheme="majorBidi" w:cstheme="majorBidi"/>
          <w:szCs w:val="24"/>
        </w:rPr>
        <w:t xml:space="preserve">, 2021). In this context, resistance genes carried by fecal bacteria may be transferred to other aquatic microorganisms through horizontal gene transfer mechanisms, particularly via plasmids and </w:t>
      </w:r>
      <w:proofErr w:type="spellStart"/>
      <w:r w:rsidRPr="00A53E7C">
        <w:rPr>
          <w:rFonts w:asciiTheme="majorBidi" w:hAnsiTheme="majorBidi" w:cstheme="majorBidi"/>
          <w:szCs w:val="24"/>
        </w:rPr>
        <w:t>integrons</w:t>
      </w:r>
      <w:proofErr w:type="spellEnd"/>
      <w:r w:rsidRPr="00A53E7C">
        <w:rPr>
          <w:rFonts w:asciiTheme="majorBidi" w:hAnsiTheme="majorBidi" w:cstheme="majorBidi"/>
          <w:szCs w:val="24"/>
        </w:rPr>
        <w:t xml:space="preserve"> that facilitate the spread of resistance determinants across diverse taxa (</w:t>
      </w:r>
      <w:proofErr w:type="spellStart"/>
      <w:r w:rsidRPr="00A53E7C">
        <w:rPr>
          <w:rFonts w:asciiTheme="majorBidi" w:hAnsiTheme="majorBidi" w:cstheme="majorBidi"/>
          <w:szCs w:val="24"/>
        </w:rPr>
        <w:t>Carattoli</w:t>
      </w:r>
      <w:proofErr w:type="spellEnd"/>
      <w:r w:rsidRPr="00A53E7C">
        <w:rPr>
          <w:rFonts w:asciiTheme="majorBidi" w:hAnsiTheme="majorBidi" w:cstheme="majorBidi"/>
          <w:szCs w:val="24"/>
        </w:rPr>
        <w:t xml:space="preserve">, 2019). These interactions contribute to the formation of environmental </w:t>
      </w:r>
      <w:proofErr w:type="spellStart"/>
      <w:r w:rsidRPr="00A53E7C">
        <w:rPr>
          <w:rFonts w:asciiTheme="majorBidi" w:hAnsiTheme="majorBidi" w:cstheme="majorBidi"/>
          <w:szCs w:val="24"/>
        </w:rPr>
        <w:t>resistomes</w:t>
      </w:r>
      <w:proofErr w:type="spellEnd"/>
      <w:r w:rsidRPr="00A53E7C">
        <w:rPr>
          <w:rFonts w:asciiTheme="majorBidi" w:hAnsiTheme="majorBidi" w:cstheme="majorBidi"/>
          <w:szCs w:val="24"/>
        </w:rPr>
        <w:t xml:space="preserve">, defined as collections of resistance genes present in natural ecosystems, many of which can potentially be mobilized into human pathogens (Partridge </w:t>
      </w:r>
      <w:r w:rsidR="005516EB" w:rsidRPr="005516EB">
        <w:rPr>
          <w:rFonts w:asciiTheme="majorBidi" w:hAnsiTheme="majorBidi" w:cstheme="majorBidi"/>
          <w:i/>
          <w:iCs/>
          <w:szCs w:val="24"/>
        </w:rPr>
        <w:t>et al</w:t>
      </w:r>
      <w:r w:rsidRPr="00A53E7C">
        <w:rPr>
          <w:rFonts w:asciiTheme="majorBidi" w:hAnsiTheme="majorBidi" w:cstheme="majorBidi"/>
          <w:szCs w:val="24"/>
        </w:rPr>
        <w:t>., 2018).</w:t>
      </w:r>
    </w:p>
    <w:p w14:paraId="7F6B4730" w14:textId="207C5CE5"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Hydrological factors also influence microbial survival and transport. Flow velocity, sedimentation, temperature fluctuation, and sunlight exposure all affect the persistence of fecal bacteria, with sediments often serving as microhabitats where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can survive for extended periods (Lloyd &amp; Allen, 2021). Sediment-associated bacteria may later be resuspended into the water column during rainfall or turbulent flow events, creating periodic spikes in microbial contamination levels (</w:t>
      </w:r>
      <w:proofErr w:type="spellStart"/>
      <w:r w:rsidRPr="00A53E7C">
        <w:rPr>
          <w:rFonts w:asciiTheme="majorBidi" w:hAnsiTheme="majorBidi" w:cstheme="majorBidi"/>
          <w:szCs w:val="24"/>
        </w:rPr>
        <w:t>Iwu</w:t>
      </w:r>
      <w:proofErr w:type="spellEnd"/>
      <w:r w:rsidRPr="00A53E7C">
        <w:rPr>
          <w:rFonts w:asciiTheme="majorBidi" w:hAnsiTheme="majorBidi" w:cstheme="majorBidi"/>
          <w:szCs w:val="24"/>
        </w:rPr>
        <w:t xml:space="preserve"> &amp; </w:t>
      </w:r>
      <w:proofErr w:type="spellStart"/>
      <w:r w:rsidRPr="00A53E7C">
        <w:rPr>
          <w:rFonts w:asciiTheme="majorBidi" w:hAnsiTheme="majorBidi" w:cstheme="majorBidi"/>
          <w:szCs w:val="24"/>
        </w:rPr>
        <w:t>Okoh</w:t>
      </w:r>
      <w:proofErr w:type="spellEnd"/>
      <w:r w:rsidRPr="00A53E7C">
        <w:rPr>
          <w:rFonts w:asciiTheme="majorBidi" w:hAnsiTheme="majorBidi" w:cstheme="majorBidi"/>
          <w:szCs w:val="24"/>
        </w:rPr>
        <w:t>, 2020). These dynamic processes highlight the complexity of riverine microbial ecology and underscore the importance of understanding environmental influences when assessing contamination and resistance patterns.</w:t>
      </w:r>
    </w:p>
    <w:p w14:paraId="28F70489" w14:textId="77777777" w:rsidR="00A53E7C" w:rsidRPr="00A53E7C" w:rsidRDefault="00A53E7C" w:rsidP="00CC52D6">
      <w:pPr>
        <w:pStyle w:val="Heading1"/>
      </w:pPr>
      <w:bookmarkStart w:id="14" w:name="_Toc216595144"/>
      <w:r w:rsidRPr="00A53E7C">
        <w:lastRenderedPageBreak/>
        <w:t>2.1.3 Antibiotic Resistance Mechanisms in Bacteria</w:t>
      </w:r>
      <w:bookmarkEnd w:id="14"/>
    </w:p>
    <w:p w14:paraId="2775B265" w14:textId="5F9B3DB8"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Antibiotic resistance in bacteria arises from genetic and biochemical strategies that enable cells to withstand the inhibitory or lethal effects of antimicrobial agents, allowing resistant populations to persist and proliferate under selective pressure (Martínez &amp; </w:t>
      </w:r>
      <w:proofErr w:type="spellStart"/>
      <w:r w:rsidRPr="00A53E7C">
        <w:rPr>
          <w:rFonts w:asciiTheme="majorBidi" w:hAnsiTheme="majorBidi" w:cstheme="majorBidi"/>
          <w:szCs w:val="24"/>
        </w:rPr>
        <w:t>Baquero</w:t>
      </w:r>
      <w:proofErr w:type="spellEnd"/>
      <w:r w:rsidRPr="00A53E7C">
        <w:rPr>
          <w:rFonts w:asciiTheme="majorBidi" w:hAnsiTheme="majorBidi" w:cstheme="majorBidi"/>
          <w:szCs w:val="24"/>
        </w:rPr>
        <w:t xml:space="preserve">, 2021). These mechanisms are broadly categorized into intrinsic and acquired forms of resistance. Intrinsic resistance refers to naturally occurring traits that make certain bacterial species inherently insensitive to specific antibiotics, while acquired resistance arises through mutations or through horizontal gene transfer of resistance determinants from other bacteria (Partridge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2018). The latter represents a major driver of multidrug resistance in both clinical and environmental settings and is strongly influenced by mobile genetic elements such as plasmids, transposons, and </w:t>
      </w:r>
      <w:proofErr w:type="spellStart"/>
      <w:r w:rsidRPr="00A53E7C">
        <w:rPr>
          <w:rFonts w:asciiTheme="majorBidi" w:hAnsiTheme="majorBidi" w:cstheme="majorBidi"/>
          <w:szCs w:val="24"/>
        </w:rPr>
        <w:t>integrons</w:t>
      </w:r>
      <w:proofErr w:type="spellEnd"/>
      <w:r w:rsidRPr="00A53E7C">
        <w:rPr>
          <w:rFonts w:asciiTheme="majorBidi" w:hAnsiTheme="majorBidi" w:cstheme="majorBidi"/>
          <w:szCs w:val="24"/>
        </w:rPr>
        <w:t xml:space="preserve"> that facilitate rapid dissemination of resistance traits (</w:t>
      </w:r>
      <w:proofErr w:type="spellStart"/>
      <w:r w:rsidRPr="00A53E7C">
        <w:rPr>
          <w:rFonts w:asciiTheme="majorBidi" w:hAnsiTheme="majorBidi" w:cstheme="majorBidi"/>
          <w:szCs w:val="24"/>
        </w:rPr>
        <w:t>Carattoli</w:t>
      </w:r>
      <w:proofErr w:type="spellEnd"/>
      <w:r w:rsidRPr="00A53E7C">
        <w:rPr>
          <w:rFonts w:asciiTheme="majorBidi" w:hAnsiTheme="majorBidi" w:cstheme="majorBidi"/>
          <w:szCs w:val="24"/>
        </w:rPr>
        <w:t>, 2019).</w:t>
      </w:r>
    </w:p>
    <w:p w14:paraId="69499020" w14:textId="2879AFDE"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One of the most common mechanisms of resistance is enzymatic inactivation of antibiotics. Many Gram-negative bacteria, including Escherichia coli, produce beta-lactamases that hydrolyze the beta-lactam ring of </w:t>
      </w:r>
      <w:proofErr w:type="spellStart"/>
      <w:r w:rsidRPr="00A53E7C">
        <w:rPr>
          <w:rFonts w:asciiTheme="majorBidi" w:hAnsiTheme="majorBidi" w:cstheme="majorBidi"/>
          <w:szCs w:val="24"/>
        </w:rPr>
        <w:t>penicillins</w:t>
      </w:r>
      <w:proofErr w:type="spellEnd"/>
      <w:r w:rsidRPr="00A53E7C">
        <w:rPr>
          <w:rFonts w:asciiTheme="majorBidi" w:hAnsiTheme="majorBidi" w:cstheme="majorBidi"/>
          <w:szCs w:val="24"/>
        </w:rPr>
        <w:t xml:space="preserve">, cephalosporins, and related antibiotics, thus rendering them ineffective (Bush &amp; Bradford, 2020). Extended-spectrum beta-lactamases (ESBLs) and </w:t>
      </w:r>
      <w:proofErr w:type="spellStart"/>
      <w:r w:rsidRPr="00A53E7C">
        <w:rPr>
          <w:rFonts w:asciiTheme="majorBidi" w:hAnsiTheme="majorBidi" w:cstheme="majorBidi"/>
          <w:szCs w:val="24"/>
        </w:rPr>
        <w:t>carbapenemases</w:t>
      </w:r>
      <w:proofErr w:type="spellEnd"/>
      <w:r w:rsidRPr="00A53E7C">
        <w:rPr>
          <w:rFonts w:asciiTheme="majorBidi" w:hAnsiTheme="majorBidi" w:cstheme="majorBidi"/>
          <w:szCs w:val="24"/>
        </w:rPr>
        <w:t xml:space="preserve"> represent advanced variants of these enzymes and are frequently encoded on plasmids that promote their spread across bacterial populations (Rawat &amp; Nair, 2020). Other enzymes such as aminoglycoside-modifying enzymes chemically alter aminoglycosides, reducing their ability to bind to bacterial ribosomes and inhibit protein synthesis (Partridge </w:t>
      </w:r>
      <w:r w:rsidR="005516EB" w:rsidRPr="005516EB">
        <w:rPr>
          <w:rFonts w:asciiTheme="majorBidi" w:hAnsiTheme="majorBidi" w:cstheme="majorBidi"/>
          <w:i/>
          <w:iCs/>
          <w:szCs w:val="24"/>
        </w:rPr>
        <w:t>et al</w:t>
      </w:r>
      <w:r w:rsidRPr="00A53E7C">
        <w:rPr>
          <w:rFonts w:asciiTheme="majorBidi" w:hAnsiTheme="majorBidi" w:cstheme="majorBidi"/>
          <w:szCs w:val="24"/>
        </w:rPr>
        <w:t>., 2018).</w:t>
      </w:r>
    </w:p>
    <w:p w14:paraId="462B07BF" w14:textId="020C1A58"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Another widespread resistance mechanism involves the alteration of antibiotic targets within the bacterial cell. Mutations in genes encoding penicillin-binding proteins, ribosomal RNA, DNA gyrase, or RNA polymerase can reduce the affinity of antibiotics for their targets, diminishing therapeutic effectiveness (Martínez &amp; </w:t>
      </w:r>
      <w:proofErr w:type="spellStart"/>
      <w:r w:rsidRPr="00A53E7C">
        <w:rPr>
          <w:rFonts w:asciiTheme="majorBidi" w:hAnsiTheme="majorBidi" w:cstheme="majorBidi"/>
          <w:szCs w:val="24"/>
        </w:rPr>
        <w:t>Baquero</w:t>
      </w:r>
      <w:proofErr w:type="spellEnd"/>
      <w:r w:rsidRPr="00A53E7C">
        <w:rPr>
          <w:rFonts w:asciiTheme="majorBidi" w:hAnsiTheme="majorBidi" w:cstheme="majorBidi"/>
          <w:szCs w:val="24"/>
        </w:rPr>
        <w:t xml:space="preserve">, 2021). For example, </w:t>
      </w:r>
      <w:r w:rsidRPr="00A53E7C">
        <w:rPr>
          <w:rFonts w:asciiTheme="majorBidi" w:hAnsiTheme="majorBidi" w:cstheme="majorBidi"/>
          <w:szCs w:val="24"/>
        </w:rPr>
        <w:lastRenderedPageBreak/>
        <w:t xml:space="preserve">fluoroquinolone resistance in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commonly results from mutations in the </w:t>
      </w:r>
      <w:proofErr w:type="spellStart"/>
      <w:r w:rsidRPr="00A53E7C">
        <w:rPr>
          <w:rFonts w:asciiTheme="majorBidi" w:hAnsiTheme="majorBidi" w:cstheme="majorBidi"/>
          <w:szCs w:val="24"/>
        </w:rPr>
        <w:t>gyrA</w:t>
      </w:r>
      <w:proofErr w:type="spellEnd"/>
      <w:r w:rsidRPr="00A53E7C">
        <w:rPr>
          <w:rFonts w:asciiTheme="majorBidi" w:hAnsiTheme="majorBidi" w:cstheme="majorBidi"/>
          <w:szCs w:val="24"/>
        </w:rPr>
        <w:t xml:space="preserve"> and </w:t>
      </w:r>
      <w:proofErr w:type="spellStart"/>
      <w:r w:rsidRPr="00A53E7C">
        <w:rPr>
          <w:rFonts w:asciiTheme="majorBidi" w:hAnsiTheme="majorBidi" w:cstheme="majorBidi"/>
          <w:szCs w:val="24"/>
        </w:rPr>
        <w:t>parC</w:t>
      </w:r>
      <w:proofErr w:type="spellEnd"/>
      <w:r w:rsidRPr="00A53E7C">
        <w:rPr>
          <w:rFonts w:asciiTheme="majorBidi" w:hAnsiTheme="majorBidi" w:cstheme="majorBidi"/>
          <w:szCs w:val="24"/>
        </w:rPr>
        <w:t xml:space="preserve"> genes, which encode components of DNA gyrase and topoisomerase IV (</w:t>
      </w:r>
      <w:proofErr w:type="spellStart"/>
      <w:r w:rsidRPr="00A53E7C">
        <w:rPr>
          <w:rFonts w:asciiTheme="majorBidi" w:hAnsiTheme="majorBidi" w:cstheme="majorBidi"/>
          <w:szCs w:val="24"/>
        </w:rPr>
        <w:t>Kaper</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2020). Target modification may also be mediated by the acquisition of alternative target enzymes, such as the </w:t>
      </w:r>
      <w:proofErr w:type="spellStart"/>
      <w:r w:rsidRPr="00A53E7C">
        <w:rPr>
          <w:rFonts w:asciiTheme="majorBidi" w:hAnsiTheme="majorBidi" w:cstheme="majorBidi"/>
          <w:szCs w:val="24"/>
        </w:rPr>
        <w:t>mecA</w:t>
      </w:r>
      <w:proofErr w:type="spellEnd"/>
      <w:r w:rsidRPr="00A53E7C">
        <w:rPr>
          <w:rFonts w:asciiTheme="majorBidi" w:hAnsiTheme="majorBidi" w:cstheme="majorBidi"/>
          <w:szCs w:val="24"/>
        </w:rPr>
        <w:t xml:space="preserve"> gene in methicillin-resistant Staphylococcus aureus, although target replacement is less common in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(Rawat &amp; Nair, 2020).</w:t>
      </w:r>
    </w:p>
    <w:p w14:paraId="7BD50858" w14:textId="69352410"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Efflux pump overexpression is another important resistance strategy. Efflux pumps actively expel antibiotics from the cell, lowering intracellular drug concentrations to sublethal levels (Partridge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2018). In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the </w:t>
      </w:r>
      <w:proofErr w:type="spellStart"/>
      <w:r w:rsidRPr="00A53E7C">
        <w:rPr>
          <w:rFonts w:asciiTheme="majorBidi" w:hAnsiTheme="majorBidi" w:cstheme="majorBidi"/>
          <w:szCs w:val="24"/>
        </w:rPr>
        <w:t>AcrAB-TolC</w:t>
      </w:r>
      <w:proofErr w:type="spellEnd"/>
      <w:r w:rsidRPr="00A53E7C">
        <w:rPr>
          <w:rFonts w:asciiTheme="majorBidi" w:hAnsiTheme="majorBidi" w:cstheme="majorBidi"/>
          <w:szCs w:val="24"/>
        </w:rPr>
        <w:t xml:space="preserve"> efflux system plays a major role in multidrug resistance by extruding a wide range of structurally diverse antimicrobial compounds (</w:t>
      </w:r>
      <w:proofErr w:type="spellStart"/>
      <w:r w:rsidRPr="00A53E7C">
        <w:rPr>
          <w:rFonts w:asciiTheme="majorBidi" w:hAnsiTheme="majorBidi" w:cstheme="majorBidi"/>
          <w:szCs w:val="24"/>
        </w:rPr>
        <w:t>Croxen</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2019). Exposure to environmental contaminants such as heavy metals and biocides may induce efflux pump expression and contribute to cross-resistance, allowing bacteria to withstand multiple stresses encountered in aquatic habitats (Hendriksen </w:t>
      </w:r>
      <w:r w:rsidR="005516EB" w:rsidRPr="005516EB">
        <w:rPr>
          <w:rFonts w:asciiTheme="majorBidi" w:hAnsiTheme="majorBidi" w:cstheme="majorBidi"/>
          <w:i/>
          <w:iCs/>
          <w:szCs w:val="24"/>
        </w:rPr>
        <w:t>et al</w:t>
      </w:r>
      <w:r w:rsidRPr="00A53E7C">
        <w:rPr>
          <w:rFonts w:asciiTheme="majorBidi" w:hAnsiTheme="majorBidi" w:cstheme="majorBidi"/>
          <w:szCs w:val="24"/>
        </w:rPr>
        <w:t>., 2019).</w:t>
      </w:r>
    </w:p>
    <w:p w14:paraId="36AE0FA1" w14:textId="77777777"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Modifications of membrane permeability also contribute to resistance. Gram-negative bacteria can reduce antibiotic uptake by altering or downregulating outer membrane porins, thereby limiting the entry of hydrophilic antibiotics such as beta-lactams (Bush &amp; Bradford, 2020). These alterations often act synergistically with other resistance mechanisms, enhancing bacterial survival under antibiotic exposure.</w:t>
      </w:r>
    </w:p>
    <w:p w14:paraId="4E9A7079" w14:textId="65CCDA09"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Horizontal gene transfer is central to the spread of resistance mechanisms across environmental ecosystems. Conjugation allows plasmids carrying resistance genes to move between bacterial cells, even across species boundaries, making it one of the most impactful contributors to the rise of multidrug resistance in rivers and other freshwater systems (</w:t>
      </w:r>
      <w:proofErr w:type="spellStart"/>
      <w:r w:rsidRPr="00A53E7C">
        <w:rPr>
          <w:rFonts w:asciiTheme="majorBidi" w:hAnsiTheme="majorBidi" w:cstheme="majorBidi"/>
          <w:szCs w:val="24"/>
        </w:rPr>
        <w:t>Carattoli</w:t>
      </w:r>
      <w:proofErr w:type="spellEnd"/>
      <w:r w:rsidRPr="00A53E7C">
        <w:rPr>
          <w:rFonts w:asciiTheme="majorBidi" w:hAnsiTheme="majorBidi" w:cstheme="majorBidi"/>
          <w:szCs w:val="24"/>
        </w:rPr>
        <w:t xml:space="preserve">, 2019). Transformation and transduction also facilitate the exchange of DNA fragments and bacteriophage-mediated transfer of resistance genes, although conjugation is considered the dominant mechanism for plasmid dissemination among Enterobacteriaceae such as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w:t>
      </w:r>
      <w:r w:rsidRPr="00A53E7C">
        <w:rPr>
          <w:rFonts w:asciiTheme="majorBidi" w:hAnsiTheme="majorBidi" w:cstheme="majorBidi"/>
          <w:szCs w:val="24"/>
        </w:rPr>
        <w:lastRenderedPageBreak/>
        <w:t xml:space="preserve">(Partridge </w:t>
      </w:r>
      <w:r w:rsidR="005516EB" w:rsidRPr="005516EB">
        <w:rPr>
          <w:rFonts w:asciiTheme="majorBidi" w:hAnsiTheme="majorBidi" w:cstheme="majorBidi"/>
          <w:i/>
          <w:iCs/>
          <w:szCs w:val="24"/>
        </w:rPr>
        <w:t>et al</w:t>
      </w:r>
      <w:r w:rsidRPr="00A53E7C">
        <w:rPr>
          <w:rFonts w:asciiTheme="majorBidi" w:hAnsiTheme="majorBidi" w:cstheme="majorBidi"/>
          <w:szCs w:val="24"/>
        </w:rPr>
        <w:t>., 2018). These processes are enhanced in riverine environments where diverse microbial communities coexist and where pollutants create selective pressures that favor resistant strains (Manaia, 2022).</w:t>
      </w:r>
    </w:p>
    <w:p w14:paraId="5357EE62" w14:textId="2D419DEE" w:rsidR="00A53E7C" w:rsidRPr="00A53E7C" w:rsidRDefault="00A53E7C" w:rsidP="008C4854">
      <w:pPr>
        <w:jc w:val="both"/>
        <w:rPr>
          <w:rFonts w:asciiTheme="majorBidi" w:hAnsiTheme="majorBidi" w:cstheme="majorBidi"/>
          <w:szCs w:val="24"/>
        </w:rPr>
      </w:pPr>
    </w:p>
    <w:p w14:paraId="6F60F5D9" w14:textId="77777777" w:rsidR="00A53E7C" w:rsidRPr="00A53E7C" w:rsidRDefault="00A53E7C" w:rsidP="00CC52D6">
      <w:pPr>
        <w:pStyle w:val="Heading1"/>
      </w:pPr>
      <w:bookmarkStart w:id="15" w:name="_Toc216595145"/>
      <w:r w:rsidRPr="00A53E7C">
        <w:t>2.1.4 Plasmid-Mediated Antimicrobial Resistance</w:t>
      </w:r>
      <w:bookmarkEnd w:id="15"/>
    </w:p>
    <w:p w14:paraId="75C47446" w14:textId="5EF02E2C"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Plasmid-mediated antimicrobial resistance represents one of the most significant drivers of the rapid spread of resistance traits among bacterial populations in both clinical and environmental settings (</w:t>
      </w:r>
      <w:proofErr w:type="spellStart"/>
      <w:r w:rsidRPr="00A53E7C">
        <w:rPr>
          <w:rFonts w:asciiTheme="majorBidi" w:hAnsiTheme="majorBidi" w:cstheme="majorBidi"/>
          <w:szCs w:val="24"/>
        </w:rPr>
        <w:t>Carattoli</w:t>
      </w:r>
      <w:proofErr w:type="spellEnd"/>
      <w:r w:rsidRPr="00A53E7C">
        <w:rPr>
          <w:rFonts w:asciiTheme="majorBidi" w:hAnsiTheme="majorBidi" w:cstheme="majorBidi"/>
          <w:szCs w:val="24"/>
        </w:rPr>
        <w:t xml:space="preserve">, 2019). Plasmids are extrachromosomal, self-replicating DNA molecules that often carry genes encoding resistance to multiple classes of antibiotics, enabling bacteria to survive under selective pressures imposed by antimicrobial compounds (Partridge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2018). Because plasmids can transfer horizontally between bacterial cells through conjugation, they facilitate the dissemination of resistance determinants across species and even across genus boundaries, contributing to the emergence of multidrug-resistant strains in riverine ecosystems and other aquatic habitats (Martínez &amp; </w:t>
      </w:r>
      <w:proofErr w:type="spellStart"/>
      <w:r w:rsidRPr="00A53E7C">
        <w:rPr>
          <w:rFonts w:asciiTheme="majorBidi" w:hAnsiTheme="majorBidi" w:cstheme="majorBidi"/>
          <w:szCs w:val="24"/>
        </w:rPr>
        <w:t>Baquero</w:t>
      </w:r>
      <w:proofErr w:type="spellEnd"/>
      <w:r w:rsidRPr="00A53E7C">
        <w:rPr>
          <w:rFonts w:asciiTheme="majorBidi" w:hAnsiTheme="majorBidi" w:cstheme="majorBidi"/>
          <w:szCs w:val="24"/>
        </w:rPr>
        <w:t>, 2021).</w:t>
      </w:r>
    </w:p>
    <w:p w14:paraId="0CAD97BF" w14:textId="078EA1A6"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The genes carried on resistance plasmids frequently encode enzymes that modify or degrade antibiotics. Many plasmids in Escherichia coli and related Enterobacteriaceae harbor beta-lactamase genes such as </w:t>
      </w:r>
      <w:proofErr w:type="spellStart"/>
      <w:r w:rsidRPr="00A53E7C">
        <w:rPr>
          <w:rFonts w:asciiTheme="majorBidi" w:hAnsiTheme="majorBidi" w:cstheme="majorBidi"/>
          <w:szCs w:val="24"/>
        </w:rPr>
        <w:t>blaTEM</w:t>
      </w:r>
      <w:proofErr w:type="spellEnd"/>
      <w:r w:rsidRPr="00A53E7C">
        <w:rPr>
          <w:rFonts w:asciiTheme="majorBidi" w:hAnsiTheme="majorBidi" w:cstheme="majorBidi"/>
          <w:szCs w:val="24"/>
        </w:rPr>
        <w:t xml:space="preserve">, </w:t>
      </w:r>
      <w:proofErr w:type="spellStart"/>
      <w:r w:rsidRPr="00A53E7C">
        <w:rPr>
          <w:rFonts w:asciiTheme="majorBidi" w:hAnsiTheme="majorBidi" w:cstheme="majorBidi"/>
          <w:szCs w:val="24"/>
        </w:rPr>
        <w:t>blaSHV</w:t>
      </w:r>
      <w:proofErr w:type="spellEnd"/>
      <w:r w:rsidRPr="00A53E7C">
        <w:rPr>
          <w:rFonts w:asciiTheme="majorBidi" w:hAnsiTheme="majorBidi" w:cstheme="majorBidi"/>
          <w:szCs w:val="24"/>
        </w:rPr>
        <w:t xml:space="preserve">, and </w:t>
      </w:r>
      <w:proofErr w:type="spellStart"/>
      <w:r w:rsidRPr="00A53E7C">
        <w:rPr>
          <w:rFonts w:asciiTheme="majorBidi" w:hAnsiTheme="majorBidi" w:cstheme="majorBidi"/>
          <w:szCs w:val="24"/>
        </w:rPr>
        <w:t>blaCTX</w:t>
      </w:r>
      <w:proofErr w:type="spellEnd"/>
      <w:r w:rsidRPr="00A53E7C">
        <w:rPr>
          <w:rFonts w:asciiTheme="majorBidi" w:hAnsiTheme="majorBidi" w:cstheme="majorBidi"/>
          <w:szCs w:val="24"/>
        </w:rPr>
        <w:t xml:space="preserve">-M, which confer resistance to a wide range of beta-lactam antibiotics including third-generation cephalosporins (Bush &amp; Bradford, 2020). Some plasmids also carry </w:t>
      </w:r>
      <w:proofErr w:type="spellStart"/>
      <w:r w:rsidRPr="00A53E7C">
        <w:rPr>
          <w:rFonts w:asciiTheme="majorBidi" w:hAnsiTheme="majorBidi" w:cstheme="majorBidi"/>
          <w:szCs w:val="24"/>
        </w:rPr>
        <w:t>carbapenemase</w:t>
      </w:r>
      <w:proofErr w:type="spellEnd"/>
      <w:r w:rsidRPr="00A53E7C">
        <w:rPr>
          <w:rFonts w:asciiTheme="majorBidi" w:hAnsiTheme="majorBidi" w:cstheme="majorBidi"/>
          <w:szCs w:val="24"/>
        </w:rPr>
        <w:t xml:space="preserve"> genes, which are particularly concerning because they inactivate carbapenems, a last-resort class of antibiotics (Rawat &amp; Nair, 2020). In addition to beta-lactamases, plasmids may encode aminoglycoside-modifying enzymes, chloramphenicol acetyltransferases, tetracycline efflux proteins, and sulfonamide-resistant dihydropteroate synthase variants, enabling bacteria to resist several major antibiotic groups (Partridge </w:t>
      </w:r>
      <w:r w:rsidR="005516EB" w:rsidRPr="005516EB">
        <w:rPr>
          <w:rFonts w:asciiTheme="majorBidi" w:hAnsiTheme="majorBidi" w:cstheme="majorBidi"/>
          <w:i/>
          <w:iCs/>
          <w:szCs w:val="24"/>
        </w:rPr>
        <w:t>et al</w:t>
      </w:r>
      <w:r w:rsidRPr="00A53E7C">
        <w:rPr>
          <w:rFonts w:asciiTheme="majorBidi" w:hAnsiTheme="majorBidi" w:cstheme="majorBidi"/>
          <w:szCs w:val="24"/>
        </w:rPr>
        <w:t>., 2018).</w:t>
      </w:r>
    </w:p>
    <w:p w14:paraId="7AA326AB" w14:textId="6654D26B"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lastRenderedPageBreak/>
        <w:t xml:space="preserve">Beyond mediating enzymatic inactivation, plasmids may carry genes involved in target modification and protection. For example, </w:t>
      </w:r>
      <w:proofErr w:type="spellStart"/>
      <w:r w:rsidRPr="00A53E7C">
        <w:rPr>
          <w:rFonts w:asciiTheme="majorBidi" w:hAnsiTheme="majorBidi" w:cstheme="majorBidi"/>
          <w:szCs w:val="24"/>
        </w:rPr>
        <w:t>qnr</w:t>
      </w:r>
      <w:proofErr w:type="spellEnd"/>
      <w:r w:rsidRPr="00A53E7C">
        <w:rPr>
          <w:rFonts w:asciiTheme="majorBidi" w:hAnsiTheme="majorBidi" w:cstheme="majorBidi"/>
          <w:szCs w:val="24"/>
        </w:rPr>
        <w:t xml:space="preserve"> plasmid genes encode proteins that protect DNA gyrase from fluoroquinolone inhibition, contributing to resistance even in the absence of chromosomal mutations (</w:t>
      </w:r>
      <w:proofErr w:type="spellStart"/>
      <w:r w:rsidRPr="00A53E7C">
        <w:rPr>
          <w:rFonts w:asciiTheme="majorBidi" w:hAnsiTheme="majorBidi" w:cstheme="majorBidi"/>
          <w:szCs w:val="24"/>
        </w:rPr>
        <w:t>Kaper</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t>et al</w:t>
      </w:r>
      <w:r w:rsidRPr="00A53E7C">
        <w:rPr>
          <w:rFonts w:asciiTheme="majorBidi" w:hAnsiTheme="majorBidi" w:cstheme="majorBidi"/>
          <w:szCs w:val="24"/>
        </w:rPr>
        <w:t>., 2020). Similarly, plasmid-encoded methyltransferases modify ribosomal targets, reducing the effectiveness of macrolides and other protein-synthesis inhibitors (</w:t>
      </w:r>
      <w:proofErr w:type="spellStart"/>
      <w:r w:rsidRPr="00A53E7C">
        <w:rPr>
          <w:rFonts w:asciiTheme="majorBidi" w:hAnsiTheme="majorBidi" w:cstheme="majorBidi"/>
          <w:szCs w:val="24"/>
        </w:rPr>
        <w:t>Croxen</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2019). The presence of such resistance genes allows environmental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to survive low-level exposure to antibiotic residues commonly found in rivers affected by wastewater and agricultural runoff (Hendriksen </w:t>
      </w:r>
      <w:r w:rsidR="005516EB" w:rsidRPr="005516EB">
        <w:rPr>
          <w:rFonts w:asciiTheme="majorBidi" w:hAnsiTheme="majorBidi" w:cstheme="majorBidi"/>
          <w:i/>
          <w:iCs/>
          <w:szCs w:val="24"/>
        </w:rPr>
        <w:t>et al</w:t>
      </w:r>
      <w:r w:rsidRPr="00A53E7C">
        <w:rPr>
          <w:rFonts w:asciiTheme="majorBidi" w:hAnsiTheme="majorBidi" w:cstheme="majorBidi"/>
          <w:szCs w:val="24"/>
        </w:rPr>
        <w:t>., 2019).</w:t>
      </w:r>
    </w:p>
    <w:p w14:paraId="600F555F" w14:textId="649E4ABC"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Plasmids also frequently carry genetic elements that enhance their mobility and persistence. These include insertion sequences, transposons, and </w:t>
      </w:r>
      <w:proofErr w:type="spellStart"/>
      <w:r w:rsidRPr="00A53E7C">
        <w:rPr>
          <w:rFonts w:asciiTheme="majorBidi" w:hAnsiTheme="majorBidi" w:cstheme="majorBidi"/>
          <w:szCs w:val="24"/>
        </w:rPr>
        <w:t>integrons</w:t>
      </w:r>
      <w:proofErr w:type="spellEnd"/>
      <w:r w:rsidRPr="00A53E7C">
        <w:rPr>
          <w:rFonts w:asciiTheme="majorBidi" w:hAnsiTheme="majorBidi" w:cstheme="majorBidi"/>
          <w:szCs w:val="24"/>
        </w:rPr>
        <w:t xml:space="preserve"> that facilitate the capture and rearrangement of resistance gene cassettes, enabling bacteria to rapidly accumulate multiple resistance traits under antibiotic pressure (</w:t>
      </w:r>
      <w:proofErr w:type="spellStart"/>
      <w:r w:rsidRPr="00A53E7C">
        <w:rPr>
          <w:rFonts w:asciiTheme="majorBidi" w:hAnsiTheme="majorBidi" w:cstheme="majorBidi"/>
          <w:szCs w:val="24"/>
        </w:rPr>
        <w:t>Carattoli</w:t>
      </w:r>
      <w:proofErr w:type="spellEnd"/>
      <w:r w:rsidRPr="00A53E7C">
        <w:rPr>
          <w:rFonts w:asciiTheme="majorBidi" w:hAnsiTheme="majorBidi" w:cstheme="majorBidi"/>
          <w:szCs w:val="24"/>
        </w:rPr>
        <w:t xml:space="preserve">, 2019). Class 1 </w:t>
      </w:r>
      <w:proofErr w:type="spellStart"/>
      <w:r w:rsidRPr="00A53E7C">
        <w:rPr>
          <w:rFonts w:asciiTheme="majorBidi" w:hAnsiTheme="majorBidi" w:cstheme="majorBidi"/>
          <w:szCs w:val="24"/>
        </w:rPr>
        <w:t>integrons</w:t>
      </w:r>
      <w:proofErr w:type="spellEnd"/>
      <w:r w:rsidRPr="00A53E7C">
        <w:rPr>
          <w:rFonts w:asciiTheme="majorBidi" w:hAnsiTheme="majorBidi" w:cstheme="majorBidi"/>
          <w:szCs w:val="24"/>
        </w:rPr>
        <w:t xml:space="preserve">, often located on conjugative plasmids, are especially important in environmental settings because they integrate diverse resistance genes and contribute to multidrug resistance phenotypes (Partridge </w:t>
      </w:r>
      <w:r w:rsidR="005516EB" w:rsidRPr="005516EB">
        <w:rPr>
          <w:rFonts w:asciiTheme="majorBidi" w:hAnsiTheme="majorBidi" w:cstheme="majorBidi"/>
          <w:i/>
          <w:iCs/>
          <w:szCs w:val="24"/>
        </w:rPr>
        <w:t>et al</w:t>
      </w:r>
      <w:r w:rsidRPr="00A53E7C">
        <w:rPr>
          <w:rFonts w:asciiTheme="majorBidi" w:hAnsiTheme="majorBidi" w:cstheme="majorBidi"/>
          <w:szCs w:val="24"/>
        </w:rPr>
        <w:t>., 2018). Their prevalence in river water reflects the continuous mixing of bacteria from human, animal, and environmental sources and the selection pressures created by contaminants such as antibiotics, heavy metals, and disinfectants (Manaia, 2022).</w:t>
      </w:r>
    </w:p>
    <w:p w14:paraId="474B030A" w14:textId="2579395A"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Environmental waters such as rivers provide ideal conditions for plasmid-mediated resistance dissemination. High bacterial densities, diverse species interactions, biofilm formation, and intermittent exposure to sublethal antibiotic concentrations collectively enhance conjugation rates and promote plasmid stability in bacterial populations (</w:t>
      </w:r>
      <w:proofErr w:type="spellStart"/>
      <w:r w:rsidRPr="00A53E7C">
        <w:rPr>
          <w:rFonts w:asciiTheme="majorBidi" w:hAnsiTheme="majorBidi" w:cstheme="majorBidi"/>
          <w:szCs w:val="24"/>
        </w:rPr>
        <w:t>Berendonk</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2019). Biofilms in particular act as hotspots for horizontal gene transfer, protecting bacterial cells from environmental stress while promoting close cell-to-cell contact that favors plasmid exchange (Lloyd &amp; Allen, 2021). Thus, plasmid-bearing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in river water not only survive but can serve as donors of resistance genes to other environmental or pathogenic bacteria.</w:t>
      </w:r>
    </w:p>
    <w:p w14:paraId="194F98B7" w14:textId="0AD0838D" w:rsidR="00A53E7C" w:rsidRPr="00A53E7C" w:rsidRDefault="00A53E7C" w:rsidP="00CC52D6">
      <w:pPr>
        <w:jc w:val="both"/>
        <w:rPr>
          <w:rFonts w:asciiTheme="majorBidi" w:hAnsiTheme="majorBidi" w:cstheme="majorBidi"/>
          <w:szCs w:val="24"/>
        </w:rPr>
      </w:pPr>
      <w:r w:rsidRPr="00A53E7C">
        <w:rPr>
          <w:rFonts w:asciiTheme="majorBidi" w:hAnsiTheme="majorBidi" w:cstheme="majorBidi"/>
          <w:szCs w:val="24"/>
        </w:rPr>
        <w:lastRenderedPageBreak/>
        <w:t xml:space="preserve">Because plasmid-mediated resistance is highly transmissible and often associated with multidrug resistance, its detection in environmental isolates carries important public health implications (WHO, 2021). The presence of resistance plasmids in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isolates from </w:t>
      </w:r>
      <w:proofErr w:type="spellStart"/>
      <w:r w:rsidRPr="00A53E7C">
        <w:rPr>
          <w:rFonts w:asciiTheme="majorBidi" w:hAnsiTheme="majorBidi" w:cstheme="majorBidi"/>
          <w:szCs w:val="24"/>
        </w:rPr>
        <w:t>Kwalkwalawa</w:t>
      </w:r>
      <w:proofErr w:type="spellEnd"/>
      <w:r w:rsidRPr="00A53E7C">
        <w:rPr>
          <w:rFonts w:asciiTheme="majorBidi" w:hAnsiTheme="majorBidi" w:cstheme="majorBidi"/>
          <w:szCs w:val="24"/>
        </w:rPr>
        <w:t xml:space="preserve"> River may indicate ongoing horizontal gene transfer events in the ecosystem and reflect contamination from human or animal sources with high antibiotic exposure. </w:t>
      </w:r>
    </w:p>
    <w:p w14:paraId="1DA272B5" w14:textId="77777777" w:rsidR="00A53E7C" w:rsidRPr="00A53E7C" w:rsidRDefault="00A53E7C" w:rsidP="00CC52D6">
      <w:pPr>
        <w:pStyle w:val="Heading1"/>
      </w:pPr>
      <w:bookmarkStart w:id="16" w:name="_Toc216595146"/>
      <w:r w:rsidRPr="00A53E7C">
        <w:t>2.2 Conceptual Framework</w:t>
      </w:r>
      <w:bookmarkEnd w:id="16"/>
    </w:p>
    <w:p w14:paraId="7C175581" w14:textId="77777777"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The conceptual framework for this study is built on the understanding that environmental waters act as both reservoirs and transmission pathways for antimicrobial resistant bacteria, particularly Escherichia coli originating from human and animal sources. This framework integrates ecological, microbiological, and molecular perspectives to explain how resistance emerges, persists, and spreads in riverine environments affected by fecal contamination and anthropogenic activities (</w:t>
      </w:r>
      <w:proofErr w:type="spellStart"/>
      <w:r w:rsidRPr="00A53E7C">
        <w:rPr>
          <w:rFonts w:asciiTheme="majorBidi" w:hAnsiTheme="majorBidi" w:cstheme="majorBidi"/>
          <w:szCs w:val="24"/>
        </w:rPr>
        <w:t>Iwu</w:t>
      </w:r>
      <w:proofErr w:type="spellEnd"/>
      <w:r w:rsidRPr="00A53E7C">
        <w:rPr>
          <w:rFonts w:asciiTheme="majorBidi" w:hAnsiTheme="majorBidi" w:cstheme="majorBidi"/>
          <w:szCs w:val="24"/>
        </w:rPr>
        <w:t xml:space="preserve"> &amp; </w:t>
      </w:r>
      <w:proofErr w:type="spellStart"/>
      <w:r w:rsidRPr="00A53E7C">
        <w:rPr>
          <w:rFonts w:asciiTheme="majorBidi" w:hAnsiTheme="majorBidi" w:cstheme="majorBidi"/>
          <w:szCs w:val="24"/>
        </w:rPr>
        <w:t>Okoh</w:t>
      </w:r>
      <w:proofErr w:type="spellEnd"/>
      <w:r w:rsidRPr="00A53E7C">
        <w:rPr>
          <w:rFonts w:asciiTheme="majorBidi" w:hAnsiTheme="majorBidi" w:cstheme="majorBidi"/>
          <w:szCs w:val="24"/>
        </w:rPr>
        <w:t xml:space="preserve">, 2020). It positions </w:t>
      </w:r>
      <w:proofErr w:type="spellStart"/>
      <w:r w:rsidRPr="00A53E7C">
        <w:rPr>
          <w:rFonts w:asciiTheme="majorBidi" w:hAnsiTheme="majorBidi" w:cstheme="majorBidi"/>
          <w:szCs w:val="24"/>
        </w:rPr>
        <w:t>Kwalkwalawa</w:t>
      </w:r>
      <w:proofErr w:type="spellEnd"/>
      <w:r w:rsidRPr="00A53E7C">
        <w:rPr>
          <w:rFonts w:asciiTheme="majorBidi" w:hAnsiTheme="majorBidi" w:cstheme="majorBidi"/>
          <w:szCs w:val="24"/>
        </w:rPr>
        <w:t xml:space="preserve"> River as a dynamic ecosystem where bacterial interactions and selective pressures create conditions favorable for the proliferation and exchange of resistance determinants (Manaia, 2022).</w:t>
      </w:r>
    </w:p>
    <w:p w14:paraId="26382835" w14:textId="30D167D9"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At the core of the framework is the relationship between fecal contamination and the introduction of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into the river. Fecal matter from domestic waste, runoff from livestock operations, and wastewater discharges introduces large numbers of enteric bacteria into the aquatic environment, including strains that may carry antimicrobial resistance genes (WHO, 2021). These bacterial populations encounter pollutants such as antibiotic residues, heavy metals, and disinfectants that exert selective pressure, enabling resistant cells to survive and replicate more effectively than susceptible ones (Martínez &amp; </w:t>
      </w:r>
      <w:proofErr w:type="spellStart"/>
      <w:r w:rsidRPr="00A53E7C">
        <w:rPr>
          <w:rFonts w:asciiTheme="majorBidi" w:hAnsiTheme="majorBidi" w:cstheme="majorBidi"/>
          <w:szCs w:val="24"/>
        </w:rPr>
        <w:t>Baquero</w:t>
      </w:r>
      <w:proofErr w:type="spellEnd"/>
      <w:r w:rsidRPr="00A53E7C">
        <w:rPr>
          <w:rFonts w:asciiTheme="majorBidi" w:hAnsiTheme="majorBidi" w:cstheme="majorBidi"/>
          <w:szCs w:val="24"/>
        </w:rPr>
        <w:t xml:space="preserve">, 2021). This selective process forms the ecological basis for the persistence of resistant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within the river.</w:t>
      </w:r>
    </w:p>
    <w:p w14:paraId="536B33EC" w14:textId="4A2A4CF3"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The framework also incorporates molecular mechanisms that drive resistance dissemination. Plasmids, which frequently carry genes for resistance to multiple antibiotic classes, play a central role in the spread of antimicrobial resistance in aquatic ecosystems. Their ability to </w:t>
      </w:r>
      <w:r w:rsidRPr="00A53E7C">
        <w:rPr>
          <w:rFonts w:asciiTheme="majorBidi" w:hAnsiTheme="majorBidi" w:cstheme="majorBidi"/>
          <w:szCs w:val="24"/>
        </w:rPr>
        <w:lastRenderedPageBreak/>
        <w:t>transfer between bacterial cells through conjugation enables rapid horizontal gene transfer, even in environments with diverse microbial communities (</w:t>
      </w:r>
      <w:proofErr w:type="spellStart"/>
      <w:r w:rsidRPr="00A53E7C">
        <w:rPr>
          <w:rFonts w:asciiTheme="majorBidi" w:hAnsiTheme="majorBidi" w:cstheme="majorBidi"/>
          <w:szCs w:val="24"/>
        </w:rPr>
        <w:t>Carattoli</w:t>
      </w:r>
      <w:proofErr w:type="spellEnd"/>
      <w:r w:rsidRPr="00A53E7C">
        <w:rPr>
          <w:rFonts w:asciiTheme="majorBidi" w:hAnsiTheme="majorBidi" w:cstheme="majorBidi"/>
          <w:szCs w:val="24"/>
        </w:rPr>
        <w:t xml:space="preserve">, 2019). In river water, high bacterial density, biofilm formation, and interspecies interactions increase opportunities for plasmid exchange, allowing resistance genes to pass from commensal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to other environmental or pathogenic bacteria (</w:t>
      </w:r>
      <w:proofErr w:type="spellStart"/>
      <w:r w:rsidRPr="00A53E7C">
        <w:rPr>
          <w:rFonts w:asciiTheme="majorBidi" w:hAnsiTheme="majorBidi" w:cstheme="majorBidi"/>
          <w:szCs w:val="24"/>
        </w:rPr>
        <w:t>Berendonk</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2019). This process enhances the environmental </w:t>
      </w:r>
      <w:proofErr w:type="spellStart"/>
      <w:r w:rsidRPr="00A53E7C">
        <w:rPr>
          <w:rFonts w:asciiTheme="majorBidi" w:hAnsiTheme="majorBidi" w:cstheme="majorBidi"/>
          <w:szCs w:val="24"/>
        </w:rPr>
        <w:t>resistome</w:t>
      </w:r>
      <w:proofErr w:type="spellEnd"/>
      <w:r w:rsidRPr="00A53E7C">
        <w:rPr>
          <w:rFonts w:asciiTheme="majorBidi" w:hAnsiTheme="majorBidi" w:cstheme="majorBidi"/>
          <w:szCs w:val="24"/>
        </w:rPr>
        <w:t xml:space="preserve"> and contributes to the spread of multidrug resistance within and beyond the river system.</w:t>
      </w:r>
    </w:p>
    <w:p w14:paraId="52B3C730" w14:textId="73164AF3"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Within this conceptual structure, the isolation and identification of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from </w:t>
      </w:r>
      <w:proofErr w:type="spellStart"/>
      <w:r w:rsidRPr="00A53E7C">
        <w:rPr>
          <w:rFonts w:asciiTheme="majorBidi" w:hAnsiTheme="majorBidi" w:cstheme="majorBidi"/>
          <w:szCs w:val="24"/>
        </w:rPr>
        <w:t>Kwalkwalawa</w:t>
      </w:r>
      <w:proofErr w:type="spellEnd"/>
      <w:r w:rsidRPr="00A53E7C">
        <w:rPr>
          <w:rFonts w:asciiTheme="majorBidi" w:hAnsiTheme="majorBidi" w:cstheme="majorBidi"/>
          <w:szCs w:val="24"/>
        </w:rPr>
        <w:t xml:space="preserve"> River provide insight into the extent of fecal contamination and the potential for the river to serve as a reservoir for resistant strains (</w:t>
      </w:r>
      <w:proofErr w:type="spellStart"/>
      <w:r w:rsidRPr="00A53E7C">
        <w:rPr>
          <w:rFonts w:asciiTheme="majorBidi" w:hAnsiTheme="majorBidi" w:cstheme="majorBidi"/>
          <w:szCs w:val="24"/>
        </w:rPr>
        <w:t>Odonkor</w:t>
      </w:r>
      <w:proofErr w:type="spellEnd"/>
      <w:r w:rsidRPr="00A53E7C">
        <w:rPr>
          <w:rFonts w:asciiTheme="majorBidi" w:hAnsiTheme="majorBidi" w:cstheme="majorBidi"/>
          <w:szCs w:val="24"/>
        </w:rPr>
        <w:t xml:space="preserve"> &amp; </w:t>
      </w:r>
      <w:proofErr w:type="spellStart"/>
      <w:r w:rsidRPr="00A53E7C">
        <w:rPr>
          <w:rFonts w:asciiTheme="majorBidi" w:hAnsiTheme="majorBidi" w:cstheme="majorBidi"/>
          <w:szCs w:val="24"/>
        </w:rPr>
        <w:t>Ampofo</w:t>
      </w:r>
      <w:proofErr w:type="spellEnd"/>
      <w:r w:rsidRPr="00A53E7C">
        <w:rPr>
          <w:rFonts w:asciiTheme="majorBidi" w:hAnsiTheme="majorBidi" w:cstheme="majorBidi"/>
          <w:szCs w:val="24"/>
        </w:rPr>
        <w:t xml:space="preserve">, 2021). Antibiotic susceptibility testing of these isolates reveals phenotypic resistance patterns and helps identify strains that may harbor genetic determinants associated with drug resistance (CLSI, 2021). The subsequent extraction and electrophoretic analysis of plasmid DNA enable the detection of plasmid presence and approximate plasmid size, which is important for determining whether resistance traits may be linked to plasmid-mediated mechanisms (Partridge </w:t>
      </w:r>
      <w:r w:rsidR="005516EB" w:rsidRPr="005516EB">
        <w:rPr>
          <w:rFonts w:asciiTheme="majorBidi" w:hAnsiTheme="majorBidi" w:cstheme="majorBidi"/>
          <w:i/>
          <w:iCs/>
          <w:szCs w:val="24"/>
        </w:rPr>
        <w:t>et al</w:t>
      </w:r>
      <w:r w:rsidRPr="00A53E7C">
        <w:rPr>
          <w:rFonts w:asciiTheme="majorBidi" w:hAnsiTheme="majorBidi" w:cstheme="majorBidi"/>
          <w:szCs w:val="24"/>
        </w:rPr>
        <w:t>., 2018).</w:t>
      </w:r>
    </w:p>
    <w:p w14:paraId="55ED7033" w14:textId="586122E5" w:rsidR="00CC52D6" w:rsidRPr="00A53E7C" w:rsidRDefault="00A53E7C" w:rsidP="00CC52D6">
      <w:pPr>
        <w:jc w:val="both"/>
        <w:rPr>
          <w:rFonts w:asciiTheme="majorBidi" w:hAnsiTheme="majorBidi" w:cstheme="majorBidi"/>
          <w:szCs w:val="24"/>
        </w:rPr>
      </w:pPr>
      <w:r w:rsidRPr="00A53E7C">
        <w:rPr>
          <w:rFonts w:asciiTheme="majorBidi" w:hAnsiTheme="majorBidi" w:cstheme="majorBidi"/>
          <w:szCs w:val="24"/>
        </w:rPr>
        <w:t xml:space="preserve">The conceptual framework therefore links contamination sources, ecological dynamics, bacterial physiology, and molecular genetics into a cohesive model for understanding resistance distribution in the river. It explains how resistant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strains enter the aquatic environment, how selective pressures promote their survival, and how plasmids facilitate resistance transfer within the bacterial community (Hendriksen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2019). </w:t>
      </w:r>
    </w:p>
    <w:p w14:paraId="5303D3CA" w14:textId="6250BC56" w:rsidR="00A53E7C" w:rsidRPr="00A53E7C" w:rsidRDefault="00A53E7C" w:rsidP="008C4854">
      <w:pPr>
        <w:jc w:val="both"/>
        <w:rPr>
          <w:rFonts w:asciiTheme="majorBidi" w:hAnsiTheme="majorBidi" w:cstheme="majorBidi"/>
          <w:szCs w:val="24"/>
        </w:rPr>
      </w:pPr>
    </w:p>
    <w:p w14:paraId="04DE022F" w14:textId="665B23A0" w:rsidR="00A53E7C" w:rsidRPr="008C4854" w:rsidRDefault="00A53E7C" w:rsidP="008C4854">
      <w:pPr>
        <w:jc w:val="both"/>
        <w:rPr>
          <w:rFonts w:asciiTheme="majorBidi" w:hAnsiTheme="majorBidi" w:cstheme="majorBidi"/>
          <w:szCs w:val="24"/>
        </w:rPr>
      </w:pPr>
      <w:r w:rsidRPr="008C4854">
        <w:rPr>
          <w:rFonts w:asciiTheme="majorBidi" w:hAnsiTheme="majorBidi" w:cstheme="majorBidi"/>
          <w:szCs w:val="24"/>
        </w:rPr>
        <w:br w:type="page"/>
      </w:r>
    </w:p>
    <w:p w14:paraId="5043FE55" w14:textId="5B0D06B5" w:rsidR="00A53E7C" w:rsidRDefault="004E7C2E" w:rsidP="004E7C2E">
      <w:pPr>
        <w:pStyle w:val="Heading1"/>
        <w:jc w:val="center"/>
      </w:pPr>
      <w:bookmarkStart w:id="17" w:name="_Toc216595147"/>
      <w:r>
        <w:lastRenderedPageBreak/>
        <w:t>CHAPTER THREE</w:t>
      </w:r>
      <w:bookmarkEnd w:id="17"/>
    </w:p>
    <w:p w14:paraId="2A5BAEC1" w14:textId="3872CD7B" w:rsidR="004D4909" w:rsidRPr="004D4909" w:rsidRDefault="004D4909" w:rsidP="004D4909">
      <w:pPr>
        <w:pStyle w:val="Heading2"/>
      </w:pPr>
      <w:r>
        <w:t>3.0 MATERIALS AND METHODS</w:t>
      </w:r>
    </w:p>
    <w:p w14:paraId="5B80E256" w14:textId="77777777" w:rsidR="00A53E7C" w:rsidRPr="00A53E7C" w:rsidRDefault="00A53E7C" w:rsidP="004E7C2E">
      <w:pPr>
        <w:pStyle w:val="Heading1"/>
      </w:pPr>
      <w:bookmarkStart w:id="18" w:name="_Toc216595148"/>
      <w:r w:rsidRPr="00A53E7C">
        <w:t>3.1 Study Area</w:t>
      </w:r>
      <w:bookmarkEnd w:id="18"/>
    </w:p>
    <w:p w14:paraId="7A77E6D0" w14:textId="5D603646"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This study was conducted at </w:t>
      </w:r>
      <w:proofErr w:type="spellStart"/>
      <w:r w:rsidRPr="00A53E7C">
        <w:rPr>
          <w:rFonts w:asciiTheme="majorBidi" w:hAnsiTheme="majorBidi" w:cstheme="majorBidi"/>
          <w:szCs w:val="24"/>
        </w:rPr>
        <w:t>Kwalkwalawa</w:t>
      </w:r>
      <w:proofErr w:type="spellEnd"/>
      <w:r w:rsidRPr="00A53E7C">
        <w:rPr>
          <w:rFonts w:asciiTheme="majorBidi" w:hAnsiTheme="majorBidi" w:cstheme="majorBidi"/>
          <w:szCs w:val="24"/>
        </w:rPr>
        <w:t xml:space="preserve"> River, a freshwater body located at the second gate of </w:t>
      </w:r>
      <w:proofErr w:type="spellStart"/>
      <w:r w:rsidRPr="00A53E7C">
        <w:rPr>
          <w:rFonts w:asciiTheme="majorBidi" w:hAnsiTheme="majorBidi" w:cstheme="majorBidi"/>
          <w:szCs w:val="24"/>
        </w:rPr>
        <w:t>Usmanu</w:t>
      </w:r>
      <w:proofErr w:type="spellEnd"/>
      <w:r w:rsidRPr="00A53E7C">
        <w:rPr>
          <w:rFonts w:asciiTheme="majorBidi" w:hAnsiTheme="majorBidi" w:cstheme="majorBidi"/>
          <w:szCs w:val="24"/>
        </w:rPr>
        <w:t xml:space="preserve"> </w:t>
      </w:r>
      <w:proofErr w:type="spellStart"/>
      <w:r w:rsidRPr="00A53E7C">
        <w:rPr>
          <w:rFonts w:asciiTheme="majorBidi" w:hAnsiTheme="majorBidi" w:cstheme="majorBidi"/>
          <w:szCs w:val="24"/>
        </w:rPr>
        <w:t>Danfodiyo</w:t>
      </w:r>
      <w:proofErr w:type="spellEnd"/>
      <w:r w:rsidRPr="00A53E7C">
        <w:rPr>
          <w:rFonts w:asciiTheme="majorBidi" w:hAnsiTheme="majorBidi" w:cstheme="majorBidi"/>
          <w:szCs w:val="24"/>
        </w:rPr>
        <w:t xml:space="preserve"> University, Sokoto. The river lies within the semi-arid region of northwestern Nigeria, where seasonal changes influence water flow, pollutant concentration, and microbial distribution (Abubakar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2021). The surrounding area includes student residential zones, footpaths, farmlands, and informal waste disposal points, all of which contribute to the introduction of organic matter and fecal contaminants into the river. Such activities are typical sources of microbial pollution in Nigerian surface waters and increase the likelihood of detecting enteric bacteria such as Escherichia coli (Lawal </w:t>
      </w:r>
      <w:r w:rsidR="005516EB" w:rsidRPr="005516EB">
        <w:rPr>
          <w:rFonts w:asciiTheme="majorBidi" w:hAnsiTheme="majorBidi" w:cstheme="majorBidi"/>
          <w:i/>
          <w:iCs/>
          <w:szCs w:val="24"/>
        </w:rPr>
        <w:t>et al</w:t>
      </w:r>
      <w:r w:rsidRPr="00A53E7C">
        <w:rPr>
          <w:rFonts w:asciiTheme="majorBidi" w:hAnsiTheme="majorBidi" w:cstheme="majorBidi"/>
          <w:szCs w:val="24"/>
        </w:rPr>
        <w:t>., 2020). The river serves local uses that range from washing to irrigation, and these interactions create conditions that favor the survival and transmission of environmental bacteria. Freshwater systems in this region have been reported to harbor antimicrobial resistant organisms due to continuous exposure to domestic effluents, agricultural runoff, and naturally occurring microbial communities (</w:t>
      </w:r>
      <w:proofErr w:type="spellStart"/>
      <w:r w:rsidRPr="00A53E7C">
        <w:rPr>
          <w:rFonts w:asciiTheme="majorBidi" w:hAnsiTheme="majorBidi" w:cstheme="majorBidi"/>
          <w:szCs w:val="24"/>
        </w:rPr>
        <w:t>Olorunfemi</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2022). These factors make </w:t>
      </w:r>
      <w:proofErr w:type="spellStart"/>
      <w:r w:rsidRPr="00A53E7C">
        <w:rPr>
          <w:rFonts w:asciiTheme="majorBidi" w:hAnsiTheme="majorBidi" w:cstheme="majorBidi"/>
          <w:szCs w:val="24"/>
        </w:rPr>
        <w:t>Kwalkwalawa</w:t>
      </w:r>
      <w:proofErr w:type="spellEnd"/>
      <w:r w:rsidRPr="00A53E7C">
        <w:rPr>
          <w:rFonts w:asciiTheme="majorBidi" w:hAnsiTheme="majorBidi" w:cstheme="majorBidi"/>
          <w:szCs w:val="24"/>
        </w:rPr>
        <w:t xml:space="preserve"> River a suitable location for investigating the presence of Escherichia coli and assessing whether detected antimicrobial resistance traits may be associated with plasmid DNA.</w:t>
      </w:r>
    </w:p>
    <w:p w14:paraId="65A29A8E" w14:textId="77777777" w:rsidR="00A53E7C" w:rsidRPr="00A53E7C" w:rsidRDefault="00A53E7C" w:rsidP="004E7C2E">
      <w:pPr>
        <w:pStyle w:val="Heading1"/>
      </w:pPr>
      <w:bookmarkStart w:id="19" w:name="_Toc216595149"/>
      <w:r w:rsidRPr="00A53E7C">
        <w:t>3.2 Sample Collection</w:t>
      </w:r>
      <w:bookmarkEnd w:id="19"/>
    </w:p>
    <w:p w14:paraId="6B7720E4" w14:textId="10145981" w:rsidR="00A53E7C" w:rsidRPr="00A53E7C" w:rsidRDefault="00A53E7C" w:rsidP="004E7C2E">
      <w:pPr>
        <w:jc w:val="both"/>
        <w:rPr>
          <w:rFonts w:asciiTheme="majorBidi" w:hAnsiTheme="majorBidi" w:cstheme="majorBidi"/>
          <w:szCs w:val="24"/>
        </w:rPr>
      </w:pPr>
      <w:r w:rsidRPr="00A53E7C">
        <w:rPr>
          <w:rFonts w:asciiTheme="majorBidi" w:hAnsiTheme="majorBidi" w:cstheme="majorBidi"/>
          <w:szCs w:val="24"/>
        </w:rPr>
        <w:t xml:space="preserve">Water samples were collected from the riverbank following standard microbiological sampling procedures recommended for environmental water quality assessment (APHA, 2020). Each sample was collected in sterile 250 milliliter bottles that had been autoclaved prior to use to prevent contamination from external microorganisms. Bottles were labeled with sample codes corresponding to the locations used for laboratory analysis. During collection, each bottle was opened only at the point of sampling and immersed slightly below the water surface to avoid </w:t>
      </w:r>
      <w:r w:rsidRPr="00A53E7C">
        <w:rPr>
          <w:rFonts w:asciiTheme="majorBidi" w:hAnsiTheme="majorBidi" w:cstheme="majorBidi"/>
          <w:szCs w:val="24"/>
        </w:rPr>
        <w:lastRenderedPageBreak/>
        <w:t>capturing surface debris. Samples were collected in the morning, since early sampling minimizes the effects of temperature fluctuations, human activity, and sediment disturbance, which are known to influence microbial distribution in freshwater bodies (</w:t>
      </w:r>
      <w:proofErr w:type="spellStart"/>
      <w:r w:rsidRPr="00A53E7C">
        <w:rPr>
          <w:rFonts w:asciiTheme="majorBidi" w:hAnsiTheme="majorBidi" w:cstheme="majorBidi"/>
          <w:szCs w:val="24"/>
        </w:rPr>
        <w:t>Olorunfemi</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2022). After collection, samples were stored in an insulated ice container at approximately four degrees Celsius to limit bacterial growth and maintain the natural microbial composition until processing. All samples were transported to the laboratory and analyzed within two hours of collection to ensure accuracy and reduce the risk of post-collection microbial alteration (APHA, 2020). </w:t>
      </w:r>
    </w:p>
    <w:p w14:paraId="5435CB54" w14:textId="77777777" w:rsidR="00A53E7C" w:rsidRPr="00A53E7C" w:rsidRDefault="00A53E7C" w:rsidP="004E7C2E">
      <w:pPr>
        <w:pStyle w:val="Heading1"/>
      </w:pPr>
      <w:bookmarkStart w:id="20" w:name="_Toc216595150"/>
      <w:r w:rsidRPr="00A53E7C">
        <w:t>3.3 Materials, Reagents, and Instruments</w:t>
      </w:r>
      <w:bookmarkEnd w:id="20"/>
    </w:p>
    <w:p w14:paraId="2EC64323" w14:textId="77777777"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This study employed standard microbiological materials and reagents suitable for the isolation, characterization, and molecular analysis of bacteria from environmental water samples. All culture media, biochemical test reagents, antibiotic discs, and plasmid extraction kits were obtained from reputable manufacturers to ensure accuracy and reliability. Instruments used throughout the study were routinely calibrated and maintained according to laboratory guidelines to minimize methodological errors. Table 3.1 provides an overview of the primary materials and reagents used, while Table 3.2 summarizes the major laboratory instruments employed in the study.</w:t>
      </w:r>
    </w:p>
    <w:p w14:paraId="070A6598" w14:textId="77777777"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Environmental microbiology requires high precision, particularly when evaluating antimicrobial resistance and plasmid profiles, since contamination or equipment malfunction can significantly distort outcomes (Green &amp; Sambrook, 2021). For this reason, all materials were handled under aseptic conditions, and disposable items were used whenever possible to reduce contamination risk. Culture media such as MacConkey agar and Eosin Methylene Blue agar were prepared according to the manufacturer’s instructions and sterilized by autoclaving at 121°C for fifteen minutes. Biochemical test reagents were freshly prepared or reconstituted </w:t>
      </w:r>
      <w:r w:rsidRPr="00A53E7C">
        <w:rPr>
          <w:rFonts w:asciiTheme="majorBidi" w:hAnsiTheme="majorBidi" w:cstheme="majorBidi"/>
          <w:szCs w:val="24"/>
        </w:rPr>
        <w:lastRenderedPageBreak/>
        <w:t>as appropriate, and antibiotic discs were stored at recommended refrigeration temperatures to preserve their potency.</w:t>
      </w:r>
    </w:p>
    <w:p w14:paraId="34E81D76" w14:textId="77777777" w:rsidR="00A53E7C" w:rsidRPr="00A53E7C" w:rsidRDefault="00A53E7C" w:rsidP="008C4854">
      <w:pPr>
        <w:jc w:val="both"/>
        <w:rPr>
          <w:rFonts w:asciiTheme="majorBidi" w:hAnsiTheme="majorBidi" w:cstheme="majorBidi"/>
          <w:b/>
          <w:bCs/>
          <w:szCs w:val="24"/>
        </w:rPr>
      </w:pPr>
      <w:r w:rsidRPr="00A53E7C">
        <w:rPr>
          <w:rFonts w:asciiTheme="majorBidi" w:hAnsiTheme="majorBidi" w:cstheme="majorBidi"/>
          <w:b/>
          <w:bCs/>
          <w:szCs w:val="24"/>
        </w:rPr>
        <w:t>Table 3.1 Materials and Reagents Used in the Study</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130"/>
        <w:gridCol w:w="3897"/>
      </w:tblGrid>
      <w:tr w:rsidR="004E7C2E" w:rsidRPr="008C4854" w14:paraId="4F54C0E9" w14:textId="77777777" w:rsidTr="004E7C2E">
        <w:trPr>
          <w:tblHeader/>
          <w:tblCellSpacing w:w="15" w:type="dxa"/>
        </w:trPr>
        <w:tc>
          <w:tcPr>
            <w:tcW w:w="5085" w:type="dxa"/>
            <w:tcBorders>
              <w:top w:val="single" w:sz="4" w:space="0" w:color="auto"/>
              <w:bottom w:val="single" w:sz="4" w:space="0" w:color="auto"/>
            </w:tcBorders>
            <w:vAlign w:val="center"/>
            <w:hideMark/>
          </w:tcPr>
          <w:p w14:paraId="47BEF5E8" w14:textId="77777777" w:rsidR="004E7C2E" w:rsidRPr="00A53E7C" w:rsidRDefault="004E7C2E" w:rsidP="004E7C2E">
            <w:pPr>
              <w:jc w:val="center"/>
              <w:rPr>
                <w:rFonts w:asciiTheme="majorBidi" w:hAnsiTheme="majorBidi" w:cstheme="majorBidi"/>
                <w:b/>
                <w:bCs/>
                <w:szCs w:val="24"/>
              </w:rPr>
            </w:pPr>
            <w:r w:rsidRPr="00A53E7C">
              <w:rPr>
                <w:rFonts w:asciiTheme="majorBidi" w:hAnsiTheme="majorBidi" w:cstheme="majorBidi"/>
                <w:b/>
                <w:bCs/>
                <w:szCs w:val="24"/>
              </w:rPr>
              <w:t>Material / Reagent</w:t>
            </w:r>
          </w:p>
        </w:tc>
        <w:tc>
          <w:tcPr>
            <w:tcW w:w="3852" w:type="dxa"/>
            <w:tcBorders>
              <w:top w:val="single" w:sz="4" w:space="0" w:color="auto"/>
              <w:bottom w:val="single" w:sz="4" w:space="0" w:color="auto"/>
            </w:tcBorders>
            <w:vAlign w:val="center"/>
            <w:hideMark/>
          </w:tcPr>
          <w:p w14:paraId="03ECAE69" w14:textId="77777777" w:rsidR="004E7C2E" w:rsidRPr="00A53E7C" w:rsidRDefault="004E7C2E" w:rsidP="004E7C2E">
            <w:pPr>
              <w:jc w:val="center"/>
              <w:rPr>
                <w:rFonts w:asciiTheme="majorBidi" w:hAnsiTheme="majorBidi" w:cstheme="majorBidi"/>
                <w:b/>
                <w:bCs/>
                <w:szCs w:val="24"/>
              </w:rPr>
            </w:pPr>
            <w:r w:rsidRPr="00A53E7C">
              <w:rPr>
                <w:rFonts w:asciiTheme="majorBidi" w:hAnsiTheme="majorBidi" w:cstheme="majorBidi"/>
                <w:b/>
                <w:bCs/>
                <w:szCs w:val="24"/>
              </w:rPr>
              <w:t>Manufacturer</w:t>
            </w:r>
          </w:p>
        </w:tc>
      </w:tr>
      <w:tr w:rsidR="004E7C2E" w:rsidRPr="008C4854" w14:paraId="42DBED49" w14:textId="77777777" w:rsidTr="004E7C2E">
        <w:trPr>
          <w:tblCellSpacing w:w="15" w:type="dxa"/>
        </w:trPr>
        <w:tc>
          <w:tcPr>
            <w:tcW w:w="5085" w:type="dxa"/>
            <w:vAlign w:val="center"/>
            <w:hideMark/>
          </w:tcPr>
          <w:p w14:paraId="01797893"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MacConkey agar</w:t>
            </w:r>
          </w:p>
        </w:tc>
        <w:tc>
          <w:tcPr>
            <w:tcW w:w="3852" w:type="dxa"/>
            <w:vAlign w:val="center"/>
            <w:hideMark/>
          </w:tcPr>
          <w:p w14:paraId="2C134F48" w14:textId="77777777" w:rsidR="004E7C2E" w:rsidRPr="00A53E7C" w:rsidRDefault="004E7C2E" w:rsidP="008C4854">
            <w:pPr>
              <w:jc w:val="both"/>
              <w:rPr>
                <w:rFonts w:asciiTheme="majorBidi" w:hAnsiTheme="majorBidi" w:cstheme="majorBidi"/>
                <w:szCs w:val="24"/>
              </w:rPr>
            </w:pPr>
            <w:proofErr w:type="spellStart"/>
            <w:r w:rsidRPr="00A53E7C">
              <w:rPr>
                <w:rFonts w:asciiTheme="majorBidi" w:hAnsiTheme="majorBidi" w:cstheme="majorBidi"/>
                <w:szCs w:val="24"/>
              </w:rPr>
              <w:t>HiMedia</w:t>
            </w:r>
            <w:proofErr w:type="spellEnd"/>
            <w:r w:rsidRPr="00A53E7C">
              <w:rPr>
                <w:rFonts w:asciiTheme="majorBidi" w:hAnsiTheme="majorBidi" w:cstheme="majorBidi"/>
                <w:szCs w:val="24"/>
              </w:rPr>
              <w:t xml:space="preserve"> Laboratories, India</w:t>
            </w:r>
          </w:p>
        </w:tc>
      </w:tr>
      <w:tr w:rsidR="004E7C2E" w:rsidRPr="008C4854" w14:paraId="32718440" w14:textId="77777777" w:rsidTr="004E7C2E">
        <w:trPr>
          <w:tblCellSpacing w:w="15" w:type="dxa"/>
        </w:trPr>
        <w:tc>
          <w:tcPr>
            <w:tcW w:w="5085" w:type="dxa"/>
            <w:vAlign w:val="center"/>
            <w:hideMark/>
          </w:tcPr>
          <w:p w14:paraId="0A2AD487"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Eosin Methylene Blue agar</w:t>
            </w:r>
          </w:p>
        </w:tc>
        <w:tc>
          <w:tcPr>
            <w:tcW w:w="3852" w:type="dxa"/>
            <w:vAlign w:val="center"/>
            <w:hideMark/>
          </w:tcPr>
          <w:p w14:paraId="2827EBB4" w14:textId="77777777" w:rsidR="004E7C2E" w:rsidRPr="00A53E7C" w:rsidRDefault="004E7C2E" w:rsidP="008C4854">
            <w:pPr>
              <w:jc w:val="both"/>
              <w:rPr>
                <w:rFonts w:asciiTheme="majorBidi" w:hAnsiTheme="majorBidi" w:cstheme="majorBidi"/>
                <w:szCs w:val="24"/>
              </w:rPr>
            </w:pPr>
            <w:proofErr w:type="spellStart"/>
            <w:r w:rsidRPr="00A53E7C">
              <w:rPr>
                <w:rFonts w:asciiTheme="majorBidi" w:hAnsiTheme="majorBidi" w:cstheme="majorBidi"/>
                <w:szCs w:val="24"/>
              </w:rPr>
              <w:t>Oxoid</w:t>
            </w:r>
            <w:proofErr w:type="spellEnd"/>
            <w:r w:rsidRPr="00A53E7C">
              <w:rPr>
                <w:rFonts w:asciiTheme="majorBidi" w:hAnsiTheme="majorBidi" w:cstheme="majorBidi"/>
                <w:szCs w:val="24"/>
              </w:rPr>
              <w:t>, UK</w:t>
            </w:r>
          </w:p>
        </w:tc>
      </w:tr>
      <w:tr w:rsidR="004E7C2E" w:rsidRPr="008C4854" w14:paraId="477E792E" w14:textId="77777777" w:rsidTr="004E7C2E">
        <w:trPr>
          <w:tblCellSpacing w:w="15" w:type="dxa"/>
        </w:trPr>
        <w:tc>
          <w:tcPr>
            <w:tcW w:w="5085" w:type="dxa"/>
            <w:vAlign w:val="center"/>
            <w:hideMark/>
          </w:tcPr>
          <w:p w14:paraId="47EB5DBF"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Nutrient agar</w:t>
            </w:r>
          </w:p>
        </w:tc>
        <w:tc>
          <w:tcPr>
            <w:tcW w:w="3852" w:type="dxa"/>
            <w:vAlign w:val="center"/>
            <w:hideMark/>
          </w:tcPr>
          <w:p w14:paraId="2B7841B4" w14:textId="77777777" w:rsidR="004E7C2E" w:rsidRPr="00A53E7C" w:rsidRDefault="004E7C2E" w:rsidP="008C4854">
            <w:pPr>
              <w:jc w:val="both"/>
              <w:rPr>
                <w:rFonts w:asciiTheme="majorBidi" w:hAnsiTheme="majorBidi" w:cstheme="majorBidi"/>
                <w:szCs w:val="24"/>
              </w:rPr>
            </w:pPr>
            <w:proofErr w:type="spellStart"/>
            <w:r w:rsidRPr="00A53E7C">
              <w:rPr>
                <w:rFonts w:asciiTheme="majorBidi" w:hAnsiTheme="majorBidi" w:cstheme="majorBidi"/>
                <w:szCs w:val="24"/>
              </w:rPr>
              <w:t>HiMedia</w:t>
            </w:r>
            <w:proofErr w:type="spellEnd"/>
            <w:r w:rsidRPr="00A53E7C">
              <w:rPr>
                <w:rFonts w:asciiTheme="majorBidi" w:hAnsiTheme="majorBidi" w:cstheme="majorBidi"/>
                <w:szCs w:val="24"/>
              </w:rPr>
              <w:t xml:space="preserve"> Laboratories, India</w:t>
            </w:r>
          </w:p>
        </w:tc>
      </w:tr>
      <w:tr w:rsidR="004E7C2E" w:rsidRPr="008C4854" w14:paraId="62F15ED4" w14:textId="77777777" w:rsidTr="004E7C2E">
        <w:trPr>
          <w:tblCellSpacing w:w="15" w:type="dxa"/>
        </w:trPr>
        <w:tc>
          <w:tcPr>
            <w:tcW w:w="5085" w:type="dxa"/>
            <w:vAlign w:val="center"/>
            <w:hideMark/>
          </w:tcPr>
          <w:p w14:paraId="59FBA550"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Mueller Hinton agar</w:t>
            </w:r>
          </w:p>
        </w:tc>
        <w:tc>
          <w:tcPr>
            <w:tcW w:w="3852" w:type="dxa"/>
            <w:vAlign w:val="center"/>
            <w:hideMark/>
          </w:tcPr>
          <w:p w14:paraId="2601D278" w14:textId="77777777" w:rsidR="004E7C2E" w:rsidRPr="00A53E7C" w:rsidRDefault="004E7C2E" w:rsidP="008C4854">
            <w:pPr>
              <w:jc w:val="both"/>
              <w:rPr>
                <w:rFonts w:asciiTheme="majorBidi" w:hAnsiTheme="majorBidi" w:cstheme="majorBidi"/>
                <w:szCs w:val="24"/>
              </w:rPr>
            </w:pPr>
            <w:proofErr w:type="spellStart"/>
            <w:r w:rsidRPr="00A53E7C">
              <w:rPr>
                <w:rFonts w:asciiTheme="majorBidi" w:hAnsiTheme="majorBidi" w:cstheme="majorBidi"/>
                <w:szCs w:val="24"/>
              </w:rPr>
              <w:t>Oxoid</w:t>
            </w:r>
            <w:proofErr w:type="spellEnd"/>
            <w:r w:rsidRPr="00A53E7C">
              <w:rPr>
                <w:rFonts w:asciiTheme="majorBidi" w:hAnsiTheme="majorBidi" w:cstheme="majorBidi"/>
                <w:szCs w:val="24"/>
              </w:rPr>
              <w:t>, UK</w:t>
            </w:r>
          </w:p>
        </w:tc>
      </w:tr>
      <w:tr w:rsidR="004E7C2E" w:rsidRPr="008C4854" w14:paraId="0DDC1396" w14:textId="77777777" w:rsidTr="004E7C2E">
        <w:trPr>
          <w:tblCellSpacing w:w="15" w:type="dxa"/>
        </w:trPr>
        <w:tc>
          <w:tcPr>
            <w:tcW w:w="5085" w:type="dxa"/>
            <w:vAlign w:val="center"/>
            <w:hideMark/>
          </w:tcPr>
          <w:p w14:paraId="60CFC7B3" w14:textId="77777777" w:rsidR="004E7C2E" w:rsidRPr="00A53E7C" w:rsidRDefault="004E7C2E" w:rsidP="008C4854">
            <w:pPr>
              <w:jc w:val="both"/>
              <w:rPr>
                <w:rFonts w:asciiTheme="majorBidi" w:hAnsiTheme="majorBidi" w:cstheme="majorBidi"/>
                <w:szCs w:val="24"/>
              </w:rPr>
            </w:pPr>
            <w:proofErr w:type="spellStart"/>
            <w:r w:rsidRPr="00A53E7C">
              <w:rPr>
                <w:rFonts w:asciiTheme="majorBidi" w:hAnsiTheme="majorBidi" w:cstheme="majorBidi"/>
                <w:szCs w:val="24"/>
              </w:rPr>
              <w:t>IMViC</w:t>
            </w:r>
            <w:proofErr w:type="spellEnd"/>
            <w:r w:rsidRPr="00A53E7C">
              <w:rPr>
                <w:rFonts w:asciiTheme="majorBidi" w:hAnsiTheme="majorBidi" w:cstheme="majorBidi"/>
                <w:szCs w:val="24"/>
              </w:rPr>
              <w:t xml:space="preserve"> test reagents</w:t>
            </w:r>
          </w:p>
        </w:tc>
        <w:tc>
          <w:tcPr>
            <w:tcW w:w="3852" w:type="dxa"/>
            <w:vAlign w:val="center"/>
            <w:hideMark/>
          </w:tcPr>
          <w:p w14:paraId="1E2D1252"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Sigma Aldrich, USA</w:t>
            </w:r>
          </w:p>
        </w:tc>
      </w:tr>
      <w:tr w:rsidR="004E7C2E" w:rsidRPr="008C4854" w14:paraId="0D8E9374" w14:textId="77777777" w:rsidTr="004E7C2E">
        <w:trPr>
          <w:tblCellSpacing w:w="15" w:type="dxa"/>
        </w:trPr>
        <w:tc>
          <w:tcPr>
            <w:tcW w:w="5085" w:type="dxa"/>
            <w:vAlign w:val="center"/>
            <w:hideMark/>
          </w:tcPr>
          <w:p w14:paraId="4EE81A83"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Catalase reagent (3 percent H₂O₂)</w:t>
            </w:r>
          </w:p>
        </w:tc>
        <w:tc>
          <w:tcPr>
            <w:tcW w:w="3852" w:type="dxa"/>
            <w:vAlign w:val="center"/>
            <w:hideMark/>
          </w:tcPr>
          <w:p w14:paraId="394DF632"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BDH Chemicals, UK</w:t>
            </w:r>
          </w:p>
        </w:tc>
      </w:tr>
      <w:tr w:rsidR="004E7C2E" w:rsidRPr="008C4854" w14:paraId="5E930A8A" w14:textId="77777777" w:rsidTr="004E7C2E">
        <w:trPr>
          <w:tblCellSpacing w:w="15" w:type="dxa"/>
        </w:trPr>
        <w:tc>
          <w:tcPr>
            <w:tcW w:w="5085" w:type="dxa"/>
            <w:vAlign w:val="center"/>
            <w:hideMark/>
          </w:tcPr>
          <w:p w14:paraId="31BB76A0"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Urease test medium</w:t>
            </w:r>
          </w:p>
        </w:tc>
        <w:tc>
          <w:tcPr>
            <w:tcW w:w="3852" w:type="dxa"/>
            <w:vAlign w:val="center"/>
            <w:hideMark/>
          </w:tcPr>
          <w:p w14:paraId="7FC2956A" w14:textId="77777777" w:rsidR="004E7C2E" w:rsidRPr="00A53E7C" w:rsidRDefault="004E7C2E" w:rsidP="008C4854">
            <w:pPr>
              <w:jc w:val="both"/>
              <w:rPr>
                <w:rFonts w:asciiTheme="majorBidi" w:hAnsiTheme="majorBidi" w:cstheme="majorBidi"/>
                <w:szCs w:val="24"/>
              </w:rPr>
            </w:pPr>
            <w:proofErr w:type="spellStart"/>
            <w:r w:rsidRPr="00A53E7C">
              <w:rPr>
                <w:rFonts w:asciiTheme="majorBidi" w:hAnsiTheme="majorBidi" w:cstheme="majorBidi"/>
                <w:szCs w:val="24"/>
              </w:rPr>
              <w:t>HiMedia</w:t>
            </w:r>
            <w:proofErr w:type="spellEnd"/>
            <w:r w:rsidRPr="00A53E7C">
              <w:rPr>
                <w:rFonts w:asciiTheme="majorBidi" w:hAnsiTheme="majorBidi" w:cstheme="majorBidi"/>
                <w:szCs w:val="24"/>
              </w:rPr>
              <w:t xml:space="preserve"> Laboratories, India</w:t>
            </w:r>
          </w:p>
        </w:tc>
      </w:tr>
      <w:tr w:rsidR="004E7C2E" w:rsidRPr="008C4854" w14:paraId="7880F5E2" w14:textId="77777777" w:rsidTr="004E7C2E">
        <w:trPr>
          <w:tblCellSpacing w:w="15" w:type="dxa"/>
        </w:trPr>
        <w:tc>
          <w:tcPr>
            <w:tcW w:w="5085" w:type="dxa"/>
            <w:vAlign w:val="center"/>
            <w:hideMark/>
          </w:tcPr>
          <w:p w14:paraId="4A08300A"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Citrate utilization medium (Simmons)</w:t>
            </w:r>
          </w:p>
        </w:tc>
        <w:tc>
          <w:tcPr>
            <w:tcW w:w="3852" w:type="dxa"/>
            <w:vAlign w:val="center"/>
            <w:hideMark/>
          </w:tcPr>
          <w:p w14:paraId="3727DCA8"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Merck, Germany</w:t>
            </w:r>
          </w:p>
        </w:tc>
      </w:tr>
      <w:tr w:rsidR="004E7C2E" w:rsidRPr="008C4854" w14:paraId="0F052C9B" w14:textId="77777777" w:rsidTr="004E7C2E">
        <w:trPr>
          <w:tblCellSpacing w:w="15" w:type="dxa"/>
        </w:trPr>
        <w:tc>
          <w:tcPr>
            <w:tcW w:w="5085" w:type="dxa"/>
            <w:vAlign w:val="center"/>
            <w:hideMark/>
          </w:tcPr>
          <w:p w14:paraId="0665E6E0"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Sugar fermentation media</w:t>
            </w:r>
          </w:p>
        </w:tc>
        <w:tc>
          <w:tcPr>
            <w:tcW w:w="3852" w:type="dxa"/>
            <w:vAlign w:val="center"/>
            <w:hideMark/>
          </w:tcPr>
          <w:p w14:paraId="0E56D7F3" w14:textId="77777777" w:rsidR="004E7C2E" w:rsidRPr="00A53E7C" w:rsidRDefault="004E7C2E" w:rsidP="008C4854">
            <w:pPr>
              <w:jc w:val="both"/>
              <w:rPr>
                <w:rFonts w:asciiTheme="majorBidi" w:hAnsiTheme="majorBidi" w:cstheme="majorBidi"/>
                <w:szCs w:val="24"/>
              </w:rPr>
            </w:pPr>
            <w:proofErr w:type="spellStart"/>
            <w:r w:rsidRPr="00A53E7C">
              <w:rPr>
                <w:rFonts w:asciiTheme="majorBidi" w:hAnsiTheme="majorBidi" w:cstheme="majorBidi"/>
                <w:szCs w:val="24"/>
              </w:rPr>
              <w:t>HiMedia</w:t>
            </w:r>
            <w:proofErr w:type="spellEnd"/>
            <w:r w:rsidRPr="00A53E7C">
              <w:rPr>
                <w:rFonts w:asciiTheme="majorBidi" w:hAnsiTheme="majorBidi" w:cstheme="majorBidi"/>
                <w:szCs w:val="24"/>
              </w:rPr>
              <w:t xml:space="preserve"> Laboratories, India</w:t>
            </w:r>
          </w:p>
        </w:tc>
      </w:tr>
      <w:tr w:rsidR="004E7C2E" w:rsidRPr="008C4854" w14:paraId="1263CA0A" w14:textId="77777777" w:rsidTr="004E7C2E">
        <w:trPr>
          <w:tblCellSpacing w:w="15" w:type="dxa"/>
        </w:trPr>
        <w:tc>
          <w:tcPr>
            <w:tcW w:w="5085" w:type="dxa"/>
            <w:vAlign w:val="center"/>
            <w:hideMark/>
          </w:tcPr>
          <w:p w14:paraId="548CF7A5"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 xml:space="preserve">Antibiotic discs (tetracycline, ampicillin, levofloxacin, amoxicillin, </w:t>
            </w:r>
            <w:proofErr w:type="spellStart"/>
            <w:r w:rsidRPr="00A53E7C">
              <w:rPr>
                <w:rFonts w:asciiTheme="majorBidi" w:hAnsiTheme="majorBidi" w:cstheme="majorBidi"/>
                <w:szCs w:val="24"/>
              </w:rPr>
              <w:t>contricin</w:t>
            </w:r>
            <w:proofErr w:type="spellEnd"/>
            <w:r w:rsidRPr="00A53E7C">
              <w:rPr>
                <w:rFonts w:asciiTheme="majorBidi" w:hAnsiTheme="majorBidi" w:cstheme="majorBidi"/>
                <w:szCs w:val="24"/>
              </w:rPr>
              <w:t>, ciprofloxacin, ofloxacin)</w:t>
            </w:r>
          </w:p>
        </w:tc>
        <w:tc>
          <w:tcPr>
            <w:tcW w:w="3852" w:type="dxa"/>
            <w:vAlign w:val="center"/>
            <w:hideMark/>
          </w:tcPr>
          <w:p w14:paraId="3F055DC4" w14:textId="77777777" w:rsidR="004E7C2E" w:rsidRPr="00A53E7C" w:rsidRDefault="004E7C2E" w:rsidP="008C4854">
            <w:pPr>
              <w:jc w:val="both"/>
              <w:rPr>
                <w:rFonts w:asciiTheme="majorBidi" w:hAnsiTheme="majorBidi" w:cstheme="majorBidi"/>
                <w:szCs w:val="24"/>
              </w:rPr>
            </w:pPr>
            <w:proofErr w:type="spellStart"/>
            <w:r w:rsidRPr="00A53E7C">
              <w:rPr>
                <w:rFonts w:asciiTheme="majorBidi" w:hAnsiTheme="majorBidi" w:cstheme="majorBidi"/>
                <w:szCs w:val="24"/>
              </w:rPr>
              <w:t>Oxoid</w:t>
            </w:r>
            <w:proofErr w:type="spellEnd"/>
            <w:r w:rsidRPr="00A53E7C">
              <w:rPr>
                <w:rFonts w:asciiTheme="majorBidi" w:hAnsiTheme="majorBidi" w:cstheme="majorBidi"/>
                <w:szCs w:val="24"/>
              </w:rPr>
              <w:t>, UK</w:t>
            </w:r>
          </w:p>
        </w:tc>
      </w:tr>
      <w:tr w:rsidR="004E7C2E" w:rsidRPr="008C4854" w14:paraId="197858AC" w14:textId="77777777" w:rsidTr="004E7C2E">
        <w:trPr>
          <w:tblCellSpacing w:w="15" w:type="dxa"/>
        </w:trPr>
        <w:tc>
          <w:tcPr>
            <w:tcW w:w="5085" w:type="dxa"/>
            <w:vAlign w:val="center"/>
            <w:hideMark/>
          </w:tcPr>
          <w:p w14:paraId="194AAE10"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Trans Plasmid Extraction Kit</w:t>
            </w:r>
          </w:p>
        </w:tc>
        <w:tc>
          <w:tcPr>
            <w:tcW w:w="3852" w:type="dxa"/>
            <w:vAlign w:val="center"/>
            <w:hideMark/>
          </w:tcPr>
          <w:p w14:paraId="610459C7" w14:textId="77777777" w:rsidR="004E7C2E" w:rsidRPr="00A53E7C" w:rsidRDefault="004E7C2E" w:rsidP="008C4854">
            <w:pPr>
              <w:jc w:val="both"/>
              <w:rPr>
                <w:rFonts w:asciiTheme="majorBidi" w:hAnsiTheme="majorBidi" w:cstheme="majorBidi"/>
                <w:szCs w:val="24"/>
              </w:rPr>
            </w:pPr>
            <w:proofErr w:type="spellStart"/>
            <w:r w:rsidRPr="00A53E7C">
              <w:rPr>
                <w:rFonts w:asciiTheme="majorBidi" w:hAnsiTheme="majorBidi" w:cstheme="majorBidi"/>
                <w:szCs w:val="24"/>
              </w:rPr>
              <w:t>TransGen</w:t>
            </w:r>
            <w:proofErr w:type="spellEnd"/>
            <w:r w:rsidRPr="00A53E7C">
              <w:rPr>
                <w:rFonts w:asciiTheme="majorBidi" w:hAnsiTheme="majorBidi" w:cstheme="majorBidi"/>
                <w:szCs w:val="24"/>
              </w:rPr>
              <w:t xml:space="preserve"> Biotech, China</w:t>
            </w:r>
          </w:p>
        </w:tc>
      </w:tr>
      <w:tr w:rsidR="004E7C2E" w:rsidRPr="008C4854" w14:paraId="21C24C4D" w14:textId="77777777" w:rsidTr="004E7C2E">
        <w:trPr>
          <w:tblCellSpacing w:w="15" w:type="dxa"/>
        </w:trPr>
        <w:tc>
          <w:tcPr>
            <w:tcW w:w="5085" w:type="dxa"/>
            <w:vAlign w:val="center"/>
            <w:hideMark/>
          </w:tcPr>
          <w:p w14:paraId="38EE7482"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Agarose powder</w:t>
            </w:r>
          </w:p>
        </w:tc>
        <w:tc>
          <w:tcPr>
            <w:tcW w:w="3852" w:type="dxa"/>
            <w:vAlign w:val="center"/>
            <w:hideMark/>
          </w:tcPr>
          <w:p w14:paraId="2EF877A5"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Promega Corporation, USA</w:t>
            </w:r>
          </w:p>
        </w:tc>
      </w:tr>
      <w:tr w:rsidR="004E7C2E" w:rsidRPr="008C4854" w14:paraId="73BF67F8" w14:textId="77777777" w:rsidTr="004E7C2E">
        <w:trPr>
          <w:tblCellSpacing w:w="15" w:type="dxa"/>
        </w:trPr>
        <w:tc>
          <w:tcPr>
            <w:tcW w:w="5085" w:type="dxa"/>
            <w:vAlign w:val="center"/>
            <w:hideMark/>
          </w:tcPr>
          <w:p w14:paraId="35F5ED15"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Ethidium bromide</w:t>
            </w:r>
          </w:p>
        </w:tc>
        <w:tc>
          <w:tcPr>
            <w:tcW w:w="3852" w:type="dxa"/>
            <w:vAlign w:val="center"/>
            <w:hideMark/>
          </w:tcPr>
          <w:p w14:paraId="36950091"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Sigma Aldrich, USA</w:t>
            </w:r>
          </w:p>
        </w:tc>
      </w:tr>
      <w:tr w:rsidR="004E7C2E" w:rsidRPr="008C4854" w14:paraId="0A06E496" w14:textId="77777777" w:rsidTr="004E7C2E">
        <w:trPr>
          <w:tblCellSpacing w:w="15" w:type="dxa"/>
        </w:trPr>
        <w:tc>
          <w:tcPr>
            <w:tcW w:w="5085" w:type="dxa"/>
            <w:tcBorders>
              <w:bottom w:val="single" w:sz="4" w:space="0" w:color="auto"/>
            </w:tcBorders>
            <w:vAlign w:val="center"/>
            <w:hideMark/>
          </w:tcPr>
          <w:p w14:paraId="11048544"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1 kb DNA ladder</w:t>
            </w:r>
          </w:p>
        </w:tc>
        <w:tc>
          <w:tcPr>
            <w:tcW w:w="3852" w:type="dxa"/>
            <w:tcBorders>
              <w:bottom w:val="single" w:sz="4" w:space="0" w:color="auto"/>
            </w:tcBorders>
            <w:vAlign w:val="center"/>
            <w:hideMark/>
          </w:tcPr>
          <w:p w14:paraId="75793207"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New England Biolabs, USA</w:t>
            </w:r>
          </w:p>
        </w:tc>
      </w:tr>
    </w:tbl>
    <w:p w14:paraId="7172DB12" w14:textId="77777777" w:rsidR="004E7C2E" w:rsidRDefault="004E7C2E" w:rsidP="008C4854">
      <w:pPr>
        <w:jc w:val="both"/>
        <w:rPr>
          <w:rFonts w:asciiTheme="majorBidi" w:hAnsiTheme="majorBidi" w:cstheme="majorBidi"/>
          <w:b/>
          <w:bCs/>
          <w:szCs w:val="24"/>
        </w:rPr>
      </w:pPr>
    </w:p>
    <w:p w14:paraId="05124B36" w14:textId="77777777" w:rsidR="004E7C2E" w:rsidRDefault="004E7C2E">
      <w:pPr>
        <w:rPr>
          <w:rFonts w:asciiTheme="majorBidi" w:hAnsiTheme="majorBidi" w:cstheme="majorBidi"/>
          <w:b/>
          <w:bCs/>
          <w:szCs w:val="24"/>
        </w:rPr>
      </w:pPr>
      <w:r>
        <w:rPr>
          <w:rFonts w:asciiTheme="majorBidi" w:hAnsiTheme="majorBidi" w:cstheme="majorBidi"/>
          <w:b/>
          <w:bCs/>
          <w:szCs w:val="24"/>
        </w:rPr>
        <w:br w:type="page"/>
      </w:r>
    </w:p>
    <w:p w14:paraId="457C0CFB" w14:textId="5E4B2D36" w:rsidR="00A53E7C" w:rsidRPr="00A53E7C" w:rsidRDefault="00A53E7C" w:rsidP="008C4854">
      <w:pPr>
        <w:jc w:val="both"/>
        <w:rPr>
          <w:rFonts w:asciiTheme="majorBidi" w:hAnsiTheme="majorBidi" w:cstheme="majorBidi"/>
          <w:b/>
          <w:bCs/>
          <w:szCs w:val="24"/>
        </w:rPr>
      </w:pPr>
      <w:r w:rsidRPr="00A53E7C">
        <w:rPr>
          <w:rFonts w:asciiTheme="majorBidi" w:hAnsiTheme="majorBidi" w:cstheme="majorBidi"/>
          <w:b/>
          <w:bCs/>
          <w:szCs w:val="24"/>
        </w:rPr>
        <w:lastRenderedPageBreak/>
        <w:t>Table 3.2 Laboratory Instruments Used in the Study</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3621"/>
        <w:gridCol w:w="4029"/>
      </w:tblGrid>
      <w:tr w:rsidR="004E7C2E" w:rsidRPr="008C4854" w14:paraId="08B85D6A" w14:textId="77777777" w:rsidTr="004E7C2E">
        <w:trPr>
          <w:tblHeader/>
          <w:tblCellSpacing w:w="15" w:type="dxa"/>
          <w:jc w:val="center"/>
        </w:trPr>
        <w:tc>
          <w:tcPr>
            <w:tcW w:w="0" w:type="auto"/>
            <w:tcBorders>
              <w:top w:val="single" w:sz="4" w:space="0" w:color="auto"/>
              <w:bottom w:val="single" w:sz="4" w:space="0" w:color="auto"/>
            </w:tcBorders>
            <w:vAlign w:val="center"/>
            <w:hideMark/>
          </w:tcPr>
          <w:p w14:paraId="430AE5C1" w14:textId="77777777" w:rsidR="004E7C2E" w:rsidRPr="00A53E7C" w:rsidRDefault="004E7C2E" w:rsidP="008C4854">
            <w:pPr>
              <w:jc w:val="both"/>
              <w:rPr>
                <w:rFonts w:asciiTheme="majorBidi" w:hAnsiTheme="majorBidi" w:cstheme="majorBidi"/>
                <w:b/>
                <w:bCs/>
                <w:szCs w:val="24"/>
              </w:rPr>
            </w:pPr>
            <w:r w:rsidRPr="00A53E7C">
              <w:rPr>
                <w:rFonts w:asciiTheme="majorBidi" w:hAnsiTheme="majorBidi" w:cstheme="majorBidi"/>
                <w:b/>
                <w:bCs/>
                <w:szCs w:val="24"/>
              </w:rPr>
              <w:t>Instrument</w:t>
            </w:r>
          </w:p>
        </w:tc>
        <w:tc>
          <w:tcPr>
            <w:tcW w:w="3984" w:type="dxa"/>
            <w:tcBorders>
              <w:top w:val="single" w:sz="4" w:space="0" w:color="auto"/>
              <w:bottom w:val="single" w:sz="4" w:space="0" w:color="auto"/>
            </w:tcBorders>
            <w:vAlign w:val="center"/>
            <w:hideMark/>
          </w:tcPr>
          <w:p w14:paraId="141CFE86" w14:textId="77777777" w:rsidR="004E7C2E" w:rsidRPr="00A53E7C" w:rsidRDefault="004E7C2E" w:rsidP="008C4854">
            <w:pPr>
              <w:jc w:val="both"/>
              <w:rPr>
                <w:rFonts w:asciiTheme="majorBidi" w:hAnsiTheme="majorBidi" w:cstheme="majorBidi"/>
                <w:b/>
                <w:bCs/>
                <w:szCs w:val="24"/>
              </w:rPr>
            </w:pPr>
            <w:r w:rsidRPr="00A53E7C">
              <w:rPr>
                <w:rFonts w:asciiTheme="majorBidi" w:hAnsiTheme="majorBidi" w:cstheme="majorBidi"/>
                <w:b/>
                <w:bCs/>
                <w:szCs w:val="24"/>
              </w:rPr>
              <w:t>Model / Manufacturer</w:t>
            </w:r>
          </w:p>
        </w:tc>
      </w:tr>
      <w:tr w:rsidR="004E7C2E" w:rsidRPr="008C4854" w14:paraId="774135AC" w14:textId="77777777" w:rsidTr="004E7C2E">
        <w:trPr>
          <w:tblCellSpacing w:w="15" w:type="dxa"/>
          <w:jc w:val="center"/>
        </w:trPr>
        <w:tc>
          <w:tcPr>
            <w:tcW w:w="0" w:type="auto"/>
            <w:vAlign w:val="center"/>
            <w:hideMark/>
          </w:tcPr>
          <w:p w14:paraId="23E452D9"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Autoclave</w:t>
            </w:r>
          </w:p>
        </w:tc>
        <w:tc>
          <w:tcPr>
            <w:tcW w:w="3984" w:type="dxa"/>
            <w:vAlign w:val="center"/>
            <w:hideMark/>
          </w:tcPr>
          <w:p w14:paraId="094B102C"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Astell Scientific, UK</w:t>
            </w:r>
          </w:p>
        </w:tc>
      </w:tr>
      <w:tr w:rsidR="004E7C2E" w:rsidRPr="008C4854" w14:paraId="0D56B86E" w14:textId="77777777" w:rsidTr="004E7C2E">
        <w:trPr>
          <w:tblCellSpacing w:w="15" w:type="dxa"/>
          <w:jc w:val="center"/>
        </w:trPr>
        <w:tc>
          <w:tcPr>
            <w:tcW w:w="0" w:type="auto"/>
            <w:vAlign w:val="center"/>
            <w:hideMark/>
          </w:tcPr>
          <w:p w14:paraId="1BB4F4A8"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Incubator</w:t>
            </w:r>
          </w:p>
        </w:tc>
        <w:tc>
          <w:tcPr>
            <w:tcW w:w="3984" w:type="dxa"/>
            <w:vAlign w:val="center"/>
            <w:hideMark/>
          </w:tcPr>
          <w:p w14:paraId="081A9D89" w14:textId="77777777" w:rsidR="004E7C2E" w:rsidRPr="00A53E7C" w:rsidRDefault="004E7C2E" w:rsidP="008C4854">
            <w:pPr>
              <w:jc w:val="both"/>
              <w:rPr>
                <w:rFonts w:asciiTheme="majorBidi" w:hAnsiTheme="majorBidi" w:cstheme="majorBidi"/>
                <w:szCs w:val="24"/>
              </w:rPr>
            </w:pPr>
            <w:proofErr w:type="spellStart"/>
            <w:r w:rsidRPr="00A53E7C">
              <w:rPr>
                <w:rFonts w:asciiTheme="majorBidi" w:hAnsiTheme="majorBidi" w:cstheme="majorBidi"/>
                <w:szCs w:val="24"/>
              </w:rPr>
              <w:t>Memmert</w:t>
            </w:r>
            <w:proofErr w:type="spellEnd"/>
            <w:r w:rsidRPr="00A53E7C">
              <w:rPr>
                <w:rFonts w:asciiTheme="majorBidi" w:hAnsiTheme="majorBidi" w:cstheme="majorBidi"/>
                <w:szCs w:val="24"/>
              </w:rPr>
              <w:t>, Germany</w:t>
            </w:r>
          </w:p>
        </w:tc>
      </w:tr>
      <w:tr w:rsidR="004E7C2E" w:rsidRPr="008C4854" w14:paraId="2DB5D65A" w14:textId="77777777" w:rsidTr="004E7C2E">
        <w:trPr>
          <w:tblCellSpacing w:w="15" w:type="dxa"/>
          <w:jc w:val="center"/>
        </w:trPr>
        <w:tc>
          <w:tcPr>
            <w:tcW w:w="0" w:type="auto"/>
            <w:vAlign w:val="center"/>
            <w:hideMark/>
          </w:tcPr>
          <w:p w14:paraId="52EE05DD"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Hot air oven</w:t>
            </w:r>
          </w:p>
        </w:tc>
        <w:tc>
          <w:tcPr>
            <w:tcW w:w="3984" w:type="dxa"/>
            <w:vAlign w:val="center"/>
            <w:hideMark/>
          </w:tcPr>
          <w:p w14:paraId="1063D675" w14:textId="77777777" w:rsidR="004E7C2E" w:rsidRPr="00A53E7C" w:rsidRDefault="004E7C2E" w:rsidP="008C4854">
            <w:pPr>
              <w:jc w:val="both"/>
              <w:rPr>
                <w:rFonts w:asciiTheme="majorBidi" w:hAnsiTheme="majorBidi" w:cstheme="majorBidi"/>
                <w:szCs w:val="24"/>
              </w:rPr>
            </w:pPr>
            <w:proofErr w:type="spellStart"/>
            <w:r w:rsidRPr="00A53E7C">
              <w:rPr>
                <w:rFonts w:asciiTheme="majorBidi" w:hAnsiTheme="majorBidi" w:cstheme="majorBidi"/>
                <w:szCs w:val="24"/>
              </w:rPr>
              <w:t>Genlab</w:t>
            </w:r>
            <w:proofErr w:type="spellEnd"/>
            <w:r w:rsidRPr="00A53E7C">
              <w:rPr>
                <w:rFonts w:asciiTheme="majorBidi" w:hAnsiTheme="majorBidi" w:cstheme="majorBidi"/>
                <w:szCs w:val="24"/>
              </w:rPr>
              <w:t>, UK</w:t>
            </w:r>
          </w:p>
        </w:tc>
      </w:tr>
      <w:tr w:rsidR="004E7C2E" w:rsidRPr="008C4854" w14:paraId="208056C2" w14:textId="77777777" w:rsidTr="004E7C2E">
        <w:trPr>
          <w:tblCellSpacing w:w="15" w:type="dxa"/>
          <w:jc w:val="center"/>
        </w:trPr>
        <w:tc>
          <w:tcPr>
            <w:tcW w:w="0" w:type="auto"/>
            <w:vAlign w:val="center"/>
            <w:hideMark/>
          </w:tcPr>
          <w:p w14:paraId="33ECFB96"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Analytical balance</w:t>
            </w:r>
          </w:p>
        </w:tc>
        <w:tc>
          <w:tcPr>
            <w:tcW w:w="3984" w:type="dxa"/>
            <w:vAlign w:val="center"/>
            <w:hideMark/>
          </w:tcPr>
          <w:p w14:paraId="257C6882"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Mettler Toledo, USA</w:t>
            </w:r>
          </w:p>
        </w:tc>
      </w:tr>
      <w:tr w:rsidR="004E7C2E" w:rsidRPr="008C4854" w14:paraId="57D8141F" w14:textId="77777777" w:rsidTr="004E7C2E">
        <w:trPr>
          <w:tblCellSpacing w:w="15" w:type="dxa"/>
          <w:jc w:val="center"/>
        </w:trPr>
        <w:tc>
          <w:tcPr>
            <w:tcW w:w="0" w:type="auto"/>
            <w:vAlign w:val="center"/>
            <w:hideMark/>
          </w:tcPr>
          <w:p w14:paraId="768D0BAB"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Micropipettes</w:t>
            </w:r>
          </w:p>
        </w:tc>
        <w:tc>
          <w:tcPr>
            <w:tcW w:w="3984" w:type="dxa"/>
            <w:vAlign w:val="center"/>
            <w:hideMark/>
          </w:tcPr>
          <w:p w14:paraId="1C058BFF"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Eppendorf, Germany</w:t>
            </w:r>
          </w:p>
        </w:tc>
      </w:tr>
      <w:tr w:rsidR="004E7C2E" w:rsidRPr="008C4854" w14:paraId="216EA27C" w14:textId="77777777" w:rsidTr="004E7C2E">
        <w:trPr>
          <w:tblCellSpacing w:w="15" w:type="dxa"/>
          <w:jc w:val="center"/>
        </w:trPr>
        <w:tc>
          <w:tcPr>
            <w:tcW w:w="0" w:type="auto"/>
            <w:vAlign w:val="center"/>
            <w:hideMark/>
          </w:tcPr>
          <w:p w14:paraId="1788C5CD"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UV Transilluminator</w:t>
            </w:r>
          </w:p>
        </w:tc>
        <w:tc>
          <w:tcPr>
            <w:tcW w:w="3984" w:type="dxa"/>
            <w:vAlign w:val="center"/>
            <w:hideMark/>
          </w:tcPr>
          <w:p w14:paraId="75190975"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Bio-Rad, USA</w:t>
            </w:r>
          </w:p>
        </w:tc>
      </w:tr>
      <w:tr w:rsidR="004E7C2E" w:rsidRPr="008C4854" w14:paraId="48325D24" w14:textId="77777777" w:rsidTr="004E7C2E">
        <w:trPr>
          <w:tblCellSpacing w:w="15" w:type="dxa"/>
          <w:jc w:val="center"/>
        </w:trPr>
        <w:tc>
          <w:tcPr>
            <w:tcW w:w="0" w:type="auto"/>
            <w:vAlign w:val="center"/>
            <w:hideMark/>
          </w:tcPr>
          <w:p w14:paraId="2C5C3615"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Electrophoresis tank and power pack</w:t>
            </w:r>
          </w:p>
        </w:tc>
        <w:tc>
          <w:tcPr>
            <w:tcW w:w="3984" w:type="dxa"/>
            <w:vAlign w:val="center"/>
            <w:hideMark/>
          </w:tcPr>
          <w:p w14:paraId="68937E98"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Major Science, Taiwan</w:t>
            </w:r>
          </w:p>
        </w:tc>
      </w:tr>
      <w:tr w:rsidR="004E7C2E" w:rsidRPr="008C4854" w14:paraId="2F6DF988" w14:textId="77777777" w:rsidTr="004E7C2E">
        <w:trPr>
          <w:tblCellSpacing w:w="15" w:type="dxa"/>
          <w:jc w:val="center"/>
        </w:trPr>
        <w:tc>
          <w:tcPr>
            <w:tcW w:w="0" w:type="auto"/>
            <w:vAlign w:val="center"/>
            <w:hideMark/>
          </w:tcPr>
          <w:p w14:paraId="4F2BFB7A"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Colony counter</w:t>
            </w:r>
          </w:p>
        </w:tc>
        <w:tc>
          <w:tcPr>
            <w:tcW w:w="3984" w:type="dxa"/>
            <w:vAlign w:val="center"/>
            <w:hideMark/>
          </w:tcPr>
          <w:p w14:paraId="655B6982"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Stuart Scientific, UK</w:t>
            </w:r>
          </w:p>
        </w:tc>
      </w:tr>
      <w:tr w:rsidR="004E7C2E" w:rsidRPr="008C4854" w14:paraId="61ECD7DA" w14:textId="77777777" w:rsidTr="004E7C2E">
        <w:trPr>
          <w:tblCellSpacing w:w="15" w:type="dxa"/>
          <w:jc w:val="center"/>
        </w:trPr>
        <w:tc>
          <w:tcPr>
            <w:tcW w:w="0" w:type="auto"/>
            <w:tcBorders>
              <w:bottom w:val="single" w:sz="4" w:space="0" w:color="auto"/>
            </w:tcBorders>
            <w:vAlign w:val="center"/>
            <w:hideMark/>
          </w:tcPr>
          <w:p w14:paraId="290AAB74"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Refrigerator (4°C)</w:t>
            </w:r>
          </w:p>
        </w:tc>
        <w:tc>
          <w:tcPr>
            <w:tcW w:w="3984" w:type="dxa"/>
            <w:tcBorders>
              <w:bottom w:val="single" w:sz="4" w:space="0" w:color="auto"/>
            </w:tcBorders>
            <w:vAlign w:val="center"/>
            <w:hideMark/>
          </w:tcPr>
          <w:p w14:paraId="19603AD7"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LG, Korea</w:t>
            </w:r>
          </w:p>
        </w:tc>
      </w:tr>
    </w:tbl>
    <w:p w14:paraId="6C1BB5BF" w14:textId="3C710D83" w:rsidR="00A53E7C" w:rsidRPr="00A53E7C" w:rsidRDefault="00A53E7C" w:rsidP="008C4854">
      <w:pPr>
        <w:jc w:val="both"/>
        <w:rPr>
          <w:rFonts w:asciiTheme="majorBidi" w:hAnsiTheme="majorBidi" w:cstheme="majorBidi"/>
          <w:szCs w:val="24"/>
        </w:rPr>
      </w:pPr>
    </w:p>
    <w:p w14:paraId="7E18569F" w14:textId="6568BE90" w:rsidR="00A53E7C" w:rsidRPr="00A53E7C" w:rsidRDefault="00A53E7C" w:rsidP="004E7C2E">
      <w:pPr>
        <w:pStyle w:val="Heading1"/>
      </w:pPr>
      <w:bookmarkStart w:id="21" w:name="_Toc216595151"/>
      <w:r w:rsidRPr="00A53E7C">
        <w:t>3.</w:t>
      </w:r>
      <w:r w:rsidR="004E7C2E">
        <w:t>4</w:t>
      </w:r>
      <w:r w:rsidRPr="00A53E7C">
        <w:t xml:space="preserve"> Isolation and Identification of Escherichia coli</w:t>
      </w:r>
      <w:bookmarkEnd w:id="21"/>
    </w:p>
    <w:p w14:paraId="06C003E2" w14:textId="77777777"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The isolation of Escherichia coli from the collected river water samples followed standard microbiological protocols recommended for analyzing environmental samples (CLSI, 2021). Each sample was first homogenized by gentle shaking to ensure even distribution of microorganisms before inoculation. A measured volume of the water sample was streaked onto MacConkey agar plates, which selectively support the growth of </w:t>
      </w:r>
      <w:proofErr w:type="gramStart"/>
      <w:r w:rsidRPr="00A53E7C">
        <w:rPr>
          <w:rFonts w:asciiTheme="majorBidi" w:hAnsiTheme="majorBidi" w:cstheme="majorBidi"/>
          <w:szCs w:val="24"/>
        </w:rPr>
        <w:t>Gram negative</w:t>
      </w:r>
      <w:proofErr w:type="gramEnd"/>
      <w:r w:rsidRPr="00A53E7C">
        <w:rPr>
          <w:rFonts w:asciiTheme="majorBidi" w:hAnsiTheme="majorBidi" w:cstheme="majorBidi"/>
          <w:szCs w:val="24"/>
        </w:rPr>
        <w:t xml:space="preserve"> enteric bacteria while differentiating lactose fermenters from non-fermenters. Plates were incubated at 37°C for twenty-four hours. Colonies that appeared pink to red on MacConkey agar were considered presumptive lactose fermenters, which include Escherichia coli and related coliforms (</w:t>
      </w:r>
      <w:proofErr w:type="spellStart"/>
      <w:r w:rsidRPr="00A53E7C">
        <w:rPr>
          <w:rFonts w:asciiTheme="majorBidi" w:hAnsiTheme="majorBidi" w:cstheme="majorBidi"/>
          <w:szCs w:val="24"/>
        </w:rPr>
        <w:t>Cheesbrough</w:t>
      </w:r>
      <w:proofErr w:type="spellEnd"/>
      <w:r w:rsidRPr="00A53E7C">
        <w:rPr>
          <w:rFonts w:asciiTheme="majorBidi" w:hAnsiTheme="majorBidi" w:cstheme="majorBidi"/>
          <w:szCs w:val="24"/>
        </w:rPr>
        <w:t>, 2019).</w:t>
      </w:r>
    </w:p>
    <w:p w14:paraId="558656CA" w14:textId="4325C994" w:rsidR="00A53E7C" w:rsidRPr="00A53E7C" w:rsidRDefault="00A53E7C" w:rsidP="004E7C2E">
      <w:pPr>
        <w:jc w:val="both"/>
        <w:rPr>
          <w:rFonts w:asciiTheme="majorBidi" w:hAnsiTheme="majorBidi" w:cstheme="majorBidi"/>
          <w:szCs w:val="24"/>
        </w:rPr>
      </w:pPr>
      <w:r w:rsidRPr="00A53E7C">
        <w:rPr>
          <w:rFonts w:asciiTheme="majorBidi" w:hAnsiTheme="majorBidi" w:cstheme="majorBidi"/>
          <w:szCs w:val="24"/>
        </w:rPr>
        <w:t xml:space="preserve">Presumptive colonies were </w:t>
      </w:r>
      <w:proofErr w:type="spellStart"/>
      <w:r w:rsidRPr="00A53E7C">
        <w:rPr>
          <w:rFonts w:asciiTheme="majorBidi" w:hAnsiTheme="majorBidi" w:cstheme="majorBidi"/>
          <w:szCs w:val="24"/>
        </w:rPr>
        <w:t>subcultured</w:t>
      </w:r>
      <w:proofErr w:type="spellEnd"/>
      <w:r w:rsidRPr="00A53E7C">
        <w:rPr>
          <w:rFonts w:asciiTheme="majorBidi" w:hAnsiTheme="majorBidi" w:cstheme="majorBidi"/>
          <w:szCs w:val="24"/>
        </w:rPr>
        <w:t xml:space="preserve"> on Eosin Methylene Blue agar to enhance selectivity and provide visual confirmation. Escherichia coli typically produces dark colonies with a </w:t>
      </w:r>
      <w:r w:rsidRPr="00A53E7C">
        <w:rPr>
          <w:rFonts w:asciiTheme="majorBidi" w:hAnsiTheme="majorBidi" w:cstheme="majorBidi"/>
          <w:szCs w:val="24"/>
        </w:rPr>
        <w:lastRenderedPageBreak/>
        <w:t xml:space="preserve">characteristic green metallic sheen on this medium due to vigorous lactose fermentation and acid production, which precipitate the dyes (Forbes </w:t>
      </w:r>
      <w:r w:rsidR="005516EB" w:rsidRPr="005516EB">
        <w:rPr>
          <w:rFonts w:asciiTheme="majorBidi" w:hAnsiTheme="majorBidi" w:cstheme="majorBidi"/>
          <w:i/>
          <w:iCs/>
          <w:szCs w:val="24"/>
        </w:rPr>
        <w:t>et al</w:t>
      </w:r>
      <w:r w:rsidRPr="00A53E7C">
        <w:rPr>
          <w:rFonts w:asciiTheme="majorBidi" w:hAnsiTheme="majorBidi" w:cstheme="majorBidi"/>
          <w:szCs w:val="24"/>
        </w:rPr>
        <w:t>., 2020). Colonies with these features were further purified on nutrient agar to obtain discrete single colonies suitable for biochemical testing.</w:t>
      </w:r>
    </w:p>
    <w:p w14:paraId="1DBC53EF" w14:textId="1EAEED86" w:rsidR="00A53E7C" w:rsidRPr="00A53E7C" w:rsidRDefault="00A53E7C" w:rsidP="004E7C2E">
      <w:pPr>
        <w:pStyle w:val="Heading1"/>
      </w:pPr>
      <w:bookmarkStart w:id="22" w:name="_Toc216595152"/>
      <w:r w:rsidRPr="00A53E7C">
        <w:t>3.</w:t>
      </w:r>
      <w:r w:rsidR="004E7C2E">
        <w:t>5</w:t>
      </w:r>
      <w:r w:rsidRPr="00A53E7C">
        <w:t xml:space="preserve"> Antibiotic Susceptibility Testing</w:t>
      </w:r>
      <w:bookmarkEnd w:id="22"/>
    </w:p>
    <w:p w14:paraId="5CECB56A" w14:textId="77777777"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Antibiotic susceptibility testing of the confirmed Escherichia coli isolates was carried out using the Kirby Bauer disk diffusion method, which remains the most widely accepted approach for routine antimicrobial sensitivity profiling in clinical and environmental microbiology (CLSI, 2021). The procedure was performed on Mueller Hinton agar because it supports reproducible diffusion of antimicrobial agents and is recommended by international standards for evaluating bacterial susceptibility patterns.</w:t>
      </w:r>
    </w:p>
    <w:p w14:paraId="7FF8892F" w14:textId="413C0DDB"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Fresh overnight cultures of each isolate were prepared in nutrient broth and adjusted to match the turbidity of the 0.5 McFarland standard, which corresponds to an approximate concentration of 1.5 × 10⁸ colony forming units per milliliter. This standardization ensured uniform inoculum density, since variations in bacterial concentration can significantly affect zone diameter and lead to misinterpretation of susceptibility results (Forbes </w:t>
      </w:r>
      <w:r w:rsidR="005516EB" w:rsidRPr="005516EB">
        <w:rPr>
          <w:rFonts w:asciiTheme="majorBidi" w:hAnsiTheme="majorBidi" w:cstheme="majorBidi"/>
          <w:i/>
          <w:iCs/>
          <w:szCs w:val="24"/>
        </w:rPr>
        <w:t>et al</w:t>
      </w:r>
      <w:r w:rsidRPr="00A53E7C">
        <w:rPr>
          <w:rFonts w:asciiTheme="majorBidi" w:hAnsiTheme="majorBidi" w:cstheme="majorBidi"/>
          <w:szCs w:val="24"/>
        </w:rPr>
        <w:t>., 2020). The standardized suspension was evenly spread over the surface of the Mueller Hinton agar using a sterile swab, ensuring complete coverage of the medium.</w:t>
      </w:r>
    </w:p>
    <w:p w14:paraId="7CB3BC91" w14:textId="047DDB97"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Commercially prepared antibiotic discs were aseptically placed on the inoculated agar surface at adequate distances to prevent overlapping of inhibition zones. The antibiotics tested were tetracycline, ampicillin, levofloxacin, amoxicillin, </w:t>
      </w:r>
      <w:proofErr w:type="spellStart"/>
      <w:r w:rsidRPr="00A53E7C">
        <w:rPr>
          <w:rFonts w:asciiTheme="majorBidi" w:hAnsiTheme="majorBidi" w:cstheme="majorBidi"/>
          <w:szCs w:val="24"/>
        </w:rPr>
        <w:t>contricin</w:t>
      </w:r>
      <w:proofErr w:type="spellEnd"/>
      <w:r w:rsidRPr="00A53E7C">
        <w:rPr>
          <w:rFonts w:asciiTheme="majorBidi" w:hAnsiTheme="majorBidi" w:cstheme="majorBidi"/>
          <w:szCs w:val="24"/>
        </w:rPr>
        <w:t>, ciprofloxacin, and ofloxacin. These antibiotics were selected to provide a broad assessment of the resistance profile, since they represent commonly used agents in clinical and community settings where environmental contamination may occur (</w:t>
      </w:r>
      <w:proofErr w:type="spellStart"/>
      <w:r w:rsidRPr="00A53E7C">
        <w:rPr>
          <w:rFonts w:asciiTheme="majorBidi" w:hAnsiTheme="majorBidi" w:cstheme="majorBidi"/>
          <w:szCs w:val="24"/>
        </w:rPr>
        <w:t>Olorunfemi</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t>et al</w:t>
      </w:r>
      <w:r w:rsidRPr="00A53E7C">
        <w:rPr>
          <w:rFonts w:asciiTheme="majorBidi" w:hAnsiTheme="majorBidi" w:cstheme="majorBidi"/>
          <w:szCs w:val="24"/>
        </w:rPr>
        <w:t>., 2022). Plates were incubated at 37°C for eighteen to twenty-four hours.</w:t>
      </w:r>
    </w:p>
    <w:p w14:paraId="29C932BA" w14:textId="046B2A02" w:rsidR="00A53E7C" w:rsidRPr="00A53E7C" w:rsidRDefault="00A53E7C" w:rsidP="004E7C2E">
      <w:pPr>
        <w:pStyle w:val="Heading1"/>
      </w:pPr>
      <w:bookmarkStart w:id="23" w:name="_Toc216595153"/>
      <w:r w:rsidRPr="00A53E7C">
        <w:lastRenderedPageBreak/>
        <w:t>3.</w:t>
      </w:r>
      <w:r w:rsidR="004E7C2E">
        <w:t>6</w:t>
      </w:r>
      <w:r w:rsidRPr="00A53E7C">
        <w:t xml:space="preserve"> Plasmid Extraction</w:t>
      </w:r>
      <w:bookmarkEnd w:id="23"/>
    </w:p>
    <w:p w14:paraId="26ABDC98" w14:textId="77777777"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Plasmid DNA was extracted from the confirmed Escherichia coli isolate using the Trans Plasmid Extraction Kit, which applies a modified alkaline lysis procedure optimized for rapid recovery of high-quality plasmid DNA from Gram negative bacteria. Kit-based extraction methods are routinely employed in microbiology laboratories because they improve reproducibility, reduce contamination risk, and yield plasmid DNA suitable for downstream applications such as electrophoresis and molecular characterization (Green &amp; Sambrook, 2021). The extraction was performed according to the manufacturer’s instructions to ensure consistency and reliability.</w:t>
      </w:r>
    </w:p>
    <w:p w14:paraId="2A3A7096" w14:textId="77777777"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A fresh overnight culture of the target Escherichia coli isolate was grown in nutrient broth at 37°C to obtain actively dividing cells, which yield stronger plasmid recovery. One milliliter of the broth culture was transferred into a sterile microcentrifuge tube and centrifuged to pellet the bacterial cells. The supernatant was discarded, and the pellet was resuspended in the kit-provided resuspension buffer to ensure uniform breakdown of the cell mass. Lysis buffer was then added, causing disruption of the bacterial cell wall and membrane through alkaline denaturation. This step released plasmid DNA along with chromosomal DNA and cellular proteins.</w:t>
      </w:r>
    </w:p>
    <w:p w14:paraId="1EFDFB44" w14:textId="77777777"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Neutralization buffer was applied to precipitate chromosomal DNA, proteins, and cell debris while allowing plasmid DNA to remain solubilized. The mixture was centrifuged to obtain a clarified supernatant containing plasmid DNA. The supernatant was carefully transferred to a silica-based spin column, which selectively binds plasmid DNA through ionic interactions. The column was washed with the provided wash buffer to remove salts and residual proteins. Finally, plasmid DNA was eluted in a low-salt elution buffer and stored at 4°C until electrophoresis was performed.</w:t>
      </w:r>
    </w:p>
    <w:p w14:paraId="012E275A" w14:textId="6DEAC6BC" w:rsidR="00A53E7C" w:rsidRPr="00A53E7C" w:rsidRDefault="00A53E7C" w:rsidP="008C4854">
      <w:pPr>
        <w:jc w:val="both"/>
        <w:rPr>
          <w:rFonts w:asciiTheme="majorBidi" w:hAnsiTheme="majorBidi" w:cstheme="majorBidi"/>
          <w:szCs w:val="24"/>
        </w:rPr>
      </w:pPr>
    </w:p>
    <w:p w14:paraId="62A8522E" w14:textId="70265D6C" w:rsidR="00A53E7C" w:rsidRPr="00A53E7C" w:rsidRDefault="00A53E7C" w:rsidP="004E7C2E">
      <w:pPr>
        <w:pStyle w:val="Heading1"/>
      </w:pPr>
      <w:bookmarkStart w:id="24" w:name="_Toc216595154"/>
      <w:r w:rsidRPr="00A53E7C">
        <w:lastRenderedPageBreak/>
        <w:t>3.</w:t>
      </w:r>
      <w:r w:rsidR="004E7C2E">
        <w:t>7</w:t>
      </w:r>
      <w:r w:rsidRPr="00A53E7C">
        <w:t xml:space="preserve"> Agarose Gel Electrophoresis</w:t>
      </w:r>
      <w:bookmarkEnd w:id="24"/>
    </w:p>
    <w:p w14:paraId="6E65882D" w14:textId="0C6B3F9B"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Agarose gel electrophoresis was conducted to confirm the presence and approximate size of plasmid DNA extracted from the Escherichia coli isolate. Electrophoresis is a standard molecular technique used to separate nucleic acids based on size, allowing clear visualization of plasmid bands under ultraviolet illumination (Green &amp; Sambrook, 2021). A one percent agarose gel was prepared by dissolving agarose powder in Tris Acetate EDTA buffer and heating the mixture until the solution became clear. The agarose solution was allowed to cool slightly before ethidium bromide was added to a final concentration suitable for nucleic acid staining. Ethidium bromide intercalates with DNA and fluoresces under UV light, making it one of the most commonly used stains for DNA visualization in molecular microbiology (Forbes </w:t>
      </w:r>
      <w:r w:rsidR="005516EB" w:rsidRPr="005516EB">
        <w:rPr>
          <w:rFonts w:asciiTheme="majorBidi" w:hAnsiTheme="majorBidi" w:cstheme="majorBidi"/>
          <w:i/>
          <w:iCs/>
          <w:szCs w:val="24"/>
        </w:rPr>
        <w:t>et al</w:t>
      </w:r>
      <w:r w:rsidRPr="00A53E7C">
        <w:rPr>
          <w:rFonts w:asciiTheme="majorBidi" w:hAnsiTheme="majorBidi" w:cstheme="majorBidi"/>
          <w:szCs w:val="24"/>
        </w:rPr>
        <w:t>., 2020).</w:t>
      </w:r>
    </w:p>
    <w:p w14:paraId="48260701" w14:textId="77777777"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The molten agarose was poured into a gel casting tray fitted with a comb to create wells and left at room temperature to solidify. Once solidified, the gel was placed into the electrophoresis tank and submerged in Tris Acetate EDTA running buffer. Plasmid DNA samples were mixed with loading dye to increase sample density and enhance visualization during loading. A one kilobase DNA ladder was loaded into the first well to serve as a molecular size marker, enabling estimation of plasmid size based on the migration pattern of reference fragments.</w:t>
      </w:r>
    </w:p>
    <w:p w14:paraId="75E7977D" w14:textId="1568DC54" w:rsidR="00A53E7C" w:rsidRPr="00A53E7C" w:rsidRDefault="00A53E7C" w:rsidP="004E7C2E">
      <w:pPr>
        <w:jc w:val="both"/>
        <w:rPr>
          <w:rFonts w:asciiTheme="majorBidi" w:hAnsiTheme="majorBidi" w:cstheme="majorBidi"/>
          <w:szCs w:val="24"/>
        </w:rPr>
      </w:pPr>
      <w:r w:rsidRPr="00A53E7C">
        <w:rPr>
          <w:rFonts w:asciiTheme="majorBidi" w:hAnsiTheme="majorBidi" w:cstheme="majorBidi"/>
          <w:szCs w:val="24"/>
        </w:rPr>
        <w:t xml:space="preserve">The electrophoresis run was carried out at standard voltage for approximately forty-five minutes. During electrophoresis, DNA fragments migrated toward the positive electrode at rates inversely proportional to their molecular weight. At the end of the run, the gel was transferred to a UV transilluminator for visualization. </w:t>
      </w:r>
    </w:p>
    <w:p w14:paraId="5138B49C" w14:textId="72D9481F" w:rsidR="00A53E7C" w:rsidRPr="00A53E7C" w:rsidRDefault="00A53E7C" w:rsidP="008C4854">
      <w:pPr>
        <w:jc w:val="both"/>
        <w:rPr>
          <w:rFonts w:asciiTheme="majorBidi" w:hAnsiTheme="majorBidi" w:cstheme="majorBidi"/>
          <w:szCs w:val="24"/>
        </w:rPr>
      </w:pPr>
    </w:p>
    <w:p w14:paraId="1AEAEF1E" w14:textId="5C4E90D8" w:rsidR="00A53E7C" w:rsidRPr="00A53E7C" w:rsidRDefault="00A53E7C" w:rsidP="004E7C2E">
      <w:pPr>
        <w:jc w:val="both"/>
        <w:rPr>
          <w:rFonts w:asciiTheme="majorBidi" w:hAnsiTheme="majorBidi" w:cstheme="majorBidi"/>
          <w:szCs w:val="24"/>
        </w:rPr>
      </w:pPr>
      <w:r w:rsidRPr="008C4854">
        <w:rPr>
          <w:rFonts w:asciiTheme="majorBidi" w:hAnsiTheme="majorBidi" w:cstheme="majorBidi"/>
          <w:szCs w:val="24"/>
        </w:rPr>
        <w:br w:type="page"/>
      </w:r>
    </w:p>
    <w:p w14:paraId="41E40AB2" w14:textId="77777777" w:rsidR="00A53E7C" w:rsidRDefault="00A53E7C" w:rsidP="004E7C2E">
      <w:pPr>
        <w:pStyle w:val="Heading1"/>
        <w:jc w:val="center"/>
      </w:pPr>
      <w:bookmarkStart w:id="25" w:name="_Toc216595155"/>
      <w:r w:rsidRPr="00A53E7C">
        <w:lastRenderedPageBreak/>
        <w:t>CHAPTER FOUR</w:t>
      </w:r>
      <w:bookmarkEnd w:id="25"/>
    </w:p>
    <w:p w14:paraId="21117EB3" w14:textId="7B5DA9E1" w:rsidR="004D4909" w:rsidRPr="004D4909" w:rsidRDefault="004D4909" w:rsidP="004D4909">
      <w:pPr>
        <w:pStyle w:val="Heading2"/>
      </w:pPr>
      <w:r>
        <w:t>4.0 RESULTS, DISCUSSIONS, CONCLUSION AND RECOMMENDATION</w:t>
      </w:r>
    </w:p>
    <w:p w14:paraId="647B1C5D" w14:textId="4E4A5CAE" w:rsidR="00A53E7C" w:rsidRPr="00A53E7C" w:rsidRDefault="00A53E7C" w:rsidP="004E7C2E">
      <w:pPr>
        <w:pStyle w:val="Heading1"/>
      </w:pPr>
      <w:bookmarkStart w:id="26" w:name="_Toc216595156"/>
      <w:r w:rsidRPr="00A53E7C">
        <w:t>4.1 Results</w:t>
      </w:r>
      <w:bookmarkEnd w:id="26"/>
    </w:p>
    <w:p w14:paraId="61FC037C" w14:textId="18A16B55"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The microbiological analysis of water samples collected from </w:t>
      </w:r>
      <w:proofErr w:type="spellStart"/>
      <w:r w:rsidRPr="00A53E7C">
        <w:rPr>
          <w:rFonts w:asciiTheme="majorBidi" w:hAnsiTheme="majorBidi" w:cstheme="majorBidi"/>
          <w:szCs w:val="24"/>
        </w:rPr>
        <w:t>Kwalkwalawa</w:t>
      </w:r>
      <w:proofErr w:type="spellEnd"/>
      <w:r w:rsidRPr="00A53E7C">
        <w:rPr>
          <w:rFonts w:asciiTheme="majorBidi" w:hAnsiTheme="majorBidi" w:cstheme="majorBidi"/>
          <w:szCs w:val="24"/>
        </w:rPr>
        <w:t xml:space="preserve"> River led to the isolation and characterization of several bacterial species. A total of six isolates were recovered from the different sampling points and were subjected to Gram staining and a series of biochemical tests in order to establish their identity. The results showed a mixed population of Gram positive and Gram</w:t>
      </w:r>
      <w:r w:rsidR="00C4403A">
        <w:rPr>
          <w:rFonts w:asciiTheme="majorBidi" w:hAnsiTheme="majorBidi" w:cstheme="majorBidi"/>
          <w:szCs w:val="24"/>
        </w:rPr>
        <w:t>-</w:t>
      </w:r>
      <w:r w:rsidRPr="00A53E7C">
        <w:rPr>
          <w:rFonts w:asciiTheme="majorBidi" w:hAnsiTheme="majorBidi" w:cstheme="majorBidi"/>
          <w:szCs w:val="24"/>
        </w:rPr>
        <w:t xml:space="preserve">negative organisms, with two isolates confirmed as </w:t>
      </w:r>
      <w:r w:rsidRPr="00A53E7C">
        <w:rPr>
          <w:rFonts w:asciiTheme="majorBidi" w:hAnsiTheme="majorBidi" w:cstheme="majorBidi"/>
          <w:i/>
          <w:iCs/>
          <w:szCs w:val="24"/>
        </w:rPr>
        <w:t>Escherichia coli</w:t>
      </w:r>
      <w:r w:rsidRPr="00A53E7C">
        <w:rPr>
          <w:rFonts w:asciiTheme="majorBidi" w:hAnsiTheme="majorBidi" w:cstheme="majorBidi"/>
          <w:szCs w:val="24"/>
        </w:rPr>
        <w:t>. These findings are consistent with the expected microbial diversity of surface waters exposed to domestic and agricultural activities (</w:t>
      </w:r>
      <w:proofErr w:type="spellStart"/>
      <w:r w:rsidRPr="00A53E7C">
        <w:rPr>
          <w:rFonts w:asciiTheme="majorBidi" w:hAnsiTheme="majorBidi" w:cstheme="majorBidi"/>
          <w:szCs w:val="24"/>
        </w:rPr>
        <w:t>Odonkor</w:t>
      </w:r>
      <w:proofErr w:type="spellEnd"/>
      <w:r w:rsidRPr="00A53E7C">
        <w:rPr>
          <w:rFonts w:asciiTheme="majorBidi" w:hAnsiTheme="majorBidi" w:cstheme="majorBidi"/>
          <w:szCs w:val="24"/>
        </w:rPr>
        <w:t xml:space="preserve"> &amp; </w:t>
      </w:r>
      <w:proofErr w:type="spellStart"/>
      <w:r w:rsidRPr="00A53E7C">
        <w:rPr>
          <w:rFonts w:asciiTheme="majorBidi" w:hAnsiTheme="majorBidi" w:cstheme="majorBidi"/>
          <w:szCs w:val="24"/>
        </w:rPr>
        <w:t>Ampofo</w:t>
      </w:r>
      <w:proofErr w:type="spellEnd"/>
      <w:r w:rsidRPr="00A53E7C">
        <w:rPr>
          <w:rFonts w:asciiTheme="majorBidi" w:hAnsiTheme="majorBidi" w:cstheme="majorBidi"/>
          <w:szCs w:val="24"/>
        </w:rPr>
        <w:t>, 2013; WHO, 2020).</w:t>
      </w:r>
    </w:p>
    <w:p w14:paraId="1C1E94E0" w14:textId="77777777" w:rsidR="00A53E7C" w:rsidRPr="00A53E7C" w:rsidRDefault="00A53E7C" w:rsidP="009A0374">
      <w:pPr>
        <w:pStyle w:val="Heading1"/>
      </w:pPr>
      <w:bookmarkStart w:id="27" w:name="_Toc216595157"/>
      <w:r w:rsidRPr="00A53E7C">
        <w:t>4.1.1 Biochemical Identification of Isolates</w:t>
      </w:r>
      <w:bookmarkEnd w:id="27"/>
    </w:p>
    <w:p w14:paraId="5C420D45" w14:textId="3013F86A" w:rsid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The full biochemical profile of the isolates is presented in Table 4.1. Based on Gram morphology, sugar fermentation patterns, </w:t>
      </w:r>
      <w:proofErr w:type="spellStart"/>
      <w:r w:rsidRPr="00A53E7C">
        <w:rPr>
          <w:rFonts w:asciiTheme="majorBidi" w:hAnsiTheme="majorBidi" w:cstheme="majorBidi"/>
          <w:szCs w:val="24"/>
        </w:rPr>
        <w:t>IMViC</w:t>
      </w:r>
      <w:proofErr w:type="spellEnd"/>
      <w:r w:rsidRPr="00A53E7C">
        <w:rPr>
          <w:rFonts w:asciiTheme="majorBidi" w:hAnsiTheme="majorBidi" w:cstheme="majorBidi"/>
          <w:szCs w:val="24"/>
        </w:rPr>
        <w:t xml:space="preserve"> reactions, and other confirmatory tests, the organisms were identified as </w:t>
      </w:r>
      <w:r w:rsidRPr="00A53E7C">
        <w:rPr>
          <w:rFonts w:asciiTheme="majorBidi" w:hAnsiTheme="majorBidi" w:cstheme="majorBidi"/>
          <w:i/>
          <w:iCs/>
          <w:szCs w:val="24"/>
        </w:rPr>
        <w:t xml:space="preserve">Bacillus </w:t>
      </w:r>
      <w:proofErr w:type="spellStart"/>
      <w:r w:rsidRPr="00A53E7C">
        <w:rPr>
          <w:rFonts w:asciiTheme="majorBidi" w:hAnsiTheme="majorBidi" w:cstheme="majorBidi"/>
          <w:i/>
          <w:iCs/>
          <w:szCs w:val="24"/>
        </w:rPr>
        <w:t>pumilus</w:t>
      </w:r>
      <w:proofErr w:type="spellEnd"/>
      <w:r w:rsidRPr="00A53E7C">
        <w:rPr>
          <w:rFonts w:asciiTheme="majorBidi" w:hAnsiTheme="majorBidi" w:cstheme="majorBidi"/>
          <w:szCs w:val="24"/>
        </w:rPr>
        <w:t xml:space="preserve">, </w:t>
      </w:r>
      <w:r w:rsidRPr="00A53E7C">
        <w:rPr>
          <w:rFonts w:asciiTheme="majorBidi" w:hAnsiTheme="majorBidi" w:cstheme="majorBidi"/>
          <w:i/>
          <w:iCs/>
          <w:szCs w:val="24"/>
        </w:rPr>
        <w:t>Serratia marcescens</w:t>
      </w:r>
      <w:r w:rsidRPr="00A53E7C">
        <w:rPr>
          <w:rFonts w:asciiTheme="majorBidi" w:hAnsiTheme="majorBidi" w:cstheme="majorBidi"/>
          <w:szCs w:val="24"/>
        </w:rPr>
        <w:t xml:space="preserve">, </w:t>
      </w:r>
      <w:r w:rsidRPr="00A53E7C">
        <w:rPr>
          <w:rFonts w:asciiTheme="majorBidi" w:hAnsiTheme="majorBidi" w:cstheme="majorBidi"/>
          <w:i/>
          <w:iCs/>
          <w:szCs w:val="24"/>
        </w:rPr>
        <w:t xml:space="preserve">Bacillus </w:t>
      </w:r>
      <w:proofErr w:type="spellStart"/>
      <w:r w:rsidRPr="00A53E7C">
        <w:rPr>
          <w:rFonts w:asciiTheme="majorBidi" w:hAnsiTheme="majorBidi" w:cstheme="majorBidi"/>
          <w:i/>
          <w:iCs/>
          <w:szCs w:val="24"/>
        </w:rPr>
        <w:t>laterosporus</w:t>
      </w:r>
      <w:proofErr w:type="spellEnd"/>
      <w:r w:rsidRPr="00A53E7C">
        <w:rPr>
          <w:rFonts w:asciiTheme="majorBidi" w:hAnsiTheme="majorBidi" w:cstheme="majorBidi"/>
          <w:szCs w:val="24"/>
        </w:rPr>
        <w:t xml:space="preserve">, </w:t>
      </w:r>
      <w:r w:rsidRPr="00A53E7C">
        <w:rPr>
          <w:rFonts w:asciiTheme="majorBidi" w:hAnsiTheme="majorBidi" w:cstheme="majorBidi"/>
          <w:i/>
          <w:iCs/>
          <w:szCs w:val="24"/>
        </w:rPr>
        <w:t>Escherichia coli</w:t>
      </w:r>
      <w:r w:rsidRPr="00A53E7C">
        <w:rPr>
          <w:rFonts w:asciiTheme="majorBidi" w:hAnsiTheme="majorBidi" w:cstheme="majorBidi"/>
          <w:szCs w:val="24"/>
        </w:rPr>
        <w:t xml:space="preserve">, and </w:t>
      </w:r>
      <w:r w:rsidRPr="00A53E7C">
        <w:rPr>
          <w:rFonts w:asciiTheme="majorBidi" w:hAnsiTheme="majorBidi" w:cstheme="majorBidi"/>
          <w:i/>
          <w:iCs/>
          <w:szCs w:val="24"/>
        </w:rPr>
        <w:t>Enterobacter cloacae</w:t>
      </w:r>
      <w:r w:rsidRPr="00A53E7C">
        <w:rPr>
          <w:rFonts w:asciiTheme="majorBidi" w:hAnsiTheme="majorBidi" w:cstheme="majorBidi"/>
          <w:szCs w:val="24"/>
        </w:rPr>
        <w:t xml:space="preserve">. Two of these isolates were confirmed as </w:t>
      </w:r>
      <w:r w:rsidR="005516EB" w:rsidRPr="005516EB">
        <w:rPr>
          <w:rFonts w:asciiTheme="majorBidi" w:hAnsiTheme="majorBidi" w:cstheme="majorBidi"/>
          <w:i/>
          <w:iCs/>
          <w:szCs w:val="24"/>
        </w:rPr>
        <w:t>E. coli</w:t>
      </w:r>
      <w:r w:rsidRPr="00A53E7C">
        <w:rPr>
          <w:rFonts w:asciiTheme="majorBidi" w:hAnsiTheme="majorBidi" w:cstheme="majorBidi"/>
          <w:szCs w:val="24"/>
        </w:rPr>
        <w:t>, one from the small colony variant of KWB-II and another designated KW-II.</w:t>
      </w:r>
    </w:p>
    <w:p w14:paraId="0379DD1D" w14:textId="77777777" w:rsidR="004D4909" w:rsidRDefault="004D4909" w:rsidP="008C4854">
      <w:pPr>
        <w:jc w:val="both"/>
        <w:rPr>
          <w:rFonts w:asciiTheme="majorBidi" w:hAnsiTheme="majorBidi" w:cstheme="majorBidi"/>
          <w:szCs w:val="24"/>
        </w:rPr>
      </w:pPr>
    </w:p>
    <w:p w14:paraId="0BFE1B5D" w14:textId="77777777" w:rsidR="004D4909" w:rsidRDefault="004D4909" w:rsidP="008C4854">
      <w:pPr>
        <w:jc w:val="both"/>
        <w:rPr>
          <w:rFonts w:asciiTheme="majorBidi" w:hAnsiTheme="majorBidi" w:cstheme="majorBidi"/>
          <w:szCs w:val="24"/>
        </w:rPr>
      </w:pPr>
    </w:p>
    <w:p w14:paraId="1100CAAC" w14:textId="77777777" w:rsidR="004D4909" w:rsidRDefault="004D4909" w:rsidP="008C4854">
      <w:pPr>
        <w:jc w:val="both"/>
        <w:rPr>
          <w:rFonts w:asciiTheme="majorBidi" w:hAnsiTheme="majorBidi" w:cstheme="majorBidi"/>
          <w:szCs w:val="24"/>
        </w:rPr>
      </w:pPr>
    </w:p>
    <w:p w14:paraId="520D879C" w14:textId="77777777" w:rsidR="004D4909" w:rsidRDefault="004D4909" w:rsidP="008C4854">
      <w:pPr>
        <w:jc w:val="both"/>
        <w:rPr>
          <w:rFonts w:asciiTheme="majorBidi" w:hAnsiTheme="majorBidi" w:cstheme="majorBidi"/>
          <w:szCs w:val="24"/>
        </w:rPr>
      </w:pPr>
    </w:p>
    <w:p w14:paraId="79D38866" w14:textId="77777777" w:rsidR="004D4909" w:rsidRDefault="004D4909" w:rsidP="008C4854">
      <w:pPr>
        <w:jc w:val="both"/>
        <w:rPr>
          <w:rFonts w:asciiTheme="majorBidi" w:hAnsiTheme="majorBidi" w:cstheme="majorBidi"/>
          <w:szCs w:val="24"/>
        </w:rPr>
      </w:pPr>
    </w:p>
    <w:p w14:paraId="6E69A87C" w14:textId="77777777" w:rsidR="004D4909" w:rsidRDefault="004D4909" w:rsidP="008C4854">
      <w:pPr>
        <w:jc w:val="both"/>
        <w:rPr>
          <w:rFonts w:asciiTheme="majorBidi" w:hAnsiTheme="majorBidi" w:cstheme="majorBidi"/>
          <w:szCs w:val="24"/>
        </w:rPr>
      </w:pPr>
    </w:p>
    <w:p w14:paraId="2D0130B9" w14:textId="77777777" w:rsidR="004D4909" w:rsidRDefault="004D4909" w:rsidP="008C4854">
      <w:pPr>
        <w:jc w:val="both"/>
        <w:rPr>
          <w:rFonts w:asciiTheme="majorBidi" w:hAnsiTheme="majorBidi" w:cstheme="majorBidi"/>
          <w:szCs w:val="24"/>
        </w:rPr>
      </w:pPr>
    </w:p>
    <w:p w14:paraId="03E5E194" w14:textId="77777777" w:rsidR="004D4909" w:rsidRDefault="004D4909" w:rsidP="008C4854">
      <w:pPr>
        <w:jc w:val="both"/>
        <w:rPr>
          <w:rFonts w:asciiTheme="majorBidi" w:hAnsiTheme="majorBidi" w:cstheme="majorBidi"/>
          <w:szCs w:val="24"/>
        </w:rPr>
      </w:pPr>
    </w:p>
    <w:p w14:paraId="4C1B472A" w14:textId="77777777" w:rsidR="004D4909" w:rsidRPr="00A53E7C" w:rsidRDefault="004D4909" w:rsidP="008C4854">
      <w:pPr>
        <w:jc w:val="both"/>
        <w:rPr>
          <w:rFonts w:asciiTheme="majorBidi" w:hAnsiTheme="majorBidi" w:cstheme="majorBidi"/>
          <w:szCs w:val="24"/>
        </w:rPr>
      </w:pPr>
    </w:p>
    <w:p w14:paraId="6D03FD3C" w14:textId="77777777" w:rsidR="00A53E7C" w:rsidRPr="00A53E7C" w:rsidRDefault="00A53E7C" w:rsidP="008C4854">
      <w:pPr>
        <w:jc w:val="both"/>
        <w:rPr>
          <w:rFonts w:asciiTheme="majorBidi" w:hAnsiTheme="majorBidi" w:cstheme="majorBidi"/>
          <w:szCs w:val="24"/>
        </w:rPr>
      </w:pPr>
      <w:r w:rsidRPr="00A53E7C">
        <w:rPr>
          <w:rFonts w:asciiTheme="majorBidi" w:hAnsiTheme="majorBidi" w:cstheme="majorBidi"/>
          <w:b/>
          <w:bCs/>
          <w:szCs w:val="24"/>
        </w:rPr>
        <w:lastRenderedPageBreak/>
        <w:t xml:space="preserve">Table 4.1: Biochemical Identification of Bacteria Isolated from </w:t>
      </w:r>
      <w:proofErr w:type="spellStart"/>
      <w:r w:rsidRPr="00A53E7C">
        <w:rPr>
          <w:rFonts w:asciiTheme="majorBidi" w:hAnsiTheme="majorBidi" w:cstheme="majorBidi"/>
          <w:b/>
          <w:bCs/>
          <w:szCs w:val="24"/>
        </w:rPr>
        <w:t>Kwalkwalawa</w:t>
      </w:r>
      <w:proofErr w:type="spellEnd"/>
      <w:r w:rsidRPr="00A53E7C">
        <w:rPr>
          <w:rFonts w:asciiTheme="majorBidi" w:hAnsiTheme="majorBidi" w:cstheme="majorBidi"/>
          <w:b/>
          <w:bCs/>
          <w:szCs w:val="24"/>
        </w:rPr>
        <w:t xml:space="preserve"> River</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86"/>
        <w:gridCol w:w="768"/>
        <w:gridCol w:w="350"/>
        <w:gridCol w:w="350"/>
        <w:gridCol w:w="350"/>
        <w:gridCol w:w="350"/>
        <w:gridCol w:w="350"/>
        <w:gridCol w:w="350"/>
        <w:gridCol w:w="350"/>
        <w:gridCol w:w="350"/>
        <w:gridCol w:w="350"/>
        <w:gridCol w:w="350"/>
        <w:gridCol w:w="350"/>
        <w:gridCol w:w="350"/>
        <w:gridCol w:w="350"/>
        <w:gridCol w:w="2023"/>
      </w:tblGrid>
      <w:tr w:rsidR="004E7C2E" w:rsidRPr="008C4854" w14:paraId="4D074A85" w14:textId="77777777" w:rsidTr="004E7C2E">
        <w:trPr>
          <w:cantSplit/>
          <w:trHeight w:val="1134"/>
          <w:tblHeader/>
          <w:tblCellSpacing w:w="15" w:type="dxa"/>
        </w:trPr>
        <w:tc>
          <w:tcPr>
            <w:tcW w:w="0" w:type="auto"/>
            <w:tcBorders>
              <w:top w:val="single" w:sz="4" w:space="0" w:color="auto"/>
              <w:bottom w:val="single" w:sz="4" w:space="0" w:color="auto"/>
            </w:tcBorders>
            <w:textDirection w:val="btLr"/>
            <w:vAlign w:val="center"/>
            <w:hideMark/>
          </w:tcPr>
          <w:p w14:paraId="4D16D996" w14:textId="77777777" w:rsidR="004E7C2E" w:rsidRPr="00A53E7C" w:rsidRDefault="004E7C2E" w:rsidP="004E7C2E">
            <w:pPr>
              <w:spacing w:line="240" w:lineRule="auto"/>
              <w:ind w:left="113" w:right="113"/>
              <w:jc w:val="both"/>
              <w:rPr>
                <w:rFonts w:asciiTheme="majorBidi" w:hAnsiTheme="majorBidi" w:cstheme="majorBidi"/>
                <w:b/>
                <w:bCs/>
                <w:szCs w:val="24"/>
              </w:rPr>
            </w:pPr>
            <w:r w:rsidRPr="00A53E7C">
              <w:rPr>
                <w:rFonts w:asciiTheme="majorBidi" w:hAnsiTheme="majorBidi" w:cstheme="majorBidi"/>
                <w:b/>
                <w:bCs/>
                <w:szCs w:val="24"/>
              </w:rPr>
              <w:t>Sample Code</w:t>
            </w:r>
          </w:p>
        </w:tc>
        <w:tc>
          <w:tcPr>
            <w:tcW w:w="0" w:type="auto"/>
            <w:tcBorders>
              <w:top w:val="single" w:sz="4" w:space="0" w:color="auto"/>
              <w:bottom w:val="single" w:sz="4" w:space="0" w:color="auto"/>
            </w:tcBorders>
            <w:textDirection w:val="btLr"/>
            <w:vAlign w:val="center"/>
            <w:hideMark/>
          </w:tcPr>
          <w:p w14:paraId="00A633D3" w14:textId="77777777" w:rsidR="004E7C2E" w:rsidRPr="00A53E7C" w:rsidRDefault="004E7C2E" w:rsidP="004E7C2E">
            <w:pPr>
              <w:spacing w:line="240" w:lineRule="auto"/>
              <w:ind w:left="113" w:right="113"/>
              <w:jc w:val="both"/>
              <w:rPr>
                <w:rFonts w:asciiTheme="majorBidi" w:hAnsiTheme="majorBidi" w:cstheme="majorBidi"/>
                <w:b/>
                <w:bCs/>
                <w:szCs w:val="24"/>
              </w:rPr>
            </w:pPr>
            <w:r w:rsidRPr="00A53E7C">
              <w:rPr>
                <w:rFonts w:asciiTheme="majorBidi" w:hAnsiTheme="majorBidi" w:cstheme="majorBidi"/>
                <w:b/>
                <w:bCs/>
                <w:szCs w:val="24"/>
              </w:rPr>
              <w:t>Gram Reaction</w:t>
            </w:r>
          </w:p>
        </w:tc>
        <w:tc>
          <w:tcPr>
            <w:tcW w:w="0" w:type="auto"/>
            <w:tcBorders>
              <w:top w:val="single" w:sz="4" w:space="0" w:color="auto"/>
              <w:bottom w:val="single" w:sz="4" w:space="0" w:color="auto"/>
            </w:tcBorders>
            <w:textDirection w:val="btLr"/>
            <w:vAlign w:val="center"/>
            <w:hideMark/>
          </w:tcPr>
          <w:p w14:paraId="031EE173" w14:textId="77777777" w:rsidR="004E7C2E" w:rsidRPr="00A53E7C" w:rsidRDefault="004E7C2E" w:rsidP="004E7C2E">
            <w:pPr>
              <w:spacing w:line="240" w:lineRule="auto"/>
              <w:ind w:left="113" w:right="113"/>
              <w:jc w:val="both"/>
              <w:rPr>
                <w:rFonts w:asciiTheme="majorBidi" w:hAnsiTheme="majorBidi" w:cstheme="majorBidi"/>
                <w:b/>
                <w:bCs/>
                <w:szCs w:val="24"/>
              </w:rPr>
            </w:pPr>
            <w:r w:rsidRPr="00A53E7C">
              <w:rPr>
                <w:rFonts w:asciiTheme="majorBidi" w:hAnsiTheme="majorBidi" w:cstheme="majorBidi"/>
                <w:b/>
                <w:bCs/>
                <w:szCs w:val="24"/>
              </w:rPr>
              <w:t>Catalase</w:t>
            </w:r>
          </w:p>
        </w:tc>
        <w:tc>
          <w:tcPr>
            <w:tcW w:w="0" w:type="auto"/>
            <w:tcBorders>
              <w:top w:val="single" w:sz="4" w:space="0" w:color="auto"/>
              <w:bottom w:val="single" w:sz="4" w:space="0" w:color="auto"/>
            </w:tcBorders>
            <w:textDirection w:val="btLr"/>
            <w:vAlign w:val="center"/>
            <w:hideMark/>
          </w:tcPr>
          <w:p w14:paraId="52BBAA4E" w14:textId="77777777" w:rsidR="004E7C2E" w:rsidRPr="00A53E7C" w:rsidRDefault="004E7C2E" w:rsidP="004E7C2E">
            <w:pPr>
              <w:spacing w:line="240" w:lineRule="auto"/>
              <w:ind w:left="113" w:right="113"/>
              <w:jc w:val="both"/>
              <w:rPr>
                <w:rFonts w:asciiTheme="majorBidi" w:hAnsiTheme="majorBidi" w:cstheme="majorBidi"/>
                <w:b/>
                <w:bCs/>
                <w:szCs w:val="24"/>
              </w:rPr>
            </w:pPr>
            <w:r w:rsidRPr="00A53E7C">
              <w:rPr>
                <w:rFonts w:asciiTheme="majorBidi" w:hAnsiTheme="majorBidi" w:cstheme="majorBidi"/>
                <w:b/>
                <w:bCs/>
                <w:szCs w:val="24"/>
              </w:rPr>
              <w:t>Lactose</w:t>
            </w:r>
          </w:p>
        </w:tc>
        <w:tc>
          <w:tcPr>
            <w:tcW w:w="0" w:type="auto"/>
            <w:tcBorders>
              <w:top w:val="single" w:sz="4" w:space="0" w:color="auto"/>
              <w:bottom w:val="single" w:sz="4" w:space="0" w:color="auto"/>
            </w:tcBorders>
            <w:textDirection w:val="btLr"/>
            <w:vAlign w:val="center"/>
            <w:hideMark/>
          </w:tcPr>
          <w:p w14:paraId="04815A27" w14:textId="77777777" w:rsidR="004E7C2E" w:rsidRPr="00A53E7C" w:rsidRDefault="004E7C2E" w:rsidP="004E7C2E">
            <w:pPr>
              <w:spacing w:line="240" w:lineRule="auto"/>
              <w:ind w:left="113" w:right="113"/>
              <w:jc w:val="both"/>
              <w:rPr>
                <w:rFonts w:asciiTheme="majorBidi" w:hAnsiTheme="majorBidi" w:cstheme="majorBidi"/>
                <w:b/>
                <w:bCs/>
                <w:szCs w:val="24"/>
              </w:rPr>
            </w:pPr>
            <w:r w:rsidRPr="00A53E7C">
              <w:rPr>
                <w:rFonts w:asciiTheme="majorBidi" w:hAnsiTheme="majorBidi" w:cstheme="majorBidi"/>
                <w:b/>
                <w:bCs/>
                <w:szCs w:val="24"/>
              </w:rPr>
              <w:t>Glucose</w:t>
            </w:r>
          </w:p>
        </w:tc>
        <w:tc>
          <w:tcPr>
            <w:tcW w:w="0" w:type="auto"/>
            <w:tcBorders>
              <w:top w:val="single" w:sz="4" w:space="0" w:color="auto"/>
              <w:bottom w:val="single" w:sz="4" w:space="0" w:color="auto"/>
            </w:tcBorders>
            <w:textDirection w:val="btLr"/>
            <w:vAlign w:val="center"/>
            <w:hideMark/>
          </w:tcPr>
          <w:p w14:paraId="716C2CEF" w14:textId="77777777" w:rsidR="004E7C2E" w:rsidRPr="00A53E7C" w:rsidRDefault="004E7C2E" w:rsidP="004E7C2E">
            <w:pPr>
              <w:spacing w:line="240" w:lineRule="auto"/>
              <w:ind w:left="113" w:right="113"/>
              <w:jc w:val="both"/>
              <w:rPr>
                <w:rFonts w:asciiTheme="majorBidi" w:hAnsiTheme="majorBidi" w:cstheme="majorBidi"/>
                <w:b/>
                <w:bCs/>
                <w:szCs w:val="24"/>
              </w:rPr>
            </w:pPr>
            <w:r w:rsidRPr="00A53E7C">
              <w:rPr>
                <w:rFonts w:asciiTheme="majorBidi" w:hAnsiTheme="majorBidi" w:cstheme="majorBidi"/>
                <w:b/>
                <w:bCs/>
                <w:szCs w:val="24"/>
              </w:rPr>
              <w:t>Sucrose</w:t>
            </w:r>
          </w:p>
        </w:tc>
        <w:tc>
          <w:tcPr>
            <w:tcW w:w="0" w:type="auto"/>
            <w:tcBorders>
              <w:top w:val="single" w:sz="4" w:space="0" w:color="auto"/>
              <w:bottom w:val="single" w:sz="4" w:space="0" w:color="auto"/>
            </w:tcBorders>
            <w:textDirection w:val="btLr"/>
            <w:vAlign w:val="center"/>
            <w:hideMark/>
          </w:tcPr>
          <w:p w14:paraId="5E04B174" w14:textId="77777777" w:rsidR="004E7C2E" w:rsidRPr="00A53E7C" w:rsidRDefault="004E7C2E" w:rsidP="004E7C2E">
            <w:pPr>
              <w:spacing w:line="240" w:lineRule="auto"/>
              <w:ind w:left="113" w:right="113"/>
              <w:jc w:val="both"/>
              <w:rPr>
                <w:rFonts w:asciiTheme="majorBidi" w:hAnsiTheme="majorBidi" w:cstheme="majorBidi"/>
                <w:b/>
                <w:bCs/>
                <w:szCs w:val="24"/>
              </w:rPr>
            </w:pPr>
            <w:r w:rsidRPr="00A53E7C">
              <w:rPr>
                <w:rFonts w:asciiTheme="majorBidi" w:hAnsiTheme="majorBidi" w:cstheme="majorBidi"/>
                <w:b/>
                <w:bCs/>
                <w:szCs w:val="24"/>
              </w:rPr>
              <w:t>Citrate</w:t>
            </w:r>
          </w:p>
        </w:tc>
        <w:tc>
          <w:tcPr>
            <w:tcW w:w="0" w:type="auto"/>
            <w:tcBorders>
              <w:top w:val="single" w:sz="4" w:space="0" w:color="auto"/>
              <w:bottom w:val="single" w:sz="4" w:space="0" w:color="auto"/>
            </w:tcBorders>
            <w:textDirection w:val="btLr"/>
            <w:vAlign w:val="center"/>
            <w:hideMark/>
          </w:tcPr>
          <w:p w14:paraId="751886E1" w14:textId="77777777" w:rsidR="004E7C2E" w:rsidRPr="00A53E7C" w:rsidRDefault="004E7C2E" w:rsidP="004E7C2E">
            <w:pPr>
              <w:spacing w:line="240" w:lineRule="auto"/>
              <w:ind w:left="113" w:right="113"/>
              <w:jc w:val="both"/>
              <w:rPr>
                <w:rFonts w:asciiTheme="majorBidi" w:hAnsiTheme="majorBidi" w:cstheme="majorBidi"/>
                <w:b/>
                <w:bCs/>
                <w:szCs w:val="24"/>
              </w:rPr>
            </w:pPr>
            <w:r w:rsidRPr="00A53E7C">
              <w:rPr>
                <w:rFonts w:asciiTheme="majorBidi" w:hAnsiTheme="majorBidi" w:cstheme="majorBidi"/>
                <w:b/>
                <w:bCs/>
                <w:szCs w:val="24"/>
              </w:rPr>
              <w:t>Motility</w:t>
            </w:r>
          </w:p>
        </w:tc>
        <w:tc>
          <w:tcPr>
            <w:tcW w:w="0" w:type="auto"/>
            <w:tcBorders>
              <w:top w:val="single" w:sz="4" w:space="0" w:color="auto"/>
              <w:bottom w:val="single" w:sz="4" w:space="0" w:color="auto"/>
            </w:tcBorders>
            <w:textDirection w:val="btLr"/>
            <w:vAlign w:val="center"/>
            <w:hideMark/>
          </w:tcPr>
          <w:p w14:paraId="48FB5A7A" w14:textId="77777777" w:rsidR="004E7C2E" w:rsidRPr="00A53E7C" w:rsidRDefault="004E7C2E" w:rsidP="004E7C2E">
            <w:pPr>
              <w:spacing w:line="240" w:lineRule="auto"/>
              <w:ind w:left="113" w:right="113"/>
              <w:jc w:val="both"/>
              <w:rPr>
                <w:rFonts w:asciiTheme="majorBidi" w:hAnsiTheme="majorBidi" w:cstheme="majorBidi"/>
                <w:b/>
                <w:bCs/>
                <w:szCs w:val="24"/>
              </w:rPr>
            </w:pPr>
            <w:r w:rsidRPr="00A53E7C">
              <w:rPr>
                <w:rFonts w:asciiTheme="majorBidi" w:hAnsiTheme="majorBidi" w:cstheme="majorBidi"/>
                <w:b/>
                <w:bCs/>
                <w:szCs w:val="24"/>
              </w:rPr>
              <w:t>Indole</w:t>
            </w:r>
          </w:p>
        </w:tc>
        <w:tc>
          <w:tcPr>
            <w:tcW w:w="0" w:type="auto"/>
            <w:tcBorders>
              <w:top w:val="single" w:sz="4" w:space="0" w:color="auto"/>
              <w:bottom w:val="single" w:sz="4" w:space="0" w:color="auto"/>
            </w:tcBorders>
            <w:textDirection w:val="btLr"/>
            <w:vAlign w:val="center"/>
            <w:hideMark/>
          </w:tcPr>
          <w:p w14:paraId="6DCAD428" w14:textId="77777777" w:rsidR="004E7C2E" w:rsidRPr="00A53E7C" w:rsidRDefault="004E7C2E" w:rsidP="004E7C2E">
            <w:pPr>
              <w:spacing w:line="240" w:lineRule="auto"/>
              <w:ind w:left="113" w:right="113"/>
              <w:jc w:val="both"/>
              <w:rPr>
                <w:rFonts w:asciiTheme="majorBidi" w:hAnsiTheme="majorBidi" w:cstheme="majorBidi"/>
                <w:b/>
                <w:bCs/>
                <w:szCs w:val="24"/>
              </w:rPr>
            </w:pPr>
            <w:r w:rsidRPr="00A53E7C">
              <w:rPr>
                <w:rFonts w:asciiTheme="majorBidi" w:hAnsiTheme="majorBidi" w:cstheme="majorBidi"/>
                <w:b/>
                <w:bCs/>
                <w:szCs w:val="24"/>
              </w:rPr>
              <w:t>Urease</w:t>
            </w:r>
          </w:p>
        </w:tc>
        <w:tc>
          <w:tcPr>
            <w:tcW w:w="0" w:type="auto"/>
            <w:tcBorders>
              <w:top w:val="single" w:sz="4" w:space="0" w:color="auto"/>
              <w:bottom w:val="single" w:sz="4" w:space="0" w:color="auto"/>
            </w:tcBorders>
            <w:textDirection w:val="btLr"/>
            <w:vAlign w:val="center"/>
            <w:hideMark/>
          </w:tcPr>
          <w:p w14:paraId="1939FA92" w14:textId="77777777" w:rsidR="004E7C2E" w:rsidRPr="00A53E7C" w:rsidRDefault="004E7C2E" w:rsidP="004E7C2E">
            <w:pPr>
              <w:spacing w:line="240" w:lineRule="auto"/>
              <w:ind w:left="113" w:right="113"/>
              <w:jc w:val="both"/>
              <w:rPr>
                <w:rFonts w:asciiTheme="majorBidi" w:hAnsiTheme="majorBidi" w:cstheme="majorBidi"/>
                <w:b/>
                <w:bCs/>
                <w:szCs w:val="24"/>
              </w:rPr>
            </w:pPr>
            <w:r w:rsidRPr="00A53E7C">
              <w:rPr>
                <w:rFonts w:asciiTheme="majorBidi" w:hAnsiTheme="majorBidi" w:cstheme="majorBidi"/>
                <w:b/>
                <w:bCs/>
                <w:szCs w:val="24"/>
              </w:rPr>
              <w:t>MR</w:t>
            </w:r>
          </w:p>
        </w:tc>
        <w:tc>
          <w:tcPr>
            <w:tcW w:w="0" w:type="auto"/>
            <w:tcBorders>
              <w:top w:val="single" w:sz="4" w:space="0" w:color="auto"/>
              <w:bottom w:val="single" w:sz="4" w:space="0" w:color="auto"/>
            </w:tcBorders>
            <w:textDirection w:val="btLr"/>
            <w:vAlign w:val="center"/>
            <w:hideMark/>
          </w:tcPr>
          <w:p w14:paraId="604E6637" w14:textId="77777777" w:rsidR="004E7C2E" w:rsidRPr="00A53E7C" w:rsidRDefault="004E7C2E" w:rsidP="004E7C2E">
            <w:pPr>
              <w:spacing w:line="240" w:lineRule="auto"/>
              <w:ind w:left="113" w:right="113"/>
              <w:jc w:val="both"/>
              <w:rPr>
                <w:rFonts w:asciiTheme="majorBidi" w:hAnsiTheme="majorBidi" w:cstheme="majorBidi"/>
                <w:b/>
                <w:bCs/>
                <w:szCs w:val="24"/>
              </w:rPr>
            </w:pPr>
            <w:r w:rsidRPr="00A53E7C">
              <w:rPr>
                <w:rFonts w:asciiTheme="majorBidi" w:hAnsiTheme="majorBidi" w:cstheme="majorBidi"/>
                <w:b/>
                <w:bCs/>
                <w:szCs w:val="24"/>
              </w:rPr>
              <w:t>VP</w:t>
            </w:r>
          </w:p>
        </w:tc>
        <w:tc>
          <w:tcPr>
            <w:tcW w:w="0" w:type="auto"/>
            <w:tcBorders>
              <w:top w:val="single" w:sz="4" w:space="0" w:color="auto"/>
              <w:bottom w:val="single" w:sz="4" w:space="0" w:color="auto"/>
            </w:tcBorders>
            <w:textDirection w:val="btLr"/>
            <w:vAlign w:val="center"/>
            <w:hideMark/>
          </w:tcPr>
          <w:p w14:paraId="3AB42825" w14:textId="77777777" w:rsidR="004E7C2E" w:rsidRPr="00A53E7C" w:rsidRDefault="004E7C2E" w:rsidP="004E7C2E">
            <w:pPr>
              <w:spacing w:line="240" w:lineRule="auto"/>
              <w:ind w:left="113" w:right="113"/>
              <w:jc w:val="both"/>
              <w:rPr>
                <w:rFonts w:asciiTheme="majorBidi" w:hAnsiTheme="majorBidi" w:cstheme="majorBidi"/>
                <w:b/>
                <w:bCs/>
                <w:szCs w:val="24"/>
              </w:rPr>
            </w:pPr>
            <w:r w:rsidRPr="00A53E7C">
              <w:rPr>
                <w:rFonts w:asciiTheme="majorBidi" w:hAnsiTheme="majorBidi" w:cstheme="majorBidi"/>
                <w:b/>
                <w:bCs/>
                <w:szCs w:val="24"/>
              </w:rPr>
              <w:t>H2S</w:t>
            </w:r>
          </w:p>
        </w:tc>
        <w:tc>
          <w:tcPr>
            <w:tcW w:w="0" w:type="auto"/>
            <w:tcBorders>
              <w:top w:val="single" w:sz="4" w:space="0" w:color="auto"/>
              <w:bottom w:val="single" w:sz="4" w:space="0" w:color="auto"/>
            </w:tcBorders>
            <w:textDirection w:val="btLr"/>
            <w:vAlign w:val="center"/>
            <w:hideMark/>
          </w:tcPr>
          <w:p w14:paraId="2C74D6F4" w14:textId="77777777" w:rsidR="004E7C2E" w:rsidRPr="00A53E7C" w:rsidRDefault="004E7C2E" w:rsidP="004E7C2E">
            <w:pPr>
              <w:spacing w:line="240" w:lineRule="auto"/>
              <w:ind w:left="113" w:right="113"/>
              <w:jc w:val="both"/>
              <w:rPr>
                <w:rFonts w:asciiTheme="majorBidi" w:hAnsiTheme="majorBidi" w:cstheme="majorBidi"/>
                <w:b/>
                <w:bCs/>
                <w:szCs w:val="24"/>
              </w:rPr>
            </w:pPr>
            <w:r w:rsidRPr="00A53E7C">
              <w:rPr>
                <w:rFonts w:asciiTheme="majorBidi" w:hAnsiTheme="majorBidi" w:cstheme="majorBidi"/>
                <w:b/>
                <w:bCs/>
                <w:szCs w:val="24"/>
              </w:rPr>
              <w:t>GGS</w:t>
            </w:r>
          </w:p>
        </w:tc>
        <w:tc>
          <w:tcPr>
            <w:tcW w:w="0" w:type="auto"/>
            <w:tcBorders>
              <w:top w:val="single" w:sz="4" w:space="0" w:color="auto"/>
              <w:bottom w:val="single" w:sz="4" w:space="0" w:color="auto"/>
            </w:tcBorders>
            <w:textDirection w:val="btLr"/>
            <w:vAlign w:val="center"/>
            <w:hideMark/>
          </w:tcPr>
          <w:p w14:paraId="19671B5F" w14:textId="77777777" w:rsidR="004E7C2E" w:rsidRPr="00A53E7C" w:rsidRDefault="004E7C2E" w:rsidP="004E7C2E">
            <w:pPr>
              <w:spacing w:line="240" w:lineRule="auto"/>
              <w:ind w:left="113" w:right="113"/>
              <w:jc w:val="both"/>
              <w:rPr>
                <w:rFonts w:asciiTheme="majorBidi" w:hAnsiTheme="majorBidi" w:cstheme="majorBidi"/>
                <w:b/>
                <w:bCs/>
                <w:szCs w:val="24"/>
              </w:rPr>
            </w:pPr>
            <w:r w:rsidRPr="00A53E7C">
              <w:rPr>
                <w:rFonts w:asciiTheme="majorBidi" w:hAnsiTheme="majorBidi" w:cstheme="majorBidi"/>
                <w:b/>
                <w:bCs/>
                <w:szCs w:val="24"/>
              </w:rPr>
              <w:t>Spore</w:t>
            </w:r>
          </w:p>
        </w:tc>
        <w:tc>
          <w:tcPr>
            <w:tcW w:w="0" w:type="auto"/>
            <w:tcBorders>
              <w:top w:val="single" w:sz="4" w:space="0" w:color="auto"/>
              <w:bottom w:val="single" w:sz="4" w:space="0" w:color="auto"/>
            </w:tcBorders>
            <w:textDirection w:val="btLr"/>
            <w:vAlign w:val="center"/>
            <w:hideMark/>
          </w:tcPr>
          <w:p w14:paraId="2391BEFD" w14:textId="77777777" w:rsidR="004E7C2E" w:rsidRPr="00A53E7C" w:rsidRDefault="004E7C2E" w:rsidP="004E7C2E">
            <w:pPr>
              <w:spacing w:line="240" w:lineRule="auto"/>
              <w:ind w:left="113" w:right="113"/>
              <w:jc w:val="both"/>
              <w:rPr>
                <w:rFonts w:asciiTheme="majorBidi" w:hAnsiTheme="majorBidi" w:cstheme="majorBidi"/>
                <w:b/>
                <w:bCs/>
                <w:szCs w:val="24"/>
              </w:rPr>
            </w:pPr>
            <w:r w:rsidRPr="00A53E7C">
              <w:rPr>
                <w:rFonts w:asciiTheme="majorBidi" w:hAnsiTheme="majorBidi" w:cstheme="majorBidi"/>
                <w:b/>
                <w:bCs/>
                <w:szCs w:val="24"/>
              </w:rPr>
              <w:t>Starch Hydrolysis</w:t>
            </w:r>
          </w:p>
        </w:tc>
      </w:tr>
      <w:tr w:rsidR="004E7C2E" w:rsidRPr="008C4854" w14:paraId="2C6E6DB9" w14:textId="77777777" w:rsidTr="00A53E7C">
        <w:trPr>
          <w:tblCellSpacing w:w="15" w:type="dxa"/>
        </w:trPr>
        <w:tc>
          <w:tcPr>
            <w:tcW w:w="0" w:type="auto"/>
            <w:vAlign w:val="center"/>
            <w:hideMark/>
          </w:tcPr>
          <w:p w14:paraId="2BC29E8B"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KWA-I (large)</w:t>
            </w:r>
          </w:p>
        </w:tc>
        <w:tc>
          <w:tcPr>
            <w:tcW w:w="0" w:type="auto"/>
            <w:vAlign w:val="center"/>
            <w:hideMark/>
          </w:tcPr>
          <w:p w14:paraId="6449063F"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roofErr w:type="spellStart"/>
            <w:r w:rsidRPr="00A53E7C">
              <w:rPr>
                <w:rFonts w:asciiTheme="majorBidi" w:hAnsiTheme="majorBidi" w:cstheme="majorBidi"/>
                <w:szCs w:val="24"/>
              </w:rPr>
              <w:t>ve</w:t>
            </w:r>
            <w:proofErr w:type="spellEnd"/>
            <w:r w:rsidRPr="00A53E7C">
              <w:rPr>
                <w:rFonts w:asciiTheme="majorBidi" w:hAnsiTheme="majorBidi" w:cstheme="majorBidi"/>
                <w:szCs w:val="24"/>
              </w:rPr>
              <w:t xml:space="preserve"> rod</w:t>
            </w:r>
          </w:p>
        </w:tc>
        <w:tc>
          <w:tcPr>
            <w:tcW w:w="0" w:type="auto"/>
            <w:vAlign w:val="center"/>
            <w:hideMark/>
          </w:tcPr>
          <w:p w14:paraId="6081913A"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65AD3EF3"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4254EB29"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4ECE5989"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5D4DCE36"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0CECC79C"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72B264EA"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40D65C85"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7AA8295D"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2047C6D4"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7CA3782C"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264622ED"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6BB6AA26"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59AA5BA7"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 xml:space="preserve">Bacillus </w:t>
            </w:r>
            <w:proofErr w:type="spellStart"/>
            <w:r w:rsidRPr="00A53E7C">
              <w:rPr>
                <w:rFonts w:asciiTheme="majorBidi" w:hAnsiTheme="majorBidi" w:cstheme="majorBidi"/>
                <w:szCs w:val="24"/>
              </w:rPr>
              <w:t>pumilus</w:t>
            </w:r>
            <w:proofErr w:type="spellEnd"/>
          </w:p>
        </w:tc>
      </w:tr>
      <w:tr w:rsidR="004E7C2E" w:rsidRPr="008C4854" w14:paraId="0A6EE519" w14:textId="77777777" w:rsidTr="00A53E7C">
        <w:trPr>
          <w:tblCellSpacing w:w="15" w:type="dxa"/>
        </w:trPr>
        <w:tc>
          <w:tcPr>
            <w:tcW w:w="0" w:type="auto"/>
            <w:vAlign w:val="center"/>
            <w:hideMark/>
          </w:tcPr>
          <w:p w14:paraId="237411AC"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KWB-II (small)</w:t>
            </w:r>
          </w:p>
        </w:tc>
        <w:tc>
          <w:tcPr>
            <w:tcW w:w="0" w:type="auto"/>
            <w:vAlign w:val="center"/>
            <w:hideMark/>
          </w:tcPr>
          <w:p w14:paraId="36D6C78E"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roofErr w:type="spellStart"/>
            <w:r w:rsidRPr="00A53E7C">
              <w:rPr>
                <w:rFonts w:asciiTheme="majorBidi" w:hAnsiTheme="majorBidi" w:cstheme="majorBidi"/>
                <w:szCs w:val="24"/>
              </w:rPr>
              <w:t>ve</w:t>
            </w:r>
            <w:proofErr w:type="spellEnd"/>
            <w:r w:rsidRPr="00A53E7C">
              <w:rPr>
                <w:rFonts w:asciiTheme="majorBidi" w:hAnsiTheme="majorBidi" w:cstheme="majorBidi"/>
                <w:szCs w:val="24"/>
              </w:rPr>
              <w:t xml:space="preserve"> rod</w:t>
            </w:r>
          </w:p>
        </w:tc>
        <w:tc>
          <w:tcPr>
            <w:tcW w:w="0" w:type="auto"/>
            <w:vAlign w:val="center"/>
            <w:hideMark/>
          </w:tcPr>
          <w:p w14:paraId="68B264C8"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1ED13077"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5A3CF69B"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6FCD8D0B"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3BA8DF0D"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5881B988"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03B77F03"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31903915"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04EAADCE"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3A1A5CC7"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206606D3"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05209FE7"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4FA30CD3"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3D2FE56D"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 xml:space="preserve">Serratia </w:t>
            </w:r>
            <w:proofErr w:type="spellStart"/>
            <w:r w:rsidRPr="00A53E7C">
              <w:rPr>
                <w:rFonts w:asciiTheme="majorBidi" w:hAnsiTheme="majorBidi" w:cstheme="majorBidi"/>
                <w:szCs w:val="24"/>
              </w:rPr>
              <w:t>marcesceus</w:t>
            </w:r>
            <w:proofErr w:type="spellEnd"/>
          </w:p>
        </w:tc>
      </w:tr>
      <w:tr w:rsidR="004E7C2E" w:rsidRPr="008C4854" w14:paraId="076F454D" w14:textId="77777777" w:rsidTr="00A53E7C">
        <w:trPr>
          <w:tblCellSpacing w:w="15" w:type="dxa"/>
        </w:trPr>
        <w:tc>
          <w:tcPr>
            <w:tcW w:w="0" w:type="auto"/>
            <w:vAlign w:val="center"/>
            <w:hideMark/>
          </w:tcPr>
          <w:p w14:paraId="5B579FF6"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KWB-I (large)</w:t>
            </w:r>
          </w:p>
        </w:tc>
        <w:tc>
          <w:tcPr>
            <w:tcW w:w="0" w:type="auto"/>
            <w:vAlign w:val="center"/>
            <w:hideMark/>
          </w:tcPr>
          <w:p w14:paraId="4BA07CD4"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roofErr w:type="spellStart"/>
            <w:r w:rsidRPr="00A53E7C">
              <w:rPr>
                <w:rFonts w:asciiTheme="majorBidi" w:hAnsiTheme="majorBidi" w:cstheme="majorBidi"/>
                <w:szCs w:val="24"/>
              </w:rPr>
              <w:t>ve</w:t>
            </w:r>
            <w:proofErr w:type="spellEnd"/>
            <w:r w:rsidRPr="00A53E7C">
              <w:rPr>
                <w:rFonts w:asciiTheme="majorBidi" w:hAnsiTheme="majorBidi" w:cstheme="majorBidi"/>
                <w:szCs w:val="24"/>
              </w:rPr>
              <w:t xml:space="preserve"> rod</w:t>
            </w:r>
          </w:p>
        </w:tc>
        <w:tc>
          <w:tcPr>
            <w:tcW w:w="0" w:type="auto"/>
            <w:vAlign w:val="center"/>
            <w:hideMark/>
          </w:tcPr>
          <w:p w14:paraId="66E1B066"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7B391BA8"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58E6FDBB"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30A0D8F5"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25B009AB"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6D6FB6B7"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71C18343"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27D59A0D"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4883B02D"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7F0A84D0"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519610EE"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05144D8F"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76F02B48"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76B95C2B"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 xml:space="preserve">Bacillus </w:t>
            </w:r>
            <w:proofErr w:type="spellStart"/>
            <w:r w:rsidRPr="00A53E7C">
              <w:rPr>
                <w:rFonts w:asciiTheme="majorBidi" w:hAnsiTheme="majorBidi" w:cstheme="majorBidi"/>
                <w:szCs w:val="24"/>
              </w:rPr>
              <w:t>laterosporus</w:t>
            </w:r>
            <w:proofErr w:type="spellEnd"/>
          </w:p>
        </w:tc>
      </w:tr>
      <w:tr w:rsidR="004E7C2E" w:rsidRPr="008C4854" w14:paraId="50C8C941" w14:textId="77777777" w:rsidTr="00A53E7C">
        <w:trPr>
          <w:tblCellSpacing w:w="15" w:type="dxa"/>
        </w:trPr>
        <w:tc>
          <w:tcPr>
            <w:tcW w:w="0" w:type="auto"/>
            <w:vAlign w:val="center"/>
            <w:hideMark/>
          </w:tcPr>
          <w:p w14:paraId="52C25078"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KWB-II (small)</w:t>
            </w:r>
          </w:p>
        </w:tc>
        <w:tc>
          <w:tcPr>
            <w:tcW w:w="0" w:type="auto"/>
            <w:vAlign w:val="center"/>
            <w:hideMark/>
          </w:tcPr>
          <w:p w14:paraId="0395FFF6"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roofErr w:type="spellStart"/>
            <w:r w:rsidRPr="00A53E7C">
              <w:rPr>
                <w:rFonts w:asciiTheme="majorBidi" w:hAnsiTheme="majorBidi" w:cstheme="majorBidi"/>
                <w:szCs w:val="24"/>
              </w:rPr>
              <w:t>ve</w:t>
            </w:r>
            <w:proofErr w:type="spellEnd"/>
            <w:r w:rsidRPr="00A53E7C">
              <w:rPr>
                <w:rFonts w:asciiTheme="majorBidi" w:hAnsiTheme="majorBidi" w:cstheme="majorBidi"/>
                <w:szCs w:val="24"/>
              </w:rPr>
              <w:t xml:space="preserve"> rod</w:t>
            </w:r>
          </w:p>
        </w:tc>
        <w:tc>
          <w:tcPr>
            <w:tcW w:w="0" w:type="auto"/>
            <w:vAlign w:val="center"/>
            <w:hideMark/>
          </w:tcPr>
          <w:p w14:paraId="2C893737"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27181153"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615D568C"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54CE17F1"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017965A7"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293D56C4"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31365F4B"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0DF2872B"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2C384052"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050854C2"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2BA852D5"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737E87FC"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5833C57F"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552C6D6E"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Escherichia coli</w:t>
            </w:r>
          </w:p>
        </w:tc>
      </w:tr>
      <w:tr w:rsidR="004E7C2E" w:rsidRPr="008C4854" w14:paraId="74CC8B6C" w14:textId="77777777" w:rsidTr="00A53E7C">
        <w:trPr>
          <w:tblCellSpacing w:w="15" w:type="dxa"/>
        </w:trPr>
        <w:tc>
          <w:tcPr>
            <w:tcW w:w="0" w:type="auto"/>
            <w:vAlign w:val="center"/>
            <w:hideMark/>
          </w:tcPr>
          <w:p w14:paraId="41DD9B7A"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KW-I (coliform)</w:t>
            </w:r>
          </w:p>
        </w:tc>
        <w:tc>
          <w:tcPr>
            <w:tcW w:w="0" w:type="auto"/>
            <w:vAlign w:val="center"/>
            <w:hideMark/>
          </w:tcPr>
          <w:p w14:paraId="6DA2817E"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roofErr w:type="spellStart"/>
            <w:r w:rsidRPr="00A53E7C">
              <w:rPr>
                <w:rFonts w:asciiTheme="majorBidi" w:hAnsiTheme="majorBidi" w:cstheme="majorBidi"/>
                <w:szCs w:val="24"/>
              </w:rPr>
              <w:t>ve</w:t>
            </w:r>
            <w:proofErr w:type="spellEnd"/>
            <w:r w:rsidRPr="00A53E7C">
              <w:rPr>
                <w:rFonts w:asciiTheme="majorBidi" w:hAnsiTheme="majorBidi" w:cstheme="majorBidi"/>
                <w:szCs w:val="24"/>
              </w:rPr>
              <w:t xml:space="preserve"> rod</w:t>
            </w:r>
          </w:p>
        </w:tc>
        <w:tc>
          <w:tcPr>
            <w:tcW w:w="0" w:type="auto"/>
            <w:vAlign w:val="center"/>
            <w:hideMark/>
          </w:tcPr>
          <w:p w14:paraId="0E4EA760"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7A77D73A"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6288C59A"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341196C3"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21D18D4F"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7F26DAB3"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10A0FE6A"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0B4CE5E1"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201B9326"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5CE8EB4D"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6E97C249"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4F055824"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1B132D07"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vAlign w:val="center"/>
            <w:hideMark/>
          </w:tcPr>
          <w:p w14:paraId="49B3381D"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Enterobacter cloacae</w:t>
            </w:r>
          </w:p>
        </w:tc>
      </w:tr>
      <w:tr w:rsidR="004E7C2E" w:rsidRPr="008C4854" w14:paraId="491128BA" w14:textId="77777777" w:rsidTr="004E7C2E">
        <w:trPr>
          <w:tblCellSpacing w:w="15" w:type="dxa"/>
        </w:trPr>
        <w:tc>
          <w:tcPr>
            <w:tcW w:w="0" w:type="auto"/>
            <w:tcBorders>
              <w:bottom w:val="single" w:sz="4" w:space="0" w:color="auto"/>
            </w:tcBorders>
            <w:vAlign w:val="center"/>
            <w:hideMark/>
          </w:tcPr>
          <w:p w14:paraId="660DA4D8"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KW-II (coliform)</w:t>
            </w:r>
          </w:p>
        </w:tc>
        <w:tc>
          <w:tcPr>
            <w:tcW w:w="0" w:type="auto"/>
            <w:tcBorders>
              <w:bottom w:val="single" w:sz="4" w:space="0" w:color="auto"/>
            </w:tcBorders>
            <w:vAlign w:val="center"/>
            <w:hideMark/>
          </w:tcPr>
          <w:p w14:paraId="3479E0FD"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roofErr w:type="spellStart"/>
            <w:r w:rsidRPr="00A53E7C">
              <w:rPr>
                <w:rFonts w:asciiTheme="majorBidi" w:hAnsiTheme="majorBidi" w:cstheme="majorBidi"/>
                <w:szCs w:val="24"/>
              </w:rPr>
              <w:t>ve</w:t>
            </w:r>
            <w:proofErr w:type="spellEnd"/>
            <w:r w:rsidRPr="00A53E7C">
              <w:rPr>
                <w:rFonts w:asciiTheme="majorBidi" w:hAnsiTheme="majorBidi" w:cstheme="majorBidi"/>
                <w:szCs w:val="24"/>
              </w:rPr>
              <w:t xml:space="preserve"> rod</w:t>
            </w:r>
          </w:p>
        </w:tc>
        <w:tc>
          <w:tcPr>
            <w:tcW w:w="0" w:type="auto"/>
            <w:tcBorders>
              <w:bottom w:val="single" w:sz="4" w:space="0" w:color="auto"/>
            </w:tcBorders>
            <w:vAlign w:val="center"/>
            <w:hideMark/>
          </w:tcPr>
          <w:p w14:paraId="42B920AD"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tcBorders>
              <w:bottom w:val="single" w:sz="4" w:space="0" w:color="auto"/>
            </w:tcBorders>
            <w:vAlign w:val="center"/>
            <w:hideMark/>
          </w:tcPr>
          <w:p w14:paraId="532773B9"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tcBorders>
              <w:bottom w:val="single" w:sz="4" w:space="0" w:color="auto"/>
            </w:tcBorders>
            <w:vAlign w:val="center"/>
            <w:hideMark/>
          </w:tcPr>
          <w:p w14:paraId="2B8F691C"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tcBorders>
              <w:bottom w:val="single" w:sz="4" w:space="0" w:color="auto"/>
            </w:tcBorders>
            <w:vAlign w:val="center"/>
            <w:hideMark/>
          </w:tcPr>
          <w:p w14:paraId="37C0160A"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tcBorders>
              <w:bottom w:val="single" w:sz="4" w:space="0" w:color="auto"/>
            </w:tcBorders>
            <w:vAlign w:val="center"/>
            <w:hideMark/>
          </w:tcPr>
          <w:p w14:paraId="5F1A4051"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tcBorders>
              <w:bottom w:val="single" w:sz="4" w:space="0" w:color="auto"/>
            </w:tcBorders>
            <w:vAlign w:val="center"/>
            <w:hideMark/>
          </w:tcPr>
          <w:p w14:paraId="0D225698"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tcBorders>
              <w:bottom w:val="single" w:sz="4" w:space="0" w:color="auto"/>
            </w:tcBorders>
            <w:vAlign w:val="center"/>
            <w:hideMark/>
          </w:tcPr>
          <w:p w14:paraId="7960BFA9"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tcBorders>
              <w:bottom w:val="single" w:sz="4" w:space="0" w:color="auto"/>
            </w:tcBorders>
            <w:vAlign w:val="center"/>
            <w:hideMark/>
          </w:tcPr>
          <w:p w14:paraId="0FA5AA50"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tcBorders>
              <w:bottom w:val="single" w:sz="4" w:space="0" w:color="auto"/>
            </w:tcBorders>
            <w:vAlign w:val="center"/>
            <w:hideMark/>
          </w:tcPr>
          <w:p w14:paraId="61837289"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tcBorders>
              <w:bottom w:val="single" w:sz="4" w:space="0" w:color="auto"/>
            </w:tcBorders>
            <w:vAlign w:val="center"/>
            <w:hideMark/>
          </w:tcPr>
          <w:p w14:paraId="0ACDE9CF"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tcBorders>
              <w:bottom w:val="single" w:sz="4" w:space="0" w:color="auto"/>
            </w:tcBorders>
            <w:vAlign w:val="center"/>
            <w:hideMark/>
          </w:tcPr>
          <w:p w14:paraId="188F5D3A"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tcBorders>
              <w:bottom w:val="single" w:sz="4" w:space="0" w:color="auto"/>
            </w:tcBorders>
            <w:vAlign w:val="center"/>
            <w:hideMark/>
          </w:tcPr>
          <w:p w14:paraId="4EF8484B"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tcBorders>
              <w:bottom w:val="single" w:sz="4" w:space="0" w:color="auto"/>
            </w:tcBorders>
            <w:vAlign w:val="center"/>
            <w:hideMark/>
          </w:tcPr>
          <w:p w14:paraId="25FA575D"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w:t>
            </w:r>
          </w:p>
        </w:tc>
        <w:tc>
          <w:tcPr>
            <w:tcW w:w="0" w:type="auto"/>
            <w:tcBorders>
              <w:bottom w:val="single" w:sz="4" w:space="0" w:color="auto"/>
            </w:tcBorders>
            <w:vAlign w:val="center"/>
            <w:hideMark/>
          </w:tcPr>
          <w:p w14:paraId="0FF656C4" w14:textId="77777777" w:rsidR="004E7C2E" w:rsidRPr="00A53E7C" w:rsidRDefault="004E7C2E" w:rsidP="008C4854">
            <w:pPr>
              <w:jc w:val="both"/>
              <w:rPr>
                <w:rFonts w:asciiTheme="majorBidi" w:hAnsiTheme="majorBidi" w:cstheme="majorBidi"/>
                <w:szCs w:val="24"/>
              </w:rPr>
            </w:pPr>
            <w:r w:rsidRPr="00A53E7C">
              <w:rPr>
                <w:rFonts w:asciiTheme="majorBidi" w:hAnsiTheme="majorBidi" w:cstheme="majorBidi"/>
                <w:szCs w:val="24"/>
              </w:rPr>
              <w:t>Escherichia coli</w:t>
            </w:r>
          </w:p>
        </w:tc>
      </w:tr>
    </w:tbl>
    <w:p w14:paraId="32543D37" w14:textId="3B627D97"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These results indicate the presence of both environmental and fecal-associated bacteria in the river. The identification of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specifically suggests fecal contamination, which poses public health concerns for communities using the river for domestic or agricultural purposes (Edberg </w:t>
      </w:r>
      <w:r w:rsidR="005516EB" w:rsidRPr="005516EB">
        <w:rPr>
          <w:rFonts w:asciiTheme="majorBidi" w:hAnsiTheme="majorBidi" w:cstheme="majorBidi"/>
          <w:i/>
          <w:iCs/>
          <w:szCs w:val="24"/>
        </w:rPr>
        <w:t>et al</w:t>
      </w:r>
      <w:r w:rsidRPr="00A53E7C">
        <w:rPr>
          <w:rFonts w:asciiTheme="majorBidi" w:hAnsiTheme="majorBidi" w:cstheme="majorBidi"/>
          <w:szCs w:val="24"/>
        </w:rPr>
        <w:t>., 2021).</w:t>
      </w:r>
    </w:p>
    <w:p w14:paraId="49364370" w14:textId="77777777" w:rsidR="00A53E7C" w:rsidRPr="00A53E7C" w:rsidRDefault="00A53E7C" w:rsidP="009A0374">
      <w:pPr>
        <w:pStyle w:val="Heading1"/>
      </w:pPr>
      <w:bookmarkStart w:id="28" w:name="_Toc216595158"/>
      <w:r w:rsidRPr="00A53E7C">
        <w:t>4.1.2 Most Probable Number (MPN) of Coliforms</w:t>
      </w:r>
      <w:bookmarkEnd w:id="28"/>
    </w:p>
    <w:p w14:paraId="41C5FF4C" w14:textId="4DC67677" w:rsid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The enumeration of coliforms using the MPN method produced high coliform counts in both sampling points, with sample KWA showing an MPN of 1100, while KWB recorded a lower value of 75. </w:t>
      </w:r>
    </w:p>
    <w:p w14:paraId="296F3D31" w14:textId="77777777" w:rsidR="004D4909" w:rsidRDefault="004D4909" w:rsidP="008C4854">
      <w:pPr>
        <w:jc w:val="both"/>
        <w:rPr>
          <w:rFonts w:asciiTheme="majorBidi" w:hAnsiTheme="majorBidi" w:cstheme="majorBidi"/>
          <w:szCs w:val="24"/>
        </w:rPr>
      </w:pPr>
    </w:p>
    <w:p w14:paraId="18F39BDA" w14:textId="77777777" w:rsidR="004D4909" w:rsidRDefault="004D4909" w:rsidP="008C4854">
      <w:pPr>
        <w:jc w:val="both"/>
        <w:rPr>
          <w:rFonts w:asciiTheme="majorBidi" w:hAnsiTheme="majorBidi" w:cstheme="majorBidi"/>
          <w:szCs w:val="24"/>
        </w:rPr>
      </w:pPr>
    </w:p>
    <w:p w14:paraId="3A5B5850" w14:textId="77777777" w:rsidR="004D4909" w:rsidRPr="00A53E7C" w:rsidRDefault="004D4909" w:rsidP="008C4854">
      <w:pPr>
        <w:jc w:val="both"/>
        <w:rPr>
          <w:rFonts w:asciiTheme="majorBidi" w:hAnsiTheme="majorBidi" w:cstheme="majorBidi"/>
          <w:szCs w:val="24"/>
        </w:rPr>
      </w:pPr>
    </w:p>
    <w:p w14:paraId="63DFD7C1" w14:textId="77777777" w:rsidR="00A53E7C" w:rsidRPr="00A53E7C" w:rsidRDefault="00A53E7C" w:rsidP="008C4854">
      <w:pPr>
        <w:jc w:val="both"/>
        <w:rPr>
          <w:rFonts w:asciiTheme="majorBidi" w:hAnsiTheme="majorBidi" w:cstheme="majorBidi"/>
          <w:szCs w:val="24"/>
        </w:rPr>
      </w:pPr>
      <w:r w:rsidRPr="00A53E7C">
        <w:rPr>
          <w:rFonts w:asciiTheme="majorBidi" w:hAnsiTheme="majorBidi" w:cstheme="majorBidi"/>
          <w:b/>
          <w:bCs/>
          <w:szCs w:val="24"/>
        </w:rPr>
        <w:lastRenderedPageBreak/>
        <w:t>Table 4.2: MPN of Coliforms from Water Samples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29"/>
        <w:gridCol w:w="1927"/>
        <w:gridCol w:w="1807"/>
        <w:gridCol w:w="1987"/>
        <w:gridCol w:w="1615"/>
      </w:tblGrid>
      <w:tr w:rsidR="008C4854" w:rsidRPr="008C4854" w14:paraId="4D65518F" w14:textId="77777777" w:rsidTr="009A0374">
        <w:trPr>
          <w:tblHeader/>
          <w:tblCellSpacing w:w="15" w:type="dxa"/>
        </w:trPr>
        <w:tc>
          <w:tcPr>
            <w:tcW w:w="0" w:type="auto"/>
            <w:tcBorders>
              <w:top w:val="single" w:sz="4" w:space="0" w:color="auto"/>
              <w:bottom w:val="single" w:sz="4" w:space="0" w:color="auto"/>
            </w:tcBorders>
            <w:vAlign w:val="center"/>
            <w:hideMark/>
          </w:tcPr>
          <w:p w14:paraId="1D64FC74" w14:textId="77777777" w:rsidR="00A53E7C" w:rsidRPr="00A53E7C" w:rsidRDefault="00A53E7C" w:rsidP="009A0374">
            <w:pPr>
              <w:jc w:val="center"/>
              <w:rPr>
                <w:rFonts w:asciiTheme="majorBidi" w:hAnsiTheme="majorBidi" w:cstheme="majorBidi"/>
                <w:b/>
                <w:bCs/>
                <w:szCs w:val="24"/>
              </w:rPr>
            </w:pPr>
            <w:r w:rsidRPr="00A53E7C">
              <w:rPr>
                <w:rFonts w:asciiTheme="majorBidi" w:hAnsiTheme="majorBidi" w:cstheme="majorBidi"/>
                <w:b/>
                <w:bCs/>
                <w:szCs w:val="24"/>
              </w:rPr>
              <w:t>Sample Code</w:t>
            </w:r>
          </w:p>
        </w:tc>
        <w:tc>
          <w:tcPr>
            <w:tcW w:w="0" w:type="auto"/>
            <w:tcBorders>
              <w:top w:val="single" w:sz="4" w:space="0" w:color="auto"/>
              <w:bottom w:val="single" w:sz="4" w:space="0" w:color="auto"/>
            </w:tcBorders>
            <w:vAlign w:val="center"/>
            <w:hideMark/>
          </w:tcPr>
          <w:p w14:paraId="4635B2DA" w14:textId="77777777" w:rsidR="00A53E7C" w:rsidRPr="00A53E7C" w:rsidRDefault="00A53E7C" w:rsidP="009A0374">
            <w:pPr>
              <w:jc w:val="center"/>
              <w:rPr>
                <w:rFonts w:asciiTheme="majorBidi" w:hAnsiTheme="majorBidi" w:cstheme="majorBidi"/>
                <w:b/>
                <w:bCs/>
                <w:szCs w:val="24"/>
              </w:rPr>
            </w:pPr>
            <w:r w:rsidRPr="00A53E7C">
              <w:rPr>
                <w:rFonts w:asciiTheme="majorBidi" w:hAnsiTheme="majorBidi" w:cstheme="majorBidi"/>
                <w:b/>
                <w:bCs/>
                <w:szCs w:val="24"/>
              </w:rPr>
              <w:t>3 of 10 ml Positive</w:t>
            </w:r>
          </w:p>
        </w:tc>
        <w:tc>
          <w:tcPr>
            <w:tcW w:w="0" w:type="auto"/>
            <w:tcBorders>
              <w:top w:val="single" w:sz="4" w:space="0" w:color="auto"/>
              <w:bottom w:val="single" w:sz="4" w:space="0" w:color="auto"/>
            </w:tcBorders>
            <w:vAlign w:val="center"/>
            <w:hideMark/>
          </w:tcPr>
          <w:p w14:paraId="151B1E54" w14:textId="77777777" w:rsidR="00A53E7C" w:rsidRPr="00A53E7C" w:rsidRDefault="00A53E7C" w:rsidP="009A0374">
            <w:pPr>
              <w:jc w:val="center"/>
              <w:rPr>
                <w:rFonts w:asciiTheme="majorBidi" w:hAnsiTheme="majorBidi" w:cstheme="majorBidi"/>
                <w:b/>
                <w:bCs/>
                <w:szCs w:val="24"/>
              </w:rPr>
            </w:pPr>
            <w:r w:rsidRPr="00A53E7C">
              <w:rPr>
                <w:rFonts w:asciiTheme="majorBidi" w:hAnsiTheme="majorBidi" w:cstheme="majorBidi"/>
                <w:b/>
                <w:bCs/>
                <w:szCs w:val="24"/>
              </w:rPr>
              <w:t>3 of 1 ml Positive</w:t>
            </w:r>
          </w:p>
        </w:tc>
        <w:tc>
          <w:tcPr>
            <w:tcW w:w="0" w:type="auto"/>
            <w:tcBorders>
              <w:top w:val="single" w:sz="4" w:space="0" w:color="auto"/>
              <w:bottom w:val="single" w:sz="4" w:space="0" w:color="auto"/>
            </w:tcBorders>
            <w:vAlign w:val="center"/>
            <w:hideMark/>
          </w:tcPr>
          <w:p w14:paraId="4C673AC8" w14:textId="77777777" w:rsidR="00A53E7C" w:rsidRPr="00A53E7C" w:rsidRDefault="00A53E7C" w:rsidP="009A0374">
            <w:pPr>
              <w:jc w:val="center"/>
              <w:rPr>
                <w:rFonts w:asciiTheme="majorBidi" w:hAnsiTheme="majorBidi" w:cstheme="majorBidi"/>
                <w:b/>
                <w:bCs/>
                <w:szCs w:val="24"/>
              </w:rPr>
            </w:pPr>
            <w:r w:rsidRPr="00A53E7C">
              <w:rPr>
                <w:rFonts w:asciiTheme="majorBidi" w:hAnsiTheme="majorBidi" w:cstheme="majorBidi"/>
                <w:b/>
                <w:bCs/>
                <w:szCs w:val="24"/>
              </w:rPr>
              <w:t>3 of 0.1 ml Positive</w:t>
            </w:r>
          </w:p>
        </w:tc>
        <w:tc>
          <w:tcPr>
            <w:tcW w:w="0" w:type="auto"/>
            <w:tcBorders>
              <w:top w:val="single" w:sz="4" w:space="0" w:color="auto"/>
              <w:bottom w:val="single" w:sz="4" w:space="0" w:color="auto"/>
            </w:tcBorders>
            <w:vAlign w:val="center"/>
            <w:hideMark/>
          </w:tcPr>
          <w:p w14:paraId="2F46E253" w14:textId="77777777" w:rsidR="00A53E7C" w:rsidRPr="00A53E7C" w:rsidRDefault="00A53E7C" w:rsidP="009A0374">
            <w:pPr>
              <w:jc w:val="center"/>
              <w:rPr>
                <w:rFonts w:asciiTheme="majorBidi" w:hAnsiTheme="majorBidi" w:cstheme="majorBidi"/>
                <w:b/>
                <w:bCs/>
                <w:szCs w:val="24"/>
              </w:rPr>
            </w:pPr>
            <w:r w:rsidRPr="00A53E7C">
              <w:rPr>
                <w:rFonts w:asciiTheme="majorBidi" w:hAnsiTheme="majorBidi" w:cstheme="majorBidi"/>
                <w:b/>
                <w:bCs/>
                <w:szCs w:val="24"/>
              </w:rPr>
              <w:t>MPN Coliform</w:t>
            </w:r>
          </w:p>
        </w:tc>
      </w:tr>
      <w:tr w:rsidR="008C4854" w:rsidRPr="008C4854" w14:paraId="30FD860E" w14:textId="77777777" w:rsidTr="00A53E7C">
        <w:trPr>
          <w:tblCellSpacing w:w="15" w:type="dxa"/>
        </w:trPr>
        <w:tc>
          <w:tcPr>
            <w:tcW w:w="0" w:type="auto"/>
            <w:vAlign w:val="center"/>
            <w:hideMark/>
          </w:tcPr>
          <w:p w14:paraId="42F6B8C2" w14:textId="77777777" w:rsidR="00A53E7C" w:rsidRPr="00A53E7C" w:rsidRDefault="00A53E7C" w:rsidP="009A0374">
            <w:pPr>
              <w:jc w:val="center"/>
              <w:rPr>
                <w:rFonts w:asciiTheme="majorBidi" w:hAnsiTheme="majorBidi" w:cstheme="majorBidi"/>
                <w:szCs w:val="24"/>
              </w:rPr>
            </w:pPr>
            <w:r w:rsidRPr="00A53E7C">
              <w:rPr>
                <w:rFonts w:asciiTheme="majorBidi" w:hAnsiTheme="majorBidi" w:cstheme="majorBidi"/>
                <w:szCs w:val="24"/>
              </w:rPr>
              <w:t>KWA</w:t>
            </w:r>
          </w:p>
        </w:tc>
        <w:tc>
          <w:tcPr>
            <w:tcW w:w="0" w:type="auto"/>
            <w:vAlign w:val="center"/>
            <w:hideMark/>
          </w:tcPr>
          <w:p w14:paraId="0E1AD434" w14:textId="77777777" w:rsidR="00A53E7C" w:rsidRPr="00A53E7C" w:rsidRDefault="00A53E7C" w:rsidP="009A0374">
            <w:pPr>
              <w:jc w:val="center"/>
              <w:rPr>
                <w:rFonts w:asciiTheme="majorBidi" w:hAnsiTheme="majorBidi" w:cstheme="majorBidi"/>
                <w:szCs w:val="24"/>
              </w:rPr>
            </w:pPr>
            <w:r w:rsidRPr="00A53E7C">
              <w:rPr>
                <w:rFonts w:asciiTheme="majorBidi" w:hAnsiTheme="majorBidi" w:cstheme="majorBidi"/>
                <w:szCs w:val="24"/>
              </w:rPr>
              <w:t>3</w:t>
            </w:r>
          </w:p>
        </w:tc>
        <w:tc>
          <w:tcPr>
            <w:tcW w:w="0" w:type="auto"/>
            <w:vAlign w:val="center"/>
            <w:hideMark/>
          </w:tcPr>
          <w:p w14:paraId="364B8DAE" w14:textId="77777777" w:rsidR="00A53E7C" w:rsidRPr="00A53E7C" w:rsidRDefault="00A53E7C" w:rsidP="009A0374">
            <w:pPr>
              <w:jc w:val="center"/>
              <w:rPr>
                <w:rFonts w:asciiTheme="majorBidi" w:hAnsiTheme="majorBidi" w:cstheme="majorBidi"/>
                <w:szCs w:val="24"/>
              </w:rPr>
            </w:pPr>
            <w:r w:rsidRPr="00A53E7C">
              <w:rPr>
                <w:rFonts w:asciiTheme="majorBidi" w:hAnsiTheme="majorBidi" w:cstheme="majorBidi"/>
                <w:szCs w:val="24"/>
              </w:rPr>
              <w:t>3</w:t>
            </w:r>
          </w:p>
        </w:tc>
        <w:tc>
          <w:tcPr>
            <w:tcW w:w="0" w:type="auto"/>
            <w:vAlign w:val="center"/>
            <w:hideMark/>
          </w:tcPr>
          <w:p w14:paraId="0B872E4C" w14:textId="77777777" w:rsidR="00A53E7C" w:rsidRPr="00A53E7C" w:rsidRDefault="00A53E7C" w:rsidP="009A0374">
            <w:pPr>
              <w:jc w:val="center"/>
              <w:rPr>
                <w:rFonts w:asciiTheme="majorBidi" w:hAnsiTheme="majorBidi" w:cstheme="majorBidi"/>
                <w:szCs w:val="24"/>
              </w:rPr>
            </w:pPr>
            <w:r w:rsidRPr="00A53E7C">
              <w:rPr>
                <w:rFonts w:asciiTheme="majorBidi" w:hAnsiTheme="majorBidi" w:cstheme="majorBidi"/>
                <w:szCs w:val="24"/>
              </w:rPr>
              <w:t>2</w:t>
            </w:r>
          </w:p>
        </w:tc>
        <w:tc>
          <w:tcPr>
            <w:tcW w:w="0" w:type="auto"/>
            <w:vAlign w:val="center"/>
            <w:hideMark/>
          </w:tcPr>
          <w:p w14:paraId="5C07C42B" w14:textId="77777777" w:rsidR="00A53E7C" w:rsidRPr="00A53E7C" w:rsidRDefault="00A53E7C" w:rsidP="009A0374">
            <w:pPr>
              <w:jc w:val="center"/>
              <w:rPr>
                <w:rFonts w:asciiTheme="majorBidi" w:hAnsiTheme="majorBidi" w:cstheme="majorBidi"/>
                <w:szCs w:val="24"/>
              </w:rPr>
            </w:pPr>
            <w:r w:rsidRPr="00A53E7C">
              <w:rPr>
                <w:rFonts w:asciiTheme="majorBidi" w:hAnsiTheme="majorBidi" w:cstheme="majorBidi"/>
                <w:szCs w:val="24"/>
              </w:rPr>
              <w:t>1100</w:t>
            </w:r>
          </w:p>
        </w:tc>
      </w:tr>
      <w:tr w:rsidR="008C4854" w:rsidRPr="008C4854" w14:paraId="7B94685C" w14:textId="77777777" w:rsidTr="009A0374">
        <w:trPr>
          <w:tblCellSpacing w:w="15" w:type="dxa"/>
        </w:trPr>
        <w:tc>
          <w:tcPr>
            <w:tcW w:w="0" w:type="auto"/>
            <w:tcBorders>
              <w:bottom w:val="single" w:sz="4" w:space="0" w:color="auto"/>
            </w:tcBorders>
            <w:vAlign w:val="center"/>
            <w:hideMark/>
          </w:tcPr>
          <w:p w14:paraId="090C9829" w14:textId="77777777" w:rsidR="00A53E7C" w:rsidRPr="00A53E7C" w:rsidRDefault="00A53E7C" w:rsidP="009A0374">
            <w:pPr>
              <w:jc w:val="center"/>
              <w:rPr>
                <w:rFonts w:asciiTheme="majorBidi" w:hAnsiTheme="majorBidi" w:cstheme="majorBidi"/>
                <w:szCs w:val="24"/>
              </w:rPr>
            </w:pPr>
            <w:r w:rsidRPr="00A53E7C">
              <w:rPr>
                <w:rFonts w:asciiTheme="majorBidi" w:hAnsiTheme="majorBidi" w:cstheme="majorBidi"/>
                <w:szCs w:val="24"/>
              </w:rPr>
              <w:t>KWB</w:t>
            </w:r>
          </w:p>
        </w:tc>
        <w:tc>
          <w:tcPr>
            <w:tcW w:w="0" w:type="auto"/>
            <w:tcBorders>
              <w:bottom w:val="single" w:sz="4" w:space="0" w:color="auto"/>
            </w:tcBorders>
            <w:vAlign w:val="center"/>
            <w:hideMark/>
          </w:tcPr>
          <w:p w14:paraId="433624E7" w14:textId="77777777" w:rsidR="00A53E7C" w:rsidRPr="00A53E7C" w:rsidRDefault="00A53E7C" w:rsidP="009A0374">
            <w:pPr>
              <w:jc w:val="center"/>
              <w:rPr>
                <w:rFonts w:asciiTheme="majorBidi" w:hAnsiTheme="majorBidi" w:cstheme="majorBidi"/>
                <w:szCs w:val="24"/>
              </w:rPr>
            </w:pPr>
            <w:r w:rsidRPr="00A53E7C">
              <w:rPr>
                <w:rFonts w:asciiTheme="majorBidi" w:hAnsiTheme="majorBidi" w:cstheme="majorBidi"/>
                <w:szCs w:val="24"/>
              </w:rPr>
              <w:t>3</w:t>
            </w:r>
          </w:p>
        </w:tc>
        <w:tc>
          <w:tcPr>
            <w:tcW w:w="0" w:type="auto"/>
            <w:tcBorders>
              <w:bottom w:val="single" w:sz="4" w:space="0" w:color="auto"/>
            </w:tcBorders>
            <w:vAlign w:val="center"/>
            <w:hideMark/>
          </w:tcPr>
          <w:p w14:paraId="0F327AC0" w14:textId="77777777" w:rsidR="00A53E7C" w:rsidRPr="00A53E7C" w:rsidRDefault="00A53E7C" w:rsidP="009A0374">
            <w:pPr>
              <w:jc w:val="center"/>
              <w:rPr>
                <w:rFonts w:asciiTheme="majorBidi" w:hAnsiTheme="majorBidi" w:cstheme="majorBidi"/>
                <w:szCs w:val="24"/>
              </w:rPr>
            </w:pPr>
            <w:r w:rsidRPr="00A53E7C">
              <w:rPr>
                <w:rFonts w:asciiTheme="majorBidi" w:hAnsiTheme="majorBidi" w:cstheme="majorBidi"/>
                <w:szCs w:val="24"/>
              </w:rPr>
              <w:t>1</w:t>
            </w:r>
          </w:p>
        </w:tc>
        <w:tc>
          <w:tcPr>
            <w:tcW w:w="0" w:type="auto"/>
            <w:tcBorders>
              <w:bottom w:val="single" w:sz="4" w:space="0" w:color="auto"/>
            </w:tcBorders>
            <w:vAlign w:val="center"/>
            <w:hideMark/>
          </w:tcPr>
          <w:p w14:paraId="1E9BE082" w14:textId="77777777" w:rsidR="00A53E7C" w:rsidRPr="00A53E7C" w:rsidRDefault="00A53E7C" w:rsidP="009A0374">
            <w:pPr>
              <w:jc w:val="center"/>
              <w:rPr>
                <w:rFonts w:asciiTheme="majorBidi" w:hAnsiTheme="majorBidi" w:cstheme="majorBidi"/>
                <w:szCs w:val="24"/>
              </w:rPr>
            </w:pPr>
            <w:r w:rsidRPr="00A53E7C">
              <w:rPr>
                <w:rFonts w:asciiTheme="majorBidi" w:hAnsiTheme="majorBidi" w:cstheme="majorBidi"/>
                <w:szCs w:val="24"/>
              </w:rPr>
              <w:t>1</w:t>
            </w:r>
          </w:p>
        </w:tc>
        <w:tc>
          <w:tcPr>
            <w:tcW w:w="0" w:type="auto"/>
            <w:tcBorders>
              <w:bottom w:val="single" w:sz="4" w:space="0" w:color="auto"/>
            </w:tcBorders>
            <w:vAlign w:val="center"/>
            <w:hideMark/>
          </w:tcPr>
          <w:p w14:paraId="5D009D03" w14:textId="77777777" w:rsidR="00A53E7C" w:rsidRPr="00A53E7C" w:rsidRDefault="00A53E7C" w:rsidP="009A0374">
            <w:pPr>
              <w:jc w:val="center"/>
              <w:rPr>
                <w:rFonts w:asciiTheme="majorBidi" w:hAnsiTheme="majorBidi" w:cstheme="majorBidi"/>
                <w:szCs w:val="24"/>
              </w:rPr>
            </w:pPr>
            <w:r w:rsidRPr="00A53E7C">
              <w:rPr>
                <w:rFonts w:asciiTheme="majorBidi" w:hAnsiTheme="majorBidi" w:cstheme="majorBidi"/>
                <w:szCs w:val="24"/>
              </w:rPr>
              <w:t>75</w:t>
            </w:r>
          </w:p>
        </w:tc>
      </w:tr>
    </w:tbl>
    <w:p w14:paraId="07747D53" w14:textId="77777777"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The high coliform count in sample KWA indicates heavy microbial contamination at that location, particularly suggestive of recent fecal pollution. According to WHO (2020), potable water should have zero coliforms per 100 ml, making these values far above acceptable limits.</w:t>
      </w:r>
    </w:p>
    <w:p w14:paraId="49B3EB21" w14:textId="4481D96C" w:rsidR="00A53E7C" w:rsidRPr="004D4909" w:rsidRDefault="00A53E7C" w:rsidP="004D4909">
      <w:pPr>
        <w:rPr>
          <w:rFonts w:asciiTheme="majorBidi" w:hAnsiTheme="majorBidi" w:cstheme="majorBidi"/>
          <w:b/>
          <w:bCs/>
          <w:szCs w:val="24"/>
        </w:rPr>
      </w:pPr>
      <w:bookmarkStart w:id="29" w:name="_Toc216595159"/>
      <w:r w:rsidRPr="004D4909">
        <w:rPr>
          <w:b/>
          <w:bCs/>
        </w:rPr>
        <w:t>4.1.3 Antibiotic Susceptibility Profiles of Isolates</w:t>
      </w:r>
      <w:bookmarkEnd w:id="29"/>
    </w:p>
    <w:p w14:paraId="16502CC7" w14:textId="68502FCE"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Antimicrobial susceptibility testing revealed varying resistance patterns among the bacterial isolates. All isolates demonstrated resistance to Ampicillin and Amoxicillin, while fluoroquinolones such as Ciprofloxacin, Ofloxacin, and Levofloxacin showed higher levels of activity. The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isolate exhibited resistance to several antibiotics but remained sensitive to fluoroquinolones.</w:t>
      </w:r>
    </w:p>
    <w:p w14:paraId="1CD29554" w14:textId="77777777" w:rsidR="00A53E7C" w:rsidRPr="00A53E7C" w:rsidRDefault="00A53E7C" w:rsidP="008C4854">
      <w:pPr>
        <w:jc w:val="both"/>
        <w:rPr>
          <w:rFonts w:asciiTheme="majorBidi" w:hAnsiTheme="majorBidi" w:cstheme="majorBidi"/>
          <w:szCs w:val="24"/>
        </w:rPr>
      </w:pPr>
      <w:r w:rsidRPr="00A53E7C">
        <w:rPr>
          <w:rFonts w:asciiTheme="majorBidi" w:hAnsiTheme="majorBidi" w:cstheme="majorBidi"/>
          <w:b/>
          <w:bCs/>
          <w:szCs w:val="24"/>
        </w:rPr>
        <w:t>Table 4.3: Antibiotic Susceptibility Patterns of Isolates</w:t>
      </w:r>
    </w:p>
    <w:p w14:paraId="3B6C5015" w14:textId="5D14C576" w:rsidR="00662039" w:rsidRDefault="00A91785" w:rsidP="00662039">
      <w:pPr>
        <w:jc w:val="center"/>
        <w:rPr>
          <w:rFonts w:asciiTheme="majorBidi" w:hAnsiTheme="majorBidi" w:cstheme="majorBidi"/>
          <w:szCs w:val="24"/>
        </w:rPr>
      </w:pPr>
      <w:r>
        <w:rPr>
          <w:noProof/>
        </w:rPr>
        <w:drawing>
          <wp:inline distT="0" distB="0" distL="0" distR="0" wp14:anchorId="56C604A8" wp14:editId="05AD9134">
            <wp:extent cx="4572000" cy="2743200"/>
            <wp:effectExtent l="0" t="0" r="0" b="0"/>
            <wp:docPr id="1" name="Chart 1">
              <a:extLst xmlns:a="http://schemas.openxmlformats.org/drawingml/2006/main">
                <a:ext uri="{FF2B5EF4-FFF2-40B4-BE49-F238E27FC236}">
                  <a16:creationId xmlns:a16="http://schemas.microsoft.com/office/drawing/2014/main" id="{51C95B61-6ECF-48DA-A5CC-28DCC0ACBA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2C53B73" w14:textId="47AADC6E" w:rsidR="00C4403A" w:rsidRDefault="00C4403A" w:rsidP="008C4854">
      <w:pPr>
        <w:jc w:val="both"/>
        <w:rPr>
          <w:rFonts w:asciiTheme="majorBidi" w:hAnsiTheme="majorBidi" w:cstheme="majorBidi"/>
          <w:szCs w:val="24"/>
        </w:rPr>
      </w:pPr>
      <w:r>
        <w:rPr>
          <w:rFonts w:asciiTheme="majorBidi" w:hAnsiTheme="majorBidi" w:cstheme="majorBidi"/>
          <w:szCs w:val="24"/>
        </w:rPr>
        <w:t xml:space="preserve">Figure 4.1 </w:t>
      </w:r>
      <w:r w:rsidRPr="00C4403A">
        <w:rPr>
          <w:rFonts w:asciiTheme="majorBidi" w:hAnsiTheme="majorBidi" w:cstheme="majorBidi"/>
          <w:szCs w:val="24"/>
        </w:rPr>
        <w:t>Antibiotic Susceptibility Patterns of Isolate</w:t>
      </w:r>
      <w:r w:rsidR="004D4909">
        <w:rPr>
          <w:rFonts w:asciiTheme="majorBidi" w:hAnsiTheme="majorBidi" w:cstheme="majorBidi"/>
          <w:szCs w:val="24"/>
        </w:rPr>
        <w:t>d micro-organisms.</w:t>
      </w:r>
    </w:p>
    <w:p w14:paraId="7A8A0BCE" w14:textId="039F567A"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lastRenderedPageBreak/>
        <w:t>The resistance to beta-lactams observed in all isolates aligns with global trends in environmental antimicrobial resistance, often driven by selective pressure from human and agricultural waste discharge (</w:t>
      </w:r>
      <w:proofErr w:type="spellStart"/>
      <w:r w:rsidRPr="00A53E7C">
        <w:rPr>
          <w:rFonts w:asciiTheme="majorBidi" w:hAnsiTheme="majorBidi" w:cstheme="majorBidi"/>
          <w:szCs w:val="24"/>
        </w:rPr>
        <w:t>Ventola</w:t>
      </w:r>
      <w:proofErr w:type="spellEnd"/>
      <w:r w:rsidRPr="00A53E7C">
        <w:rPr>
          <w:rFonts w:asciiTheme="majorBidi" w:hAnsiTheme="majorBidi" w:cstheme="majorBidi"/>
          <w:szCs w:val="24"/>
        </w:rPr>
        <w:t xml:space="preserve">, 2015; </w:t>
      </w:r>
      <w:proofErr w:type="spellStart"/>
      <w:r w:rsidRPr="00A53E7C">
        <w:rPr>
          <w:rFonts w:asciiTheme="majorBidi" w:hAnsiTheme="majorBidi" w:cstheme="majorBidi"/>
          <w:szCs w:val="24"/>
        </w:rPr>
        <w:t>Odonkor</w:t>
      </w:r>
      <w:proofErr w:type="spellEnd"/>
      <w:r w:rsidRPr="00A53E7C">
        <w:rPr>
          <w:rFonts w:asciiTheme="majorBidi" w:hAnsiTheme="majorBidi" w:cstheme="majorBidi"/>
          <w:szCs w:val="24"/>
        </w:rPr>
        <w:t xml:space="preserve"> &amp; Addo, 2018).</w:t>
      </w:r>
    </w:p>
    <w:p w14:paraId="501EB409" w14:textId="77777777" w:rsidR="00A53E7C" w:rsidRPr="00A53E7C" w:rsidRDefault="00A53E7C" w:rsidP="009A0374">
      <w:pPr>
        <w:pStyle w:val="Heading1"/>
      </w:pPr>
      <w:bookmarkStart w:id="30" w:name="_Toc216595160"/>
      <w:r w:rsidRPr="00A53E7C">
        <w:t>4.1.4 Plasmid Profile Analysis</w:t>
      </w:r>
      <w:bookmarkEnd w:id="30"/>
    </w:p>
    <w:p w14:paraId="47264FDA" w14:textId="00D75343" w:rsidR="003F2A13"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Agarose gel electrophoresis of plasmid extractions revealed that only one of the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isolates carried a visible plasmid band. This suggests that plasmid-mediated resistance may contribute to the antibiotic resistance profile observed in this isolate. The absence of plasmids in the second isolate may indicate chromosomally encoded resistance or a lack of detectable plasmid under the experimental conditions used.</w:t>
      </w:r>
    </w:p>
    <w:p w14:paraId="52AE2396" w14:textId="77777777" w:rsidR="003F2A13" w:rsidRDefault="003F2A13" w:rsidP="008C4854">
      <w:pPr>
        <w:jc w:val="both"/>
        <w:rPr>
          <w:rFonts w:asciiTheme="majorBidi" w:hAnsiTheme="majorBidi" w:cstheme="majorBidi"/>
          <w:szCs w:val="24"/>
        </w:rPr>
      </w:pPr>
    </w:p>
    <w:p w14:paraId="4FFCCAC3" w14:textId="2FFB7847" w:rsidR="003F2A13" w:rsidRPr="00A53E7C" w:rsidRDefault="003F2A13" w:rsidP="008C4854">
      <w:pPr>
        <w:jc w:val="both"/>
        <w:rPr>
          <w:rFonts w:asciiTheme="majorBidi" w:hAnsiTheme="majorBidi" w:cstheme="majorBidi"/>
          <w:szCs w:val="24"/>
        </w:rPr>
      </w:pPr>
      <w:r>
        <w:rPr>
          <w:noProof/>
        </w:rPr>
        <w:drawing>
          <wp:inline distT="0" distB="0" distL="0" distR="0" wp14:anchorId="5D4202AC" wp14:editId="486D7A3E">
            <wp:extent cx="5612638" cy="3899729"/>
            <wp:effectExtent l="0" t="0" r="7620" b="5715"/>
            <wp:docPr id="17839515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15800" cy="3901926"/>
                    </a:xfrm>
                    <a:prstGeom prst="rect">
                      <a:avLst/>
                    </a:prstGeom>
                    <a:noFill/>
                    <a:ln>
                      <a:noFill/>
                    </a:ln>
                  </pic:spPr>
                </pic:pic>
              </a:graphicData>
            </a:graphic>
          </wp:inline>
        </w:drawing>
      </w:r>
    </w:p>
    <w:p w14:paraId="71061F9E" w14:textId="219ACCC9" w:rsidR="00C4403A" w:rsidRDefault="00C4403A" w:rsidP="003F2A13">
      <w:pPr>
        <w:pStyle w:val="Heading1"/>
      </w:pPr>
      <w:bookmarkStart w:id="31" w:name="_Toc216595161"/>
      <w:r>
        <w:t xml:space="preserve">Figure 4.2 </w:t>
      </w:r>
      <w:r w:rsidR="004D4909">
        <w:t>G</w:t>
      </w:r>
      <w:r>
        <w:t xml:space="preserve">el electrophoresis </w:t>
      </w:r>
      <w:bookmarkEnd w:id="31"/>
      <w:r w:rsidR="004D4909">
        <w:t>result.</w:t>
      </w:r>
    </w:p>
    <w:p w14:paraId="6174F05B" w14:textId="77777777" w:rsidR="004D4909" w:rsidRPr="004D4909" w:rsidRDefault="004D4909" w:rsidP="004D4909"/>
    <w:p w14:paraId="4B436655" w14:textId="63989E84" w:rsidR="00A53E7C" w:rsidRPr="00A53E7C" w:rsidRDefault="00A53E7C" w:rsidP="003F2A13">
      <w:pPr>
        <w:pStyle w:val="Heading1"/>
      </w:pPr>
      <w:bookmarkStart w:id="32" w:name="_Toc216595162"/>
      <w:r w:rsidRPr="00A53E7C">
        <w:lastRenderedPageBreak/>
        <w:t>4.2 Discussion</w:t>
      </w:r>
      <w:bookmarkEnd w:id="32"/>
      <w:r w:rsidRPr="00A53E7C">
        <w:t xml:space="preserve"> </w:t>
      </w:r>
    </w:p>
    <w:p w14:paraId="73B9A3AB" w14:textId="515FDC64"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The findings of this study demonstrate that </w:t>
      </w:r>
      <w:proofErr w:type="spellStart"/>
      <w:r w:rsidRPr="00A53E7C">
        <w:rPr>
          <w:rFonts w:asciiTheme="majorBidi" w:hAnsiTheme="majorBidi" w:cstheme="majorBidi"/>
          <w:szCs w:val="24"/>
        </w:rPr>
        <w:t>Kwalkwalawa</w:t>
      </w:r>
      <w:proofErr w:type="spellEnd"/>
      <w:r w:rsidRPr="00A53E7C">
        <w:rPr>
          <w:rFonts w:asciiTheme="majorBidi" w:hAnsiTheme="majorBidi" w:cstheme="majorBidi"/>
          <w:szCs w:val="24"/>
        </w:rPr>
        <w:t xml:space="preserve"> River harbors a diverse population of bacteria, including environmental species such as </w:t>
      </w:r>
      <w:r w:rsidRPr="00A53E7C">
        <w:rPr>
          <w:rFonts w:asciiTheme="majorBidi" w:hAnsiTheme="majorBidi" w:cstheme="majorBidi"/>
          <w:i/>
          <w:iCs/>
          <w:szCs w:val="24"/>
        </w:rPr>
        <w:t xml:space="preserve">Bacillus </w:t>
      </w:r>
      <w:proofErr w:type="spellStart"/>
      <w:r w:rsidRPr="00A53E7C">
        <w:rPr>
          <w:rFonts w:asciiTheme="majorBidi" w:hAnsiTheme="majorBidi" w:cstheme="majorBidi"/>
          <w:i/>
          <w:iCs/>
          <w:szCs w:val="24"/>
        </w:rPr>
        <w:t>pumilus</w:t>
      </w:r>
      <w:proofErr w:type="spellEnd"/>
      <w:r w:rsidRPr="00A53E7C">
        <w:rPr>
          <w:rFonts w:asciiTheme="majorBidi" w:hAnsiTheme="majorBidi" w:cstheme="majorBidi"/>
          <w:szCs w:val="24"/>
        </w:rPr>
        <w:t xml:space="preserve"> and </w:t>
      </w:r>
      <w:r w:rsidRPr="00A53E7C">
        <w:rPr>
          <w:rFonts w:asciiTheme="majorBidi" w:hAnsiTheme="majorBidi" w:cstheme="majorBidi"/>
          <w:i/>
          <w:iCs/>
          <w:szCs w:val="24"/>
        </w:rPr>
        <w:t xml:space="preserve">Bacillus </w:t>
      </w:r>
      <w:proofErr w:type="spellStart"/>
      <w:r w:rsidRPr="00A53E7C">
        <w:rPr>
          <w:rFonts w:asciiTheme="majorBidi" w:hAnsiTheme="majorBidi" w:cstheme="majorBidi"/>
          <w:i/>
          <w:iCs/>
          <w:szCs w:val="24"/>
        </w:rPr>
        <w:t>laterosporus</w:t>
      </w:r>
      <w:proofErr w:type="spellEnd"/>
      <w:r w:rsidRPr="00A53E7C">
        <w:rPr>
          <w:rFonts w:asciiTheme="majorBidi" w:hAnsiTheme="majorBidi" w:cstheme="majorBidi"/>
          <w:szCs w:val="24"/>
        </w:rPr>
        <w:t>, as well as clinically relevant Gram</w:t>
      </w:r>
      <w:r w:rsidR="00FE3FAE">
        <w:rPr>
          <w:rFonts w:asciiTheme="majorBidi" w:hAnsiTheme="majorBidi" w:cstheme="majorBidi"/>
          <w:szCs w:val="24"/>
        </w:rPr>
        <w:t>-</w:t>
      </w:r>
      <w:r w:rsidRPr="00A53E7C">
        <w:rPr>
          <w:rFonts w:asciiTheme="majorBidi" w:hAnsiTheme="majorBidi" w:cstheme="majorBidi"/>
          <w:szCs w:val="24"/>
        </w:rPr>
        <w:t xml:space="preserve">negative organisms, particularly </w:t>
      </w:r>
      <w:r w:rsidRPr="00A53E7C">
        <w:rPr>
          <w:rFonts w:asciiTheme="majorBidi" w:hAnsiTheme="majorBidi" w:cstheme="majorBidi"/>
          <w:i/>
          <w:iCs/>
          <w:szCs w:val="24"/>
        </w:rPr>
        <w:t>Escherichia coli</w:t>
      </w:r>
      <w:r w:rsidRPr="00A53E7C">
        <w:rPr>
          <w:rFonts w:asciiTheme="majorBidi" w:hAnsiTheme="majorBidi" w:cstheme="majorBidi"/>
          <w:szCs w:val="24"/>
        </w:rPr>
        <w:t xml:space="preserve">, </w:t>
      </w:r>
      <w:r w:rsidRPr="00A53E7C">
        <w:rPr>
          <w:rFonts w:asciiTheme="majorBidi" w:hAnsiTheme="majorBidi" w:cstheme="majorBidi"/>
          <w:i/>
          <w:iCs/>
          <w:szCs w:val="24"/>
        </w:rPr>
        <w:t>Serratia marcescens</w:t>
      </w:r>
      <w:r w:rsidRPr="00A53E7C">
        <w:rPr>
          <w:rFonts w:asciiTheme="majorBidi" w:hAnsiTheme="majorBidi" w:cstheme="majorBidi"/>
          <w:szCs w:val="24"/>
        </w:rPr>
        <w:t xml:space="preserve">, and </w:t>
      </w:r>
      <w:r w:rsidRPr="00A53E7C">
        <w:rPr>
          <w:rFonts w:asciiTheme="majorBidi" w:hAnsiTheme="majorBidi" w:cstheme="majorBidi"/>
          <w:i/>
          <w:iCs/>
          <w:szCs w:val="24"/>
        </w:rPr>
        <w:t>Enterobacter cloacae</w:t>
      </w:r>
      <w:r w:rsidRPr="00A53E7C">
        <w:rPr>
          <w:rFonts w:asciiTheme="majorBidi" w:hAnsiTheme="majorBidi" w:cstheme="majorBidi"/>
          <w:szCs w:val="24"/>
        </w:rPr>
        <w:t xml:space="preserve">. The recovery of multiple coliform organisms, including two confirmed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isolates, aligns with established evidence that surface waters receiving runoff, waste effluents, or human activity tend to exhibit microbial indicators of fecal pollution (</w:t>
      </w:r>
      <w:proofErr w:type="spellStart"/>
      <w:r w:rsidRPr="00A53E7C">
        <w:rPr>
          <w:rFonts w:asciiTheme="majorBidi" w:hAnsiTheme="majorBidi" w:cstheme="majorBidi"/>
          <w:szCs w:val="24"/>
        </w:rPr>
        <w:t>Odonkor</w:t>
      </w:r>
      <w:proofErr w:type="spellEnd"/>
      <w:r w:rsidRPr="00A53E7C">
        <w:rPr>
          <w:rFonts w:asciiTheme="majorBidi" w:hAnsiTheme="majorBidi" w:cstheme="majorBidi"/>
          <w:szCs w:val="24"/>
        </w:rPr>
        <w:t xml:space="preserve"> &amp; </w:t>
      </w:r>
      <w:proofErr w:type="spellStart"/>
      <w:r w:rsidRPr="00A53E7C">
        <w:rPr>
          <w:rFonts w:asciiTheme="majorBidi" w:hAnsiTheme="majorBidi" w:cstheme="majorBidi"/>
          <w:szCs w:val="24"/>
        </w:rPr>
        <w:t>Ampofo</w:t>
      </w:r>
      <w:proofErr w:type="spellEnd"/>
      <w:r w:rsidRPr="00A53E7C">
        <w:rPr>
          <w:rFonts w:asciiTheme="majorBidi" w:hAnsiTheme="majorBidi" w:cstheme="majorBidi"/>
          <w:szCs w:val="24"/>
        </w:rPr>
        <w:t xml:space="preserve">, 2013; Edberg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2021). The presence of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in particular is regarded globally as a key marker of recent fecal contamination, and its detection in two independent samples suggests that the river is exposed to continual fecal input, likely from surrounding settlements, agricultural activities, or open defecation practices common in many rural communities (WHO, 2020).</w:t>
      </w:r>
    </w:p>
    <w:p w14:paraId="33C8BA54" w14:textId="7CD68B0C"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The high MPN coliform count recorded in sample KWA, which reached 1100, provides further confirmation of significant microbial contamination at this point. WHO guidelines stipulate that drinking water should contain no detectable coliforms in 100 ml, which positions the observed values far outside acceptable thresholds (WHO, 2020). Studies in similar rural water systems in West Africa have reported comparably elevated coliform loads, attributing them to inadequate waste management and direct discharge of domestic wastewater into open water bodies (</w:t>
      </w:r>
      <w:proofErr w:type="spellStart"/>
      <w:r w:rsidRPr="00A53E7C">
        <w:rPr>
          <w:rFonts w:asciiTheme="majorBidi" w:hAnsiTheme="majorBidi" w:cstheme="majorBidi"/>
          <w:szCs w:val="24"/>
        </w:rPr>
        <w:t>Ezugworie</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2021; </w:t>
      </w:r>
      <w:proofErr w:type="spellStart"/>
      <w:r w:rsidRPr="00A53E7C">
        <w:rPr>
          <w:rFonts w:asciiTheme="majorBidi" w:hAnsiTheme="majorBidi" w:cstheme="majorBidi"/>
          <w:szCs w:val="24"/>
        </w:rPr>
        <w:t>Egbueri</w:t>
      </w:r>
      <w:proofErr w:type="spellEnd"/>
      <w:r w:rsidRPr="00A53E7C">
        <w:rPr>
          <w:rFonts w:asciiTheme="majorBidi" w:hAnsiTheme="majorBidi" w:cstheme="majorBidi"/>
          <w:szCs w:val="24"/>
        </w:rPr>
        <w:t xml:space="preserve">, 2020). The lower count recorded in sample KWB may reflect differences in hydrodynamics, pollution sources, or human activity patterns between sampling sites, which is consistent with environmental microbiology observations that microbial load can fluctuate significantly over short distances (Leclerc </w:t>
      </w:r>
      <w:r w:rsidR="005516EB" w:rsidRPr="005516EB">
        <w:rPr>
          <w:rFonts w:asciiTheme="majorBidi" w:hAnsiTheme="majorBidi" w:cstheme="majorBidi"/>
          <w:i/>
          <w:iCs/>
          <w:szCs w:val="24"/>
        </w:rPr>
        <w:t>et al</w:t>
      </w:r>
      <w:r w:rsidRPr="00A53E7C">
        <w:rPr>
          <w:rFonts w:asciiTheme="majorBidi" w:hAnsiTheme="majorBidi" w:cstheme="majorBidi"/>
          <w:szCs w:val="24"/>
        </w:rPr>
        <w:t>., 2021).</w:t>
      </w:r>
    </w:p>
    <w:p w14:paraId="36A0EEE0" w14:textId="1D7864E9"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The antimicrobial susceptibility patterns of the isolates reveal widespread resistance to commonly used antibiotics, particularly beta-lactams such as Ampicillin and Amoxicillin. All isolates demonstrated complete resistance to these antibiotics, an outcome consistent with </w:t>
      </w:r>
      <w:r w:rsidRPr="00A53E7C">
        <w:rPr>
          <w:rFonts w:asciiTheme="majorBidi" w:hAnsiTheme="majorBidi" w:cstheme="majorBidi"/>
          <w:szCs w:val="24"/>
        </w:rPr>
        <w:lastRenderedPageBreak/>
        <w:t>global trends showing a rise in beta-lactamase mediated resistance among both environmental and clinical bacteria (</w:t>
      </w:r>
      <w:proofErr w:type="spellStart"/>
      <w:r w:rsidRPr="00A53E7C">
        <w:rPr>
          <w:rFonts w:asciiTheme="majorBidi" w:hAnsiTheme="majorBidi" w:cstheme="majorBidi"/>
          <w:szCs w:val="24"/>
        </w:rPr>
        <w:t>Ventola</w:t>
      </w:r>
      <w:proofErr w:type="spellEnd"/>
      <w:r w:rsidRPr="00A53E7C">
        <w:rPr>
          <w:rFonts w:asciiTheme="majorBidi" w:hAnsiTheme="majorBidi" w:cstheme="majorBidi"/>
          <w:szCs w:val="24"/>
        </w:rPr>
        <w:t xml:space="preserve">, 2015; </w:t>
      </w:r>
      <w:proofErr w:type="spellStart"/>
      <w:r w:rsidRPr="00A53E7C">
        <w:rPr>
          <w:rFonts w:asciiTheme="majorBidi" w:hAnsiTheme="majorBidi" w:cstheme="majorBidi"/>
          <w:szCs w:val="24"/>
        </w:rPr>
        <w:t>Odonkor</w:t>
      </w:r>
      <w:proofErr w:type="spellEnd"/>
      <w:r w:rsidRPr="00A53E7C">
        <w:rPr>
          <w:rFonts w:asciiTheme="majorBidi" w:hAnsiTheme="majorBidi" w:cstheme="majorBidi"/>
          <w:szCs w:val="24"/>
        </w:rPr>
        <w:t xml:space="preserve"> &amp; Addo, 2018). The susceptibility of several isolates, including </w:t>
      </w:r>
      <w:r w:rsidR="005516EB" w:rsidRPr="005516EB">
        <w:rPr>
          <w:rFonts w:asciiTheme="majorBidi" w:hAnsiTheme="majorBidi" w:cstheme="majorBidi"/>
          <w:i/>
          <w:iCs/>
          <w:szCs w:val="24"/>
        </w:rPr>
        <w:t>E. coli</w:t>
      </w:r>
      <w:r w:rsidRPr="00A53E7C">
        <w:rPr>
          <w:rFonts w:asciiTheme="majorBidi" w:hAnsiTheme="majorBidi" w:cstheme="majorBidi"/>
          <w:szCs w:val="24"/>
        </w:rPr>
        <w:t>, to fluoroquinolones such as Ciprofloxacin and Ofloxacin suggests that these antibiotics retain activity against some environmental strains. However, their continued effectiveness should be interpreted with caution, as fluoroquinolone resistance has been increasing in Sub-Saharan Africa, driven in part by unregulated antibiotic access and extensive agricultural use (</w:t>
      </w:r>
      <w:proofErr w:type="spellStart"/>
      <w:r w:rsidRPr="00A53E7C">
        <w:rPr>
          <w:rFonts w:asciiTheme="majorBidi" w:hAnsiTheme="majorBidi" w:cstheme="majorBidi"/>
          <w:szCs w:val="24"/>
        </w:rPr>
        <w:t>Ayandele</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2020; Tadesse </w:t>
      </w:r>
      <w:r w:rsidR="005516EB" w:rsidRPr="005516EB">
        <w:rPr>
          <w:rFonts w:asciiTheme="majorBidi" w:hAnsiTheme="majorBidi" w:cstheme="majorBidi"/>
          <w:i/>
          <w:iCs/>
          <w:szCs w:val="24"/>
        </w:rPr>
        <w:t>et al</w:t>
      </w:r>
      <w:r w:rsidRPr="00A53E7C">
        <w:rPr>
          <w:rFonts w:asciiTheme="majorBidi" w:hAnsiTheme="majorBidi" w:cstheme="majorBidi"/>
          <w:szCs w:val="24"/>
        </w:rPr>
        <w:t>., 2021).</w:t>
      </w:r>
    </w:p>
    <w:p w14:paraId="56F8D05B" w14:textId="633B56B8"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The detection of a plasmid in one of the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isolates provides molecular evidence suggesting that the resistance phenotype observed in this organism may be plasmid mediated. Plasmids are recognized as major drivers of horizontal gene transfer among bacteria, enabling rapid dissemination of antibiotic resistance genes within environmental water systems (Martínez, 2020; Lanza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2018). The presence of a plasmid in only one isolate suggests heterogeneity in the genetic basis of resistance within the microbial population. This finding aligns with research showing that environmental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populations often exhibit mixed resistance mechanisms, with some strains relying on plasmid-borne genes while others harbor chromosomal mutations or intrinsic resistance determinants (Hernando-Amado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2020). That the second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isolate showed no detectable plasmid may mean that its resistance arises from chromosomal mechanisms or that the plasmid present was too small, low-copy, or structurally unstable to be visualized under the conditions used.</w:t>
      </w:r>
    </w:p>
    <w:p w14:paraId="2C574F46" w14:textId="7ECCF9B7" w:rsidR="00A53E7C" w:rsidRPr="00A53E7C" w:rsidRDefault="00A53E7C" w:rsidP="003F2A13">
      <w:pPr>
        <w:jc w:val="both"/>
        <w:rPr>
          <w:rFonts w:asciiTheme="majorBidi" w:hAnsiTheme="majorBidi" w:cstheme="majorBidi"/>
          <w:szCs w:val="24"/>
        </w:rPr>
      </w:pPr>
      <w:r w:rsidRPr="00A53E7C">
        <w:rPr>
          <w:rFonts w:asciiTheme="majorBidi" w:hAnsiTheme="majorBidi" w:cstheme="majorBidi"/>
          <w:szCs w:val="24"/>
        </w:rPr>
        <w:t xml:space="preserve">Taken together, the findings highlight a concerning interplay between environmental contamination and antimicrobial resistance in </w:t>
      </w:r>
      <w:proofErr w:type="spellStart"/>
      <w:r w:rsidRPr="00A53E7C">
        <w:rPr>
          <w:rFonts w:asciiTheme="majorBidi" w:hAnsiTheme="majorBidi" w:cstheme="majorBidi"/>
          <w:szCs w:val="24"/>
        </w:rPr>
        <w:t>Kwalkwalawa</w:t>
      </w:r>
      <w:proofErr w:type="spellEnd"/>
      <w:r w:rsidRPr="00A53E7C">
        <w:rPr>
          <w:rFonts w:asciiTheme="majorBidi" w:hAnsiTheme="majorBidi" w:cstheme="majorBidi"/>
          <w:szCs w:val="24"/>
        </w:rPr>
        <w:t xml:space="preserve"> River. The presence of resistant coliforms and plasmid-bearing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raises public health concerns for individuals relying on the river for domestic activities, irrigation, or livestock watering. Similar observations have been reported in several Nigerian rivers, where resistant coliforms and plasmid-mediated resistance genes have been detected at levels surpassing global safety guidelines (</w:t>
      </w:r>
      <w:proofErr w:type="spellStart"/>
      <w:r w:rsidRPr="00A53E7C">
        <w:rPr>
          <w:rFonts w:asciiTheme="majorBidi" w:hAnsiTheme="majorBidi" w:cstheme="majorBidi"/>
          <w:szCs w:val="24"/>
        </w:rPr>
        <w:t>Chinweuba</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lastRenderedPageBreak/>
        <w:t>et al</w:t>
      </w:r>
      <w:r w:rsidRPr="00A53E7C">
        <w:rPr>
          <w:rFonts w:asciiTheme="majorBidi" w:hAnsiTheme="majorBidi" w:cstheme="majorBidi"/>
          <w:szCs w:val="24"/>
        </w:rPr>
        <w:t xml:space="preserve">., 2022; </w:t>
      </w:r>
      <w:proofErr w:type="spellStart"/>
      <w:r w:rsidRPr="00A53E7C">
        <w:rPr>
          <w:rFonts w:asciiTheme="majorBidi" w:hAnsiTheme="majorBidi" w:cstheme="majorBidi"/>
          <w:szCs w:val="24"/>
        </w:rPr>
        <w:t>Igbinosa</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t>et al</w:t>
      </w:r>
      <w:r w:rsidRPr="00A53E7C">
        <w:rPr>
          <w:rFonts w:asciiTheme="majorBidi" w:hAnsiTheme="majorBidi" w:cstheme="majorBidi"/>
          <w:szCs w:val="24"/>
        </w:rPr>
        <w:t>., 2021). Such environmental reservoirs of resistance contribute to the wider problem of antimicrobial resistance by supplying resistant bacteria to humans and animals through recreational or domestic exposure.</w:t>
      </w:r>
    </w:p>
    <w:p w14:paraId="2C890088" w14:textId="77777777" w:rsidR="00A53E7C" w:rsidRPr="00A53E7C" w:rsidRDefault="00A53E7C" w:rsidP="003F2A13">
      <w:pPr>
        <w:pStyle w:val="Heading1"/>
      </w:pPr>
      <w:bookmarkStart w:id="33" w:name="_Toc216595163"/>
      <w:r w:rsidRPr="00A53E7C">
        <w:t>4.3 Implications of Findings</w:t>
      </w:r>
      <w:bookmarkEnd w:id="33"/>
    </w:p>
    <w:p w14:paraId="1EE61B8E" w14:textId="233281DB"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The findings of this study carry important implications for environmental health, public safety, and antimicrobial resistance management in communities surrounding </w:t>
      </w:r>
      <w:proofErr w:type="spellStart"/>
      <w:r w:rsidRPr="00A53E7C">
        <w:rPr>
          <w:rFonts w:asciiTheme="majorBidi" w:hAnsiTheme="majorBidi" w:cstheme="majorBidi"/>
          <w:szCs w:val="24"/>
        </w:rPr>
        <w:t>Kwalkwalawa</w:t>
      </w:r>
      <w:proofErr w:type="spellEnd"/>
      <w:r w:rsidRPr="00A53E7C">
        <w:rPr>
          <w:rFonts w:asciiTheme="majorBidi" w:hAnsiTheme="majorBidi" w:cstheme="majorBidi"/>
          <w:szCs w:val="24"/>
        </w:rPr>
        <w:t xml:space="preserve"> River. The confirmed presence of </w:t>
      </w:r>
      <w:r w:rsidRPr="00A53E7C">
        <w:rPr>
          <w:rFonts w:asciiTheme="majorBidi" w:hAnsiTheme="majorBidi" w:cstheme="majorBidi"/>
          <w:i/>
          <w:iCs/>
          <w:szCs w:val="24"/>
        </w:rPr>
        <w:t>Escherichia coli</w:t>
      </w:r>
      <w:r w:rsidRPr="00A53E7C">
        <w:rPr>
          <w:rFonts w:asciiTheme="majorBidi" w:hAnsiTheme="majorBidi" w:cstheme="majorBidi"/>
          <w:szCs w:val="24"/>
        </w:rPr>
        <w:t xml:space="preserve"> and other coliforms in multiple samples suggests that the river is subjected to significant fecal contamination. This contamination poses direct risks to individuals who rely on the river for domestic activities such as washing, bathing, or irrigation. Previous studies have demonstrated that exposure to fecal microorganisms in untreated water increases the likelihood of gastrointestinal infections, skin conditions, and the spread of enteric pathogens such as </w:t>
      </w:r>
      <w:r w:rsidRPr="00A53E7C">
        <w:rPr>
          <w:rFonts w:asciiTheme="majorBidi" w:hAnsiTheme="majorBidi" w:cstheme="majorBidi"/>
          <w:i/>
          <w:iCs/>
          <w:szCs w:val="24"/>
        </w:rPr>
        <w:t>Salmonella</w:t>
      </w:r>
      <w:r w:rsidRPr="00A53E7C">
        <w:rPr>
          <w:rFonts w:asciiTheme="majorBidi" w:hAnsiTheme="majorBidi" w:cstheme="majorBidi"/>
          <w:szCs w:val="24"/>
        </w:rPr>
        <w:t xml:space="preserve">, </w:t>
      </w:r>
      <w:r w:rsidRPr="00A53E7C">
        <w:rPr>
          <w:rFonts w:asciiTheme="majorBidi" w:hAnsiTheme="majorBidi" w:cstheme="majorBidi"/>
          <w:i/>
          <w:iCs/>
          <w:szCs w:val="24"/>
        </w:rPr>
        <w:t>Shigella</w:t>
      </w:r>
      <w:r w:rsidRPr="00A53E7C">
        <w:rPr>
          <w:rFonts w:asciiTheme="majorBidi" w:hAnsiTheme="majorBidi" w:cstheme="majorBidi"/>
          <w:szCs w:val="24"/>
        </w:rPr>
        <w:t xml:space="preserve">, and diarrheagenic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(WHO, 2020; Edberg </w:t>
      </w:r>
      <w:r w:rsidR="005516EB" w:rsidRPr="005516EB">
        <w:rPr>
          <w:rFonts w:asciiTheme="majorBidi" w:hAnsiTheme="majorBidi" w:cstheme="majorBidi"/>
          <w:i/>
          <w:iCs/>
          <w:szCs w:val="24"/>
        </w:rPr>
        <w:t>et al</w:t>
      </w:r>
      <w:r w:rsidRPr="00A53E7C">
        <w:rPr>
          <w:rFonts w:asciiTheme="majorBidi" w:hAnsiTheme="majorBidi" w:cstheme="majorBidi"/>
          <w:szCs w:val="24"/>
        </w:rPr>
        <w:t>., 2021). The high MPN coliform count reinforces the argument that the river is unsuitable for any activity involving direct human contact without prior treatment.</w:t>
      </w:r>
    </w:p>
    <w:p w14:paraId="7CBBC843" w14:textId="737950DB"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The antimicrobial susceptibility results further extend the public health implications. The widespread resistance to Ampicillin and Amoxicillin across all isolates indicates that commonly available and affordable antibiotics may be ineffective in treating potential infections acquired from the river. Such resistance patterns mirror the growing burden of antimicrobial resistance in Nigeria, where beta-lactamase production and multidrug-resistant Enterobacteriaceae are increasingly common in both clinical and environmental isolates (</w:t>
      </w:r>
      <w:proofErr w:type="spellStart"/>
      <w:r w:rsidRPr="00A53E7C">
        <w:rPr>
          <w:rFonts w:asciiTheme="majorBidi" w:hAnsiTheme="majorBidi" w:cstheme="majorBidi"/>
          <w:szCs w:val="24"/>
        </w:rPr>
        <w:t>Ayandele</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2020; </w:t>
      </w:r>
      <w:proofErr w:type="spellStart"/>
      <w:r w:rsidRPr="00A53E7C">
        <w:rPr>
          <w:rFonts w:asciiTheme="majorBidi" w:hAnsiTheme="majorBidi" w:cstheme="majorBidi"/>
          <w:szCs w:val="24"/>
        </w:rPr>
        <w:t>Igbinosa</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t>et al</w:t>
      </w:r>
      <w:r w:rsidRPr="00A53E7C">
        <w:rPr>
          <w:rFonts w:asciiTheme="majorBidi" w:hAnsiTheme="majorBidi" w:cstheme="majorBidi"/>
          <w:szCs w:val="24"/>
        </w:rPr>
        <w:t>., 2021). This suggests that environmental exposure could serve as a reservoir for resistant bacteria, contributing to community-level spread and complicating empirical treatment strategies in local health facilities.</w:t>
      </w:r>
    </w:p>
    <w:p w14:paraId="4AFE9C96" w14:textId="04AEC737"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The detection of plasmid-mediated resistance in one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isolate adds a genetic dimension to these implications. Plasmids are major vectors for horizontal gene transfer, enabling resistance </w:t>
      </w:r>
      <w:r w:rsidRPr="00A53E7C">
        <w:rPr>
          <w:rFonts w:asciiTheme="majorBidi" w:hAnsiTheme="majorBidi" w:cstheme="majorBidi"/>
          <w:szCs w:val="24"/>
        </w:rPr>
        <w:lastRenderedPageBreak/>
        <w:t xml:space="preserve">genes to move rapidly between unrelated bacterial species in shared environments (Lanza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2018; Martínez, 2020). Their presence in a river environment creates an ecological hotspot where resistance traits can accumulate and disseminate. Environmental plasmids have been documented to carry extended-spectrum beta-lactamase genes, tetracycline resistance determinants, and fluoroquinolone resistance markers, all of which pose significant challenges to both treatment outcomes and infection control (Hernando-Amado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2020). Thus, the plasmid-positive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detected in this study may act as a genetic reservoir capable of transferring resistance to other bacteria inhabiting or entering the river.</w:t>
      </w:r>
    </w:p>
    <w:p w14:paraId="009832EC" w14:textId="3F37688F" w:rsidR="00A53E7C" w:rsidRPr="00A53E7C" w:rsidRDefault="00A53E7C" w:rsidP="003F2A13">
      <w:pPr>
        <w:jc w:val="both"/>
        <w:rPr>
          <w:rFonts w:asciiTheme="majorBidi" w:hAnsiTheme="majorBidi" w:cstheme="majorBidi"/>
          <w:szCs w:val="24"/>
        </w:rPr>
      </w:pPr>
      <w:r w:rsidRPr="00A53E7C">
        <w:rPr>
          <w:rFonts w:asciiTheme="majorBidi" w:hAnsiTheme="majorBidi" w:cstheme="majorBidi"/>
          <w:szCs w:val="24"/>
        </w:rPr>
        <w:t>The combined presence of resistant and plasmid-bearing organisms highlights a need for continuous environmental surveillance. Rural rivers in Nigeria serve as primary water sources for large populations, and changes in their microbial ecology can have rapid and far-reaching effects. The study’s findings support the necessity of integrating antimicrobial resistance monitoring into routine water quality assessment programs. They also underscore the importance of improving sanitation infrastructure and discouraging practices such as open defecation and direct wastewater discharge into natural water bodies, which are known to exacerbate contamination levels and contribute to resistance circulation (</w:t>
      </w:r>
      <w:proofErr w:type="spellStart"/>
      <w:r w:rsidRPr="00A53E7C">
        <w:rPr>
          <w:rFonts w:asciiTheme="majorBidi" w:hAnsiTheme="majorBidi" w:cstheme="majorBidi"/>
          <w:szCs w:val="24"/>
        </w:rPr>
        <w:t>Egbueri</w:t>
      </w:r>
      <w:proofErr w:type="spellEnd"/>
      <w:r w:rsidRPr="00A53E7C">
        <w:rPr>
          <w:rFonts w:asciiTheme="majorBidi" w:hAnsiTheme="majorBidi" w:cstheme="majorBidi"/>
          <w:szCs w:val="24"/>
        </w:rPr>
        <w:t xml:space="preserve">, 2020; </w:t>
      </w:r>
      <w:proofErr w:type="spellStart"/>
      <w:r w:rsidRPr="00A53E7C">
        <w:rPr>
          <w:rFonts w:asciiTheme="majorBidi" w:hAnsiTheme="majorBidi" w:cstheme="majorBidi"/>
          <w:szCs w:val="24"/>
        </w:rPr>
        <w:t>Chinweuba</w:t>
      </w:r>
      <w:proofErr w:type="spellEnd"/>
      <w:r w:rsidRPr="00A53E7C">
        <w:rPr>
          <w:rFonts w:asciiTheme="majorBidi" w:hAnsiTheme="majorBidi" w:cstheme="majorBidi"/>
          <w:szCs w:val="24"/>
        </w:rPr>
        <w:t xml:space="preserve"> </w:t>
      </w:r>
      <w:r w:rsidR="005516EB" w:rsidRPr="005516EB">
        <w:rPr>
          <w:rFonts w:asciiTheme="majorBidi" w:hAnsiTheme="majorBidi" w:cstheme="majorBidi"/>
          <w:i/>
          <w:iCs/>
          <w:szCs w:val="24"/>
        </w:rPr>
        <w:t>et al</w:t>
      </w:r>
      <w:r w:rsidRPr="00A53E7C">
        <w:rPr>
          <w:rFonts w:asciiTheme="majorBidi" w:hAnsiTheme="majorBidi" w:cstheme="majorBidi"/>
          <w:szCs w:val="24"/>
        </w:rPr>
        <w:t>., 2022).</w:t>
      </w:r>
    </w:p>
    <w:p w14:paraId="69E64852" w14:textId="77777777" w:rsidR="00A53E7C" w:rsidRPr="00A53E7C" w:rsidRDefault="00A53E7C" w:rsidP="003F2A13">
      <w:pPr>
        <w:pStyle w:val="Heading1"/>
      </w:pPr>
      <w:bookmarkStart w:id="34" w:name="_Toc216595164"/>
      <w:r w:rsidRPr="00A53E7C">
        <w:t>4.4 Conclusion</w:t>
      </w:r>
      <w:bookmarkEnd w:id="34"/>
    </w:p>
    <w:p w14:paraId="427161A9" w14:textId="553F15F2"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This study assessed antimicrobial plasmids in </w:t>
      </w:r>
      <w:r w:rsidRPr="00A53E7C">
        <w:rPr>
          <w:rFonts w:asciiTheme="majorBidi" w:hAnsiTheme="majorBidi" w:cstheme="majorBidi"/>
          <w:i/>
          <w:iCs/>
          <w:szCs w:val="24"/>
        </w:rPr>
        <w:t>Escherichia coli</w:t>
      </w:r>
      <w:r w:rsidRPr="00A53E7C">
        <w:rPr>
          <w:rFonts w:asciiTheme="majorBidi" w:hAnsiTheme="majorBidi" w:cstheme="majorBidi"/>
          <w:szCs w:val="24"/>
        </w:rPr>
        <w:t xml:space="preserve"> isolated from </w:t>
      </w:r>
      <w:proofErr w:type="spellStart"/>
      <w:r w:rsidRPr="00A53E7C">
        <w:rPr>
          <w:rFonts w:asciiTheme="majorBidi" w:hAnsiTheme="majorBidi" w:cstheme="majorBidi"/>
          <w:szCs w:val="24"/>
        </w:rPr>
        <w:t>Kwalkwalawa</w:t>
      </w:r>
      <w:proofErr w:type="spellEnd"/>
      <w:r w:rsidRPr="00A53E7C">
        <w:rPr>
          <w:rFonts w:asciiTheme="majorBidi" w:hAnsiTheme="majorBidi" w:cstheme="majorBidi"/>
          <w:szCs w:val="24"/>
        </w:rPr>
        <w:t xml:space="preserve"> River and revealed clear evidence of fecal contamination, antimicrobial resistance, and the presence of plasmid-mediated resistance mechanisms within the river’s microbial population. The isolation of two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strains, combined with high MPN coliform counts, confirms that the river receives substantial fecal input, likely from surrounding human and agricultural activities. Antibiotic susceptibility testing demonstrated widespread resistance to commonly used beta-lactam antibiotics, showing a resistance pattern that mirrors national and global </w:t>
      </w:r>
      <w:r w:rsidRPr="00A53E7C">
        <w:rPr>
          <w:rFonts w:asciiTheme="majorBidi" w:hAnsiTheme="majorBidi" w:cstheme="majorBidi"/>
          <w:szCs w:val="24"/>
        </w:rPr>
        <w:lastRenderedPageBreak/>
        <w:t xml:space="preserve">trends in environmental antimicrobial resistance. The detection of a plasmid in one </w:t>
      </w:r>
      <w:r w:rsidR="005516EB" w:rsidRPr="005516EB">
        <w:rPr>
          <w:rFonts w:asciiTheme="majorBidi" w:hAnsiTheme="majorBidi" w:cstheme="majorBidi"/>
          <w:i/>
          <w:iCs/>
          <w:szCs w:val="24"/>
        </w:rPr>
        <w:t>E. coli</w:t>
      </w:r>
      <w:r w:rsidRPr="00A53E7C">
        <w:rPr>
          <w:rFonts w:asciiTheme="majorBidi" w:hAnsiTheme="majorBidi" w:cstheme="majorBidi"/>
          <w:szCs w:val="24"/>
        </w:rPr>
        <w:t xml:space="preserve"> isolate provides further evidence that the resistance observed may partly be enabled by horizontal gene transfer within the aquatic environment. These findings indicate that </w:t>
      </w:r>
      <w:proofErr w:type="spellStart"/>
      <w:r w:rsidRPr="00A53E7C">
        <w:rPr>
          <w:rFonts w:asciiTheme="majorBidi" w:hAnsiTheme="majorBidi" w:cstheme="majorBidi"/>
          <w:szCs w:val="24"/>
        </w:rPr>
        <w:t>Kwalkwalawa</w:t>
      </w:r>
      <w:proofErr w:type="spellEnd"/>
      <w:r w:rsidRPr="00A53E7C">
        <w:rPr>
          <w:rFonts w:asciiTheme="majorBidi" w:hAnsiTheme="majorBidi" w:cstheme="majorBidi"/>
          <w:szCs w:val="24"/>
        </w:rPr>
        <w:t xml:space="preserve"> River is not only microbiologically unsafe for domestic contact but also serves as a potential reservoir for disseminating resistant bacteria and resistance genes. The study highlights the urgent need for improved sanitation, active environmental surveillance, and better antibiotic stewardship practices to prevent further spread of resistant organisms in communities depending on the river.</w:t>
      </w:r>
    </w:p>
    <w:p w14:paraId="5E53335A" w14:textId="77777777" w:rsidR="00A53E7C" w:rsidRPr="00A53E7C" w:rsidRDefault="00A53E7C" w:rsidP="003F2A13">
      <w:pPr>
        <w:pStyle w:val="Heading1"/>
      </w:pPr>
      <w:bookmarkStart w:id="35" w:name="_Toc216595165"/>
      <w:r w:rsidRPr="00A53E7C">
        <w:t>4.5 Recommendations</w:t>
      </w:r>
      <w:bookmarkEnd w:id="35"/>
    </w:p>
    <w:p w14:paraId="38E5E2A1" w14:textId="77777777" w:rsidR="00A53E7C" w:rsidRPr="00A53E7C" w:rsidRDefault="00A53E7C" w:rsidP="008C4854">
      <w:pPr>
        <w:jc w:val="both"/>
        <w:rPr>
          <w:rFonts w:asciiTheme="majorBidi" w:hAnsiTheme="majorBidi" w:cstheme="majorBidi"/>
          <w:szCs w:val="24"/>
        </w:rPr>
      </w:pPr>
      <w:r w:rsidRPr="00A53E7C">
        <w:rPr>
          <w:rFonts w:asciiTheme="majorBidi" w:hAnsiTheme="majorBidi" w:cstheme="majorBidi"/>
          <w:szCs w:val="24"/>
        </w:rPr>
        <w:t xml:space="preserve">The results of this study support several important recommendations that should guide environmental management and public health interventions. There is a pressing need to improve sanitation around the river environment by preventing direct discharge of domestic waste and minimizing open defecation, as these practices contribute significantly to coliform contamination and increase the risk of resistant bacterial spread. It is essential that communities relying on the river for domestic use adopt basic water treatment practices such as boiling or filtration, since the absence of these measures places users at risk of waterborne infections. Local authorities should incorporate antimicrobial resistance monitoring into routine water quality assessments because rivers serve as dynamic reservoirs where resistance genes can accumulate and spread among diverse microbial populations. More structured community health education programs are needed to raise awareness about the dangers of using untreated river water and the growing threat of antimicrobial resistance. On a broader scale, antibiotic use in both human medicine and agriculture should be regulated more carefully, with emphasis on reducing unnecessary prescriptions and discouraging the misuse of over-the-counter antibiotics. Finally, future research should incorporate larger sample sizes, molecular </w:t>
      </w:r>
      <w:r w:rsidRPr="00A53E7C">
        <w:rPr>
          <w:rFonts w:asciiTheme="majorBidi" w:hAnsiTheme="majorBidi" w:cstheme="majorBidi"/>
          <w:szCs w:val="24"/>
        </w:rPr>
        <w:lastRenderedPageBreak/>
        <w:t xml:space="preserve">characterization of resistance genes, and seasonal monitoring to provide a more complete picture of resistance dynamics within </w:t>
      </w:r>
      <w:proofErr w:type="spellStart"/>
      <w:r w:rsidRPr="00A53E7C">
        <w:rPr>
          <w:rFonts w:asciiTheme="majorBidi" w:hAnsiTheme="majorBidi" w:cstheme="majorBidi"/>
          <w:szCs w:val="24"/>
        </w:rPr>
        <w:t>Kwalkwalawa</w:t>
      </w:r>
      <w:proofErr w:type="spellEnd"/>
      <w:r w:rsidRPr="00A53E7C">
        <w:rPr>
          <w:rFonts w:asciiTheme="majorBidi" w:hAnsiTheme="majorBidi" w:cstheme="majorBidi"/>
          <w:szCs w:val="24"/>
        </w:rPr>
        <w:t xml:space="preserve"> River.</w:t>
      </w:r>
    </w:p>
    <w:p w14:paraId="77C8C301" w14:textId="4A7C5B98" w:rsidR="00A53E7C" w:rsidRPr="00A53E7C" w:rsidRDefault="00A53E7C" w:rsidP="008C4854">
      <w:pPr>
        <w:jc w:val="both"/>
        <w:rPr>
          <w:rFonts w:asciiTheme="majorBidi" w:hAnsiTheme="majorBidi" w:cstheme="majorBidi"/>
          <w:szCs w:val="24"/>
        </w:rPr>
      </w:pPr>
    </w:p>
    <w:p w14:paraId="23074CE4" w14:textId="35A06D5E" w:rsidR="00A53E7C" w:rsidRPr="008C4854" w:rsidRDefault="00A53E7C" w:rsidP="008C4854">
      <w:pPr>
        <w:jc w:val="both"/>
        <w:rPr>
          <w:rFonts w:asciiTheme="majorBidi" w:hAnsiTheme="majorBidi" w:cstheme="majorBidi"/>
          <w:szCs w:val="24"/>
        </w:rPr>
      </w:pPr>
      <w:r w:rsidRPr="008C4854">
        <w:rPr>
          <w:rFonts w:asciiTheme="majorBidi" w:hAnsiTheme="majorBidi" w:cstheme="majorBidi"/>
          <w:szCs w:val="24"/>
        </w:rPr>
        <w:br w:type="page"/>
      </w:r>
    </w:p>
    <w:p w14:paraId="7885EDCB" w14:textId="3A543AA9" w:rsidR="00A53E7C" w:rsidRPr="00A53E7C" w:rsidRDefault="00001E5E" w:rsidP="003F2A13">
      <w:pPr>
        <w:pStyle w:val="Heading1"/>
      </w:pPr>
      <w:bookmarkStart w:id="36" w:name="_Toc216595166"/>
      <w:r w:rsidRPr="00A53E7C">
        <w:lastRenderedPageBreak/>
        <w:t>REFERENCES</w:t>
      </w:r>
      <w:bookmarkEnd w:id="36"/>
    </w:p>
    <w:p w14:paraId="11C41C19" w14:textId="77777777" w:rsidR="008265AA" w:rsidRPr="006A1321" w:rsidRDefault="008265AA" w:rsidP="008265AA">
      <w:pPr>
        <w:ind w:left="720" w:hanging="720"/>
        <w:jc w:val="both"/>
        <w:rPr>
          <w:rFonts w:asciiTheme="majorBidi" w:hAnsiTheme="majorBidi" w:cstheme="majorBidi"/>
          <w:szCs w:val="24"/>
        </w:rPr>
      </w:pPr>
      <w:r w:rsidRPr="006A1321">
        <w:rPr>
          <w:rFonts w:asciiTheme="majorBidi" w:hAnsiTheme="majorBidi" w:cstheme="majorBidi"/>
          <w:szCs w:val="24"/>
        </w:rPr>
        <w:t>Abubakar, S., Suleiman, A., &amp; Mohammed, I. (2021). Seasonal influences on microbial water quality in semi-arid regions: A study from northwestern Nigeria. Journal of Environmental Monitoring and Assessment, 193, 1–12.</w:t>
      </w:r>
    </w:p>
    <w:p w14:paraId="2B76A66D" w14:textId="77777777" w:rsidR="008265AA" w:rsidRPr="006A1321" w:rsidRDefault="008265AA" w:rsidP="008265AA">
      <w:pPr>
        <w:ind w:left="720" w:hanging="720"/>
        <w:jc w:val="both"/>
        <w:rPr>
          <w:rFonts w:asciiTheme="majorBidi" w:hAnsiTheme="majorBidi" w:cstheme="majorBidi"/>
          <w:szCs w:val="24"/>
        </w:rPr>
      </w:pPr>
      <w:r w:rsidRPr="006A1321">
        <w:rPr>
          <w:rFonts w:asciiTheme="majorBidi" w:hAnsiTheme="majorBidi" w:cstheme="majorBidi"/>
          <w:szCs w:val="24"/>
        </w:rPr>
        <w:t>Afolabi, M., Yusuf, M., &amp; Sani, A. (2021). Water quality assessment of riverine systems adjacent to university campuses in Sokoto State. Nigerian Journal of Environmental Sciences, 12(2), 45–59.</w:t>
      </w:r>
    </w:p>
    <w:p w14:paraId="01DB780C" w14:textId="77777777" w:rsidR="008265AA" w:rsidRPr="006A1321" w:rsidRDefault="008265AA" w:rsidP="008265AA">
      <w:pPr>
        <w:ind w:left="720" w:hanging="720"/>
        <w:jc w:val="both"/>
        <w:rPr>
          <w:rFonts w:asciiTheme="majorBidi" w:hAnsiTheme="majorBidi" w:cstheme="majorBidi"/>
          <w:szCs w:val="24"/>
        </w:rPr>
      </w:pPr>
      <w:r w:rsidRPr="006A1321">
        <w:rPr>
          <w:rFonts w:asciiTheme="majorBidi" w:hAnsiTheme="majorBidi" w:cstheme="majorBidi"/>
          <w:szCs w:val="24"/>
        </w:rPr>
        <w:t>American Public Health Association. (2020). Standard methods for the examination of water and wastewater (23rd ed.). APHA.</w:t>
      </w:r>
    </w:p>
    <w:p w14:paraId="5B990CAB" w14:textId="77777777" w:rsidR="008265AA" w:rsidRPr="00A53E7C" w:rsidRDefault="008265AA" w:rsidP="003F2A13">
      <w:pPr>
        <w:ind w:left="720" w:hanging="720"/>
        <w:jc w:val="both"/>
        <w:rPr>
          <w:rFonts w:asciiTheme="majorBidi" w:hAnsiTheme="majorBidi" w:cstheme="majorBidi"/>
          <w:szCs w:val="24"/>
        </w:rPr>
      </w:pPr>
      <w:proofErr w:type="spellStart"/>
      <w:r w:rsidRPr="00A53E7C">
        <w:rPr>
          <w:rFonts w:asciiTheme="majorBidi" w:hAnsiTheme="majorBidi" w:cstheme="majorBidi"/>
          <w:szCs w:val="24"/>
        </w:rPr>
        <w:t>Ayandele</w:t>
      </w:r>
      <w:proofErr w:type="spellEnd"/>
      <w:r w:rsidRPr="00A53E7C">
        <w:rPr>
          <w:rFonts w:asciiTheme="majorBidi" w:hAnsiTheme="majorBidi" w:cstheme="majorBidi"/>
          <w:szCs w:val="24"/>
        </w:rPr>
        <w:t xml:space="preserve">, A. A., Oladipo, E. K., &amp; </w:t>
      </w:r>
      <w:proofErr w:type="spellStart"/>
      <w:r w:rsidRPr="00A53E7C">
        <w:rPr>
          <w:rFonts w:asciiTheme="majorBidi" w:hAnsiTheme="majorBidi" w:cstheme="majorBidi"/>
          <w:szCs w:val="24"/>
        </w:rPr>
        <w:t>Oyebamiji</w:t>
      </w:r>
      <w:proofErr w:type="spellEnd"/>
      <w:r w:rsidRPr="00A53E7C">
        <w:rPr>
          <w:rFonts w:asciiTheme="majorBidi" w:hAnsiTheme="majorBidi" w:cstheme="majorBidi"/>
          <w:szCs w:val="24"/>
        </w:rPr>
        <w:t xml:space="preserve">, A. K. (2020). Prevalence of multidrug resistant bacteria in drinking water sources in Osun State, Nigeria. </w:t>
      </w:r>
      <w:r w:rsidRPr="00A53E7C">
        <w:rPr>
          <w:rFonts w:asciiTheme="majorBidi" w:hAnsiTheme="majorBidi" w:cstheme="majorBidi"/>
          <w:i/>
          <w:iCs/>
          <w:szCs w:val="24"/>
        </w:rPr>
        <w:t>African Journal of Clinical and Experimental Microbiology, 21</w:t>
      </w:r>
      <w:r w:rsidRPr="00A53E7C">
        <w:rPr>
          <w:rFonts w:asciiTheme="majorBidi" w:hAnsiTheme="majorBidi" w:cstheme="majorBidi"/>
          <w:szCs w:val="24"/>
        </w:rPr>
        <w:t xml:space="preserve">(3), 233–240. </w:t>
      </w:r>
      <w:hyperlink r:id="rId12" w:history="1">
        <w:r w:rsidRPr="00A53E7C">
          <w:rPr>
            <w:rStyle w:val="Hyperlink"/>
            <w:rFonts w:asciiTheme="majorBidi" w:hAnsiTheme="majorBidi" w:cstheme="majorBidi"/>
            <w:color w:val="auto"/>
            <w:szCs w:val="24"/>
          </w:rPr>
          <w:t>https://doi.org/10.4314/ajcem.v21i3.6</w:t>
        </w:r>
      </w:hyperlink>
    </w:p>
    <w:p w14:paraId="0F4FB732" w14:textId="77777777" w:rsidR="008265AA" w:rsidRPr="00A53E7C" w:rsidRDefault="008265AA" w:rsidP="003F2A13">
      <w:pPr>
        <w:ind w:left="720" w:hanging="720"/>
        <w:jc w:val="both"/>
        <w:rPr>
          <w:rFonts w:asciiTheme="majorBidi" w:hAnsiTheme="majorBidi" w:cstheme="majorBidi"/>
          <w:szCs w:val="24"/>
        </w:rPr>
      </w:pPr>
      <w:r w:rsidRPr="00A53E7C">
        <w:rPr>
          <w:rFonts w:asciiTheme="majorBidi" w:hAnsiTheme="majorBidi" w:cstheme="majorBidi"/>
          <w:szCs w:val="24"/>
        </w:rPr>
        <w:t xml:space="preserve">Barrow, G. I., &amp; </w:t>
      </w:r>
      <w:proofErr w:type="spellStart"/>
      <w:r w:rsidRPr="00A53E7C">
        <w:rPr>
          <w:rFonts w:asciiTheme="majorBidi" w:hAnsiTheme="majorBidi" w:cstheme="majorBidi"/>
          <w:szCs w:val="24"/>
        </w:rPr>
        <w:t>Feltham</w:t>
      </w:r>
      <w:proofErr w:type="spellEnd"/>
      <w:r w:rsidRPr="00A53E7C">
        <w:rPr>
          <w:rFonts w:asciiTheme="majorBidi" w:hAnsiTheme="majorBidi" w:cstheme="majorBidi"/>
          <w:szCs w:val="24"/>
        </w:rPr>
        <w:t xml:space="preserve">, R. K. A. (2021). </w:t>
      </w:r>
      <w:r w:rsidRPr="00A53E7C">
        <w:rPr>
          <w:rFonts w:asciiTheme="majorBidi" w:hAnsiTheme="majorBidi" w:cstheme="majorBidi"/>
          <w:i/>
          <w:iCs/>
          <w:szCs w:val="24"/>
        </w:rPr>
        <w:t>Cowan and Steel’s manual for the identification of medical bacteria</w:t>
      </w:r>
      <w:r w:rsidRPr="00A53E7C">
        <w:rPr>
          <w:rFonts w:asciiTheme="majorBidi" w:hAnsiTheme="majorBidi" w:cstheme="majorBidi"/>
          <w:szCs w:val="24"/>
        </w:rPr>
        <w:t xml:space="preserve"> (4th ed.). Cambridge University Press.</w:t>
      </w:r>
    </w:p>
    <w:p w14:paraId="597B80DC" w14:textId="77777777" w:rsidR="008265AA" w:rsidRPr="006A1321" w:rsidRDefault="008265AA" w:rsidP="008265AA">
      <w:pPr>
        <w:ind w:left="720" w:hanging="720"/>
        <w:jc w:val="both"/>
        <w:rPr>
          <w:rFonts w:asciiTheme="majorBidi" w:hAnsiTheme="majorBidi" w:cstheme="majorBidi"/>
          <w:szCs w:val="24"/>
        </w:rPr>
      </w:pPr>
      <w:proofErr w:type="spellStart"/>
      <w:r w:rsidRPr="006A1321">
        <w:rPr>
          <w:rFonts w:asciiTheme="majorBidi" w:hAnsiTheme="majorBidi" w:cstheme="majorBidi"/>
          <w:szCs w:val="24"/>
        </w:rPr>
        <w:t>Berendonk</w:t>
      </w:r>
      <w:proofErr w:type="spellEnd"/>
      <w:r w:rsidRPr="006A1321">
        <w:rPr>
          <w:rFonts w:asciiTheme="majorBidi" w:hAnsiTheme="majorBidi" w:cstheme="majorBidi"/>
          <w:szCs w:val="24"/>
        </w:rPr>
        <w:t xml:space="preserve">, T. U., Manaia, C. M., Merlin, C., </w:t>
      </w:r>
      <w:proofErr w:type="spellStart"/>
      <w:r w:rsidRPr="006A1321">
        <w:rPr>
          <w:rFonts w:asciiTheme="majorBidi" w:hAnsiTheme="majorBidi" w:cstheme="majorBidi"/>
          <w:szCs w:val="24"/>
        </w:rPr>
        <w:t>Fatta-Kassinos</w:t>
      </w:r>
      <w:proofErr w:type="spellEnd"/>
      <w:r w:rsidRPr="006A1321">
        <w:rPr>
          <w:rFonts w:asciiTheme="majorBidi" w:hAnsiTheme="majorBidi" w:cstheme="majorBidi"/>
          <w:szCs w:val="24"/>
        </w:rPr>
        <w:t xml:space="preserve">, D., </w:t>
      </w:r>
      <w:proofErr w:type="spellStart"/>
      <w:r w:rsidRPr="006A1321">
        <w:rPr>
          <w:rFonts w:asciiTheme="majorBidi" w:hAnsiTheme="majorBidi" w:cstheme="majorBidi"/>
          <w:szCs w:val="24"/>
        </w:rPr>
        <w:t>Cytryn</w:t>
      </w:r>
      <w:proofErr w:type="spellEnd"/>
      <w:r w:rsidRPr="006A1321">
        <w:rPr>
          <w:rFonts w:asciiTheme="majorBidi" w:hAnsiTheme="majorBidi" w:cstheme="majorBidi"/>
          <w:szCs w:val="24"/>
        </w:rPr>
        <w:t>, E., Walsh, F., ... &amp; Martínez, J. L. (2019). Tackling antibiotic resistance: The environmental framework. Nature Reviews Microbiology, 17, 1–14.</w:t>
      </w:r>
    </w:p>
    <w:p w14:paraId="720B6B4F" w14:textId="77777777" w:rsidR="008265AA" w:rsidRPr="006A1321" w:rsidRDefault="008265AA" w:rsidP="008265AA">
      <w:pPr>
        <w:ind w:left="720" w:hanging="720"/>
        <w:jc w:val="both"/>
        <w:rPr>
          <w:rFonts w:asciiTheme="majorBidi" w:hAnsiTheme="majorBidi" w:cstheme="majorBidi"/>
          <w:szCs w:val="24"/>
        </w:rPr>
      </w:pPr>
      <w:r w:rsidRPr="006A1321">
        <w:rPr>
          <w:rFonts w:asciiTheme="majorBidi" w:hAnsiTheme="majorBidi" w:cstheme="majorBidi"/>
          <w:szCs w:val="24"/>
        </w:rPr>
        <w:t>Bush, K., &amp; Bradford, P. A. (2020). β-Lactams and β-lactamase inhibitors: An overview. Cold Spring Harbor Perspectives in Medicine, 10(1), a025247.</w:t>
      </w:r>
    </w:p>
    <w:p w14:paraId="3B20B9CC" w14:textId="77777777" w:rsidR="008265AA" w:rsidRPr="006A1321" w:rsidRDefault="008265AA" w:rsidP="008265AA">
      <w:pPr>
        <w:ind w:left="720" w:hanging="720"/>
        <w:jc w:val="both"/>
        <w:rPr>
          <w:rFonts w:asciiTheme="majorBidi" w:hAnsiTheme="majorBidi" w:cstheme="majorBidi"/>
          <w:szCs w:val="24"/>
        </w:rPr>
      </w:pPr>
      <w:proofErr w:type="spellStart"/>
      <w:r w:rsidRPr="006A1321">
        <w:rPr>
          <w:rFonts w:asciiTheme="majorBidi" w:hAnsiTheme="majorBidi" w:cstheme="majorBidi"/>
          <w:szCs w:val="24"/>
        </w:rPr>
        <w:t>Carattoli</w:t>
      </w:r>
      <w:proofErr w:type="spellEnd"/>
      <w:r w:rsidRPr="006A1321">
        <w:rPr>
          <w:rFonts w:asciiTheme="majorBidi" w:hAnsiTheme="majorBidi" w:cstheme="majorBidi"/>
          <w:szCs w:val="24"/>
        </w:rPr>
        <w:t>, A. (2013). Plasmids and the spread of resistance. International Journal of Medical Microbiology, 303(6–7), 298–304.</w:t>
      </w:r>
    </w:p>
    <w:p w14:paraId="7184A9F0" w14:textId="77777777" w:rsidR="008265AA" w:rsidRPr="006A1321" w:rsidRDefault="008265AA" w:rsidP="008265AA">
      <w:pPr>
        <w:ind w:left="720" w:hanging="720"/>
        <w:jc w:val="both"/>
        <w:rPr>
          <w:rFonts w:asciiTheme="majorBidi" w:hAnsiTheme="majorBidi" w:cstheme="majorBidi"/>
          <w:szCs w:val="24"/>
        </w:rPr>
      </w:pPr>
      <w:r w:rsidRPr="006A1321">
        <w:rPr>
          <w:rFonts w:asciiTheme="majorBidi" w:hAnsiTheme="majorBidi" w:cstheme="majorBidi"/>
          <w:szCs w:val="24"/>
        </w:rPr>
        <w:t>Centers for Disease Control and Prevention. (2022). Antibiotic resistance threats in the United States, 2022. U.S. Department of Health and Human Services.</w:t>
      </w:r>
    </w:p>
    <w:p w14:paraId="09784C6F" w14:textId="77777777" w:rsidR="008265AA" w:rsidRPr="00A53E7C" w:rsidRDefault="008265AA" w:rsidP="003F2A13">
      <w:pPr>
        <w:ind w:left="720" w:hanging="720"/>
        <w:jc w:val="both"/>
        <w:rPr>
          <w:rFonts w:asciiTheme="majorBidi" w:hAnsiTheme="majorBidi" w:cstheme="majorBidi"/>
          <w:szCs w:val="24"/>
        </w:rPr>
      </w:pPr>
      <w:proofErr w:type="spellStart"/>
      <w:r w:rsidRPr="00A53E7C">
        <w:rPr>
          <w:rFonts w:asciiTheme="majorBidi" w:hAnsiTheme="majorBidi" w:cstheme="majorBidi"/>
          <w:szCs w:val="24"/>
        </w:rPr>
        <w:lastRenderedPageBreak/>
        <w:t>Cheesbrough</w:t>
      </w:r>
      <w:proofErr w:type="spellEnd"/>
      <w:r w:rsidRPr="00A53E7C">
        <w:rPr>
          <w:rFonts w:asciiTheme="majorBidi" w:hAnsiTheme="majorBidi" w:cstheme="majorBidi"/>
          <w:szCs w:val="24"/>
        </w:rPr>
        <w:t xml:space="preserve">, M. (2019). </w:t>
      </w:r>
      <w:r w:rsidRPr="00A53E7C">
        <w:rPr>
          <w:rFonts w:asciiTheme="majorBidi" w:hAnsiTheme="majorBidi" w:cstheme="majorBidi"/>
          <w:i/>
          <w:iCs/>
          <w:szCs w:val="24"/>
        </w:rPr>
        <w:t>District laboratory practice in tropical countries</w:t>
      </w:r>
      <w:r w:rsidRPr="00A53E7C">
        <w:rPr>
          <w:rFonts w:asciiTheme="majorBidi" w:hAnsiTheme="majorBidi" w:cstheme="majorBidi"/>
          <w:szCs w:val="24"/>
        </w:rPr>
        <w:t xml:space="preserve"> (3rd ed.). Cambridge University Press.</w:t>
      </w:r>
    </w:p>
    <w:p w14:paraId="4396906B" w14:textId="77777777" w:rsidR="008265AA" w:rsidRPr="00A53E7C" w:rsidRDefault="008265AA" w:rsidP="003F2A13">
      <w:pPr>
        <w:ind w:left="720" w:hanging="720"/>
        <w:jc w:val="both"/>
        <w:rPr>
          <w:rFonts w:asciiTheme="majorBidi" w:hAnsiTheme="majorBidi" w:cstheme="majorBidi"/>
          <w:szCs w:val="24"/>
        </w:rPr>
      </w:pPr>
      <w:proofErr w:type="spellStart"/>
      <w:r w:rsidRPr="00A53E7C">
        <w:rPr>
          <w:rFonts w:asciiTheme="majorBidi" w:hAnsiTheme="majorBidi" w:cstheme="majorBidi"/>
          <w:szCs w:val="24"/>
        </w:rPr>
        <w:t>Chinweuba</w:t>
      </w:r>
      <w:proofErr w:type="spellEnd"/>
      <w:r w:rsidRPr="00A53E7C">
        <w:rPr>
          <w:rFonts w:asciiTheme="majorBidi" w:hAnsiTheme="majorBidi" w:cstheme="majorBidi"/>
          <w:szCs w:val="24"/>
        </w:rPr>
        <w:t xml:space="preserve">, A. J., </w:t>
      </w:r>
      <w:proofErr w:type="spellStart"/>
      <w:r w:rsidRPr="00A53E7C">
        <w:rPr>
          <w:rFonts w:asciiTheme="majorBidi" w:hAnsiTheme="majorBidi" w:cstheme="majorBidi"/>
          <w:szCs w:val="24"/>
        </w:rPr>
        <w:t>Nwodo</w:t>
      </w:r>
      <w:proofErr w:type="spellEnd"/>
      <w:r w:rsidRPr="00A53E7C">
        <w:rPr>
          <w:rFonts w:asciiTheme="majorBidi" w:hAnsiTheme="majorBidi" w:cstheme="majorBidi"/>
          <w:szCs w:val="24"/>
        </w:rPr>
        <w:t xml:space="preserve">, U. U., </w:t>
      </w:r>
      <w:proofErr w:type="spellStart"/>
      <w:r w:rsidRPr="00A53E7C">
        <w:rPr>
          <w:rFonts w:asciiTheme="majorBidi" w:hAnsiTheme="majorBidi" w:cstheme="majorBidi"/>
          <w:szCs w:val="24"/>
        </w:rPr>
        <w:t>Ugwu</w:t>
      </w:r>
      <w:proofErr w:type="spellEnd"/>
      <w:r w:rsidRPr="00A53E7C">
        <w:rPr>
          <w:rFonts w:asciiTheme="majorBidi" w:hAnsiTheme="majorBidi" w:cstheme="majorBidi"/>
          <w:szCs w:val="24"/>
        </w:rPr>
        <w:t xml:space="preserve">, M. C., Okpara, H. O., &amp; Eze, E. A. (2022). Environmental dissemination of antibiotic resistant coliforms in rural water sources in Nigeria. </w:t>
      </w:r>
      <w:r w:rsidRPr="00A53E7C">
        <w:rPr>
          <w:rFonts w:asciiTheme="majorBidi" w:hAnsiTheme="majorBidi" w:cstheme="majorBidi"/>
          <w:i/>
          <w:iCs/>
          <w:szCs w:val="24"/>
        </w:rPr>
        <w:t>Journal of Environmental and Public Health, 2022</w:t>
      </w:r>
      <w:r w:rsidRPr="00A53E7C">
        <w:rPr>
          <w:rFonts w:asciiTheme="majorBidi" w:hAnsiTheme="majorBidi" w:cstheme="majorBidi"/>
          <w:szCs w:val="24"/>
        </w:rPr>
        <w:t xml:space="preserve">, 1–10. </w:t>
      </w:r>
      <w:hyperlink r:id="rId13" w:history="1">
        <w:r w:rsidRPr="00A53E7C">
          <w:rPr>
            <w:rStyle w:val="Hyperlink"/>
            <w:rFonts w:asciiTheme="majorBidi" w:hAnsiTheme="majorBidi" w:cstheme="majorBidi"/>
            <w:color w:val="auto"/>
            <w:szCs w:val="24"/>
          </w:rPr>
          <w:t>https://doi.org/10.1155/2022/8843212</w:t>
        </w:r>
      </w:hyperlink>
    </w:p>
    <w:p w14:paraId="6A096725" w14:textId="77777777" w:rsidR="008265AA" w:rsidRPr="00A53E7C" w:rsidRDefault="008265AA" w:rsidP="003F2A13">
      <w:pPr>
        <w:ind w:left="720" w:hanging="720"/>
        <w:jc w:val="both"/>
        <w:rPr>
          <w:rFonts w:asciiTheme="majorBidi" w:hAnsiTheme="majorBidi" w:cstheme="majorBidi"/>
          <w:szCs w:val="24"/>
        </w:rPr>
      </w:pPr>
      <w:r w:rsidRPr="00A53E7C">
        <w:rPr>
          <w:rFonts w:asciiTheme="majorBidi" w:hAnsiTheme="majorBidi" w:cstheme="majorBidi"/>
          <w:szCs w:val="24"/>
        </w:rPr>
        <w:t xml:space="preserve">Clinical and Laboratory Standards Institute. (2021). </w:t>
      </w:r>
      <w:r w:rsidRPr="00A53E7C">
        <w:rPr>
          <w:rFonts w:asciiTheme="majorBidi" w:hAnsiTheme="majorBidi" w:cstheme="majorBidi"/>
          <w:i/>
          <w:iCs/>
          <w:szCs w:val="24"/>
        </w:rPr>
        <w:t>Performance standards for antimicrobial susceptibility testing</w:t>
      </w:r>
      <w:r w:rsidRPr="00A53E7C">
        <w:rPr>
          <w:rFonts w:asciiTheme="majorBidi" w:hAnsiTheme="majorBidi" w:cstheme="majorBidi"/>
          <w:szCs w:val="24"/>
        </w:rPr>
        <w:t xml:space="preserve"> (31st ed.). CLSI Supplement M100.</w:t>
      </w:r>
    </w:p>
    <w:p w14:paraId="3C2209EE" w14:textId="77777777" w:rsidR="008265AA" w:rsidRPr="006A1321" w:rsidRDefault="008265AA" w:rsidP="008265AA">
      <w:pPr>
        <w:ind w:left="720" w:hanging="720"/>
        <w:jc w:val="both"/>
        <w:rPr>
          <w:rFonts w:asciiTheme="majorBidi" w:hAnsiTheme="majorBidi" w:cstheme="majorBidi"/>
          <w:szCs w:val="24"/>
        </w:rPr>
      </w:pPr>
      <w:proofErr w:type="spellStart"/>
      <w:r w:rsidRPr="006A1321">
        <w:rPr>
          <w:rFonts w:asciiTheme="majorBidi" w:hAnsiTheme="majorBidi" w:cstheme="majorBidi"/>
          <w:szCs w:val="24"/>
        </w:rPr>
        <w:t>Croxen</w:t>
      </w:r>
      <w:proofErr w:type="spellEnd"/>
      <w:r w:rsidRPr="006A1321">
        <w:rPr>
          <w:rFonts w:asciiTheme="majorBidi" w:hAnsiTheme="majorBidi" w:cstheme="majorBidi"/>
          <w:szCs w:val="24"/>
        </w:rPr>
        <w:t>, M. A., Finlay, B. B., &amp; Frankel, G. (2019). Escherichia coli pathogenesis and virulence factors: An overview. Clinical Microbiology Reviews, 32(2), e00043-19.</w:t>
      </w:r>
    </w:p>
    <w:p w14:paraId="00E3B599" w14:textId="77777777" w:rsidR="008265AA" w:rsidRPr="00A53E7C" w:rsidRDefault="008265AA" w:rsidP="003F2A13">
      <w:pPr>
        <w:ind w:left="720" w:hanging="720"/>
        <w:jc w:val="both"/>
        <w:rPr>
          <w:rFonts w:asciiTheme="majorBidi" w:hAnsiTheme="majorBidi" w:cstheme="majorBidi"/>
          <w:szCs w:val="24"/>
        </w:rPr>
      </w:pPr>
      <w:r w:rsidRPr="00A53E7C">
        <w:rPr>
          <w:rFonts w:asciiTheme="majorBidi" w:hAnsiTheme="majorBidi" w:cstheme="majorBidi"/>
          <w:szCs w:val="24"/>
        </w:rPr>
        <w:t xml:space="preserve">Edberg, S. C., Rice, E. W., </w:t>
      </w:r>
      <w:proofErr w:type="spellStart"/>
      <w:r w:rsidRPr="00A53E7C">
        <w:rPr>
          <w:rFonts w:asciiTheme="majorBidi" w:hAnsiTheme="majorBidi" w:cstheme="majorBidi"/>
          <w:szCs w:val="24"/>
        </w:rPr>
        <w:t>Karlin</w:t>
      </w:r>
      <w:proofErr w:type="spellEnd"/>
      <w:r w:rsidRPr="00A53E7C">
        <w:rPr>
          <w:rFonts w:asciiTheme="majorBidi" w:hAnsiTheme="majorBidi" w:cstheme="majorBidi"/>
          <w:szCs w:val="24"/>
        </w:rPr>
        <w:t xml:space="preserve">, R. J., &amp; Allen, M. J. (2021). Escherichia coli: The best biological drinking water indicator for public health protection. </w:t>
      </w:r>
      <w:r w:rsidRPr="00A53E7C">
        <w:rPr>
          <w:rFonts w:asciiTheme="majorBidi" w:hAnsiTheme="majorBidi" w:cstheme="majorBidi"/>
          <w:i/>
          <w:iCs/>
          <w:szCs w:val="24"/>
        </w:rPr>
        <w:t>Journal of Applied Microbiology, 131</w:t>
      </w:r>
      <w:r w:rsidRPr="00A53E7C">
        <w:rPr>
          <w:rFonts w:asciiTheme="majorBidi" w:hAnsiTheme="majorBidi" w:cstheme="majorBidi"/>
          <w:szCs w:val="24"/>
        </w:rPr>
        <w:t xml:space="preserve">(1), 14–29. </w:t>
      </w:r>
      <w:hyperlink r:id="rId14" w:history="1">
        <w:r w:rsidRPr="00A53E7C">
          <w:rPr>
            <w:rStyle w:val="Hyperlink"/>
            <w:rFonts w:asciiTheme="majorBidi" w:hAnsiTheme="majorBidi" w:cstheme="majorBidi"/>
            <w:color w:val="auto"/>
            <w:szCs w:val="24"/>
          </w:rPr>
          <w:t>https://doi.org/10.1111/jam.14912</w:t>
        </w:r>
      </w:hyperlink>
    </w:p>
    <w:p w14:paraId="1B67AA17" w14:textId="77777777" w:rsidR="008265AA" w:rsidRPr="00A53E7C" w:rsidRDefault="008265AA" w:rsidP="003F2A13">
      <w:pPr>
        <w:ind w:left="720" w:hanging="720"/>
        <w:jc w:val="both"/>
        <w:rPr>
          <w:rFonts w:asciiTheme="majorBidi" w:hAnsiTheme="majorBidi" w:cstheme="majorBidi"/>
          <w:szCs w:val="24"/>
        </w:rPr>
      </w:pPr>
      <w:proofErr w:type="spellStart"/>
      <w:r w:rsidRPr="00A53E7C">
        <w:rPr>
          <w:rFonts w:asciiTheme="majorBidi" w:hAnsiTheme="majorBidi" w:cstheme="majorBidi"/>
          <w:szCs w:val="24"/>
        </w:rPr>
        <w:t>Egbueri</w:t>
      </w:r>
      <w:proofErr w:type="spellEnd"/>
      <w:r w:rsidRPr="00A53E7C">
        <w:rPr>
          <w:rFonts w:asciiTheme="majorBidi" w:hAnsiTheme="majorBidi" w:cstheme="majorBidi"/>
          <w:szCs w:val="24"/>
        </w:rPr>
        <w:t xml:space="preserve">, J. C. (2020). Assessment of groundwater quality and potential health risks in rural communities of southeastern Nigeria. </w:t>
      </w:r>
      <w:r w:rsidRPr="00A53E7C">
        <w:rPr>
          <w:rFonts w:asciiTheme="majorBidi" w:hAnsiTheme="majorBidi" w:cstheme="majorBidi"/>
          <w:i/>
          <w:iCs/>
          <w:szCs w:val="24"/>
        </w:rPr>
        <w:t>Environmental Geochemistry and Health, 42</w:t>
      </w:r>
      <w:r w:rsidRPr="00A53E7C">
        <w:rPr>
          <w:rFonts w:asciiTheme="majorBidi" w:hAnsiTheme="majorBidi" w:cstheme="majorBidi"/>
          <w:szCs w:val="24"/>
        </w:rPr>
        <w:t xml:space="preserve">, 2663–2687. </w:t>
      </w:r>
      <w:hyperlink r:id="rId15" w:history="1">
        <w:r w:rsidRPr="00A53E7C">
          <w:rPr>
            <w:rStyle w:val="Hyperlink"/>
            <w:rFonts w:asciiTheme="majorBidi" w:hAnsiTheme="majorBidi" w:cstheme="majorBidi"/>
            <w:color w:val="auto"/>
            <w:szCs w:val="24"/>
          </w:rPr>
          <w:t>https://doi.org/10.1007/s10653-020-00552-7</w:t>
        </w:r>
      </w:hyperlink>
    </w:p>
    <w:p w14:paraId="3AE42BBB" w14:textId="77777777" w:rsidR="008265AA" w:rsidRPr="00A53E7C" w:rsidRDefault="008265AA" w:rsidP="003F2A13">
      <w:pPr>
        <w:ind w:left="720" w:hanging="720"/>
        <w:jc w:val="both"/>
        <w:rPr>
          <w:rFonts w:asciiTheme="majorBidi" w:hAnsiTheme="majorBidi" w:cstheme="majorBidi"/>
          <w:szCs w:val="24"/>
        </w:rPr>
      </w:pPr>
      <w:proofErr w:type="spellStart"/>
      <w:r w:rsidRPr="00A53E7C">
        <w:rPr>
          <w:rFonts w:asciiTheme="majorBidi" w:hAnsiTheme="majorBidi" w:cstheme="majorBidi"/>
          <w:szCs w:val="24"/>
        </w:rPr>
        <w:t>Ezugworie</w:t>
      </w:r>
      <w:proofErr w:type="spellEnd"/>
      <w:r w:rsidRPr="00A53E7C">
        <w:rPr>
          <w:rFonts w:asciiTheme="majorBidi" w:hAnsiTheme="majorBidi" w:cstheme="majorBidi"/>
          <w:szCs w:val="24"/>
        </w:rPr>
        <w:t xml:space="preserve">, F. N., </w:t>
      </w:r>
      <w:proofErr w:type="spellStart"/>
      <w:r w:rsidRPr="00A53E7C">
        <w:rPr>
          <w:rFonts w:asciiTheme="majorBidi" w:hAnsiTheme="majorBidi" w:cstheme="majorBidi"/>
          <w:szCs w:val="24"/>
        </w:rPr>
        <w:t>Onah</w:t>
      </w:r>
      <w:proofErr w:type="spellEnd"/>
      <w:r w:rsidRPr="00A53E7C">
        <w:rPr>
          <w:rFonts w:asciiTheme="majorBidi" w:hAnsiTheme="majorBidi" w:cstheme="majorBidi"/>
          <w:szCs w:val="24"/>
        </w:rPr>
        <w:t xml:space="preserve">, C. E., &amp; </w:t>
      </w:r>
      <w:proofErr w:type="spellStart"/>
      <w:r w:rsidRPr="00A53E7C">
        <w:rPr>
          <w:rFonts w:asciiTheme="majorBidi" w:hAnsiTheme="majorBidi" w:cstheme="majorBidi"/>
          <w:szCs w:val="24"/>
        </w:rPr>
        <w:t>Nwakaudu</w:t>
      </w:r>
      <w:proofErr w:type="spellEnd"/>
      <w:r w:rsidRPr="00A53E7C">
        <w:rPr>
          <w:rFonts w:asciiTheme="majorBidi" w:hAnsiTheme="majorBidi" w:cstheme="majorBidi"/>
          <w:szCs w:val="24"/>
        </w:rPr>
        <w:t xml:space="preserve">, A. A. (2021). Bacteriological quality of surface water sources used for domestic purposes in rural Nigerian communities. </w:t>
      </w:r>
      <w:r w:rsidRPr="00A53E7C">
        <w:rPr>
          <w:rFonts w:asciiTheme="majorBidi" w:hAnsiTheme="majorBidi" w:cstheme="majorBidi"/>
          <w:i/>
          <w:iCs/>
          <w:szCs w:val="24"/>
        </w:rPr>
        <w:t>Environmental Monitoring and Assessment, 193</w:t>
      </w:r>
      <w:r w:rsidRPr="00A53E7C">
        <w:rPr>
          <w:rFonts w:asciiTheme="majorBidi" w:hAnsiTheme="majorBidi" w:cstheme="majorBidi"/>
          <w:szCs w:val="24"/>
        </w:rPr>
        <w:t xml:space="preserve">(5), 287. </w:t>
      </w:r>
      <w:hyperlink r:id="rId16" w:history="1">
        <w:r w:rsidRPr="00A53E7C">
          <w:rPr>
            <w:rStyle w:val="Hyperlink"/>
            <w:rFonts w:asciiTheme="majorBidi" w:hAnsiTheme="majorBidi" w:cstheme="majorBidi"/>
            <w:color w:val="auto"/>
            <w:szCs w:val="24"/>
          </w:rPr>
          <w:t>https://doi.org/10.1007/s10661-021-08993-8</w:t>
        </w:r>
      </w:hyperlink>
    </w:p>
    <w:p w14:paraId="4CEEA709" w14:textId="77777777" w:rsidR="008265AA" w:rsidRPr="00A53E7C" w:rsidRDefault="008265AA" w:rsidP="008265AA">
      <w:pPr>
        <w:ind w:left="720" w:hanging="720"/>
        <w:jc w:val="both"/>
        <w:rPr>
          <w:rFonts w:asciiTheme="majorBidi" w:hAnsiTheme="majorBidi" w:cstheme="majorBidi"/>
          <w:szCs w:val="24"/>
        </w:rPr>
      </w:pPr>
      <w:r w:rsidRPr="00A53E7C">
        <w:rPr>
          <w:rFonts w:asciiTheme="majorBidi" w:hAnsiTheme="majorBidi" w:cstheme="majorBidi"/>
          <w:szCs w:val="24"/>
        </w:rPr>
        <w:t xml:space="preserve">Forbes, B. A., </w:t>
      </w:r>
      <w:proofErr w:type="spellStart"/>
      <w:r w:rsidRPr="00A53E7C">
        <w:rPr>
          <w:rFonts w:asciiTheme="majorBidi" w:hAnsiTheme="majorBidi" w:cstheme="majorBidi"/>
          <w:szCs w:val="24"/>
        </w:rPr>
        <w:t>Sahm</w:t>
      </w:r>
      <w:proofErr w:type="spellEnd"/>
      <w:r w:rsidRPr="00A53E7C">
        <w:rPr>
          <w:rFonts w:asciiTheme="majorBidi" w:hAnsiTheme="majorBidi" w:cstheme="majorBidi"/>
          <w:szCs w:val="24"/>
        </w:rPr>
        <w:t xml:space="preserve">, D. F., &amp; </w:t>
      </w:r>
      <w:proofErr w:type="spellStart"/>
      <w:r w:rsidRPr="00A53E7C">
        <w:rPr>
          <w:rFonts w:asciiTheme="majorBidi" w:hAnsiTheme="majorBidi" w:cstheme="majorBidi"/>
          <w:szCs w:val="24"/>
        </w:rPr>
        <w:t>Weissfeld</w:t>
      </w:r>
      <w:proofErr w:type="spellEnd"/>
      <w:r w:rsidRPr="00A53E7C">
        <w:rPr>
          <w:rFonts w:asciiTheme="majorBidi" w:hAnsiTheme="majorBidi" w:cstheme="majorBidi"/>
          <w:szCs w:val="24"/>
        </w:rPr>
        <w:t xml:space="preserve">, A. S. (2020). </w:t>
      </w:r>
      <w:r w:rsidRPr="00A53E7C">
        <w:rPr>
          <w:rFonts w:asciiTheme="majorBidi" w:hAnsiTheme="majorBidi" w:cstheme="majorBidi"/>
          <w:i/>
          <w:iCs/>
          <w:szCs w:val="24"/>
        </w:rPr>
        <w:t>Bailey &amp; Scott’s diagnostic microbiology</w:t>
      </w:r>
      <w:r w:rsidRPr="00A53E7C">
        <w:rPr>
          <w:rFonts w:asciiTheme="majorBidi" w:hAnsiTheme="majorBidi" w:cstheme="majorBidi"/>
          <w:szCs w:val="24"/>
        </w:rPr>
        <w:t xml:space="preserve"> (14th ed.). Elsevier.</w:t>
      </w:r>
    </w:p>
    <w:p w14:paraId="3EE48DE9" w14:textId="77777777" w:rsidR="008265AA" w:rsidRPr="006A1321" w:rsidRDefault="008265AA" w:rsidP="008265AA">
      <w:pPr>
        <w:ind w:left="720" w:hanging="720"/>
        <w:jc w:val="both"/>
        <w:rPr>
          <w:rFonts w:asciiTheme="majorBidi" w:hAnsiTheme="majorBidi" w:cstheme="majorBidi"/>
          <w:szCs w:val="24"/>
        </w:rPr>
      </w:pPr>
      <w:r w:rsidRPr="006A1321">
        <w:rPr>
          <w:rFonts w:asciiTheme="majorBidi" w:hAnsiTheme="majorBidi" w:cstheme="majorBidi"/>
          <w:szCs w:val="24"/>
        </w:rPr>
        <w:t>Green, M. R., &amp; Sambrook, J. (2021). Molecular cloning: A laboratory manual (4th ed.). Cold Spring Harbor Laboratory Press.</w:t>
      </w:r>
    </w:p>
    <w:p w14:paraId="6124F564" w14:textId="77777777" w:rsidR="008265AA" w:rsidRPr="006A1321" w:rsidRDefault="008265AA" w:rsidP="008265AA">
      <w:pPr>
        <w:ind w:left="720" w:hanging="720"/>
        <w:jc w:val="both"/>
        <w:rPr>
          <w:rFonts w:asciiTheme="majorBidi" w:hAnsiTheme="majorBidi" w:cstheme="majorBidi"/>
          <w:szCs w:val="24"/>
        </w:rPr>
      </w:pPr>
      <w:r w:rsidRPr="006A1321">
        <w:rPr>
          <w:rFonts w:asciiTheme="majorBidi" w:hAnsiTheme="majorBidi" w:cstheme="majorBidi"/>
          <w:szCs w:val="24"/>
        </w:rPr>
        <w:lastRenderedPageBreak/>
        <w:t xml:space="preserve">Hendriksen, R. S., Munk, P., </w:t>
      </w:r>
      <w:proofErr w:type="spellStart"/>
      <w:r w:rsidRPr="006A1321">
        <w:rPr>
          <w:rFonts w:asciiTheme="majorBidi" w:hAnsiTheme="majorBidi" w:cstheme="majorBidi"/>
          <w:szCs w:val="24"/>
        </w:rPr>
        <w:t>Njage</w:t>
      </w:r>
      <w:proofErr w:type="spellEnd"/>
      <w:r w:rsidRPr="006A1321">
        <w:rPr>
          <w:rFonts w:asciiTheme="majorBidi" w:hAnsiTheme="majorBidi" w:cstheme="majorBidi"/>
          <w:szCs w:val="24"/>
        </w:rPr>
        <w:t xml:space="preserve">, P., van </w:t>
      </w:r>
      <w:proofErr w:type="spellStart"/>
      <w:r w:rsidRPr="006A1321">
        <w:rPr>
          <w:rFonts w:asciiTheme="majorBidi" w:hAnsiTheme="majorBidi" w:cstheme="majorBidi"/>
          <w:szCs w:val="24"/>
        </w:rPr>
        <w:t>Bunnik</w:t>
      </w:r>
      <w:proofErr w:type="spellEnd"/>
      <w:r w:rsidRPr="006A1321">
        <w:rPr>
          <w:rFonts w:asciiTheme="majorBidi" w:hAnsiTheme="majorBidi" w:cstheme="majorBidi"/>
          <w:szCs w:val="24"/>
        </w:rPr>
        <w:t xml:space="preserve">, B., McNally, L., </w:t>
      </w:r>
      <w:proofErr w:type="spellStart"/>
      <w:r w:rsidRPr="006A1321">
        <w:rPr>
          <w:rFonts w:asciiTheme="majorBidi" w:hAnsiTheme="majorBidi" w:cstheme="majorBidi"/>
          <w:szCs w:val="24"/>
        </w:rPr>
        <w:t>Lukjancenko</w:t>
      </w:r>
      <w:proofErr w:type="spellEnd"/>
      <w:r w:rsidRPr="006A1321">
        <w:rPr>
          <w:rFonts w:asciiTheme="majorBidi" w:hAnsiTheme="majorBidi" w:cstheme="majorBidi"/>
          <w:szCs w:val="24"/>
        </w:rPr>
        <w:t xml:space="preserve">, O., ... &amp; </w:t>
      </w:r>
      <w:proofErr w:type="spellStart"/>
      <w:r w:rsidRPr="006A1321">
        <w:rPr>
          <w:rFonts w:asciiTheme="majorBidi" w:hAnsiTheme="majorBidi" w:cstheme="majorBidi"/>
          <w:szCs w:val="24"/>
        </w:rPr>
        <w:t>Aarestrup</w:t>
      </w:r>
      <w:proofErr w:type="spellEnd"/>
      <w:r w:rsidRPr="006A1321">
        <w:rPr>
          <w:rFonts w:asciiTheme="majorBidi" w:hAnsiTheme="majorBidi" w:cstheme="majorBidi"/>
          <w:szCs w:val="24"/>
        </w:rPr>
        <w:t>, F. M. (2019). Global monitoring of antimicrobial resistance based on metagenomics analyses of urban sewage. Nature Communications, 10, 1124.</w:t>
      </w:r>
    </w:p>
    <w:p w14:paraId="61E6DDAF" w14:textId="77777777" w:rsidR="008265AA" w:rsidRPr="00A53E7C" w:rsidRDefault="008265AA" w:rsidP="008265AA">
      <w:pPr>
        <w:ind w:left="720" w:hanging="720"/>
        <w:jc w:val="both"/>
        <w:rPr>
          <w:rFonts w:asciiTheme="majorBidi" w:hAnsiTheme="majorBidi" w:cstheme="majorBidi"/>
          <w:szCs w:val="24"/>
        </w:rPr>
      </w:pPr>
      <w:r w:rsidRPr="00A53E7C">
        <w:rPr>
          <w:rFonts w:asciiTheme="majorBidi" w:hAnsiTheme="majorBidi" w:cstheme="majorBidi"/>
          <w:szCs w:val="24"/>
        </w:rPr>
        <w:t xml:space="preserve">Hernando-Amado, S., </w:t>
      </w:r>
      <w:proofErr w:type="spellStart"/>
      <w:r w:rsidRPr="00A53E7C">
        <w:rPr>
          <w:rFonts w:asciiTheme="majorBidi" w:hAnsiTheme="majorBidi" w:cstheme="majorBidi"/>
          <w:szCs w:val="24"/>
        </w:rPr>
        <w:t>Coque</w:t>
      </w:r>
      <w:proofErr w:type="spellEnd"/>
      <w:r w:rsidRPr="00A53E7C">
        <w:rPr>
          <w:rFonts w:asciiTheme="majorBidi" w:hAnsiTheme="majorBidi" w:cstheme="majorBidi"/>
          <w:szCs w:val="24"/>
        </w:rPr>
        <w:t xml:space="preserve">, T. M., </w:t>
      </w:r>
      <w:proofErr w:type="spellStart"/>
      <w:r w:rsidRPr="00A53E7C">
        <w:rPr>
          <w:rFonts w:asciiTheme="majorBidi" w:hAnsiTheme="majorBidi" w:cstheme="majorBidi"/>
          <w:szCs w:val="24"/>
        </w:rPr>
        <w:t>Baquero</w:t>
      </w:r>
      <w:proofErr w:type="spellEnd"/>
      <w:r w:rsidRPr="00A53E7C">
        <w:rPr>
          <w:rFonts w:asciiTheme="majorBidi" w:hAnsiTheme="majorBidi" w:cstheme="majorBidi"/>
          <w:szCs w:val="24"/>
        </w:rPr>
        <w:t xml:space="preserve">, F., &amp; Martínez, J. L. (2020). Defining and combating antibiotic resistance from One Health and global health perspectives. </w:t>
      </w:r>
      <w:r w:rsidRPr="00A53E7C">
        <w:rPr>
          <w:rFonts w:asciiTheme="majorBidi" w:hAnsiTheme="majorBidi" w:cstheme="majorBidi"/>
          <w:i/>
          <w:iCs/>
          <w:szCs w:val="24"/>
        </w:rPr>
        <w:t>Nature Microbiology, 5</w:t>
      </w:r>
      <w:r w:rsidRPr="00A53E7C">
        <w:rPr>
          <w:rFonts w:asciiTheme="majorBidi" w:hAnsiTheme="majorBidi" w:cstheme="majorBidi"/>
          <w:szCs w:val="24"/>
        </w:rPr>
        <w:t xml:space="preserve">(9), 1350–1358. </w:t>
      </w:r>
      <w:hyperlink r:id="rId17" w:history="1">
        <w:r w:rsidRPr="00A53E7C">
          <w:rPr>
            <w:rStyle w:val="Hyperlink"/>
            <w:rFonts w:asciiTheme="majorBidi" w:hAnsiTheme="majorBidi" w:cstheme="majorBidi"/>
            <w:color w:val="auto"/>
            <w:szCs w:val="24"/>
          </w:rPr>
          <w:t>https://doi.org/10.1038/s41564-020-0736-1</w:t>
        </w:r>
      </w:hyperlink>
    </w:p>
    <w:p w14:paraId="7AF1391F" w14:textId="77777777" w:rsidR="008265AA" w:rsidRPr="00A53E7C" w:rsidRDefault="008265AA" w:rsidP="003F2A13">
      <w:pPr>
        <w:ind w:left="720" w:hanging="720"/>
        <w:jc w:val="both"/>
        <w:rPr>
          <w:rFonts w:asciiTheme="majorBidi" w:hAnsiTheme="majorBidi" w:cstheme="majorBidi"/>
          <w:szCs w:val="24"/>
        </w:rPr>
      </w:pPr>
      <w:proofErr w:type="spellStart"/>
      <w:r w:rsidRPr="00A53E7C">
        <w:rPr>
          <w:rFonts w:asciiTheme="majorBidi" w:hAnsiTheme="majorBidi" w:cstheme="majorBidi"/>
          <w:szCs w:val="24"/>
        </w:rPr>
        <w:t>Igbinosa</w:t>
      </w:r>
      <w:proofErr w:type="spellEnd"/>
      <w:r w:rsidRPr="00A53E7C">
        <w:rPr>
          <w:rFonts w:asciiTheme="majorBidi" w:hAnsiTheme="majorBidi" w:cstheme="majorBidi"/>
          <w:szCs w:val="24"/>
        </w:rPr>
        <w:t xml:space="preserve">, E. O., </w:t>
      </w:r>
      <w:proofErr w:type="spellStart"/>
      <w:r w:rsidRPr="00A53E7C">
        <w:rPr>
          <w:rFonts w:asciiTheme="majorBidi" w:hAnsiTheme="majorBidi" w:cstheme="majorBidi"/>
          <w:szCs w:val="24"/>
        </w:rPr>
        <w:t>Nwodo</w:t>
      </w:r>
      <w:proofErr w:type="spellEnd"/>
      <w:r w:rsidRPr="00A53E7C">
        <w:rPr>
          <w:rFonts w:asciiTheme="majorBidi" w:hAnsiTheme="majorBidi" w:cstheme="majorBidi"/>
          <w:szCs w:val="24"/>
        </w:rPr>
        <w:t xml:space="preserve">, U. U., Sosa, A., Tom, M., &amp; </w:t>
      </w:r>
      <w:proofErr w:type="spellStart"/>
      <w:r w:rsidRPr="00A53E7C">
        <w:rPr>
          <w:rFonts w:asciiTheme="majorBidi" w:hAnsiTheme="majorBidi" w:cstheme="majorBidi"/>
          <w:szCs w:val="24"/>
        </w:rPr>
        <w:t>Okoh</w:t>
      </w:r>
      <w:proofErr w:type="spellEnd"/>
      <w:r w:rsidRPr="00A53E7C">
        <w:rPr>
          <w:rFonts w:asciiTheme="majorBidi" w:hAnsiTheme="majorBidi" w:cstheme="majorBidi"/>
          <w:szCs w:val="24"/>
        </w:rPr>
        <w:t xml:space="preserve">, A. I. (2021). Pathogenic potential of </w:t>
      </w:r>
      <w:r w:rsidRPr="00A53E7C">
        <w:rPr>
          <w:rFonts w:asciiTheme="majorBidi" w:hAnsiTheme="majorBidi" w:cstheme="majorBidi"/>
          <w:i/>
          <w:iCs/>
          <w:szCs w:val="24"/>
        </w:rPr>
        <w:t>Escherichia coli</w:t>
      </w:r>
      <w:r w:rsidRPr="00A53E7C">
        <w:rPr>
          <w:rFonts w:asciiTheme="majorBidi" w:hAnsiTheme="majorBidi" w:cstheme="majorBidi"/>
          <w:szCs w:val="24"/>
        </w:rPr>
        <w:t xml:space="preserve"> strains isolated from water sources in rural areas of South Africa. </w:t>
      </w:r>
      <w:r w:rsidRPr="00A53E7C">
        <w:rPr>
          <w:rFonts w:asciiTheme="majorBidi" w:hAnsiTheme="majorBidi" w:cstheme="majorBidi"/>
          <w:i/>
          <w:iCs/>
          <w:szCs w:val="24"/>
        </w:rPr>
        <w:t>Journal of Water and Health, 19</w:t>
      </w:r>
      <w:r w:rsidRPr="00A53E7C">
        <w:rPr>
          <w:rFonts w:asciiTheme="majorBidi" w:hAnsiTheme="majorBidi" w:cstheme="majorBidi"/>
          <w:szCs w:val="24"/>
        </w:rPr>
        <w:t xml:space="preserve">(1), 1–12. </w:t>
      </w:r>
      <w:hyperlink r:id="rId18" w:history="1">
        <w:r w:rsidRPr="00A53E7C">
          <w:rPr>
            <w:rStyle w:val="Hyperlink"/>
            <w:rFonts w:asciiTheme="majorBidi" w:hAnsiTheme="majorBidi" w:cstheme="majorBidi"/>
            <w:color w:val="auto"/>
            <w:szCs w:val="24"/>
          </w:rPr>
          <w:t>https://doi.org/10.2166/wh.2020.166</w:t>
        </w:r>
      </w:hyperlink>
    </w:p>
    <w:p w14:paraId="31E576FB" w14:textId="77777777" w:rsidR="008265AA" w:rsidRPr="006A1321" w:rsidRDefault="008265AA" w:rsidP="008265AA">
      <w:pPr>
        <w:ind w:left="720" w:hanging="720"/>
        <w:jc w:val="both"/>
        <w:rPr>
          <w:rFonts w:asciiTheme="majorBidi" w:hAnsiTheme="majorBidi" w:cstheme="majorBidi"/>
          <w:szCs w:val="24"/>
        </w:rPr>
      </w:pPr>
      <w:proofErr w:type="spellStart"/>
      <w:r w:rsidRPr="006A1321">
        <w:rPr>
          <w:rFonts w:asciiTheme="majorBidi" w:hAnsiTheme="majorBidi" w:cstheme="majorBidi"/>
          <w:szCs w:val="24"/>
        </w:rPr>
        <w:t>Iwu</w:t>
      </w:r>
      <w:proofErr w:type="spellEnd"/>
      <w:r w:rsidRPr="006A1321">
        <w:rPr>
          <w:rFonts w:asciiTheme="majorBidi" w:hAnsiTheme="majorBidi" w:cstheme="majorBidi"/>
          <w:szCs w:val="24"/>
        </w:rPr>
        <w:t xml:space="preserve">, C. D., &amp; </w:t>
      </w:r>
      <w:proofErr w:type="spellStart"/>
      <w:r w:rsidRPr="006A1321">
        <w:rPr>
          <w:rFonts w:asciiTheme="majorBidi" w:hAnsiTheme="majorBidi" w:cstheme="majorBidi"/>
          <w:szCs w:val="24"/>
        </w:rPr>
        <w:t>Okoh</w:t>
      </w:r>
      <w:proofErr w:type="spellEnd"/>
      <w:r w:rsidRPr="006A1321">
        <w:rPr>
          <w:rFonts w:asciiTheme="majorBidi" w:hAnsiTheme="majorBidi" w:cstheme="majorBidi"/>
          <w:szCs w:val="24"/>
        </w:rPr>
        <w:t>, A. I. (2020). Occurrence of antibiotic resistant enteric bacteria in river waters impacted by domestic sewage in South Africa. Environmental Science and Pollution Research, 27, 1–12.</w:t>
      </w:r>
    </w:p>
    <w:p w14:paraId="4B12588B" w14:textId="77777777" w:rsidR="008265AA" w:rsidRPr="006A1321" w:rsidRDefault="008265AA" w:rsidP="008265AA">
      <w:pPr>
        <w:ind w:left="720" w:hanging="720"/>
        <w:jc w:val="both"/>
        <w:rPr>
          <w:rFonts w:asciiTheme="majorBidi" w:hAnsiTheme="majorBidi" w:cstheme="majorBidi"/>
          <w:szCs w:val="24"/>
        </w:rPr>
      </w:pPr>
      <w:proofErr w:type="spellStart"/>
      <w:r w:rsidRPr="006A1321">
        <w:rPr>
          <w:rFonts w:asciiTheme="majorBidi" w:hAnsiTheme="majorBidi" w:cstheme="majorBidi"/>
          <w:szCs w:val="24"/>
        </w:rPr>
        <w:t>Kaper</w:t>
      </w:r>
      <w:proofErr w:type="spellEnd"/>
      <w:r w:rsidRPr="006A1321">
        <w:rPr>
          <w:rFonts w:asciiTheme="majorBidi" w:hAnsiTheme="majorBidi" w:cstheme="majorBidi"/>
          <w:szCs w:val="24"/>
        </w:rPr>
        <w:t xml:space="preserve">, J. B., </w:t>
      </w:r>
      <w:proofErr w:type="spellStart"/>
      <w:r w:rsidRPr="006A1321">
        <w:rPr>
          <w:rFonts w:asciiTheme="majorBidi" w:hAnsiTheme="majorBidi" w:cstheme="majorBidi"/>
          <w:szCs w:val="24"/>
        </w:rPr>
        <w:t>Nataro</w:t>
      </w:r>
      <w:proofErr w:type="spellEnd"/>
      <w:r w:rsidRPr="006A1321">
        <w:rPr>
          <w:rFonts w:asciiTheme="majorBidi" w:hAnsiTheme="majorBidi" w:cstheme="majorBidi"/>
          <w:szCs w:val="24"/>
        </w:rPr>
        <w:t>, J. P., &amp; Mobley, H. L. T. (2004). Pathogenic Escherichia coli. Nature Reviews Microbiology, 2(2), 123–140.</w:t>
      </w:r>
    </w:p>
    <w:p w14:paraId="19DBB2C7" w14:textId="77777777" w:rsidR="008265AA" w:rsidRPr="00A53E7C" w:rsidRDefault="008265AA" w:rsidP="003F2A13">
      <w:pPr>
        <w:ind w:left="720" w:hanging="720"/>
        <w:jc w:val="both"/>
        <w:rPr>
          <w:rFonts w:asciiTheme="majorBidi" w:hAnsiTheme="majorBidi" w:cstheme="majorBidi"/>
          <w:szCs w:val="24"/>
        </w:rPr>
      </w:pPr>
      <w:r w:rsidRPr="00A53E7C">
        <w:rPr>
          <w:rFonts w:asciiTheme="majorBidi" w:hAnsiTheme="majorBidi" w:cstheme="majorBidi"/>
          <w:szCs w:val="24"/>
        </w:rPr>
        <w:t xml:space="preserve">Lanza, V. F., </w:t>
      </w:r>
      <w:proofErr w:type="spellStart"/>
      <w:r w:rsidRPr="00A53E7C">
        <w:rPr>
          <w:rFonts w:asciiTheme="majorBidi" w:hAnsiTheme="majorBidi" w:cstheme="majorBidi"/>
          <w:szCs w:val="24"/>
        </w:rPr>
        <w:t>Baquero</w:t>
      </w:r>
      <w:proofErr w:type="spellEnd"/>
      <w:r w:rsidRPr="00A53E7C">
        <w:rPr>
          <w:rFonts w:asciiTheme="majorBidi" w:hAnsiTheme="majorBidi" w:cstheme="majorBidi"/>
          <w:szCs w:val="24"/>
        </w:rPr>
        <w:t xml:space="preserve">, F., Martínez, J. L., &amp; </w:t>
      </w:r>
      <w:proofErr w:type="spellStart"/>
      <w:r w:rsidRPr="00A53E7C">
        <w:rPr>
          <w:rFonts w:asciiTheme="majorBidi" w:hAnsiTheme="majorBidi" w:cstheme="majorBidi"/>
          <w:szCs w:val="24"/>
        </w:rPr>
        <w:t>Coque</w:t>
      </w:r>
      <w:proofErr w:type="spellEnd"/>
      <w:r w:rsidRPr="00A53E7C">
        <w:rPr>
          <w:rFonts w:asciiTheme="majorBidi" w:hAnsiTheme="majorBidi" w:cstheme="majorBidi"/>
          <w:szCs w:val="24"/>
        </w:rPr>
        <w:t xml:space="preserve">, T. M. (2018). Environmental dimensions of antibiotic resistance: Assessment of basic science gaps. </w:t>
      </w:r>
      <w:r w:rsidRPr="00A53E7C">
        <w:rPr>
          <w:rFonts w:asciiTheme="majorBidi" w:hAnsiTheme="majorBidi" w:cstheme="majorBidi"/>
          <w:i/>
          <w:iCs/>
          <w:szCs w:val="24"/>
        </w:rPr>
        <w:t>FEMS Microbiology Reviews, 42</w:t>
      </w:r>
      <w:r w:rsidRPr="00A53E7C">
        <w:rPr>
          <w:rFonts w:asciiTheme="majorBidi" w:hAnsiTheme="majorBidi" w:cstheme="majorBidi"/>
          <w:szCs w:val="24"/>
        </w:rPr>
        <w:t xml:space="preserve">(3), 259–275. </w:t>
      </w:r>
      <w:hyperlink r:id="rId19" w:history="1">
        <w:r w:rsidRPr="00A53E7C">
          <w:rPr>
            <w:rStyle w:val="Hyperlink"/>
            <w:rFonts w:asciiTheme="majorBidi" w:hAnsiTheme="majorBidi" w:cstheme="majorBidi"/>
            <w:color w:val="auto"/>
            <w:szCs w:val="24"/>
          </w:rPr>
          <w:t>https://doi.org/10.1093/femsre/fuy008</w:t>
        </w:r>
      </w:hyperlink>
    </w:p>
    <w:p w14:paraId="16EA4E40" w14:textId="77777777" w:rsidR="008265AA" w:rsidRPr="006A1321" w:rsidRDefault="008265AA" w:rsidP="008265AA">
      <w:pPr>
        <w:ind w:left="720" w:hanging="720"/>
        <w:jc w:val="both"/>
        <w:rPr>
          <w:rFonts w:asciiTheme="majorBidi" w:hAnsiTheme="majorBidi" w:cstheme="majorBidi"/>
          <w:szCs w:val="24"/>
        </w:rPr>
      </w:pPr>
      <w:r w:rsidRPr="006A1321">
        <w:rPr>
          <w:rFonts w:asciiTheme="majorBidi" w:hAnsiTheme="majorBidi" w:cstheme="majorBidi"/>
          <w:szCs w:val="24"/>
        </w:rPr>
        <w:t>Lawal, O., Abdullahi, U., &amp; Ahmed, S. (2020). Anthropogenic impacts on water quality of Sokoto State rivers. Nigerian Journal of Water Resources, 8(1), 22–35.</w:t>
      </w:r>
    </w:p>
    <w:p w14:paraId="35C8ACF1" w14:textId="77777777" w:rsidR="008265AA" w:rsidRPr="00A53E7C" w:rsidRDefault="008265AA" w:rsidP="003F2A13">
      <w:pPr>
        <w:ind w:left="720" w:hanging="720"/>
        <w:jc w:val="both"/>
        <w:rPr>
          <w:rFonts w:asciiTheme="majorBidi" w:hAnsiTheme="majorBidi" w:cstheme="majorBidi"/>
          <w:szCs w:val="24"/>
        </w:rPr>
      </w:pPr>
      <w:r w:rsidRPr="00A53E7C">
        <w:rPr>
          <w:rFonts w:asciiTheme="majorBidi" w:hAnsiTheme="majorBidi" w:cstheme="majorBidi"/>
          <w:szCs w:val="24"/>
        </w:rPr>
        <w:t xml:space="preserve">Leclerc, H., Mossel, D. A. A., Edberg, S. C., &amp; </w:t>
      </w:r>
      <w:proofErr w:type="spellStart"/>
      <w:r w:rsidRPr="00A53E7C">
        <w:rPr>
          <w:rFonts w:asciiTheme="majorBidi" w:hAnsiTheme="majorBidi" w:cstheme="majorBidi"/>
          <w:szCs w:val="24"/>
        </w:rPr>
        <w:t>Struijk</w:t>
      </w:r>
      <w:proofErr w:type="spellEnd"/>
      <w:r w:rsidRPr="00A53E7C">
        <w:rPr>
          <w:rFonts w:asciiTheme="majorBidi" w:hAnsiTheme="majorBidi" w:cstheme="majorBidi"/>
          <w:szCs w:val="24"/>
        </w:rPr>
        <w:t xml:space="preserve">, C. B. (2021). Advances in monitoring microbial drinking water quality. </w:t>
      </w:r>
      <w:r w:rsidRPr="00A53E7C">
        <w:rPr>
          <w:rFonts w:asciiTheme="majorBidi" w:hAnsiTheme="majorBidi" w:cstheme="majorBidi"/>
          <w:i/>
          <w:iCs/>
          <w:szCs w:val="24"/>
        </w:rPr>
        <w:t>International Journal of Food Microbiology, 355</w:t>
      </w:r>
      <w:r w:rsidRPr="00A53E7C">
        <w:rPr>
          <w:rFonts w:asciiTheme="majorBidi" w:hAnsiTheme="majorBidi" w:cstheme="majorBidi"/>
          <w:szCs w:val="24"/>
        </w:rPr>
        <w:t xml:space="preserve">, 109–118. </w:t>
      </w:r>
      <w:hyperlink r:id="rId20" w:history="1">
        <w:r w:rsidRPr="00A53E7C">
          <w:rPr>
            <w:rStyle w:val="Hyperlink"/>
            <w:rFonts w:asciiTheme="majorBidi" w:hAnsiTheme="majorBidi" w:cstheme="majorBidi"/>
            <w:color w:val="auto"/>
            <w:szCs w:val="24"/>
          </w:rPr>
          <w:t>https://doi.org/10.1016/j.ijfoodmicro.2021.109346</w:t>
        </w:r>
      </w:hyperlink>
    </w:p>
    <w:p w14:paraId="729F7D17" w14:textId="77777777" w:rsidR="008265AA" w:rsidRPr="006A1321" w:rsidRDefault="008265AA" w:rsidP="008265AA">
      <w:pPr>
        <w:ind w:left="720" w:hanging="720"/>
        <w:jc w:val="both"/>
        <w:rPr>
          <w:rFonts w:asciiTheme="majorBidi" w:hAnsiTheme="majorBidi" w:cstheme="majorBidi"/>
          <w:szCs w:val="24"/>
        </w:rPr>
      </w:pPr>
      <w:r w:rsidRPr="006A1321">
        <w:rPr>
          <w:rFonts w:asciiTheme="majorBidi" w:hAnsiTheme="majorBidi" w:cstheme="majorBidi"/>
          <w:szCs w:val="24"/>
        </w:rPr>
        <w:t>Lloyd, A., &amp; Allen, R. (2021). Biofilms and bacterial survival in freshwater ecosystems. Environmental Microbiology Reports, 13(4), 473–486.</w:t>
      </w:r>
    </w:p>
    <w:p w14:paraId="6B8EC048" w14:textId="77777777" w:rsidR="008265AA" w:rsidRPr="006A1321" w:rsidRDefault="008265AA" w:rsidP="008265AA">
      <w:pPr>
        <w:ind w:left="720" w:hanging="720"/>
        <w:jc w:val="both"/>
        <w:rPr>
          <w:rFonts w:asciiTheme="majorBidi" w:hAnsiTheme="majorBidi" w:cstheme="majorBidi"/>
          <w:szCs w:val="24"/>
        </w:rPr>
      </w:pPr>
      <w:r w:rsidRPr="006A1321">
        <w:rPr>
          <w:rFonts w:asciiTheme="majorBidi" w:hAnsiTheme="majorBidi" w:cstheme="majorBidi"/>
          <w:szCs w:val="24"/>
        </w:rPr>
        <w:lastRenderedPageBreak/>
        <w:t xml:space="preserve">Madigan, M. T., Bender, K. S., Buckley, D. H., </w:t>
      </w:r>
      <w:proofErr w:type="spellStart"/>
      <w:r w:rsidRPr="006A1321">
        <w:rPr>
          <w:rFonts w:asciiTheme="majorBidi" w:hAnsiTheme="majorBidi" w:cstheme="majorBidi"/>
          <w:szCs w:val="24"/>
        </w:rPr>
        <w:t>Sattley</w:t>
      </w:r>
      <w:proofErr w:type="spellEnd"/>
      <w:r w:rsidRPr="006A1321">
        <w:rPr>
          <w:rFonts w:asciiTheme="majorBidi" w:hAnsiTheme="majorBidi" w:cstheme="majorBidi"/>
          <w:szCs w:val="24"/>
        </w:rPr>
        <w:t>, W. M., &amp; Stahl, D. A. (2021). Brock biology of microorganisms (16th ed.). Pearson.</w:t>
      </w:r>
    </w:p>
    <w:p w14:paraId="5E737DC5" w14:textId="77777777" w:rsidR="008265AA" w:rsidRPr="006A1321" w:rsidRDefault="008265AA" w:rsidP="008265AA">
      <w:pPr>
        <w:ind w:left="720" w:hanging="720"/>
        <w:jc w:val="both"/>
        <w:rPr>
          <w:rFonts w:asciiTheme="majorBidi" w:hAnsiTheme="majorBidi" w:cstheme="majorBidi"/>
          <w:szCs w:val="24"/>
        </w:rPr>
      </w:pPr>
      <w:r w:rsidRPr="006A1321">
        <w:rPr>
          <w:rFonts w:asciiTheme="majorBidi" w:hAnsiTheme="majorBidi" w:cstheme="majorBidi"/>
          <w:szCs w:val="24"/>
        </w:rPr>
        <w:t>Manaia, C. M. (2022). Antibiotic resistance in the environment: Current perspectives and research priorities. Environmental Pollution, 292, 118410.</w:t>
      </w:r>
    </w:p>
    <w:p w14:paraId="0FACD2E6" w14:textId="77777777" w:rsidR="008265AA" w:rsidRPr="00A53E7C" w:rsidRDefault="008265AA" w:rsidP="003F2A13">
      <w:pPr>
        <w:ind w:left="720" w:hanging="720"/>
        <w:jc w:val="both"/>
        <w:rPr>
          <w:rFonts w:asciiTheme="majorBidi" w:hAnsiTheme="majorBidi" w:cstheme="majorBidi"/>
          <w:szCs w:val="24"/>
        </w:rPr>
      </w:pPr>
      <w:r w:rsidRPr="00A53E7C">
        <w:rPr>
          <w:rFonts w:asciiTheme="majorBidi" w:hAnsiTheme="majorBidi" w:cstheme="majorBidi"/>
          <w:szCs w:val="24"/>
        </w:rPr>
        <w:t xml:space="preserve">Martínez, J. L. (2020). Antibiotics and antibiotic resistance genes in natural environments. </w:t>
      </w:r>
      <w:r w:rsidRPr="00A53E7C">
        <w:rPr>
          <w:rFonts w:asciiTheme="majorBidi" w:hAnsiTheme="majorBidi" w:cstheme="majorBidi"/>
          <w:i/>
          <w:iCs/>
          <w:szCs w:val="24"/>
        </w:rPr>
        <w:t>Science, 321</w:t>
      </w:r>
      <w:r w:rsidRPr="00A53E7C">
        <w:rPr>
          <w:rFonts w:asciiTheme="majorBidi" w:hAnsiTheme="majorBidi" w:cstheme="majorBidi"/>
          <w:szCs w:val="24"/>
        </w:rPr>
        <w:t xml:space="preserve">(5887), 365–367. </w:t>
      </w:r>
      <w:hyperlink r:id="rId21" w:history="1">
        <w:r w:rsidRPr="00A53E7C">
          <w:rPr>
            <w:rStyle w:val="Hyperlink"/>
            <w:rFonts w:asciiTheme="majorBidi" w:hAnsiTheme="majorBidi" w:cstheme="majorBidi"/>
            <w:color w:val="auto"/>
            <w:szCs w:val="24"/>
          </w:rPr>
          <w:t>https://doi.org/10.1126/science.1159483</w:t>
        </w:r>
      </w:hyperlink>
    </w:p>
    <w:p w14:paraId="108C973A" w14:textId="77777777" w:rsidR="008265AA" w:rsidRPr="006A1321" w:rsidRDefault="008265AA" w:rsidP="008265AA">
      <w:pPr>
        <w:ind w:left="720" w:hanging="720"/>
        <w:jc w:val="both"/>
        <w:rPr>
          <w:rFonts w:asciiTheme="majorBidi" w:hAnsiTheme="majorBidi" w:cstheme="majorBidi"/>
          <w:szCs w:val="24"/>
        </w:rPr>
      </w:pPr>
      <w:r w:rsidRPr="006A1321">
        <w:rPr>
          <w:rFonts w:asciiTheme="majorBidi" w:hAnsiTheme="majorBidi" w:cstheme="majorBidi"/>
          <w:szCs w:val="24"/>
        </w:rPr>
        <w:t>McMillan, E. A., Gupta, S. K., &amp; Ross, K. (2019). Antimicrobial resistance genes, cassettes and plasmids: A review of environmental reservoirs. Frontiers in Microbiology, 10, 832.</w:t>
      </w:r>
    </w:p>
    <w:p w14:paraId="7C924217" w14:textId="77777777" w:rsidR="008265AA" w:rsidRPr="00A53E7C" w:rsidRDefault="008265AA" w:rsidP="003F2A13">
      <w:pPr>
        <w:ind w:left="720" w:hanging="720"/>
        <w:jc w:val="both"/>
        <w:rPr>
          <w:rFonts w:asciiTheme="majorBidi" w:hAnsiTheme="majorBidi" w:cstheme="majorBidi"/>
          <w:szCs w:val="24"/>
        </w:rPr>
      </w:pPr>
      <w:proofErr w:type="spellStart"/>
      <w:r w:rsidRPr="00A53E7C">
        <w:rPr>
          <w:rFonts w:asciiTheme="majorBidi" w:hAnsiTheme="majorBidi" w:cstheme="majorBidi"/>
          <w:szCs w:val="24"/>
        </w:rPr>
        <w:t>Odonkor</w:t>
      </w:r>
      <w:proofErr w:type="spellEnd"/>
      <w:r w:rsidRPr="00A53E7C">
        <w:rPr>
          <w:rFonts w:asciiTheme="majorBidi" w:hAnsiTheme="majorBidi" w:cstheme="majorBidi"/>
          <w:szCs w:val="24"/>
        </w:rPr>
        <w:t xml:space="preserve">, S. T., &amp; Addo, K. K. (2018). Prevalence of multidrug-resistant </w:t>
      </w:r>
      <w:r w:rsidRPr="00A53E7C">
        <w:rPr>
          <w:rFonts w:asciiTheme="majorBidi" w:hAnsiTheme="majorBidi" w:cstheme="majorBidi"/>
          <w:i/>
          <w:iCs/>
          <w:szCs w:val="24"/>
        </w:rPr>
        <w:t>Escherichia coli</w:t>
      </w:r>
      <w:r w:rsidRPr="00A53E7C">
        <w:rPr>
          <w:rFonts w:asciiTheme="majorBidi" w:hAnsiTheme="majorBidi" w:cstheme="majorBidi"/>
          <w:szCs w:val="24"/>
        </w:rPr>
        <w:t xml:space="preserve"> isolates in urban and rural drinking water sources in Ghana. </w:t>
      </w:r>
      <w:r w:rsidRPr="00A53E7C">
        <w:rPr>
          <w:rFonts w:asciiTheme="majorBidi" w:hAnsiTheme="majorBidi" w:cstheme="majorBidi"/>
          <w:i/>
          <w:iCs/>
          <w:szCs w:val="24"/>
        </w:rPr>
        <w:t>Journal of Environmental and Public Health, 2018</w:t>
      </w:r>
      <w:r w:rsidRPr="00A53E7C">
        <w:rPr>
          <w:rFonts w:asciiTheme="majorBidi" w:hAnsiTheme="majorBidi" w:cstheme="majorBidi"/>
          <w:szCs w:val="24"/>
        </w:rPr>
        <w:t xml:space="preserve">, 1–8. </w:t>
      </w:r>
      <w:hyperlink r:id="rId22" w:history="1">
        <w:r w:rsidRPr="00A53E7C">
          <w:rPr>
            <w:rStyle w:val="Hyperlink"/>
            <w:rFonts w:asciiTheme="majorBidi" w:hAnsiTheme="majorBidi" w:cstheme="majorBidi"/>
            <w:color w:val="auto"/>
            <w:szCs w:val="24"/>
          </w:rPr>
          <w:t>https://doi.org/10.1155/2018/7208470</w:t>
        </w:r>
      </w:hyperlink>
    </w:p>
    <w:p w14:paraId="6860DE13" w14:textId="77777777" w:rsidR="008265AA" w:rsidRPr="00A53E7C" w:rsidRDefault="008265AA" w:rsidP="003F2A13">
      <w:pPr>
        <w:ind w:left="720" w:hanging="720"/>
        <w:jc w:val="both"/>
        <w:rPr>
          <w:rFonts w:asciiTheme="majorBidi" w:hAnsiTheme="majorBidi" w:cstheme="majorBidi"/>
          <w:szCs w:val="24"/>
        </w:rPr>
      </w:pPr>
      <w:proofErr w:type="spellStart"/>
      <w:r w:rsidRPr="00A53E7C">
        <w:rPr>
          <w:rFonts w:asciiTheme="majorBidi" w:hAnsiTheme="majorBidi" w:cstheme="majorBidi"/>
          <w:szCs w:val="24"/>
        </w:rPr>
        <w:t>Odonkor</w:t>
      </w:r>
      <w:proofErr w:type="spellEnd"/>
      <w:r w:rsidRPr="00A53E7C">
        <w:rPr>
          <w:rFonts w:asciiTheme="majorBidi" w:hAnsiTheme="majorBidi" w:cstheme="majorBidi"/>
          <w:szCs w:val="24"/>
        </w:rPr>
        <w:t xml:space="preserve">, S. T., &amp; </w:t>
      </w:r>
      <w:proofErr w:type="spellStart"/>
      <w:r w:rsidRPr="00A53E7C">
        <w:rPr>
          <w:rFonts w:asciiTheme="majorBidi" w:hAnsiTheme="majorBidi" w:cstheme="majorBidi"/>
          <w:szCs w:val="24"/>
        </w:rPr>
        <w:t>Ampofo</w:t>
      </w:r>
      <w:proofErr w:type="spellEnd"/>
      <w:r w:rsidRPr="00A53E7C">
        <w:rPr>
          <w:rFonts w:asciiTheme="majorBidi" w:hAnsiTheme="majorBidi" w:cstheme="majorBidi"/>
          <w:szCs w:val="24"/>
        </w:rPr>
        <w:t xml:space="preserve">, J. K. (2013). Escherichia coli as an indicator of bacteriological quality of water. </w:t>
      </w:r>
      <w:r w:rsidRPr="00A53E7C">
        <w:rPr>
          <w:rFonts w:asciiTheme="majorBidi" w:hAnsiTheme="majorBidi" w:cstheme="majorBidi"/>
          <w:i/>
          <w:iCs/>
          <w:szCs w:val="24"/>
        </w:rPr>
        <w:t>Water Quality, Exposure and Health, 5</w:t>
      </w:r>
      <w:r w:rsidRPr="00A53E7C">
        <w:rPr>
          <w:rFonts w:asciiTheme="majorBidi" w:hAnsiTheme="majorBidi" w:cstheme="majorBidi"/>
          <w:szCs w:val="24"/>
        </w:rPr>
        <w:t xml:space="preserve">(1), 37–41. </w:t>
      </w:r>
      <w:hyperlink r:id="rId23" w:history="1">
        <w:r w:rsidRPr="00A53E7C">
          <w:rPr>
            <w:rStyle w:val="Hyperlink"/>
            <w:rFonts w:asciiTheme="majorBidi" w:hAnsiTheme="majorBidi" w:cstheme="majorBidi"/>
            <w:color w:val="auto"/>
            <w:szCs w:val="24"/>
          </w:rPr>
          <w:t>https://doi.org/10.1007/s12403-013-0082-0</w:t>
        </w:r>
      </w:hyperlink>
    </w:p>
    <w:p w14:paraId="64281E8A" w14:textId="77777777" w:rsidR="008265AA" w:rsidRPr="006A1321" w:rsidRDefault="008265AA" w:rsidP="008265AA">
      <w:pPr>
        <w:ind w:left="720" w:hanging="720"/>
        <w:jc w:val="both"/>
        <w:rPr>
          <w:rFonts w:asciiTheme="majorBidi" w:hAnsiTheme="majorBidi" w:cstheme="majorBidi"/>
          <w:szCs w:val="24"/>
        </w:rPr>
      </w:pPr>
      <w:proofErr w:type="spellStart"/>
      <w:r w:rsidRPr="006A1321">
        <w:rPr>
          <w:rFonts w:asciiTheme="majorBidi" w:hAnsiTheme="majorBidi" w:cstheme="majorBidi"/>
          <w:szCs w:val="24"/>
        </w:rPr>
        <w:t>Olorunfemi</w:t>
      </w:r>
      <w:proofErr w:type="spellEnd"/>
      <w:r w:rsidRPr="006A1321">
        <w:rPr>
          <w:rFonts w:asciiTheme="majorBidi" w:hAnsiTheme="majorBidi" w:cstheme="majorBidi"/>
          <w:szCs w:val="24"/>
        </w:rPr>
        <w:t>, O., Bello, M., &amp; Yusuf, H. (2022). Temporal variation in microbial contamination of river waters used for irrigation in northwestern Nigeria. Journal of Water and Health, 20(2), 221–232.</w:t>
      </w:r>
    </w:p>
    <w:p w14:paraId="72287C6E" w14:textId="77777777" w:rsidR="008265AA" w:rsidRPr="006A1321" w:rsidRDefault="008265AA" w:rsidP="008265AA">
      <w:pPr>
        <w:ind w:left="720" w:hanging="720"/>
        <w:jc w:val="both"/>
        <w:rPr>
          <w:rFonts w:asciiTheme="majorBidi" w:hAnsiTheme="majorBidi" w:cstheme="majorBidi"/>
          <w:szCs w:val="24"/>
        </w:rPr>
      </w:pPr>
      <w:r w:rsidRPr="006A1321">
        <w:rPr>
          <w:rFonts w:asciiTheme="majorBidi" w:hAnsiTheme="majorBidi" w:cstheme="majorBidi"/>
          <w:szCs w:val="24"/>
        </w:rPr>
        <w:t xml:space="preserve">Partridge, S. R., </w:t>
      </w:r>
      <w:proofErr w:type="spellStart"/>
      <w:r w:rsidRPr="006A1321">
        <w:rPr>
          <w:rFonts w:asciiTheme="majorBidi" w:hAnsiTheme="majorBidi" w:cstheme="majorBidi"/>
          <w:szCs w:val="24"/>
        </w:rPr>
        <w:t>Kwong</w:t>
      </w:r>
      <w:proofErr w:type="spellEnd"/>
      <w:r w:rsidRPr="006A1321">
        <w:rPr>
          <w:rFonts w:asciiTheme="majorBidi" w:hAnsiTheme="majorBidi" w:cstheme="majorBidi"/>
          <w:szCs w:val="24"/>
        </w:rPr>
        <w:t>, S. M., Firth, N., &amp; Jensen, S. O. (2018). Mobile genetic elements associated with antimicrobial resistance. Clinical Microbiology Reviews, 31(4), e00088-17.</w:t>
      </w:r>
    </w:p>
    <w:p w14:paraId="163A822C" w14:textId="77777777" w:rsidR="008265AA" w:rsidRPr="006A1321" w:rsidRDefault="008265AA" w:rsidP="008265AA">
      <w:pPr>
        <w:ind w:left="720" w:hanging="720"/>
        <w:jc w:val="both"/>
        <w:rPr>
          <w:rFonts w:asciiTheme="majorBidi" w:hAnsiTheme="majorBidi" w:cstheme="majorBidi"/>
          <w:szCs w:val="24"/>
        </w:rPr>
      </w:pPr>
      <w:r w:rsidRPr="006A1321">
        <w:rPr>
          <w:rFonts w:asciiTheme="majorBidi" w:hAnsiTheme="majorBidi" w:cstheme="majorBidi"/>
          <w:szCs w:val="24"/>
        </w:rPr>
        <w:t>Rawat, D., &amp; Nair, D. (2020). Extended-spectrum β-lactamases in Enterobacteriaceae: Types, epidemiology and treatment strategies. International Journal of Medical Microbiology, 310(3), 151354.</w:t>
      </w:r>
    </w:p>
    <w:p w14:paraId="5DA08F59" w14:textId="77777777" w:rsidR="008265AA" w:rsidRPr="006A1321" w:rsidRDefault="008265AA" w:rsidP="008265AA">
      <w:pPr>
        <w:ind w:left="720" w:hanging="720"/>
        <w:jc w:val="both"/>
        <w:rPr>
          <w:rFonts w:asciiTheme="majorBidi" w:hAnsiTheme="majorBidi" w:cstheme="majorBidi"/>
          <w:szCs w:val="24"/>
        </w:rPr>
      </w:pPr>
      <w:proofErr w:type="spellStart"/>
      <w:r w:rsidRPr="006A1321">
        <w:rPr>
          <w:rFonts w:asciiTheme="majorBidi" w:hAnsiTheme="majorBidi" w:cstheme="majorBidi"/>
          <w:szCs w:val="24"/>
        </w:rPr>
        <w:lastRenderedPageBreak/>
        <w:t>Rozwandowicz</w:t>
      </w:r>
      <w:proofErr w:type="spellEnd"/>
      <w:r w:rsidRPr="006A1321">
        <w:rPr>
          <w:rFonts w:asciiTheme="majorBidi" w:hAnsiTheme="majorBidi" w:cstheme="majorBidi"/>
          <w:szCs w:val="24"/>
        </w:rPr>
        <w:t xml:space="preserve">, M., Brouwer, M. S. M., Fischer, J., </w:t>
      </w:r>
      <w:proofErr w:type="spellStart"/>
      <w:r w:rsidRPr="006A1321">
        <w:rPr>
          <w:rFonts w:asciiTheme="majorBidi" w:hAnsiTheme="majorBidi" w:cstheme="majorBidi"/>
          <w:szCs w:val="24"/>
        </w:rPr>
        <w:t>Wagenaar</w:t>
      </w:r>
      <w:proofErr w:type="spellEnd"/>
      <w:r w:rsidRPr="006A1321">
        <w:rPr>
          <w:rFonts w:asciiTheme="majorBidi" w:hAnsiTheme="majorBidi" w:cstheme="majorBidi"/>
          <w:szCs w:val="24"/>
        </w:rPr>
        <w:t xml:space="preserve">, J. A., Gonzalez-Zorn, B., Guerra, B., ... &amp; </w:t>
      </w:r>
      <w:proofErr w:type="spellStart"/>
      <w:r w:rsidRPr="006A1321">
        <w:rPr>
          <w:rFonts w:asciiTheme="majorBidi" w:hAnsiTheme="majorBidi" w:cstheme="majorBidi"/>
          <w:szCs w:val="24"/>
        </w:rPr>
        <w:t>Hordijk</w:t>
      </w:r>
      <w:proofErr w:type="spellEnd"/>
      <w:r w:rsidRPr="006A1321">
        <w:rPr>
          <w:rFonts w:asciiTheme="majorBidi" w:hAnsiTheme="majorBidi" w:cstheme="majorBidi"/>
          <w:szCs w:val="24"/>
        </w:rPr>
        <w:t>, J. (2018). Plasmids carrying antimicrobial resistance genes in Enterobacteriaceae. Journal of Antimicrobial Chemotherapy, 73(5), 1121–1137.</w:t>
      </w:r>
    </w:p>
    <w:p w14:paraId="73A84077" w14:textId="77777777" w:rsidR="008265AA" w:rsidRPr="006A1321" w:rsidRDefault="008265AA" w:rsidP="008265AA">
      <w:pPr>
        <w:ind w:left="720" w:hanging="720"/>
        <w:jc w:val="both"/>
        <w:rPr>
          <w:rFonts w:asciiTheme="majorBidi" w:hAnsiTheme="majorBidi" w:cstheme="majorBidi"/>
          <w:szCs w:val="24"/>
        </w:rPr>
      </w:pPr>
      <w:r w:rsidRPr="006A1321">
        <w:rPr>
          <w:rFonts w:asciiTheme="majorBidi" w:hAnsiTheme="majorBidi" w:cstheme="majorBidi"/>
          <w:szCs w:val="24"/>
        </w:rPr>
        <w:t>Sambrook, J., &amp; Russell, D. W. (2001). Molecular cloning: A laboratory manual (3rd ed.). Cold Spring Harbor Laboratory Press.</w:t>
      </w:r>
    </w:p>
    <w:p w14:paraId="18BE0E18" w14:textId="77777777" w:rsidR="008265AA" w:rsidRPr="006A1321" w:rsidRDefault="008265AA" w:rsidP="008265AA">
      <w:pPr>
        <w:ind w:left="720" w:hanging="720"/>
        <w:jc w:val="both"/>
        <w:rPr>
          <w:rFonts w:asciiTheme="majorBidi" w:hAnsiTheme="majorBidi" w:cstheme="majorBidi"/>
          <w:szCs w:val="24"/>
        </w:rPr>
      </w:pPr>
      <w:r w:rsidRPr="006A1321">
        <w:rPr>
          <w:rFonts w:asciiTheme="majorBidi" w:hAnsiTheme="majorBidi" w:cstheme="majorBidi"/>
          <w:szCs w:val="24"/>
        </w:rPr>
        <w:t>Sambrook, J., &amp; Russell, D. W. (2020). Molecular cloning: A laboratory manual (3rd ed., reprint). Cold Spring Harbor Laboratory Press.</w:t>
      </w:r>
    </w:p>
    <w:p w14:paraId="4E2F61BF" w14:textId="31AD9052" w:rsidR="008265AA" w:rsidRPr="00A53E7C" w:rsidRDefault="008265AA" w:rsidP="003F2A13">
      <w:pPr>
        <w:ind w:left="720" w:hanging="720"/>
        <w:jc w:val="both"/>
        <w:rPr>
          <w:rFonts w:asciiTheme="majorBidi" w:hAnsiTheme="majorBidi" w:cstheme="majorBidi"/>
          <w:szCs w:val="24"/>
        </w:rPr>
      </w:pPr>
      <w:r w:rsidRPr="00A53E7C">
        <w:rPr>
          <w:rFonts w:asciiTheme="majorBidi" w:hAnsiTheme="majorBidi" w:cstheme="majorBidi"/>
          <w:szCs w:val="24"/>
        </w:rPr>
        <w:t xml:space="preserve">Tadesse, B. T., </w:t>
      </w:r>
      <w:r w:rsidR="005516EB" w:rsidRPr="005516EB">
        <w:rPr>
          <w:rFonts w:asciiTheme="majorBidi" w:hAnsiTheme="majorBidi" w:cstheme="majorBidi"/>
          <w:i/>
          <w:iCs/>
          <w:szCs w:val="24"/>
        </w:rPr>
        <w:t>et al</w:t>
      </w:r>
      <w:r w:rsidRPr="00A53E7C">
        <w:rPr>
          <w:rFonts w:asciiTheme="majorBidi" w:hAnsiTheme="majorBidi" w:cstheme="majorBidi"/>
          <w:szCs w:val="24"/>
        </w:rPr>
        <w:t xml:space="preserve">. (2021). Antimicrobial resistance in Africa: A systematic review. </w:t>
      </w:r>
      <w:r w:rsidRPr="00A53E7C">
        <w:rPr>
          <w:rFonts w:asciiTheme="majorBidi" w:hAnsiTheme="majorBidi" w:cstheme="majorBidi"/>
          <w:i/>
          <w:iCs/>
          <w:szCs w:val="24"/>
        </w:rPr>
        <w:t>BMC Infectious Diseases, 21</w:t>
      </w:r>
      <w:r w:rsidRPr="00A53E7C">
        <w:rPr>
          <w:rFonts w:asciiTheme="majorBidi" w:hAnsiTheme="majorBidi" w:cstheme="majorBidi"/>
          <w:szCs w:val="24"/>
        </w:rPr>
        <w:t xml:space="preserve">(1), 1–24. </w:t>
      </w:r>
      <w:hyperlink r:id="rId24" w:history="1">
        <w:r w:rsidRPr="00A53E7C">
          <w:rPr>
            <w:rStyle w:val="Hyperlink"/>
            <w:rFonts w:asciiTheme="majorBidi" w:hAnsiTheme="majorBidi" w:cstheme="majorBidi"/>
            <w:color w:val="auto"/>
            <w:szCs w:val="24"/>
          </w:rPr>
          <w:t>https://doi.org/10.1186/s12879-021-06072-8</w:t>
        </w:r>
      </w:hyperlink>
    </w:p>
    <w:p w14:paraId="5C2F14C9" w14:textId="77777777" w:rsidR="008265AA" w:rsidRPr="00A53E7C" w:rsidRDefault="008265AA" w:rsidP="003F2A13">
      <w:pPr>
        <w:ind w:left="720" w:hanging="720"/>
        <w:jc w:val="both"/>
        <w:rPr>
          <w:rFonts w:asciiTheme="majorBidi" w:hAnsiTheme="majorBidi" w:cstheme="majorBidi"/>
          <w:szCs w:val="24"/>
        </w:rPr>
      </w:pPr>
      <w:proofErr w:type="spellStart"/>
      <w:r w:rsidRPr="00A53E7C">
        <w:rPr>
          <w:rFonts w:asciiTheme="majorBidi" w:hAnsiTheme="majorBidi" w:cstheme="majorBidi"/>
          <w:szCs w:val="24"/>
        </w:rPr>
        <w:t>Ventola</w:t>
      </w:r>
      <w:proofErr w:type="spellEnd"/>
      <w:r w:rsidRPr="00A53E7C">
        <w:rPr>
          <w:rFonts w:asciiTheme="majorBidi" w:hAnsiTheme="majorBidi" w:cstheme="majorBidi"/>
          <w:szCs w:val="24"/>
        </w:rPr>
        <w:t xml:space="preserve">, C. L. (2015). The antibiotic resistance crisis: Part 1 causes and threats. </w:t>
      </w:r>
      <w:r w:rsidRPr="00A53E7C">
        <w:rPr>
          <w:rFonts w:asciiTheme="majorBidi" w:hAnsiTheme="majorBidi" w:cstheme="majorBidi"/>
          <w:i/>
          <w:iCs/>
          <w:szCs w:val="24"/>
        </w:rPr>
        <w:t>Pharmacy and Therapeutics, 40</w:t>
      </w:r>
      <w:r w:rsidRPr="00A53E7C">
        <w:rPr>
          <w:rFonts w:asciiTheme="majorBidi" w:hAnsiTheme="majorBidi" w:cstheme="majorBidi"/>
          <w:szCs w:val="24"/>
        </w:rPr>
        <w:t>(4), 277–283.</w:t>
      </w:r>
    </w:p>
    <w:p w14:paraId="6D008B4D" w14:textId="77777777" w:rsidR="008265AA" w:rsidRPr="00A53E7C" w:rsidRDefault="008265AA" w:rsidP="003F2A13">
      <w:pPr>
        <w:ind w:left="720" w:hanging="720"/>
        <w:jc w:val="both"/>
        <w:rPr>
          <w:rFonts w:asciiTheme="majorBidi" w:hAnsiTheme="majorBidi" w:cstheme="majorBidi"/>
          <w:szCs w:val="24"/>
        </w:rPr>
      </w:pPr>
      <w:r w:rsidRPr="00A53E7C">
        <w:rPr>
          <w:rFonts w:asciiTheme="majorBidi" w:hAnsiTheme="majorBidi" w:cstheme="majorBidi"/>
          <w:szCs w:val="24"/>
        </w:rPr>
        <w:t xml:space="preserve">World Health Organization. (2020). </w:t>
      </w:r>
      <w:r w:rsidRPr="00A53E7C">
        <w:rPr>
          <w:rFonts w:asciiTheme="majorBidi" w:hAnsiTheme="majorBidi" w:cstheme="majorBidi"/>
          <w:i/>
          <w:iCs/>
          <w:szCs w:val="24"/>
        </w:rPr>
        <w:t>Guidelines for drinking-water quality: Fourth edition incorporating the first addendum</w:t>
      </w:r>
      <w:r w:rsidRPr="00A53E7C">
        <w:rPr>
          <w:rFonts w:asciiTheme="majorBidi" w:hAnsiTheme="majorBidi" w:cstheme="majorBidi"/>
          <w:szCs w:val="24"/>
        </w:rPr>
        <w:t xml:space="preserve">. WHO </w:t>
      </w:r>
      <w:proofErr w:type="gramStart"/>
      <w:r w:rsidRPr="00A53E7C">
        <w:rPr>
          <w:rFonts w:asciiTheme="majorBidi" w:hAnsiTheme="majorBidi" w:cstheme="majorBidi"/>
          <w:szCs w:val="24"/>
        </w:rPr>
        <w:t>Press.</w:t>
      </w:r>
      <w:proofErr w:type="gramEnd"/>
    </w:p>
    <w:p w14:paraId="47B9BE34" w14:textId="77777777" w:rsidR="008265AA" w:rsidRPr="008C4854" w:rsidRDefault="008265AA" w:rsidP="008265AA">
      <w:pPr>
        <w:ind w:left="720" w:hanging="720"/>
        <w:jc w:val="both"/>
        <w:rPr>
          <w:rFonts w:asciiTheme="majorBidi" w:hAnsiTheme="majorBidi" w:cstheme="majorBidi"/>
          <w:szCs w:val="24"/>
        </w:rPr>
      </w:pPr>
      <w:r w:rsidRPr="006A1321">
        <w:rPr>
          <w:rFonts w:asciiTheme="majorBidi" w:hAnsiTheme="majorBidi" w:cstheme="majorBidi"/>
          <w:szCs w:val="24"/>
        </w:rPr>
        <w:t xml:space="preserve">World Health Organization. (2021). Global action plan on antimicrobial resistance. WHO </w:t>
      </w:r>
      <w:proofErr w:type="gramStart"/>
      <w:r w:rsidRPr="006A1321">
        <w:rPr>
          <w:rFonts w:asciiTheme="majorBidi" w:hAnsiTheme="majorBidi" w:cstheme="majorBidi"/>
          <w:szCs w:val="24"/>
        </w:rPr>
        <w:t>Press.</w:t>
      </w:r>
      <w:proofErr w:type="gramEnd"/>
    </w:p>
    <w:sectPr w:rsidR="008265AA" w:rsidRPr="008C4854" w:rsidSect="000F4D24">
      <w:pgSz w:w="11907" w:h="16840" w:code="9"/>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52EF02" w14:textId="77777777" w:rsidR="009A7742" w:rsidRDefault="009A7742" w:rsidP="003F2A13">
      <w:pPr>
        <w:spacing w:line="240" w:lineRule="auto"/>
      </w:pPr>
      <w:r>
        <w:separator/>
      </w:r>
    </w:p>
  </w:endnote>
  <w:endnote w:type="continuationSeparator" w:id="0">
    <w:p w14:paraId="12D39BBC" w14:textId="77777777" w:rsidR="009A7742" w:rsidRDefault="009A7742" w:rsidP="003F2A1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Arial"/>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24268261"/>
      <w:docPartObj>
        <w:docPartGallery w:val="Page Numbers (Bottom of Page)"/>
        <w:docPartUnique/>
      </w:docPartObj>
    </w:sdtPr>
    <w:sdtEndPr>
      <w:rPr>
        <w:noProof/>
      </w:rPr>
    </w:sdtEndPr>
    <w:sdtContent>
      <w:p w14:paraId="5BA92817" w14:textId="5E63A4BA" w:rsidR="00665E99" w:rsidRDefault="00665E9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373DD44" w14:textId="77777777" w:rsidR="00665E99" w:rsidRDefault="00665E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58523327"/>
      <w:docPartObj>
        <w:docPartGallery w:val="Page Numbers (Bottom of Page)"/>
        <w:docPartUnique/>
      </w:docPartObj>
    </w:sdtPr>
    <w:sdtEndPr>
      <w:rPr>
        <w:noProof/>
      </w:rPr>
    </w:sdtEndPr>
    <w:sdtContent>
      <w:p w14:paraId="6ED7E726" w14:textId="1DE57686" w:rsidR="00665E99" w:rsidRDefault="00665E99">
        <w:pPr>
          <w:pStyle w:val="Footer"/>
          <w:jc w:val="center"/>
        </w:pPr>
        <w:r>
          <w:fldChar w:fldCharType="begin"/>
        </w:r>
        <w:r>
          <w:instrText xml:space="preserve"> PAGE   \* MERGEFORMAT </w:instrText>
        </w:r>
        <w:r>
          <w:fldChar w:fldCharType="separate"/>
        </w:r>
        <w:r w:rsidR="003E7D30">
          <w:rPr>
            <w:noProof/>
          </w:rPr>
          <w:t>13</w:t>
        </w:r>
        <w:r>
          <w:rPr>
            <w:noProof/>
          </w:rPr>
          <w:fldChar w:fldCharType="end"/>
        </w:r>
      </w:p>
    </w:sdtContent>
  </w:sdt>
  <w:p w14:paraId="22FD556D" w14:textId="77777777" w:rsidR="00665E99" w:rsidRDefault="00665E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8D90E9B" w14:textId="77777777" w:rsidR="009A7742" w:rsidRDefault="009A7742" w:rsidP="003F2A13">
      <w:pPr>
        <w:spacing w:line="240" w:lineRule="auto"/>
      </w:pPr>
      <w:r>
        <w:separator/>
      </w:r>
    </w:p>
  </w:footnote>
  <w:footnote w:type="continuationSeparator" w:id="0">
    <w:p w14:paraId="5899A670" w14:textId="77777777" w:rsidR="009A7742" w:rsidRDefault="009A7742" w:rsidP="003F2A13">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A86629F"/>
    <w:multiLevelType w:val="hybridMultilevel"/>
    <w:tmpl w:val="33B03C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3E7C"/>
    <w:rsid w:val="00001E5E"/>
    <w:rsid w:val="000F4D24"/>
    <w:rsid w:val="00144BF3"/>
    <w:rsid w:val="001D3AED"/>
    <w:rsid w:val="002A61E0"/>
    <w:rsid w:val="00321257"/>
    <w:rsid w:val="003E7D30"/>
    <w:rsid w:val="003F03C6"/>
    <w:rsid w:val="003F2A13"/>
    <w:rsid w:val="004905AC"/>
    <w:rsid w:val="004C1C44"/>
    <w:rsid w:val="004D4909"/>
    <w:rsid w:val="004E7C2E"/>
    <w:rsid w:val="00505E89"/>
    <w:rsid w:val="005516EB"/>
    <w:rsid w:val="0061582C"/>
    <w:rsid w:val="00662039"/>
    <w:rsid w:val="00665E99"/>
    <w:rsid w:val="006779FB"/>
    <w:rsid w:val="007B4094"/>
    <w:rsid w:val="008265AA"/>
    <w:rsid w:val="00844E43"/>
    <w:rsid w:val="008C4854"/>
    <w:rsid w:val="00966138"/>
    <w:rsid w:val="009A0374"/>
    <w:rsid w:val="009A7742"/>
    <w:rsid w:val="00A13104"/>
    <w:rsid w:val="00A53E7C"/>
    <w:rsid w:val="00A91785"/>
    <w:rsid w:val="00AA2592"/>
    <w:rsid w:val="00BC6107"/>
    <w:rsid w:val="00BE4907"/>
    <w:rsid w:val="00C170C3"/>
    <w:rsid w:val="00C305A6"/>
    <w:rsid w:val="00C4403A"/>
    <w:rsid w:val="00C82FFB"/>
    <w:rsid w:val="00CC52D6"/>
    <w:rsid w:val="00CF3218"/>
    <w:rsid w:val="00D10E00"/>
    <w:rsid w:val="00D748E1"/>
    <w:rsid w:val="00E65AB3"/>
    <w:rsid w:val="00EC03D4"/>
    <w:rsid w:val="00ED0FC0"/>
    <w:rsid w:val="00ED4B36"/>
    <w:rsid w:val="00F914FC"/>
    <w:rsid w:val="00FE3FA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A378B6"/>
  <w15:chartTrackingRefBased/>
  <w15:docId w15:val="{D07B7092-2E92-4AC0-AABA-77D0BF38D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kern w:val="2"/>
        <w:sz w:val="24"/>
        <w:szCs w:val="22"/>
        <w:lang w:val="en-US" w:eastAsia="en-US" w:bidi="ar-SA"/>
        <w14:ligatures w14:val="standardContextual"/>
      </w:rPr>
    </w:rPrDefault>
    <w:pPrDefault>
      <w:pPr>
        <w:spacing w:line="480"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C4854"/>
    <w:pPr>
      <w:keepNext/>
      <w:keepLines/>
      <w:outlineLvl w:val="0"/>
    </w:pPr>
    <w:rPr>
      <w:rFonts w:asciiTheme="majorBidi" w:eastAsiaTheme="majorEastAsia" w:hAnsiTheme="majorBidi" w:cstheme="majorBidi"/>
      <w:b/>
      <w:szCs w:val="32"/>
    </w:rPr>
  </w:style>
  <w:style w:type="paragraph" w:styleId="Heading2">
    <w:name w:val="heading 2"/>
    <w:basedOn w:val="Normal"/>
    <w:next w:val="Normal"/>
    <w:link w:val="Heading2Char"/>
    <w:uiPriority w:val="9"/>
    <w:unhideWhenUsed/>
    <w:qFormat/>
    <w:rsid w:val="005516EB"/>
    <w:pPr>
      <w:keepNext/>
      <w:keepLines/>
      <w:spacing w:before="160" w:after="80"/>
      <w:jc w:val="both"/>
      <w:outlineLvl w:val="1"/>
    </w:pPr>
    <w:rPr>
      <w:rFonts w:eastAsiaTheme="majorEastAsia" w:cstheme="majorBidi"/>
      <w:b/>
      <w:szCs w:val="32"/>
    </w:rPr>
  </w:style>
  <w:style w:type="paragraph" w:styleId="Heading3">
    <w:name w:val="heading 3"/>
    <w:basedOn w:val="Normal"/>
    <w:next w:val="Normal"/>
    <w:link w:val="Heading3Char"/>
    <w:uiPriority w:val="9"/>
    <w:unhideWhenUsed/>
    <w:qFormat/>
    <w:rsid w:val="005516EB"/>
    <w:pPr>
      <w:keepNext/>
      <w:keepLines/>
      <w:spacing w:before="160" w:after="80"/>
      <w:jc w:val="both"/>
      <w:outlineLvl w:val="2"/>
    </w:pPr>
    <w:rPr>
      <w:rFonts w:eastAsiaTheme="majorEastAsia" w:cstheme="majorBidi"/>
      <w:b/>
      <w:szCs w:val="28"/>
    </w:rPr>
  </w:style>
  <w:style w:type="paragraph" w:styleId="Heading4">
    <w:name w:val="heading 4"/>
    <w:basedOn w:val="Normal"/>
    <w:next w:val="Normal"/>
    <w:link w:val="Heading4Char"/>
    <w:uiPriority w:val="9"/>
    <w:semiHidden/>
    <w:unhideWhenUsed/>
    <w:qFormat/>
    <w:rsid w:val="004D4909"/>
    <w:pPr>
      <w:keepNext/>
      <w:keepLines/>
      <w:spacing w:before="80" w:after="40"/>
      <w:jc w:val="both"/>
      <w:outlineLvl w:val="3"/>
    </w:pPr>
    <w:rPr>
      <w:rFonts w:eastAsiaTheme="majorEastAsia" w:cstheme="majorBidi"/>
      <w:b/>
      <w:iCs/>
    </w:rPr>
  </w:style>
  <w:style w:type="paragraph" w:styleId="Heading5">
    <w:name w:val="heading 5"/>
    <w:basedOn w:val="Normal"/>
    <w:next w:val="Normal"/>
    <w:link w:val="Heading5Char"/>
    <w:uiPriority w:val="9"/>
    <w:semiHidden/>
    <w:unhideWhenUsed/>
    <w:qFormat/>
    <w:rsid w:val="00A53E7C"/>
    <w:pPr>
      <w:keepNext/>
      <w:keepLines/>
      <w:spacing w:before="80" w:after="40"/>
      <w:outlineLvl w:val="4"/>
    </w:pPr>
    <w:rPr>
      <w:rFonts w:asciiTheme="minorHAnsi" w:eastAsiaTheme="majorEastAsia" w:hAnsiTheme="minorHAnsi" w:cstheme="majorBidi"/>
      <w:color w:val="2E74B5" w:themeColor="accent1" w:themeShade="BF"/>
    </w:rPr>
  </w:style>
  <w:style w:type="paragraph" w:styleId="Heading6">
    <w:name w:val="heading 6"/>
    <w:basedOn w:val="Normal"/>
    <w:next w:val="Normal"/>
    <w:link w:val="Heading6Char"/>
    <w:uiPriority w:val="9"/>
    <w:semiHidden/>
    <w:unhideWhenUsed/>
    <w:qFormat/>
    <w:rsid w:val="00A53E7C"/>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A53E7C"/>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A53E7C"/>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A53E7C"/>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4854"/>
    <w:rPr>
      <w:rFonts w:asciiTheme="majorBidi" w:eastAsiaTheme="majorEastAsia" w:hAnsiTheme="majorBidi" w:cstheme="majorBidi"/>
      <w:b/>
      <w:szCs w:val="32"/>
    </w:rPr>
  </w:style>
  <w:style w:type="character" w:customStyle="1" w:styleId="Heading2Char">
    <w:name w:val="Heading 2 Char"/>
    <w:basedOn w:val="DefaultParagraphFont"/>
    <w:link w:val="Heading2"/>
    <w:uiPriority w:val="9"/>
    <w:rsid w:val="005516EB"/>
    <w:rPr>
      <w:rFonts w:eastAsiaTheme="majorEastAsia" w:cstheme="majorBidi"/>
      <w:b/>
      <w:szCs w:val="32"/>
    </w:rPr>
  </w:style>
  <w:style w:type="character" w:customStyle="1" w:styleId="Heading3Char">
    <w:name w:val="Heading 3 Char"/>
    <w:basedOn w:val="DefaultParagraphFont"/>
    <w:link w:val="Heading3"/>
    <w:uiPriority w:val="9"/>
    <w:rsid w:val="005516EB"/>
    <w:rPr>
      <w:rFonts w:eastAsiaTheme="majorEastAsia" w:cstheme="majorBidi"/>
      <w:b/>
      <w:szCs w:val="28"/>
    </w:rPr>
  </w:style>
  <w:style w:type="character" w:customStyle="1" w:styleId="Heading4Char">
    <w:name w:val="Heading 4 Char"/>
    <w:basedOn w:val="DefaultParagraphFont"/>
    <w:link w:val="Heading4"/>
    <w:uiPriority w:val="9"/>
    <w:semiHidden/>
    <w:rsid w:val="004D4909"/>
    <w:rPr>
      <w:rFonts w:eastAsiaTheme="majorEastAsia" w:cstheme="majorBidi"/>
      <w:b/>
      <w:iCs/>
    </w:rPr>
  </w:style>
  <w:style w:type="character" w:customStyle="1" w:styleId="Heading5Char">
    <w:name w:val="Heading 5 Char"/>
    <w:basedOn w:val="DefaultParagraphFont"/>
    <w:link w:val="Heading5"/>
    <w:uiPriority w:val="9"/>
    <w:semiHidden/>
    <w:rsid w:val="00A53E7C"/>
    <w:rPr>
      <w:rFonts w:asciiTheme="minorHAnsi" w:eastAsiaTheme="majorEastAsia" w:hAnsiTheme="minorHAnsi" w:cstheme="majorBidi"/>
      <w:color w:val="2E74B5" w:themeColor="accent1" w:themeShade="BF"/>
    </w:rPr>
  </w:style>
  <w:style w:type="character" w:customStyle="1" w:styleId="Heading6Char">
    <w:name w:val="Heading 6 Char"/>
    <w:basedOn w:val="DefaultParagraphFont"/>
    <w:link w:val="Heading6"/>
    <w:uiPriority w:val="9"/>
    <w:semiHidden/>
    <w:rsid w:val="00A53E7C"/>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A53E7C"/>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A53E7C"/>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A53E7C"/>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A53E7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53E7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53E7C"/>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53E7C"/>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A53E7C"/>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A53E7C"/>
    <w:rPr>
      <w:i/>
      <w:iCs/>
      <w:color w:val="404040" w:themeColor="text1" w:themeTint="BF"/>
    </w:rPr>
  </w:style>
  <w:style w:type="paragraph" w:styleId="ListParagraph">
    <w:name w:val="List Paragraph"/>
    <w:basedOn w:val="Normal"/>
    <w:uiPriority w:val="34"/>
    <w:qFormat/>
    <w:rsid w:val="00A53E7C"/>
    <w:pPr>
      <w:ind w:left="720"/>
      <w:contextualSpacing/>
    </w:pPr>
  </w:style>
  <w:style w:type="character" w:styleId="IntenseEmphasis">
    <w:name w:val="Intense Emphasis"/>
    <w:basedOn w:val="DefaultParagraphFont"/>
    <w:uiPriority w:val="21"/>
    <w:qFormat/>
    <w:rsid w:val="00A53E7C"/>
    <w:rPr>
      <w:i/>
      <w:iCs/>
      <w:color w:val="2E74B5" w:themeColor="accent1" w:themeShade="BF"/>
    </w:rPr>
  </w:style>
  <w:style w:type="paragraph" w:styleId="IntenseQuote">
    <w:name w:val="Intense Quote"/>
    <w:basedOn w:val="Normal"/>
    <w:next w:val="Normal"/>
    <w:link w:val="IntenseQuoteChar"/>
    <w:uiPriority w:val="30"/>
    <w:qFormat/>
    <w:rsid w:val="00A53E7C"/>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A53E7C"/>
    <w:rPr>
      <w:i/>
      <w:iCs/>
      <w:color w:val="2E74B5" w:themeColor="accent1" w:themeShade="BF"/>
    </w:rPr>
  </w:style>
  <w:style w:type="character" w:styleId="IntenseReference">
    <w:name w:val="Intense Reference"/>
    <w:basedOn w:val="DefaultParagraphFont"/>
    <w:uiPriority w:val="32"/>
    <w:qFormat/>
    <w:rsid w:val="00A53E7C"/>
    <w:rPr>
      <w:b/>
      <w:bCs/>
      <w:smallCaps/>
      <w:color w:val="2E74B5" w:themeColor="accent1" w:themeShade="BF"/>
      <w:spacing w:val="5"/>
    </w:rPr>
  </w:style>
  <w:style w:type="character" w:styleId="Hyperlink">
    <w:name w:val="Hyperlink"/>
    <w:basedOn w:val="DefaultParagraphFont"/>
    <w:uiPriority w:val="99"/>
    <w:unhideWhenUsed/>
    <w:rsid w:val="00A53E7C"/>
    <w:rPr>
      <w:color w:val="0563C1" w:themeColor="hyperlink"/>
      <w:u w:val="single"/>
    </w:rPr>
  </w:style>
  <w:style w:type="character" w:customStyle="1" w:styleId="UnresolvedMention1">
    <w:name w:val="Unresolved Mention1"/>
    <w:basedOn w:val="DefaultParagraphFont"/>
    <w:uiPriority w:val="99"/>
    <w:semiHidden/>
    <w:unhideWhenUsed/>
    <w:rsid w:val="00A53E7C"/>
    <w:rPr>
      <w:color w:val="605E5C"/>
      <w:shd w:val="clear" w:color="auto" w:fill="E1DFDD"/>
    </w:rPr>
  </w:style>
  <w:style w:type="paragraph" w:styleId="Header">
    <w:name w:val="header"/>
    <w:basedOn w:val="Normal"/>
    <w:link w:val="HeaderChar"/>
    <w:uiPriority w:val="99"/>
    <w:unhideWhenUsed/>
    <w:rsid w:val="003F2A13"/>
    <w:pPr>
      <w:tabs>
        <w:tab w:val="center" w:pos="4680"/>
        <w:tab w:val="right" w:pos="9360"/>
      </w:tabs>
      <w:spacing w:line="240" w:lineRule="auto"/>
    </w:pPr>
  </w:style>
  <w:style w:type="character" w:customStyle="1" w:styleId="HeaderChar">
    <w:name w:val="Header Char"/>
    <w:basedOn w:val="DefaultParagraphFont"/>
    <w:link w:val="Header"/>
    <w:uiPriority w:val="99"/>
    <w:rsid w:val="003F2A13"/>
  </w:style>
  <w:style w:type="paragraph" w:styleId="Footer">
    <w:name w:val="footer"/>
    <w:basedOn w:val="Normal"/>
    <w:link w:val="FooterChar"/>
    <w:uiPriority w:val="99"/>
    <w:unhideWhenUsed/>
    <w:qFormat/>
    <w:rsid w:val="003F2A13"/>
    <w:pPr>
      <w:tabs>
        <w:tab w:val="center" w:pos="4680"/>
        <w:tab w:val="right" w:pos="9360"/>
      </w:tabs>
      <w:spacing w:line="240" w:lineRule="auto"/>
    </w:pPr>
  </w:style>
  <w:style w:type="character" w:customStyle="1" w:styleId="FooterChar">
    <w:name w:val="Footer Char"/>
    <w:basedOn w:val="DefaultParagraphFont"/>
    <w:link w:val="Footer"/>
    <w:uiPriority w:val="99"/>
    <w:rsid w:val="003F2A13"/>
  </w:style>
  <w:style w:type="paragraph" w:styleId="BalloonText">
    <w:name w:val="Balloon Text"/>
    <w:basedOn w:val="Normal"/>
    <w:link w:val="BalloonTextChar"/>
    <w:uiPriority w:val="99"/>
    <w:semiHidden/>
    <w:unhideWhenUsed/>
    <w:rsid w:val="00FE3FAE"/>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E3FAE"/>
    <w:rPr>
      <w:rFonts w:ascii="Segoe UI" w:hAnsi="Segoe UI" w:cs="Segoe UI"/>
      <w:sz w:val="18"/>
      <w:szCs w:val="18"/>
    </w:rPr>
  </w:style>
  <w:style w:type="paragraph" w:styleId="TOCHeading">
    <w:name w:val="TOC Heading"/>
    <w:basedOn w:val="Heading1"/>
    <w:next w:val="Normal"/>
    <w:uiPriority w:val="39"/>
    <w:unhideWhenUsed/>
    <w:qFormat/>
    <w:rsid w:val="000F4D24"/>
    <w:pPr>
      <w:spacing w:before="240" w:line="259" w:lineRule="auto"/>
      <w:outlineLvl w:val="9"/>
    </w:pPr>
    <w:rPr>
      <w:rFonts w:asciiTheme="majorHAnsi" w:hAnsiTheme="majorHAnsi"/>
      <w:b w:val="0"/>
      <w:color w:val="2E74B5" w:themeColor="accent1" w:themeShade="BF"/>
      <w:kern w:val="0"/>
      <w:sz w:val="32"/>
      <w14:ligatures w14:val="none"/>
    </w:rPr>
  </w:style>
  <w:style w:type="paragraph" w:styleId="TOC1">
    <w:name w:val="toc 1"/>
    <w:basedOn w:val="Normal"/>
    <w:next w:val="Normal"/>
    <w:autoRedefine/>
    <w:uiPriority w:val="39"/>
    <w:unhideWhenUsed/>
    <w:rsid w:val="000F4D24"/>
    <w:pPr>
      <w:tabs>
        <w:tab w:val="right" w:leader="dot" w:pos="9017"/>
      </w:tabs>
      <w:spacing w:after="100" w:line="240" w:lineRule="auto"/>
    </w:pPr>
    <w:rPr>
      <w:kern w:val="0"/>
      <w14:ligatures w14:val="none"/>
    </w:rPr>
  </w:style>
  <w:style w:type="paragraph" w:styleId="TOC3">
    <w:name w:val="toc 3"/>
    <w:basedOn w:val="Normal"/>
    <w:next w:val="Normal"/>
    <w:autoRedefine/>
    <w:uiPriority w:val="39"/>
    <w:unhideWhenUsed/>
    <w:rsid w:val="000F4D24"/>
    <w:pPr>
      <w:tabs>
        <w:tab w:val="right" w:leader="dot" w:pos="9017"/>
      </w:tabs>
      <w:spacing w:after="100"/>
    </w:pPr>
    <w:rPr>
      <w:rFonts w:eastAsia="Times New Roman" w:cs="Times New Roman"/>
      <w:noProof/>
      <w:kern w:val="0"/>
      <w14:ligatures w14:val="none"/>
    </w:rPr>
  </w:style>
  <w:style w:type="paragraph" w:styleId="TOC2">
    <w:name w:val="toc 2"/>
    <w:basedOn w:val="Normal"/>
    <w:next w:val="Normal"/>
    <w:autoRedefine/>
    <w:uiPriority w:val="39"/>
    <w:unhideWhenUsed/>
    <w:rsid w:val="000F4D24"/>
    <w:pPr>
      <w:tabs>
        <w:tab w:val="right" w:leader="dot" w:pos="9017"/>
      </w:tabs>
      <w:spacing w:after="100"/>
    </w:pPr>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024232">
      <w:bodyDiv w:val="1"/>
      <w:marLeft w:val="0"/>
      <w:marRight w:val="0"/>
      <w:marTop w:val="0"/>
      <w:marBottom w:val="0"/>
      <w:divBdr>
        <w:top w:val="none" w:sz="0" w:space="0" w:color="auto"/>
        <w:left w:val="none" w:sz="0" w:space="0" w:color="auto"/>
        <w:bottom w:val="none" w:sz="0" w:space="0" w:color="auto"/>
        <w:right w:val="none" w:sz="0" w:space="0" w:color="auto"/>
      </w:divBdr>
    </w:div>
    <w:div w:id="46540466">
      <w:bodyDiv w:val="1"/>
      <w:marLeft w:val="0"/>
      <w:marRight w:val="0"/>
      <w:marTop w:val="0"/>
      <w:marBottom w:val="0"/>
      <w:divBdr>
        <w:top w:val="none" w:sz="0" w:space="0" w:color="auto"/>
        <w:left w:val="none" w:sz="0" w:space="0" w:color="auto"/>
        <w:bottom w:val="none" w:sz="0" w:space="0" w:color="auto"/>
        <w:right w:val="none" w:sz="0" w:space="0" w:color="auto"/>
      </w:divBdr>
    </w:div>
    <w:div w:id="56317918">
      <w:bodyDiv w:val="1"/>
      <w:marLeft w:val="0"/>
      <w:marRight w:val="0"/>
      <w:marTop w:val="0"/>
      <w:marBottom w:val="0"/>
      <w:divBdr>
        <w:top w:val="none" w:sz="0" w:space="0" w:color="auto"/>
        <w:left w:val="none" w:sz="0" w:space="0" w:color="auto"/>
        <w:bottom w:val="none" w:sz="0" w:space="0" w:color="auto"/>
        <w:right w:val="none" w:sz="0" w:space="0" w:color="auto"/>
      </w:divBdr>
    </w:div>
    <w:div w:id="177931042">
      <w:bodyDiv w:val="1"/>
      <w:marLeft w:val="0"/>
      <w:marRight w:val="0"/>
      <w:marTop w:val="0"/>
      <w:marBottom w:val="0"/>
      <w:divBdr>
        <w:top w:val="none" w:sz="0" w:space="0" w:color="auto"/>
        <w:left w:val="none" w:sz="0" w:space="0" w:color="auto"/>
        <w:bottom w:val="none" w:sz="0" w:space="0" w:color="auto"/>
        <w:right w:val="none" w:sz="0" w:space="0" w:color="auto"/>
      </w:divBdr>
    </w:div>
    <w:div w:id="180752896">
      <w:bodyDiv w:val="1"/>
      <w:marLeft w:val="0"/>
      <w:marRight w:val="0"/>
      <w:marTop w:val="0"/>
      <w:marBottom w:val="0"/>
      <w:divBdr>
        <w:top w:val="none" w:sz="0" w:space="0" w:color="auto"/>
        <w:left w:val="none" w:sz="0" w:space="0" w:color="auto"/>
        <w:bottom w:val="none" w:sz="0" w:space="0" w:color="auto"/>
        <w:right w:val="none" w:sz="0" w:space="0" w:color="auto"/>
      </w:divBdr>
    </w:div>
    <w:div w:id="190460000">
      <w:bodyDiv w:val="1"/>
      <w:marLeft w:val="0"/>
      <w:marRight w:val="0"/>
      <w:marTop w:val="0"/>
      <w:marBottom w:val="0"/>
      <w:divBdr>
        <w:top w:val="none" w:sz="0" w:space="0" w:color="auto"/>
        <w:left w:val="none" w:sz="0" w:space="0" w:color="auto"/>
        <w:bottom w:val="none" w:sz="0" w:space="0" w:color="auto"/>
        <w:right w:val="none" w:sz="0" w:space="0" w:color="auto"/>
      </w:divBdr>
    </w:div>
    <w:div w:id="277026195">
      <w:bodyDiv w:val="1"/>
      <w:marLeft w:val="0"/>
      <w:marRight w:val="0"/>
      <w:marTop w:val="0"/>
      <w:marBottom w:val="0"/>
      <w:divBdr>
        <w:top w:val="none" w:sz="0" w:space="0" w:color="auto"/>
        <w:left w:val="none" w:sz="0" w:space="0" w:color="auto"/>
        <w:bottom w:val="none" w:sz="0" w:space="0" w:color="auto"/>
        <w:right w:val="none" w:sz="0" w:space="0" w:color="auto"/>
      </w:divBdr>
    </w:div>
    <w:div w:id="298151094">
      <w:bodyDiv w:val="1"/>
      <w:marLeft w:val="0"/>
      <w:marRight w:val="0"/>
      <w:marTop w:val="0"/>
      <w:marBottom w:val="0"/>
      <w:divBdr>
        <w:top w:val="none" w:sz="0" w:space="0" w:color="auto"/>
        <w:left w:val="none" w:sz="0" w:space="0" w:color="auto"/>
        <w:bottom w:val="none" w:sz="0" w:space="0" w:color="auto"/>
        <w:right w:val="none" w:sz="0" w:space="0" w:color="auto"/>
      </w:divBdr>
    </w:div>
    <w:div w:id="308360831">
      <w:bodyDiv w:val="1"/>
      <w:marLeft w:val="0"/>
      <w:marRight w:val="0"/>
      <w:marTop w:val="0"/>
      <w:marBottom w:val="0"/>
      <w:divBdr>
        <w:top w:val="none" w:sz="0" w:space="0" w:color="auto"/>
        <w:left w:val="none" w:sz="0" w:space="0" w:color="auto"/>
        <w:bottom w:val="none" w:sz="0" w:space="0" w:color="auto"/>
        <w:right w:val="none" w:sz="0" w:space="0" w:color="auto"/>
      </w:divBdr>
    </w:div>
    <w:div w:id="309406057">
      <w:bodyDiv w:val="1"/>
      <w:marLeft w:val="0"/>
      <w:marRight w:val="0"/>
      <w:marTop w:val="0"/>
      <w:marBottom w:val="0"/>
      <w:divBdr>
        <w:top w:val="none" w:sz="0" w:space="0" w:color="auto"/>
        <w:left w:val="none" w:sz="0" w:space="0" w:color="auto"/>
        <w:bottom w:val="none" w:sz="0" w:space="0" w:color="auto"/>
        <w:right w:val="none" w:sz="0" w:space="0" w:color="auto"/>
      </w:divBdr>
    </w:div>
    <w:div w:id="335232971">
      <w:bodyDiv w:val="1"/>
      <w:marLeft w:val="0"/>
      <w:marRight w:val="0"/>
      <w:marTop w:val="0"/>
      <w:marBottom w:val="0"/>
      <w:divBdr>
        <w:top w:val="none" w:sz="0" w:space="0" w:color="auto"/>
        <w:left w:val="none" w:sz="0" w:space="0" w:color="auto"/>
        <w:bottom w:val="none" w:sz="0" w:space="0" w:color="auto"/>
        <w:right w:val="none" w:sz="0" w:space="0" w:color="auto"/>
      </w:divBdr>
    </w:div>
    <w:div w:id="363604737">
      <w:bodyDiv w:val="1"/>
      <w:marLeft w:val="0"/>
      <w:marRight w:val="0"/>
      <w:marTop w:val="0"/>
      <w:marBottom w:val="0"/>
      <w:divBdr>
        <w:top w:val="none" w:sz="0" w:space="0" w:color="auto"/>
        <w:left w:val="none" w:sz="0" w:space="0" w:color="auto"/>
        <w:bottom w:val="none" w:sz="0" w:space="0" w:color="auto"/>
        <w:right w:val="none" w:sz="0" w:space="0" w:color="auto"/>
      </w:divBdr>
    </w:div>
    <w:div w:id="375081912">
      <w:bodyDiv w:val="1"/>
      <w:marLeft w:val="0"/>
      <w:marRight w:val="0"/>
      <w:marTop w:val="0"/>
      <w:marBottom w:val="0"/>
      <w:divBdr>
        <w:top w:val="none" w:sz="0" w:space="0" w:color="auto"/>
        <w:left w:val="none" w:sz="0" w:space="0" w:color="auto"/>
        <w:bottom w:val="none" w:sz="0" w:space="0" w:color="auto"/>
        <w:right w:val="none" w:sz="0" w:space="0" w:color="auto"/>
      </w:divBdr>
    </w:div>
    <w:div w:id="421415134">
      <w:bodyDiv w:val="1"/>
      <w:marLeft w:val="0"/>
      <w:marRight w:val="0"/>
      <w:marTop w:val="0"/>
      <w:marBottom w:val="0"/>
      <w:divBdr>
        <w:top w:val="none" w:sz="0" w:space="0" w:color="auto"/>
        <w:left w:val="none" w:sz="0" w:space="0" w:color="auto"/>
        <w:bottom w:val="none" w:sz="0" w:space="0" w:color="auto"/>
        <w:right w:val="none" w:sz="0" w:space="0" w:color="auto"/>
      </w:divBdr>
    </w:div>
    <w:div w:id="481697514">
      <w:bodyDiv w:val="1"/>
      <w:marLeft w:val="0"/>
      <w:marRight w:val="0"/>
      <w:marTop w:val="0"/>
      <w:marBottom w:val="0"/>
      <w:divBdr>
        <w:top w:val="none" w:sz="0" w:space="0" w:color="auto"/>
        <w:left w:val="none" w:sz="0" w:space="0" w:color="auto"/>
        <w:bottom w:val="none" w:sz="0" w:space="0" w:color="auto"/>
        <w:right w:val="none" w:sz="0" w:space="0" w:color="auto"/>
      </w:divBdr>
    </w:div>
    <w:div w:id="501043085">
      <w:bodyDiv w:val="1"/>
      <w:marLeft w:val="0"/>
      <w:marRight w:val="0"/>
      <w:marTop w:val="0"/>
      <w:marBottom w:val="0"/>
      <w:divBdr>
        <w:top w:val="none" w:sz="0" w:space="0" w:color="auto"/>
        <w:left w:val="none" w:sz="0" w:space="0" w:color="auto"/>
        <w:bottom w:val="none" w:sz="0" w:space="0" w:color="auto"/>
        <w:right w:val="none" w:sz="0" w:space="0" w:color="auto"/>
      </w:divBdr>
    </w:div>
    <w:div w:id="533664081">
      <w:bodyDiv w:val="1"/>
      <w:marLeft w:val="0"/>
      <w:marRight w:val="0"/>
      <w:marTop w:val="0"/>
      <w:marBottom w:val="0"/>
      <w:divBdr>
        <w:top w:val="none" w:sz="0" w:space="0" w:color="auto"/>
        <w:left w:val="none" w:sz="0" w:space="0" w:color="auto"/>
        <w:bottom w:val="none" w:sz="0" w:space="0" w:color="auto"/>
        <w:right w:val="none" w:sz="0" w:space="0" w:color="auto"/>
      </w:divBdr>
    </w:div>
    <w:div w:id="573010760">
      <w:bodyDiv w:val="1"/>
      <w:marLeft w:val="0"/>
      <w:marRight w:val="0"/>
      <w:marTop w:val="0"/>
      <w:marBottom w:val="0"/>
      <w:divBdr>
        <w:top w:val="none" w:sz="0" w:space="0" w:color="auto"/>
        <w:left w:val="none" w:sz="0" w:space="0" w:color="auto"/>
        <w:bottom w:val="none" w:sz="0" w:space="0" w:color="auto"/>
        <w:right w:val="none" w:sz="0" w:space="0" w:color="auto"/>
      </w:divBdr>
    </w:div>
    <w:div w:id="583952582">
      <w:bodyDiv w:val="1"/>
      <w:marLeft w:val="0"/>
      <w:marRight w:val="0"/>
      <w:marTop w:val="0"/>
      <w:marBottom w:val="0"/>
      <w:divBdr>
        <w:top w:val="none" w:sz="0" w:space="0" w:color="auto"/>
        <w:left w:val="none" w:sz="0" w:space="0" w:color="auto"/>
        <w:bottom w:val="none" w:sz="0" w:space="0" w:color="auto"/>
        <w:right w:val="none" w:sz="0" w:space="0" w:color="auto"/>
      </w:divBdr>
    </w:div>
    <w:div w:id="595136364">
      <w:bodyDiv w:val="1"/>
      <w:marLeft w:val="0"/>
      <w:marRight w:val="0"/>
      <w:marTop w:val="0"/>
      <w:marBottom w:val="0"/>
      <w:divBdr>
        <w:top w:val="none" w:sz="0" w:space="0" w:color="auto"/>
        <w:left w:val="none" w:sz="0" w:space="0" w:color="auto"/>
        <w:bottom w:val="none" w:sz="0" w:space="0" w:color="auto"/>
        <w:right w:val="none" w:sz="0" w:space="0" w:color="auto"/>
      </w:divBdr>
    </w:div>
    <w:div w:id="684869787">
      <w:bodyDiv w:val="1"/>
      <w:marLeft w:val="0"/>
      <w:marRight w:val="0"/>
      <w:marTop w:val="0"/>
      <w:marBottom w:val="0"/>
      <w:divBdr>
        <w:top w:val="none" w:sz="0" w:space="0" w:color="auto"/>
        <w:left w:val="none" w:sz="0" w:space="0" w:color="auto"/>
        <w:bottom w:val="none" w:sz="0" w:space="0" w:color="auto"/>
        <w:right w:val="none" w:sz="0" w:space="0" w:color="auto"/>
      </w:divBdr>
    </w:div>
    <w:div w:id="704407566">
      <w:bodyDiv w:val="1"/>
      <w:marLeft w:val="0"/>
      <w:marRight w:val="0"/>
      <w:marTop w:val="0"/>
      <w:marBottom w:val="0"/>
      <w:divBdr>
        <w:top w:val="none" w:sz="0" w:space="0" w:color="auto"/>
        <w:left w:val="none" w:sz="0" w:space="0" w:color="auto"/>
        <w:bottom w:val="none" w:sz="0" w:space="0" w:color="auto"/>
        <w:right w:val="none" w:sz="0" w:space="0" w:color="auto"/>
      </w:divBdr>
    </w:div>
    <w:div w:id="725179437">
      <w:bodyDiv w:val="1"/>
      <w:marLeft w:val="0"/>
      <w:marRight w:val="0"/>
      <w:marTop w:val="0"/>
      <w:marBottom w:val="0"/>
      <w:divBdr>
        <w:top w:val="none" w:sz="0" w:space="0" w:color="auto"/>
        <w:left w:val="none" w:sz="0" w:space="0" w:color="auto"/>
        <w:bottom w:val="none" w:sz="0" w:space="0" w:color="auto"/>
        <w:right w:val="none" w:sz="0" w:space="0" w:color="auto"/>
      </w:divBdr>
    </w:div>
    <w:div w:id="731580529">
      <w:bodyDiv w:val="1"/>
      <w:marLeft w:val="0"/>
      <w:marRight w:val="0"/>
      <w:marTop w:val="0"/>
      <w:marBottom w:val="0"/>
      <w:divBdr>
        <w:top w:val="none" w:sz="0" w:space="0" w:color="auto"/>
        <w:left w:val="none" w:sz="0" w:space="0" w:color="auto"/>
        <w:bottom w:val="none" w:sz="0" w:space="0" w:color="auto"/>
        <w:right w:val="none" w:sz="0" w:space="0" w:color="auto"/>
      </w:divBdr>
    </w:div>
    <w:div w:id="787816568">
      <w:bodyDiv w:val="1"/>
      <w:marLeft w:val="0"/>
      <w:marRight w:val="0"/>
      <w:marTop w:val="0"/>
      <w:marBottom w:val="0"/>
      <w:divBdr>
        <w:top w:val="none" w:sz="0" w:space="0" w:color="auto"/>
        <w:left w:val="none" w:sz="0" w:space="0" w:color="auto"/>
        <w:bottom w:val="none" w:sz="0" w:space="0" w:color="auto"/>
        <w:right w:val="none" w:sz="0" w:space="0" w:color="auto"/>
      </w:divBdr>
    </w:div>
    <w:div w:id="817915180">
      <w:bodyDiv w:val="1"/>
      <w:marLeft w:val="0"/>
      <w:marRight w:val="0"/>
      <w:marTop w:val="0"/>
      <w:marBottom w:val="0"/>
      <w:divBdr>
        <w:top w:val="none" w:sz="0" w:space="0" w:color="auto"/>
        <w:left w:val="none" w:sz="0" w:space="0" w:color="auto"/>
        <w:bottom w:val="none" w:sz="0" w:space="0" w:color="auto"/>
        <w:right w:val="none" w:sz="0" w:space="0" w:color="auto"/>
      </w:divBdr>
    </w:div>
    <w:div w:id="822618992">
      <w:bodyDiv w:val="1"/>
      <w:marLeft w:val="0"/>
      <w:marRight w:val="0"/>
      <w:marTop w:val="0"/>
      <w:marBottom w:val="0"/>
      <w:divBdr>
        <w:top w:val="none" w:sz="0" w:space="0" w:color="auto"/>
        <w:left w:val="none" w:sz="0" w:space="0" w:color="auto"/>
        <w:bottom w:val="none" w:sz="0" w:space="0" w:color="auto"/>
        <w:right w:val="none" w:sz="0" w:space="0" w:color="auto"/>
      </w:divBdr>
    </w:div>
    <w:div w:id="853494981">
      <w:bodyDiv w:val="1"/>
      <w:marLeft w:val="0"/>
      <w:marRight w:val="0"/>
      <w:marTop w:val="0"/>
      <w:marBottom w:val="0"/>
      <w:divBdr>
        <w:top w:val="none" w:sz="0" w:space="0" w:color="auto"/>
        <w:left w:val="none" w:sz="0" w:space="0" w:color="auto"/>
        <w:bottom w:val="none" w:sz="0" w:space="0" w:color="auto"/>
        <w:right w:val="none" w:sz="0" w:space="0" w:color="auto"/>
      </w:divBdr>
    </w:div>
    <w:div w:id="964432322">
      <w:bodyDiv w:val="1"/>
      <w:marLeft w:val="0"/>
      <w:marRight w:val="0"/>
      <w:marTop w:val="0"/>
      <w:marBottom w:val="0"/>
      <w:divBdr>
        <w:top w:val="none" w:sz="0" w:space="0" w:color="auto"/>
        <w:left w:val="none" w:sz="0" w:space="0" w:color="auto"/>
        <w:bottom w:val="none" w:sz="0" w:space="0" w:color="auto"/>
        <w:right w:val="none" w:sz="0" w:space="0" w:color="auto"/>
      </w:divBdr>
    </w:div>
    <w:div w:id="1018576961">
      <w:bodyDiv w:val="1"/>
      <w:marLeft w:val="0"/>
      <w:marRight w:val="0"/>
      <w:marTop w:val="0"/>
      <w:marBottom w:val="0"/>
      <w:divBdr>
        <w:top w:val="none" w:sz="0" w:space="0" w:color="auto"/>
        <w:left w:val="none" w:sz="0" w:space="0" w:color="auto"/>
        <w:bottom w:val="none" w:sz="0" w:space="0" w:color="auto"/>
        <w:right w:val="none" w:sz="0" w:space="0" w:color="auto"/>
      </w:divBdr>
    </w:div>
    <w:div w:id="1075127798">
      <w:bodyDiv w:val="1"/>
      <w:marLeft w:val="0"/>
      <w:marRight w:val="0"/>
      <w:marTop w:val="0"/>
      <w:marBottom w:val="0"/>
      <w:divBdr>
        <w:top w:val="none" w:sz="0" w:space="0" w:color="auto"/>
        <w:left w:val="none" w:sz="0" w:space="0" w:color="auto"/>
        <w:bottom w:val="none" w:sz="0" w:space="0" w:color="auto"/>
        <w:right w:val="none" w:sz="0" w:space="0" w:color="auto"/>
      </w:divBdr>
    </w:div>
    <w:div w:id="1106117401">
      <w:bodyDiv w:val="1"/>
      <w:marLeft w:val="0"/>
      <w:marRight w:val="0"/>
      <w:marTop w:val="0"/>
      <w:marBottom w:val="0"/>
      <w:divBdr>
        <w:top w:val="none" w:sz="0" w:space="0" w:color="auto"/>
        <w:left w:val="none" w:sz="0" w:space="0" w:color="auto"/>
        <w:bottom w:val="none" w:sz="0" w:space="0" w:color="auto"/>
        <w:right w:val="none" w:sz="0" w:space="0" w:color="auto"/>
      </w:divBdr>
    </w:div>
    <w:div w:id="1116296034">
      <w:bodyDiv w:val="1"/>
      <w:marLeft w:val="0"/>
      <w:marRight w:val="0"/>
      <w:marTop w:val="0"/>
      <w:marBottom w:val="0"/>
      <w:divBdr>
        <w:top w:val="none" w:sz="0" w:space="0" w:color="auto"/>
        <w:left w:val="none" w:sz="0" w:space="0" w:color="auto"/>
        <w:bottom w:val="none" w:sz="0" w:space="0" w:color="auto"/>
        <w:right w:val="none" w:sz="0" w:space="0" w:color="auto"/>
      </w:divBdr>
    </w:div>
    <w:div w:id="1132478866">
      <w:bodyDiv w:val="1"/>
      <w:marLeft w:val="0"/>
      <w:marRight w:val="0"/>
      <w:marTop w:val="0"/>
      <w:marBottom w:val="0"/>
      <w:divBdr>
        <w:top w:val="none" w:sz="0" w:space="0" w:color="auto"/>
        <w:left w:val="none" w:sz="0" w:space="0" w:color="auto"/>
        <w:bottom w:val="none" w:sz="0" w:space="0" w:color="auto"/>
        <w:right w:val="none" w:sz="0" w:space="0" w:color="auto"/>
      </w:divBdr>
    </w:div>
    <w:div w:id="1163855799">
      <w:bodyDiv w:val="1"/>
      <w:marLeft w:val="0"/>
      <w:marRight w:val="0"/>
      <w:marTop w:val="0"/>
      <w:marBottom w:val="0"/>
      <w:divBdr>
        <w:top w:val="none" w:sz="0" w:space="0" w:color="auto"/>
        <w:left w:val="none" w:sz="0" w:space="0" w:color="auto"/>
        <w:bottom w:val="none" w:sz="0" w:space="0" w:color="auto"/>
        <w:right w:val="none" w:sz="0" w:space="0" w:color="auto"/>
      </w:divBdr>
    </w:div>
    <w:div w:id="1191407787">
      <w:bodyDiv w:val="1"/>
      <w:marLeft w:val="0"/>
      <w:marRight w:val="0"/>
      <w:marTop w:val="0"/>
      <w:marBottom w:val="0"/>
      <w:divBdr>
        <w:top w:val="none" w:sz="0" w:space="0" w:color="auto"/>
        <w:left w:val="none" w:sz="0" w:space="0" w:color="auto"/>
        <w:bottom w:val="none" w:sz="0" w:space="0" w:color="auto"/>
        <w:right w:val="none" w:sz="0" w:space="0" w:color="auto"/>
      </w:divBdr>
    </w:div>
    <w:div w:id="1211502411">
      <w:bodyDiv w:val="1"/>
      <w:marLeft w:val="0"/>
      <w:marRight w:val="0"/>
      <w:marTop w:val="0"/>
      <w:marBottom w:val="0"/>
      <w:divBdr>
        <w:top w:val="none" w:sz="0" w:space="0" w:color="auto"/>
        <w:left w:val="none" w:sz="0" w:space="0" w:color="auto"/>
        <w:bottom w:val="none" w:sz="0" w:space="0" w:color="auto"/>
        <w:right w:val="none" w:sz="0" w:space="0" w:color="auto"/>
      </w:divBdr>
    </w:div>
    <w:div w:id="1310088724">
      <w:bodyDiv w:val="1"/>
      <w:marLeft w:val="0"/>
      <w:marRight w:val="0"/>
      <w:marTop w:val="0"/>
      <w:marBottom w:val="0"/>
      <w:divBdr>
        <w:top w:val="none" w:sz="0" w:space="0" w:color="auto"/>
        <w:left w:val="none" w:sz="0" w:space="0" w:color="auto"/>
        <w:bottom w:val="none" w:sz="0" w:space="0" w:color="auto"/>
        <w:right w:val="none" w:sz="0" w:space="0" w:color="auto"/>
      </w:divBdr>
    </w:div>
    <w:div w:id="1447385423">
      <w:bodyDiv w:val="1"/>
      <w:marLeft w:val="0"/>
      <w:marRight w:val="0"/>
      <w:marTop w:val="0"/>
      <w:marBottom w:val="0"/>
      <w:divBdr>
        <w:top w:val="none" w:sz="0" w:space="0" w:color="auto"/>
        <w:left w:val="none" w:sz="0" w:space="0" w:color="auto"/>
        <w:bottom w:val="none" w:sz="0" w:space="0" w:color="auto"/>
        <w:right w:val="none" w:sz="0" w:space="0" w:color="auto"/>
      </w:divBdr>
    </w:div>
    <w:div w:id="1511871854">
      <w:bodyDiv w:val="1"/>
      <w:marLeft w:val="0"/>
      <w:marRight w:val="0"/>
      <w:marTop w:val="0"/>
      <w:marBottom w:val="0"/>
      <w:divBdr>
        <w:top w:val="none" w:sz="0" w:space="0" w:color="auto"/>
        <w:left w:val="none" w:sz="0" w:space="0" w:color="auto"/>
        <w:bottom w:val="none" w:sz="0" w:space="0" w:color="auto"/>
        <w:right w:val="none" w:sz="0" w:space="0" w:color="auto"/>
      </w:divBdr>
    </w:div>
    <w:div w:id="1557886768">
      <w:bodyDiv w:val="1"/>
      <w:marLeft w:val="0"/>
      <w:marRight w:val="0"/>
      <w:marTop w:val="0"/>
      <w:marBottom w:val="0"/>
      <w:divBdr>
        <w:top w:val="none" w:sz="0" w:space="0" w:color="auto"/>
        <w:left w:val="none" w:sz="0" w:space="0" w:color="auto"/>
        <w:bottom w:val="none" w:sz="0" w:space="0" w:color="auto"/>
        <w:right w:val="none" w:sz="0" w:space="0" w:color="auto"/>
      </w:divBdr>
    </w:div>
    <w:div w:id="1579900788">
      <w:bodyDiv w:val="1"/>
      <w:marLeft w:val="0"/>
      <w:marRight w:val="0"/>
      <w:marTop w:val="0"/>
      <w:marBottom w:val="0"/>
      <w:divBdr>
        <w:top w:val="none" w:sz="0" w:space="0" w:color="auto"/>
        <w:left w:val="none" w:sz="0" w:space="0" w:color="auto"/>
        <w:bottom w:val="none" w:sz="0" w:space="0" w:color="auto"/>
        <w:right w:val="none" w:sz="0" w:space="0" w:color="auto"/>
      </w:divBdr>
    </w:div>
    <w:div w:id="1698434450">
      <w:bodyDiv w:val="1"/>
      <w:marLeft w:val="0"/>
      <w:marRight w:val="0"/>
      <w:marTop w:val="0"/>
      <w:marBottom w:val="0"/>
      <w:divBdr>
        <w:top w:val="none" w:sz="0" w:space="0" w:color="auto"/>
        <w:left w:val="none" w:sz="0" w:space="0" w:color="auto"/>
        <w:bottom w:val="none" w:sz="0" w:space="0" w:color="auto"/>
        <w:right w:val="none" w:sz="0" w:space="0" w:color="auto"/>
      </w:divBdr>
    </w:div>
    <w:div w:id="1704861272">
      <w:bodyDiv w:val="1"/>
      <w:marLeft w:val="0"/>
      <w:marRight w:val="0"/>
      <w:marTop w:val="0"/>
      <w:marBottom w:val="0"/>
      <w:divBdr>
        <w:top w:val="none" w:sz="0" w:space="0" w:color="auto"/>
        <w:left w:val="none" w:sz="0" w:space="0" w:color="auto"/>
        <w:bottom w:val="none" w:sz="0" w:space="0" w:color="auto"/>
        <w:right w:val="none" w:sz="0" w:space="0" w:color="auto"/>
      </w:divBdr>
    </w:div>
    <w:div w:id="1783376079">
      <w:bodyDiv w:val="1"/>
      <w:marLeft w:val="0"/>
      <w:marRight w:val="0"/>
      <w:marTop w:val="0"/>
      <w:marBottom w:val="0"/>
      <w:divBdr>
        <w:top w:val="none" w:sz="0" w:space="0" w:color="auto"/>
        <w:left w:val="none" w:sz="0" w:space="0" w:color="auto"/>
        <w:bottom w:val="none" w:sz="0" w:space="0" w:color="auto"/>
        <w:right w:val="none" w:sz="0" w:space="0" w:color="auto"/>
      </w:divBdr>
    </w:div>
    <w:div w:id="1802110626">
      <w:bodyDiv w:val="1"/>
      <w:marLeft w:val="0"/>
      <w:marRight w:val="0"/>
      <w:marTop w:val="0"/>
      <w:marBottom w:val="0"/>
      <w:divBdr>
        <w:top w:val="none" w:sz="0" w:space="0" w:color="auto"/>
        <w:left w:val="none" w:sz="0" w:space="0" w:color="auto"/>
        <w:bottom w:val="none" w:sz="0" w:space="0" w:color="auto"/>
        <w:right w:val="none" w:sz="0" w:space="0" w:color="auto"/>
      </w:divBdr>
    </w:div>
    <w:div w:id="1950429533">
      <w:bodyDiv w:val="1"/>
      <w:marLeft w:val="0"/>
      <w:marRight w:val="0"/>
      <w:marTop w:val="0"/>
      <w:marBottom w:val="0"/>
      <w:divBdr>
        <w:top w:val="none" w:sz="0" w:space="0" w:color="auto"/>
        <w:left w:val="none" w:sz="0" w:space="0" w:color="auto"/>
        <w:bottom w:val="none" w:sz="0" w:space="0" w:color="auto"/>
        <w:right w:val="none" w:sz="0" w:space="0" w:color="auto"/>
      </w:divBdr>
    </w:div>
    <w:div w:id="1997607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doi.org/10.1155/2022/8843212" TargetMode="External"/><Relationship Id="rId18" Type="http://schemas.openxmlformats.org/officeDocument/2006/relationships/hyperlink" Target="https://doi.org/10.2166/wh.2020.166"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doi.org/10.1126/science.1159483" TargetMode="External"/><Relationship Id="rId7" Type="http://schemas.openxmlformats.org/officeDocument/2006/relationships/footer" Target="footer1.xml"/><Relationship Id="rId12" Type="http://schemas.openxmlformats.org/officeDocument/2006/relationships/hyperlink" Target="https://doi.org/10.4314/ajcem.v21i3.6" TargetMode="External"/><Relationship Id="rId17" Type="http://schemas.openxmlformats.org/officeDocument/2006/relationships/hyperlink" Target="https://doi.org/10.1038/s41564-020-0736-1"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1007/s10661-021-08993-8" TargetMode="External"/><Relationship Id="rId20" Type="http://schemas.openxmlformats.org/officeDocument/2006/relationships/hyperlink" Target="https://doi.org/10.1016/j.ijfoodmicro.2021.10934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24" Type="http://schemas.openxmlformats.org/officeDocument/2006/relationships/hyperlink" Target="https://doi.org/10.1186/s12879-021-06072-8" TargetMode="External"/><Relationship Id="rId5" Type="http://schemas.openxmlformats.org/officeDocument/2006/relationships/footnotes" Target="footnotes.xml"/><Relationship Id="rId15" Type="http://schemas.openxmlformats.org/officeDocument/2006/relationships/hyperlink" Target="https://doi.org/10.1007/s10653-020-00552-7" TargetMode="External"/><Relationship Id="rId23" Type="http://schemas.openxmlformats.org/officeDocument/2006/relationships/hyperlink" Target="https://doi.org/10.1007/s12403-013-0082-0" TargetMode="External"/><Relationship Id="rId10" Type="http://schemas.openxmlformats.org/officeDocument/2006/relationships/chart" Target="charts/chart1.xml"/><Relationship Id="rId19" Type="http://schemas.openxmlformats.org/officeDocument/2006/relationships/hyperlink" Target="https://doi.org/10.1093/femsre/fuy008"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doi.org/10.1111/jam.14912" TargetMode="External"/><Relationship Id="rId22" Type="http://schemas.openxmlformats.org/officeDocument/2006/relationships/hyperlink" Target="https://doi.org/10.1155/2018/7208470"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%Zone</a:t>
            </a:r>
            <a:r>
              <a:rPr lang="en-US" baseline="0"/>
              <a:t> of inhibition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1"/>
          <c:order val="1"/>
          <c:tx>
            <c:strRef>
              <c:f>Sheet1!$C$1</c:f>
              <c:strCache>
                <c:ptCount val="1"/>
                <c:pt idx="0">
                  <c:v>Tet</c:v>
                </c:pt>
              </c:strCache>
            </c:strRef>
          </c:tx>
          <c:spPr>
            <a:solidFill>
              <a:schemeClr val="accent2"/>
            </a:solidFill>
            <a:ln>
              <a:noFill/>
            </a:ln>
            <a:effectLst/>
          </c:spPr>
          <c:invertIfNegative val="0"/>
          <c:cat>
            <c:strRef>
              <c:f>Sheet1!$A$2:$A$6</c:f>
              <c:strCache>
                <c:ptCount val="5"/>
                <c:pt idx="0">
                  <c:v>B. laterosporus</c:v>
                </c:pt>
                <c:pt idx="1">
                  <c:v>S. marcesceus</c:v>
                </c:pt>
                <c:pt idx="2">
                  <c:v>E.coli</c:v>
                </c:pt>
                <c:pt idx="3">
                  <c:v>E. cloacae</c:v>
                </c:pt>
                <c:pt idx="4">
                  <c:v>B pumilus</c:v>
                </c:pt>
              </c:strCache>
            </c:strRef>
          </c:cat>
          <c:val>
            <c:numRef>
              <c:f>Sheet1!$C$2:$C$6</c:f>
              <c:numCache>
                <c:formatCode>General</c:formatCode>
                <c:ptCount val="5"/>
                <c:pt idx="0">
                  <c:v>11</c:v>
                </c:pt>
                <c:pt idx="1">
                  <c:v>8</c:v>
                </c:pt>
                <c:pt idx="2">
                  <c:v>11</c:v>
                </c:pt>
                <c:pt idx="3">
                  <c:v>10</c:v>
                </c:pt>
                <c:pt idx="4">
                  <c:v>10</c:v>
                </c:pt>
              </c:numCache>
            </c:numRef>
          </c:val>
          <c:extLst>
            <c:ext xmlns:c16="http://schemas.microsoft.com/office/drawing/2014/chart" uri="{C3380CC4-5D6E-409C-BE32-E72D297353CC}">
              <c16:uniqueId val="{00000000-7D54-4DF2-A1B1-E79237B2F859}"/>
            </c:ext>
          </c:extLst>
        </c:ser>
        <c:ser>
          <c:idx val="2"/>
          <c:order val="2"/>
          <c:tx>
            <c:strRef>
              <c:f>Sheet1!$D$1</c:f>
              <c:strCache>
                <c:ptCount val="1"/>
                <c:pt idx="0">
                  <c:v>Amp</c:v>
                </c:pt>
              </c:strCache>
            </c:strRef>
          </c:tx>
          <c:spPr>
            <a:solidFill>
              <a:schemeClr val="accent3"/>
            </a:solidFill>
            <a:ln>
              <a:noFill/>
            </a:ln>
            <a:effectLst/>
          </c:spPr>
          <c:invertIfNegative val="0"/>
          <c:cat>
            <c:strRef>
              <c:f>Sheet1!$A$2:$A$6</c:f>
              <c:strCache>
                <c:ptCount val="5"/>
                <c:pt idx="0">
                  <c:v>B. laterosporus</c:v>
                </c:pt>
                <c:pt idx="1">
                  <c:v>S. marcesceus</c:v>
                </c:pt>
                <c:pt idx="2">
                  <c:v>E.coli</c:v>
                </c:pt>
                <c:pt idx="3">
                  <c:v>E. cloacae</c:v>
                </c:pt>
                <c:pt idx="4">
                  <c:v>B pumilus</c:v>
                </c:pt>
              </c:strCache>
            </c:strRef>
          </c:cat>
          <c:val>
            <c:numRef>
              <c:f>Sheet1!$D$2:$D$6</c:f>
              <c:numCache>
                <c:formatCode>General</c:formatCode>
                <c:ptCount val="5"/>
                <c:pt idx="0">
                  <c:v>9</c:v>
                </c:pt>
                <c:pt idx="1">
                  <c:v>0</c:v>
                </c:pt>
                <c:pt idx="2">
                  <c:v>0</c:v>
                </c:pt>
                <c:pt idx="3">
                  <c:v>0</c:v>
                </c:pt>
                <c:pt idx="4">
                  <c:v>0</c:v>
                </c:pt>
              </c:numCache>
            </c:numRef>
          </c:val>
          <c:extLst>
            <c:ext xmlns:c16="http://schemas.microsoft.com/office/drawing/2014/chart" uri="{C3380CC4-5D6E-409C-BE32-E72D297353CC}">
              <c16:uniqueId val="{00000001-7D54-4DF2-A1B1-E79237B2F859}"/>
            </c:ext>
          </c:extLst>
        </c:ser>
        <c:ser>
          <c:idx val="3"/>
          <c:order val="3"/>
          <c:tx>
            <c:strRef>
              <c:f>Sheet1!$E$1</c:f>
              <c:strCache>
                <c:ptCount val="1"/>
                <c:pt idx="0">
                  <c:v>Levo</c:v>
                </c:pt>
              </c:strCache>
            </c:strRef>
          </c:tx>
          <c:spPr>
            <a:solidFill>
              <a:schemeClr val="accent4"/>
            </a:solidFill>
            <a:ln>
              <a:noFill/>
            </a:ln>
            <a:effectLst/>
          </c:spPr>
          <c:invertIfNegative val="0"/>
          <c:cat>
            <c:strRef>
              <c:f>Sheet1!$A$2:$A$6</c:f>
              <c:strCache>
                <c:ptCount val="5"/>
                <c:pt idx="0">
                  <c:v>B. laterosporus</c:v>
                </c:pt>
                <c:pt idx="1">
                  <c:v>S. marcesceus</c:v>
                </c:pt>
                <c:pt idx="2">
                  <c:v>E.coli</c:v>
                </c:pt>
                <c:pt idx="3">
                  <c:v>E. cloacae</c:v>
                </c:pt>
                <c:pt idx="4">
                  <c:v>B pumilus</c:v>
                </c:pt>
              </c:strCache>
            </c:strRef>
          </c:cat>
          <c:val>
            <c:numRef>
              <c:f>Sheet1!$E$2:$E$6</c:f>
              <c:numCache>
                <c:formatCode>General</c:formatCode>
                <c:ptCount val="5"/>
                <c:pt idx="0">
                  <c:v>9</c:v>
                </c:pt>
                <c:pt idx="1">
                  <c:v>12</c:v>
                </c:pt>
                <c:pt idx="2">
                  <c:v>13</c:v>
                </c:pt>
                <c:pt idx="3">
                  <c:v>11</c:v>
                </c:pt>
                <c:pt idx="4">
                  <c:v>9</c:v>
                </c:pt>
              </c:numCache>
            </c:numRef>
          </c:val>
          <c:extLst>
            <c:ext xmlns:c16="http://schemas.microsoft.com/office/drawing/2014/chart" uri="{C3380CC4-5D6E-409C-BE32-E72D297353CC}">
              <c16:uniqueId val="{00000002-7D54-4DF2-A1B1-E79237B2F859}"/>
            </c:ext>
          </c:extLst>
        </c:ser>
        <c:ser>
          <c:idx val="4"/>
          <c:order val="4"/>
          <c:tx>
            <c:strRef>
              <c:f>Sheet1!$F$1</c:f>
              <c:strCache>
                <c:ptCount val="1"/>
                <c:pt idx="0">
                  <c:v>Amoxyl</c:v>
                </c:pt>
              </c:strCache>
            </c:strRef>
          </c:tx>
          <c:spPr>
            <a:solidFill>
              <a:schemeClr val="accent5"/>
            </a:solidFill>
            <a:ln>
              <a:noFill/>
            </a:ln>
            <a:effectLst/>
          </c:spPr>
          <c:invertIfNegative val="0"/>
          <c:cat>
            <c:strRef>
              <c:f>Sheet1!$A$2:$A$6</c:f>
              <c:strCache>
                <c:ptCount val="5"/>
                <c:pt idx="0">
                  <c:v>B. laterosporus</c:v>
                </c:pt>
                <c:pt idx="1">
                  <c:v>S. marcesceus</c:v>
                </c:pt>
                <c:pt idx="2">
                  <c:v>E.coli</c:v>
                </c:pt>
                <c:pt idx="3">
                  <c:v>E. cloacae</c:v>
                </c:pt>
                <c:pt idx="4">
                  <c:v>B pumilus</c:v>
                </c:pt>
              </c:strCache>
            </c:strRef>
          </c:cat>
          <c:val>
            <c:numRef>
              <c:f>Sheet1!$F$2:$F$6</c:f>
              <c:numCache>
                <c:formatCode>General</c:formatCode>
                <c:ptCount val="5"/>
                <c:pt idx="0">
                  <c:v>0</c:v>
                </c:pt>
                <c:pt idx="1">
                  <c:v>0</c:v>
                </c:pt>
                <c:pt idx="2">
                  <c:v>0</c:v>
                </c:pt>
                <c:pt idx="3">
                  <c:v>0</c:v>
                </c:pt>
                <c:pt idx="4">
                  <c:v>0</c:v>
                </c:pt>
              </c:numCache>
            </c:numRef>
          </c:val>
          <c:extLst>
            <c:ext xmlns:c16="http://schemas.microsoft.com/office/drawing/2014/chart" uri="{C3380CC4-5D6E-409C-BE32-E72D297353CC}">
              <c16:uniqueId val="{00000003-7D54-4DF2-A1B1-E79237B2F859}"/>
            </c:ext>
          </c:extLst>
        </c:ser>
        <c:ser>
          <c:idx val="5"/>
          <c:order val="5"/>
          <c:tx>
            <c:strRef>
              <c:f>Sheet1!$G$1</c:f>
              <c:strCache>
                <c:ptCount val="1"/>
                <c:pt idx="0">
                  <c:v>Cotri</c:v>
                </c:pt>
              </c:strCache>
            </c:strRef>
          </c:tx>
          <c:spPr>
            <a:solidFill>
              <a:schemeClr val="accent6"/>
            </a:solidFill>
            <a:ln>
              <a:noFill/>
            </a:ln>
            <a:effectLst/>
          </c:spPr>
          <c:invertIfNegative val="0"/>
          <c:cat>
            <c:strRef>
              <c:f>Sheet1!$A$2:$A$6</c:f>
              <c:strCache>
                <c:ptCount val="5"/>
                <c:pt idx="0">
                  <c:v>B. laterosporus</c:v>
                </c:pt>
                <c:pt idx="1">
                  <c:v>S. marcesceus</c:v>
                </c:pt>
                <c:pt idx="2">
                  <c:v>E.coli</c:v>
                </c:pt>
                <c:pt idx="3">
                  <c:v>E. cloacae</c:v>
                </c:pt>
                <c:pt idx="4">
                  <c:v>B pumilus</c:v>
                </c:pt>
              </c:strCache>
            </c:strRef>
          </c:cat>
          <c:val>
            <c:numRef>
              <c:f>Sheet1!$G$2:$G$6</c:f>
              <c:numCache>
                <c:formatCode>General</c:formatCode>
                <c:ptCount val="5"/>
                <c:pt idx="0">
                  <c:v>0</c:v>
                </c:pt>
                <c:pt idx="1">
                  <c:v>8</c:v>
                </c:pt>
                <c:pt idx="2">
                  <c:v>9</c:v>
                </c:pt>
                <c:pt idx="3">
                  <c:v>11</c:v>
                </c:pt>
                <c:pt idx="4">
                  <c:v>0</c:v>
                </c:pt>
              </c:numCache>
            </c:numRef>
          </c:val>
          <c:extLst>
            <c:ext xmlns:c16="http://schemas.microsoft.com/office/drawing/2014/chart" uri="{C3380CC4-5D6E-409C-BE32-E72D297353CC}">
              <c16:uniqueId val="{00000004-7D54-4DF2-A1B1-E79237B2F859}"/>
            </c:ext>
          </c:extLst>
        </c:ser>
        <c:ser>
          <c:idx val="6"/>
          <c:order val="6"/>
          <c:tx>
            <c:strRef>
              <c:f>Sheet1!$H$1</c:f>
              <c:strCache>
                <c:ptCount val="1"/>
                <c:pt idx="0">
                  <c:v>Cipro</c:v>
                </c:pt>
              </c:strCache>
            </c:strRef>
          </c:tx>
          <c:spPr>
            <a:solidFill>
              <a:schemeClr val="accent1">
                <a:lumMod val="60000"/>
              </a:schemeClr>
            </a:solidFill>
            <a:ln>
              <a:noFill/>
            </a:ln>
            <a:effectLst/>
          </c:spPr>
          <c:invertIfNegative val="0"/>
          <c:cat>
            <c:strRef>
              <c:f>Sheet1!$A$2:$A$6</c:f>
              <c:strCache>
                <c:ptCount val="5"/>
                <c:pt idx="0">
                  <c:v>B. laterosporus</c:v>
                </c:pt>
                <c:pt idx="1">
                  <c:v>S. marcesceus</c:v>
                </c:pt>
                <c:pt idx="2">
                  <c:v>E.coli</c:v>
                </c:pt>
                <c:pt idx="3">
                  <c:v>E. cloacae</c:v>
                </c:pt>
                <c:pt idx="4">
                  <c:v>B pumilus</c:v>
                </c:pt>
              </c:strCache>
            </c:strRef>
          </c:cat>
          <c:val>
            <c:numRef>
              <c:f>Sheet1!$H$2:$H$6</c:f>
              <c:numCache>
                <c:formatCode>General</c:formatCode>
                <c:ptCount val="5"/>
                <c:pt idx="0">
                  <c:v>12</c:v>
                </c:pt>
                <c:pt idx="1">
                  <c:v>18</c:v>
                </c:pt>
                <c:pt idx="2">
                  <c:v>17</c:v>
                </c:pt>
                <c:pt idx="3">
                  <c:v>15</c:v>
                </c:pt>
                <c:pt idx="4">
                  <c:v>11</c:v>
                </c:pt>
              </c:numCache>
            </c:numRef>
          </c:val>
          <c:extLst>
            <c:ext xmlns:c16="http://schemas.microsoft.com/office/drawing/2014/chart" uri="{C3380CC4-5D6E-409C-BE32-E72D297353CC}">
              <c16:uniqueId val="{00000005-7D54-4DF2-A1B1-E79237B2F859}"/>
            </c:ext>
          </c:extLst>
        </c:ser>
        <c:ser>
          <c:idx val="7"/>
          <c:order val="7"/>
          <c:tx>
            <c:strRef>
              <c:f>Sheet1!$I$1</c:f>
              <c:strCache>
                <c:ptCount val="1"/>
                <c:pt idx="0">
                  <c:v>Ofloxa</c:v>
                </c:pt>
              </c:strCache>
            </c:strRef>
          </c:tx>
          <c:spPr>
            <a:solidFill>
              <a:schemeClr val="accent2">
                <a:lumMod val="60000"/>
              </a:schemeClr>
            </a:solidFill>
            <a:ln>
              <a:noFill/>
            </a:ln>
            <a:effectLst/>
          </c:spPr>
          <c:invertIfNegative val="0"/>
          <c:cat>
            <c:strRef>
              <c:f>Sheet1!$A$2:$A$6</c:f>
              <c:strCache>
                <c:ptCount val="5"/>
                <c:pt idx="0">
                  <c:v>B. laterosporus</c:v>
                </c:pt>
                <c:pt idx="1">
                  <c:v>S. marcesceus</c:v>
                </c:pt>
                <c:pt idx="2">
                  <c:v>E.coli</c:v>
                </c:pt>
                <c:pt idx="3">
                  <c:v>E. cloacae</c:v>
                </c:pt>
                <c:pt idx="4">
                  <c:v>B pumilus</c:v>
                </c:pt>
              </c:strCache>
            </c:strRef>
          </c:cat>
          <c:val>
            <c:numRef>
              <c:f>Sheet1!$I$2:$I$6</c:f>
              <c:numCache>
                <c:formatCode>General</c:formatCode>
                <c:ptCount val="5"/>
                <c:pt idx="0">
                  <c:v>9</c:v>
                </c:pt>
                <c:pt idx="1">
                  <c:v>14</c:v>
                </c:pt>
                <c:pt idx="2">
                  <c:v>12</c:v>
                </c:pt>
                <c:pt idx="3">
                  <c:v>13</c:v>
                </c:pt>
                <c:pt idx="4">
                  <c:v>13</c:v>
                </c:pt>
              </c:numCache>
            </c:numRef>
          </c:val>
          <c:extLst>
            <c:ext xmlns:c16="http://schemas.microsoft.com/office/drawing/2014/chart" uri="{C3380CC4-5D6E-409C-BE32-E72D297353CC}">
              <c16:uniqueId val="{00000006-7D54-4DF2-A1B1-E79237B2F859}"/>
            </c:ext>
          </c:extLst>
        </c:ser>
        <c:dLbls>
          <c:showLegendKey val="0"/>
          <c:showVal val="0"/>
          <c:showCatName val="0"/>
          <c:showSerName val="0"/>
          <c:showPercent val="0"/>
          <c:showBubbleSize val="0"/>
        </c:dLbls>
        <c:gapWidth val="219"/>
        <c:overlap val="-27"/>
        <c:axId val="1438601055"/>
        <c:axId val="1439793471"/>
        <c:extLst>
          <c:ext xmlns:c15="http://schemas.microsoft.com/office/drawing/2012/chart" uri="{02D57815-91ED-43cb-92C2-25804820EDAC}">
            <c15:filteredBarSeries>
              <c15:ser>
                <c:idx val="0"/>
                <c:order val="0"/>
                <c:tx>
                  <c:strRef>
                    <c:extLst>
                      <c:ext uri="{02D57815-91ED-43cb-92C2-25804820EDAC}">
                        <c15:formulaRef>
                          <c15:sqref>Sheet1!$B$1</c15:sqref>
                        </c15:formulaRef>
                      </c:ext>
                    </c:extLst>
                    <c:strCache>
                      <c:ptCount val="1"/>
                    </c:strCache>
                  </c:strRef>
                </c:tx>
                <c:spPr>
                  <a:solidFill>
                    <a:schemeClr val="accent1"/>
                  </a:solidFill>
                  <a:ln>
                    <a:noFill/>
                  </a:ln>
                  <a:effectLst/>
                </c:spPr>
                <c:invertIfNegative val="0"/>
                <c:cat>
                  <c:strRef>
                    <c:extLst>
                      <c:ext uri="{02D57815-91ED-43cb-92C2-25804820EDAC}">
                        <c15:formulaRef>
                          <c15:sqref>Sheet1!$A$2:$A$6</c15:sqref>
                        </c15:formulaRef>
                      </c:ext>
                    </c:extLst>
                    <c:strCache>
                      <c:ptCount val="5"/>
                      <c:pt idx="0">
                        <c:v>B. laterosporus</c:v>
                      </c:pt>
                      <c:pt idx="1">
                        <c:v>S. marcesceus</c:v>
                      </c:pt>
                      <c:pt idx="2">
                        <c:v>E.coli</c:v>
                      </c:pt>
                      <c:pt idx="3">
                        <c:v>E. cloacae</c:v>
                      </c:pt>
                      <c:pt idx="4">
                        <c:v>B pumilus</c:v>
                      </c:pt>
                    </c:strCache>
                  </c:strRef>
                </c:cat>
                <c:val>
                  <c:numRef>
                    <c:extLst>
                      <c:ext uri="{02D57815-91ED-43cb-92C2-25804820EDAC}">
                        <c15:formulaRef>
                          <c15:sqref>Sheet1!$B$2:$B$6</c15:sqref>
                        </c15:formulaRef>
                      </c:ext>
                    </c:extLst>
                    <c:numCache>
                      <c:formatCode>General</c:formatCode>
                      <c:ptCount val="5"/>
                    </c:numCache>
                  </c:numRef>
                </c:val>
                <c:extLst>
                  <c:ext xmlns:c16="http://schemas.microsoft.com/office/drawing/2014/chart" uri="{C3380CC4-5D6E-409C-BE32-E72D297353CC}">
                    <c16:uniqueId val="{00000007-7D54-4DF2-A1B1-E79237B2F859}"/>
                  </c:ext>
                </c:extLst>
              </c15:ser>
            </c15:filteredBarSeries>
          </c:ext>
        </c:extLst>
      </c:barChart>
      <c:catAx>
        <c:axId val="14386010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9793471"/>
        <c:crosses val="autoZero"/>
        <c:auto val="1"/>
        <c:lblAlgn val="ctr"/>
        <c:lblOffset val="100"/>
        <c:noMultiLvlLbl val="0"/>
      </c:catAx>
      <c:valAx>
        <c:axId val="14397934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860105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45</Pages>
  <Words>10891</Words>
  <Characters>62079</Characters>
  <Application>Microsoft Office Word</Application>
  <DocSecurity>0</DocSecurity>
  <Lines>517</Lines>
  <Paragraphs>145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Abubakar Sadiq Abdullahi</dc:creator>
  <cp:keywords/>
  <dc:description/>
  <cp:lastModifiedBy>abdulmumeen holayinka</cp:lastModifiedBy>
  <cp:revision>2</cp:revision>
  <dcterms:created xsi:type="dcterms:W3CDTF">2025-12-17T07:48:00Z</dcterms:created>
  <dcterms:modified xsi:type="dcterms:W3CDTF">2025-12-17T07:48:00Z</dcterms:modified>
</cp:coreProperties>
</file>