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614021" w14:textId="77777777" w:rsidR="00F260DD" w:rsidRPr="00C22CA0" w:rsidRDefault="00F260DD" w:rsidP="00FF11FA">
      <w:pPr>
        <w:spacing w:line="480" w:lineRule="auto"/>
        <w:jc w:val="center"/>
        <w:rPr>
          <w:rFonts w:ascii="Times New Roman" w:hAnsi="Times New Roman" w:cs="Times New Roman"/>
          <w:b/>
          <w:sz w:val="28"/>
          <w:szCs w:val="28"/>
        </w:rPr>
      </w:pPr>
      <w:r>
        <w:rPr>
          <w:rFonts w:ascii="Times New Roman" w:hAnsi="Times New Roman" w:cs="Times New Roman"/>
          <w:b/>
          <w:bCs/>
          <w:sz w:val="28"/>
          <w:szCs w:val="28"/>
        </w:rPr>
        <w:t xml:space="preserve">THE EFFECT OF NPK FERTILIZER ON SEED GERMINATION AND EARLY SEEDLING GROWTH OF </w:t>
      </w:r>
      <w:r w:rsidRPr="00BB4E19">
        <w:rPr>
          <w:rFonts w:ascii="Times New Roman" w:hAnsi="Times New Roman" w:cs="Times New Roman"/>
          <w:b/>
          <w:bCs/>
          <w:i/>
          <w:iCs/>
          <w:sz w:val="28"/>
          <w:szCs w:val="28"/>
        </w:rPr>
        <w:t>SORGHUM BICOLOR</w:t>
      </w:r>
      <w:r>
        <w:rPr>
          <w:rFonts w:ascii="Times New Roman" w:hAnsi="Times New Roman" w:cs="Times New Roman"/>
          <w:b/>
          <w:bCs/>
          <w:sz w:val="28"/>
          <w:szCs w:val="28"/>
        </w:rPr>
        <w:t xml:space="preserve"> (SORGHUM) AND </w:t>
      </w:r>
      <w:r w:rsidRPr="00BB4E19">
        <w:rPr>
          <w:rFonts w:ascii="Times New Roman" w:hAnsi="Times New Roman" w:cs="Times New Roman"/>
          <w:b/>
          <w:bCs/>
          <w:i/>
          <w:iCs/>
          <w:sz w:val="28"/>
          <w:szCs w:val="28"/>
        </w:rPr>
        <w:t>TRITICUM AESTIVUM</w:t>
      </w:r>
      <w:r>
        <w:rPr>
          <w:rFonts w:ascii="Times New Roman" w:hAnsi="Times New Roman" w:cs="Times New Roman"/>
          <w:b/>
          <w:bCs/>
          <w:sz w:val="28"/>
          <w:szCs w:val="28"/>
        </w:rPr>
        <w:t xml:space="preserve"> (WHEAT) IN SOKOTO STATE.</w:t>
      </w:r>
    </w:p>
    <w:p w14:paraId="47E62514" w14:textId="77777777" w:rsidR="00F260DD" w:rsidRPr="00C22CA0" w:rsidRDefault="00F260DD" w:rsidP="00FF11FA">
      <w:pPr>
        <w:spacing w:line="480" w:lineRule="auto"/>
        <w:jc w:val="center"/>
        <w:rPr>
          <w:rFonts w:ascii="Times New Roman" w:hAnsi="Times New Roman" w:cs="Times New Roman"/>
          <w:b/>
          <w:sz w:val="28"/>
          <w:szCs w:val="28"/>
        </w:rPr>
      </w:pPr>
      <w:r w:rsidRPr="00C22CA0">
        <w:rPr>
          <w:rFonts w:ascii="Times New Roman" w:hAnsi="Times New Roman" w:cs="Times New Roman"/>
          <w:b/>
          <w:sz w:val="28"/>
          <w:szCs w:val="28"/>
        </w:rPr>
        <w:t>BY</w:t>
      </w:r>
    </w:p>
    <w:p w14:paraId="63294A1A" w14:textId="586D406A" w:rsidR="00F260DD" w:rsidRPr="00C22CA0" w:rsidRDefault="00F260DD" w:rsidP="00FF11FA">
      <w:pPr>
        <w:spacing w:line="480" w:lineRule="auto"/>
        <w:jc w:val="center"/>
        <w:rPr>
          <w:rFonts w:ascii="Times New Roman" w:hAnsi="Times New Roman" w:cs="Times New Roman"/>
          <w:b/>
          <w:bCs/>
          <w:sz w:val="28"/>
          <w:szCs w:val="28"/>
        </w:rPr>
      </w:pPr>
      <w:r>
        <w:rPr>
          <w:rFonts w:ascii="Times New Roman" w:hAnsi="Times New Roman" w:cs="Times New Roman"/>
          <w:b/>
          <w:bCs/>
          <w:sz w:val="28"/>
          <w:szCs w:val="28"/>
        </w:rPr>
        <w:t>IBRAHIM</w:t>
      </w:r>
      <w:r w:rsidR="00FF11FA">
        <w:rPr>
          <w:rFonts w:ascii="Times New Roman" w:hAnsi="Times New Roman" w:cs="Times New Roman"/>
          <w:b/>
          <w:bCs/>
          <w:sz w:val="28"/>
          <w:szCs w:val="28"/>
        </w:rPr>
        <w:t xml:space="preserve">, SUWEBAT JUMMAI </w:t>
      </w:r>
    </w:p>
    <w:p w14:paraId="420CBF7B" w14:textId="77777777" w:rsidR="00F260DD" w:rsidRPr="00C22CA0" w:rsidRDefault="00F260DD" w:rsidP="00FF11FA">
      <w:pPr>
        <w:spacing w:line="480" w:lineRule="auto"/>
        <w:jc w:val="center"/>
        <w:rPr>
          <w:rFonts w:ascii="Times New Roman" w:hAnsi="Times New Roman" w:cs="Times New Roman"/>
          <w:b/>
          <w:sz w:val="28"/>
          <w:szCs w:val="28"/>
        </w:rPr>
      </w:pPr>
      <w:r w:rsidRPr="00C22CA0">
        <w:rPr>
          <w:rFonts w:ascii="Times New Roman" w:hAnsi="Times New Roman" w:cs="Times New Roman"/>
          <w:b/>
          <w:sz w:val="28"/>
          <w:szCs w:val="28"/>
        </w:rPr>
        <w:t xml:space="preserve">ADM. NO: </w:t>
      </w:r>
      <w:r>
        <w:rPr>
          <w:rFonts w:ascii="Times New Roman" w:hAnsi="Times New Roman" w:cs="Times New Roman"/>
          <w:b/>
          <w:sz w:val="28"/>
          <w:szCs w:val="28"/>
        </w:rPr>
        <w:t>2010302157</w:t>
      </w:r>
      <w:r w:rsidRPr="00C22CA0">
        <w:rPr>
          <w:rFonts w:ascii="Times New Roman" w:hAnsi="Times New Roman" w:cs="Times New Roman"/>
          <w:b/>
          <w:sz w:val="28"/>
          <w:szCs w:val="28"/>
        </w:rPr>
        <w:t xml:space="preserve">    </w:t>
      </w:r>
    </w:p>
    <w:p w14:paraId="6021C620" w14:textId="77777777" w:rsidR="00F260DD" w:rsidRPr="00C22CA0" w:rsidRDefault="00F260DD" w:rsidP="00FF11FA">
      <w:pPr>
        <w:spacing w:line="480" w:lineRule="auto"/>
        <w:jc w:val="center"/>
        <w:rPr>
          <w:rFonts w:ascii="Times New Roman" w:hAnsi="Times New Roman" w:cs="Times New Roman"/>
          <w:b/>
          <w:sz w:val="28"/>
          <w:szCs w:val="28"/>
        </w:rPr>
      </w:pPr>
      <w:r w:rsidRPr="00C22CA0">
        <w:rPr>
          <w:rFonts w:ascii="Times New Roman" w:hAnsi="Times New Roman" w:cs="Times New Roman"/>
          <w:b/>
          <w:sz w:val="28"/>
          <w:szCs w:val="28"/>
        </w:rPr>
        <w:t>PROJECT RESEARCH SUBMITTED TO THE DEPARTMENT OF BIOLOGY, FACULTY OF CHEMICAL AND LIFE SCIENCES, USMANU DANFODIYO UNIVERSITY, SOKOTO. IN PARTIAL FULFILMENT OF THE REQUIREMENTS FOR THE AWARD OF BACHELOR OF SCIENCE (B. Sc HONS) IN BIOLOGY.</w:t>
      </w:r>
    </w:p>
    <w:p w14:paraId="365B6400" w14:textId="77777777" w:rsidR="00F260DD" w:rsidRPr="00C22CA0" w:rsidRDefault="00F260DD" w:rsidP="00FF11FA">
      <w:pPr>
        <w:spacing w:line="480" w:lineRule="auto"/>
        <w:jc w:val="center"/>
        <w:rPr>
          <w:rFonts w:ascii="Times New Roman" w:hAnsi="Times New Roman" w:cs="Times New Roman"/>
          <w:b/>
          <w:sz w:val="28"/>
          <w:szCs w:val="28"/>
        </w:rPr>
      </w:pPr>
      <w:r w:rsidRPr="00C22CA0">
        <w:rPr>
          <w:rFonts w:ascii="Times New Roman" w:hAnsi="Times New Roman" w:cs="Times New Roman"/>
          <w:b/>
          <w:sz w:val="28"/>
          <w:szCs w:val="28"/>
        </w:rPr>
        <w:t xml:space="preserve">SUPERVISED </w:t>
      </w:r>
    </w:p>
    <w:p w14:paraId="6B1834E1" w14:textId="77777777" w:rsidR="00F260DD" w:rsidRPr="00C22CA0" w:rsidRDefault="00F260DD" w:rsidP="00FF11FA">
      <w:pPr>
        <w:spacing w:line="480" w:lineRule="auto"/>
        <w:jc w:val="center"/>
        <w:rPr>
          <w:rFonts w:ascii="Times New Roman" w:hAnsi="Times New Roman" w:cs="Times New Roman"/>
          <w:b/>
          <w:sz w:val="28"/>
          <w:szCs w:val="28"/>
        </w:rPr>
      </w:pPr>
      <w:r w:rsidRPr="00C22CA0">
        <w:rPr>
          <w:rFonts w:ascii="Times New Roman" w:hAnsi="Times New Roman" w:cs="Times New Roman"/>
          <w:b/>
          <w:sz w:val="28"/>
          <w:szCs w:val="28"/>
        </w:rPr>
        <w:t xml:space="preserve">BY </w:t>
      </w:r>
    </w:p>
    <w:p w14:paraId="1AB196A0" w14:textId="450A754F" w:rsidR="00F260DD" w:rsidRPr="00C22CA0" w:rsidRDefault="00F260DD" w:rsidP="00FF11FA">
      <w:pPr>
        <w:spacing w:line="480" w:lineRule="auto"/>
        <w:jc w:val="center"/>
        <w:rPr>
          <w:rFonts w:ascii="Times New Roman" w:hAnsi="Times New Roman" w:cs="Times New Roman"/>
          <w:b/>
          <w:sz w:val="28"/>
          <w:szCs w:val="28"/>
        </w:rPr>
      </w:pPr>
      <w:r w:rsidRPr="00C22CA0">
        <w:rPr>
          <w:rFonts w:ascii="Times New Roman" w:hAnsi="Times New Roman" w:cs="Times New Roman"/>
          <w:b/>
          <w:sz w:val="28"/>
          <w:szCs w:val="28"/>
        </w:rPr>
        <w:t xml:space="preserve">DR. </w:t>
      </w:r>
      <w:r>
        <w:rPr>
          <w:rFonts w:ascii="Times New Roman" w:hAnsi="Times New Roman" w:cs="Times New Roman"/>
          <w:b/>
          <w:sz w:val="28"/>
          <w:szCs w:val="28"/>
        </w:rPr>
        <w:t xml:space="preserve">I. U </w:t>
      </w:r>
      <w:r w:rsidR="00FF11FA">
        <w:rPr>
          <w:rFonts w:ascii="Times New Roman" w:hAnsi="Times New Roman" w:cs="Times New Roman"/>
          <w:b/>
          <w:sz w:val="28"/>
          <w:szCs w:val="28"/>
        </w:rPr>
        <w:t>KARAYE</w:t>
      </w:r>
    </w:p>
    <w:p w14:paraId="29EC2768" w14:textId="77777777" w:rsidR="00F260DD" w:rsidRPr="00C22CA0" w:rsidRDefault="00F260DD" w:rsidP="00FF11FA">
      <w:pPr>
        <w:spacing w:line="480" w:lineRule="auto"/>
        <w:rPr>
          <w:rFonts w:ascii="Times New Roman" w:hAnsi="Times New Roman" w:cs="Times New Roman"/>
          <w:b/>
          <w:sz w:val="28"/>
          <w:szCs w:val="28"/>
        </w:rPr>
      </w:pPr>
    </w:p>
    <w:p w14:paraId="63B08BDC" w14:textId="77777777" w:rsidR="00F260DD" w:rsidRPr="003B499D" w:rsidRDefault="00F260DD" w:rsidP="00FF11FA">
      <w:pPr>
        <w:spacing w:line="480" w:lineRule="auto"/>
        <w:jc w:val="center"/>
        <w:rPr>
          <w:rFonts w:ascii="Times New Roman" w:hAnsi="Times New Roman" w:cs="Times New Roman"/>
          <w:b/>
          <w:sz w:val="28"/>
          <w:szCs w:val="28"/>
        </w:rPr>
      </w:pPr>
      <w:r w:rsidRPr="00C22CA0">
        <w:rPr>
          <w:rFonts w:ascii="Times New Roman" w:hAnsi="Times New Roman" w:cs="Times New Roman"/>
          <w:b/>
          <w:sz w:val="28"/>
          <w:szCs w:val="28"/>
        </w:rPr>
        <w:t>NOVEMBER, 2025</w:t>
      </w:r>
    </w:p>
    <w:p w14:paraId="1916DA41" w14:textId="77777777" w:rsidR="00F260DD" w:rsidRPr="00D062BF" w:rsidRDefault="00F260DD" w:rsidP="0005138D">
      <w:pPr>
        <w:pStyle w:val="Heading1"/>
        <w:jc w:val="center"/>
      </w:pPr>
      <w:bookmarkStart w:id="0" w:name="_Toc214285863"/>
      <w:r w:rsidRPr="00FF6CE3">
        <w:lastRenderedPageBreak/>
        <w:t>CERTIFICATION</w:t>
      </w:r>
      <w:bookmarkEnd w:id="0"/>
    </w:p>
    <w:p w14:paraId="1CBFC0C3" w14:textId="49D82C03" w:rsidR="00F260DD" w:rsidRPr="00096BF2" w:rsidRDefault="00F260DD" w:rsidP="00FF11FA">
      <w:pPr>
        <w:spacing w:line="480" w:lineRule="auto"/>
        <w:jc w:val="both"/>
        <w:rPr>
          <w:rFonts w:ascii="Times New Roman" w:hAnsi="Times New Roman" w:cs="Times New Roman"/>
        </w:rPr>
      </w:pPr>
      <w:r w:rsidRPr="00143DE6">
        <w:rPr>
          <w:rFonts w:ascii="Times New Roman" w:hAnsi="Times New Roman" w:cs="Times New Roman"/>
        </w:rPr>
        <w:t>The project entitled “</w:t>
      </w:r>
      <w:r w:rsidRPr="00FF11FA">
        <w:rPr>
          <w:rFonts w:ascii="Times New Roman" w:hAnsi="Times New Roman" w:cs="Times New Roman"/>
          <w:bCs/>
        </w:rPr>
        <w:t xml:space="preserve">The Effect Of NPK Fertilizer on Seed Germination and Early Seedling Growth of </w:t>
      </w:r>
      <w:r w:rsidRPr="00FF11FA">
        <w:rPr>
          <w:rFonts w:ascii="Times New Roman" w:hAnsi="Times New Roman" w:cs="Times New Roman"/>
          <w:bCs/>
          <w:i/>
          <w:iCs/>
        </w:rPr>
        <w:t>Sorghum Bicolor</w:t>
      </w:r>
      <w:r w:rsidRPr="00FF11FA">
        <w:rPr>
          <w:rFonts w:ascii="Times New Roman" w:hAnsi="Times New Roman" w:cs="Times New Roman"/>
          <w:bCs/>
        </w:rPr>
        <w:t xml:space="preserve"> (Sorghum) and </w:t>
      </w:r>
      <w:r w:rsidRPr="00FF11FA">
        <w:rPr>
          <w:rFonts w:ascii="Times New Roman" w:hAnsi="Times New Roman" w:cs="Times New Roman"/>
          <w:bCs/>
          <w:i/>
          <w:iCs/>
        </w:rPr>
        <w:t>Triticum Aestivum</w:t>
      </w:r>
      <w:r w:rsidRPr="00FF11FA">
        <w:rPr>
          <w:rFonts w:ascii="Times New Roman" w:hAnsi="Times New Roman" w:cs="Times New Roman"/>
          <w:bCs/>
        </w:rPr>
        <w:t xml:space="preserve"> (Wheat) In Sokoto State</w:t>
      </w:r>
      <w:r w:rsidRPr="00FF11FA">
        <w:rPr>
          <w:rFonts w:ascii="Times New Roman" w:hAnsi="Times New Roman" w:cs="Times New Roman"/>
        </w:rPr>
        <w:t>”, by</w:t>
      </w:r>
      <w:r w:rsidR="00A3605D">
        <w:rPr>
          <w:rFonts w:ascii="Times New Roman" w:hAnsi="Times New Roman" w:cs="Times New Roman"/>
          <w:bCs/>
        </w:rPr>
        <w:t xml:space="preserve">  Ibrahim Suwebat Jummai  </w:t>
      </w:r>
      <w:r w:rsidRPr="00FF11FA">
        <w:rPr>
          <w:rFonts w:ascii="Times New Roman" w:hAnsi="Times New Roman" w:cs="Times New Roman"/>
        </w:rPr>
        <w:t xml:space="preserve">with admission number </w:t>
      </w:r>
      <w:r w:rsidRPr="00FF11FA">
        <w:rPr>
          <w:rFonts w:ascii="Times New Roman" w:hAnsi="Times New Roman" w:cs="Times New Roman"/>
          <w:bCs/>
        </w:rPr>
        <w:t xml:space="preserve">2010302157 </w:t>
      </w:r>
      <w:r w:rsidRPr="00FF11FA">
        <w:rPr>
          <w:rFonts w:ascii="Times New Roman" w:hAnsi="Times New Roman" w:cs="Times New Roman"/>
        </w:rPr>
        <w:t>has been</w:t>
      </w:r>
      <w:r w:rsidRPr="00143DE6">
        <w:rPr>
          <w:rFonts w:ascii="Times New Roman" w:hAnsi="Times New Roman" w:cs="Times New Roman"/>
        </w:rPr>
        <w:t xml:space="preserve"> read and approved by the undersigned as meeting part of the requirements for the award of Bachelor of science (Bsc. Hons) Degree in Biology, Faculty of Chemical and life Sciences, Usmanu Danfodiyo University Sokoto, and is hereby approved for its contribution to knowledge.</w:t>
      </w:r>
    </w:p>
    <w:p w14:paraId="691E6E19"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4F72942A"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2F9FF485"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2674547B"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2331B60D" w14:textId="77777777" w:rsidR="00A3605D" w:rsidRDefault="00A3605D" w:rsidP="0005138D">
      <w:pPr>
        <w:spacing w:after="0" w:line="240" w:lineRule="auto"/>
        <w:jc w:val="both"/>
        <w:rPr>
          <w:rFonts w:ascii="Times New Roman" w:eastAsia="Calibri" w:hAnsi="Times New Roman" w:cs="Times New Roman"/>
          <w:kern w:val="0"/>
          <w:lang w:eastAsia="en-US"/>
          <w14:ligatures w14:val="none"/>
        </w:rPr>
      </w:pPr>
    </w:p>
    <w:p w14:paraId="2C34ED0A" w14:textId="77777777" w:rsidR="00A3605D" w:rsidRDefault="00A3605D" w:rsidP="0005138D">
      <w:pPr>
        <w:spacing w:after="0" w:line="240" w:lineRule="auto"/>
        <w:jc w:val="both"/>
        <w:rPr>
          <w:rFonts w:ascii="Times New Roman" w:eastAsia="Calibri" w:hAnsi="Times New Roman" w:cs="Times New Roman"/>
          <w:kern w:val="0"/>
          <w:lang w:eastAsia="en-US"/>
          <w14:ligatures w14:val="none"/>
        </w:rPr>
      </w:pPr>
    </w:p>
    <w:p w14:paraId="360ACFDE" w14:textId="73E04E51" w:rsidR="0005138D" w:rsidRPr="0005138D" w:rsidRDefault="0005138D" w:rsidP="0005138D">
      <w:pPr>
        <w:spacing w:after="0" w:line="240" w:lineRule="auto"/>
        <w:jc w:val="both"/>
        <w:rPr>
          <w:rFonts w:ascii="Times New Roman" w:eastAsia="Calibri" w:hAnsi="Times New Roman" w:cs="Times New Roman"/>
          <w:kern w:val="0"/>
          <w:lang w:eastAsia="en-US"/>
          <w14:ligatures w14:val="none"/>
        </w:rPr>
      </w:pPr>
      <w:r w:rsidRPr="0005138D">
        <w:rPr>
          <w:rFonts w:ascii="Times New Roman" w:eastAsia="Calibri" w:hAnsi="Times New Roman" w:cs="Times New Roman"/>
          <w:kern w:val="0"/>
          <w:lang w:eastAsia="en-US"/>
          <w14:ligatures w14:val="none"/>
        </w:rPr>
        <w:t>……………………………...</w:t>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t>…………………………</w:t>
      </w:r>
    </w:p>
    <w:p w14:paraId="57D554DC" w14:textId="77777777" w:rsidR="0005138D" w:rsidRPr="0005138D" w:rsidRDefault="0005138D" w:rsidP="0005138D">
      <w:pPr>
        <w:spacing w:after="0" w:line="240" w:lineRule="auto"/>
        <w:jc w:val="both"/>
        <w:rPr>
          <w:rFonts w:ascii="Times New Roman" w:eastAsia="Calibri" w:hAnsi="Times New Roman" w:cs="Times New Roman"/>
          <w:kern w:val="0"/>
          <w:lang w:eastAsia="en-US"/>
          <w14:ligatures w14:val="none"/>
        </w:rPr>
      </w:pPr>
      <w:r w:rsidRPr="0005138D">
        <w:rPr>
          <w:rFonts w:ascii="Times New Roman" w:eastAsia="Calibri" w:hAnsi="Times New Roman" w:cs="Times New Roman"/>
          <w:kern w:val="0"/>
          <w:lang w:eastAsia="en-US"/>
          <w14:ligatures w14:val="none"/>
        </w:rPr>
        <w:t xml:space="preserve">Dr. Rabiu Sani Zurmi </w:t>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t>Date</w:t>
      </w:r>
    </w:p>
    <w:p w14:paraId="2E255444" w14:textId="77777777" w:rsidR="0005138D" w:rsidRPr="0005138D" w:rsidRDefault="0005138D" w:rsidP="0005138D">
      <w:pPr>
        <w:spacing w:after="0" w:line="240" w:lineRule="auto"/>
        <w:jc w:val="both"/>
        <w:rPr>
          <w:rFonts w:ascii="Times New Roman" w:eastAsia="Calibri" w:hAnsi="Times New Roman" w:cs="Times New Roman"/>
          <w:kern w:val="0"/>
          <w:lang w:eastAsia="en-US"/>
          <w14:ligatures w14:val="none"/>
        </w:rPr>
      </w:pPr>
      <w:r w:rsidRPr="0005138D">
        <w:rPr>
          <w:rFonts w:ascii="Times New Roman" w:eastAsia="Calibri" w:hAnsi="Times New Roman" w:cs="Times New Roman"/>
          <w:kern w:val="0"/>
          <w:lang w:eastAsia="en-US"/>
          <w14:ligatures w14:val="none"/>
        </w:rPr>
        <w:t>(External Examiner)</w:t>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ab/>
        <w:t xml:space="preserve">                                                                                                    </w:t>
      </w:r>
    </w:p>
    <w:p w14:paraId="0A93F29B" w14:textId="77777777" w:rsidR="00F260DD" w:rsidRPr="00143DE6" w:rsidRDefault="00F260DD" w:rsidP="00FF11FA">
      <w:pPr>
        <w:spacing w:line="360" w:lineRule="auto"/>
        <w:rPr>
          <w:rFonts w:ascii="Times New Roman" w:hAnsi="Times New Roman" w:cs="Times New Roman"/>
        </w:rPr>
      </w:pPr>
    </w:p>
    <w:p w14:paraId="68CECC8B" w14:textId="77777777" w:rsidR="00F260DD" w:rsidRPr="00143DE6" w:rsidRDefault="00F260DD" w:rsidP="00FF11FA">
      <w:pPr>
        <w:spacing w:line="360" w:lineRule="auto"/>
        <w:rPr>
          <w:rFonts w:ascii="Times New Roman" w:hAnsi="Times New Roman" w:cs="Times New Roman"/>
        </w:rPr>
      </w:pPr>
    </w:p>
    <w:p w14:paraId="585B3EE1"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18AFF557"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59D20435" w14:textId="343EF3ED" w:rsidR="0005138D" w:rsidRPr="0005138D" w:rsidRDefault="0005138D" w:rsidP="0005138D">
      <w:pPr>
        <w:spacing w:after="0" w:line="240" w:lineRule="auto"/>
        <w:jc w:val="both"/>
        <w:rPr>
          <w:rFonts w:ascii="Times New Roman" w:eastAsia="Calibri" w:hAnsi="Times New Roman" w:cs="Times New Roman"/>
          <w:kern w:val="0"/>
          <w:lang w:eastAsia="en-US"/>
          <w14:ligatures w14:val="none"/>
        </w:rPr>
      </w:pPr>
      <w:r>
        <w:rPr>
          <w:rFonts w:ascii="Times New Roman" w:eastAsia="Calibri" w:hAnsi="Times New Roman" w:cs="Times New Roman"/>
          <w:kern w:val="0"/>
          <w:lang w:eastAsia="en-US"/>
          <w14:ligatures w14:val="none"/>
        </w:rPr>
        <w:t>……………………………...</w:t>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sidRPr="0005138D">
        <w:rPr>
          <w:rFonts w:ascii="Times New Roman" w:eastAsia="Calibri" w:hAnsi="Times New Roman" w:cs="Times New Roman"/>
          <w:kern w:val="0"/>
          <w:lang w:eastAsia="en-US"/>
          <w14:ligatures w14:val="none"/>
        </w:rPr>
        <w:t>…………………………</w:t>
      </w:r>
    </w:p>
    <w:p w14:paraId="52C07C1C" w14:textId="1D093CB0" w:rsidR="00F260DD" w:rsidRPr="00143DE6" w:rsidRDefault="0005138D" w:rsidP="0005138D">
      <w:pPr>
        <w:spacing w:after="0" w:line="240" w:lineRule="auto"/>
        <w:rPr>
          <w:rFonts w:ascii="Times New Roman" w:hAnsi="Times New Roman" w:cs="Times New Roman"/>
        </w:rPr>
      </w:pPr>
      <w:r>
        <w:rPr>
          <w:rFonts w:ascii="Times New Roman" w:hAnsi="Times New Roman" w:cs="Times New Roman"/>
        </w:rPr>
        <w:t xml:space="preserve"> </w:t>
      </w:r>
      <w:r w:rsidR="00F260DD">
        <w:rPr>
          <w:rFonts w:ascii="Times New Roman" w:hAnsi="Times New Roman" w:cs="Times New Roman"/>
        </w:rPr>
        <w:t>Dr. I. U</w:t>
      </w:r>
      <w:r w:rsidR="00A3605D">
        <w:rPr>
          <w:rFonts w:ascii="Times New Roman" w:hAnsi="Times New Roman" w:cs="Times New Roman"/>
        </w:rPr>
        <w:t>.</w:t>
      </w:r>
      <w:r w:rsidR="00F260DD">
        <w:rPr>
          <w:rFonts w:ascii="Times New Roman" w:hAnsi="Times New Roman" w:cs="Times New Roman"/>
        </w:rPr>
        <w:t xml:space="preserve"> Karaye</w:t>
      </w:r>
      <w:r w:rsidR="00F260DD" w:rsidRPr="00143DE6">
        <w:rPr>
          <w:rFonts w:ascii="Times New Roman" w:hAnsi="Times New Roman" w:cs="Times New Roman"/>
        </w:rPr>
        <w:t xml:space="preserve">          </w:t>
      </w:r>
      <w:r w:rsidR="00F260DD" w:rsidRPr="00143DE6">
        <w:rPr>
          <w:rFonts w:ascii="Times New Roman" w:hAnsi="Times New Roman" w:cs="Times New Roman"/>
        </w:rPr>
        <w:tab/>
      </w:r>
      <w:r w:rsidR="00F260DD" w:rsidRPr="00143DE6">
        <w:rPr>
          <w:rFonts w:ascii="Times New Roman" w:hAnsi="Times New Roman" w:cs="Times New Roman"/>
        </w:rPr>
        <w:tab/>
      </w:r>
      <w:r w:rsidR="00F260DD" w:rsidRPr="00143DE6">
        <w:rPr>
          <w:rFonts w:ascii="Times New Roman" w:hAnsi="Times New Roman" w:cs="Times New Roman"/>
        </w:rPr>
        <w:tab/>
      </w:r>
      <w:r w:rsidR="00F260DD" w:rsidRPr="00143DE6">
        <w:rPr>
          <w:rFonts w:ascii="Times New Roman" w:hAnsi="Times New Roman" w:cs="Times New Roman"/>
        </w:rPr>
        <w:tab/>
      </w:r>
      <w:r w:rsidR="00F260DD" w:rsidRPr="00143DE6">
        <w:rPr>
          <w:rFonts w:ascii="Times New Roman" w:hAnsi="Times New Roman" w:cs="Times New Roman"/>
        </w:rPr>
        <w:tab/>
        <w:t xml:space="preserve">    </w:t>
      </w:r>
      <w:r>
        <w:rPr>
          <w:rFonts w:ascii="Times New Roman" w:hAnsi="Times New Roman" w:cs="Times New Roman"/>
        </w:rPr>
        <w:tab/>
      </w:r>
      <w:r>
        <w:rPr>
          <w:rFonts w:ascii="Times New Roman" w:hAnsi="Times New Roman" w:cs="Times New Roman"/>
        </w:rPr>
        <w:tab/>
      </w:r>
      <w:r w:rsidR="00F260DD" w:rsidRPr="00143DE6">
        <w:rPr>
          <w:rFonts w:ascii="Times New Roman" w:hAnsi="Times New Roman" w:cs="Times New Roman"/>
        </w:rPr>
        <w:t>Date</w:t>
      </w:r>
    </w:p>
    <w:p w14:paraId="3D662772" w14:textId="7A1BF169" w:rsidR="00F260DD" w:rsidRPr="00143DE6" w:rsidRDefault="0005138D" w:rsidP="0005138D">
      <w:pPr>
        <w:spacing w:after="0" w:line="240" w:lineRule="auto"/>
        <w:rPr>
          <w:rFonts w:ascii="Times New Roman" w:hAnsi="Times New Roman" w:cs="Times New Roman"/>
        </w:rPr>
      </w:pPr>
      <w:r>
        <w:rPr>
          <w:rFonts w:ascii="Times New Roman" w:hAnsi="Times New Roman" w:cs="Times New Roman"/>
        </w:rPr>
        <w:t xml:space="preserve"> </w:t>
      </w:r>
      <w:r w:rsidR="00A3605D">
        <w:rPr>
          <w:rFonts w:ascii="Times New Roman" w:hAnsi="Times New Roman" w:cs="Times New Roman"/>
        </w:rPr>
        <w:t>(</w:t>
      </w:r>
      <w:r w:rsidR="00F260DD" w:rsidRPr="00143DE6">
        <w:rPr>
          <w:rFonts w:ascii="Times New Roman" w:hAnsi="Times New Roman" w:cs="Times New Roman"/>
        </w:rPr>
        <w:t xml:space="preserve">Project </w:t>
      </w:r>
      <w:r w:rsidR="00A3605D" w:rsidRPr="00143DE6">
        <w:rPr>
          <w:rFonts w:ascii="Times New Roman" w:hAnsi="Times New Roman" w:cs="Times New Roman"/>
        </w:rPr>
        <w:t>Supervisor</w:t>
      </w:r>
      <w:r w:rsidR="00A3605D">
        <w:rPr>
          <w:rFonts w:ascii="Times New Roman" w:hAnsi="Times New Roman" w:cs="Times New Roman"/>
        </w:rPr>
        <w:t>)</w:t>
      </w:r>
      <w:r w:rsidR="00A3605D" w:rsidRPr="00143DE6">
        <w:rPr>
          <w:rFonts w:ascii="Times New Roman" w:hAnsi="Times New Roman" w:cs="Times New Roman"/>
        </w:rPr>
        <w:t xml:space="preserve">       </w:t>
      </w:r>
      <w:r w:rsidR="00F260DD" w:rsidRPr="00143DE6">
        <w:rPr>
          <w:rFonts w:ascii="Times New Roman" w:hAnsi="Times New Roman" w:cs="Times New Roman"/>
        </w:rPr>
        <w:tab/>
        <w:t xml:space="preserve"> </w:t>
      </w:r>
    </w:p>
    <w:p w14:paraId="13042220" w14:textId="77777777" w:rsidR="00F260DD" w:rsidRPr="00143DE6" w:rsidRDefault="00F260DD" w:rsidP="00FF11FA">
      <w:pPr>
        <w:spacing w:line="360" w:lineRule="auto"/>
        <w:rPr>
          <w:rFonts w:ascii="Times New Roman" w:hAnsi="Times New Roman" w:cs="Times New Roman"/>
        </w:rPr>
      </w:pPr>
    </w:p>
    <w:p w14:paraId="69B93D23"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76730F65"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3B284C48"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4521E923" w14:textId="77777777" w:rsidR="00A3605D" w:rsidRDefault="00A3605D" w:rsidP="0005138D">
      <w:pPr>
        <w:spacing w:after="0" w:line="240" w:lineRule="auto"/>
        <w:jc w:val="both"/>
        <w:rPr>
          <w:rFonts w:ascii="Times New Roman" w:eastAsia="Calibri" w:hAnsi="Times New Roman" w:cs="Times New Roman"/>
          <w:kern w:val="0"/>
          <w:lang w:eastAsia="en-US"/>
          <w14:ligatures w14:val="none"/>
        </w:rPr>
      </w:pPr>
    </w:p>
    <w:p w14:paraId="372287F5" w14:textId="77777777" w:rsidR="0005138D" w:rsidRDefault="0005138D" w:rsidP="0005138D">
      <w:pPr>
        <w:spacing w:after="0" w:line="240" w:lineRule="auto"/>
        <w:jc w:val="both"/>
        <w:rPr>
          <w:rFonts w:ascii="Times New Roman" w:eastAsia="Calibri" w:hAnsi="Times New Roman" w:cs="Times New Roman"/>
          <w:kern w:val="0"/>
          <w:lang w:eastAsia="en-US"/>
          <w14:ligatures w14:val="none"/>
        </w:rPr>
      </w:pPr>
    </w:p>
    <w:p w14:paraId="026B54AA" w14:textId="26873E5F" w:rsidR="0005138D" w:rsidRPr="0005138D" w:rsidRDefault="0005138D" w:rsidP="0005138D">
      <w:pPr>
        <w:spacing w:after="0" w:line="240" w:lineRule="auto"/>
        <w:jc w:val="both"/>
        <w:rPr>
          <w:rFonts w:ascii="Times New Roman" w:eastAsia="Calibri" w:hAnsi="Times New Roman" w:cs="Times New Roman"/>
          <w:kern w:val="0"/>
          <w:lang w:eastAsia="en-US"/>
          <w14:ligatures w14:val="none"/>
        </w:rPr>
      </w:pPr>
      <w:r>
        <w:rPr>
          <w:rFonts w:ascii="Times New Roman" w:eastAsia="Calibri" w:hAnsi="Times New Roman" w:cs="Times New Roman"/>
          <w:kern w:val="0"/>
          <w:lang w:eastAsia="en-US"/>
          <w14:ligatures w14:val="none"/>
        </w:rPr>
        <w:t>……………………………...</w:t>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r>
      <w:r>
        <w:rPr>
          <w:rFonts w:ascii="Times New Roman" w:eastAsia="Calibri" w:hAnsi="Times New Roman" w:cs="Times New Roman"/>
          <w:kern w:val="0"/>
          <w:lang w:eastAsia="en-US"/>
          <w14:ligatures w14:val="none"/>
        </w:rPr>
        <w:tab/>
        <w:t xml:space="preserve">           </w:t>
      </w:r>
      <w:r w:rsidRPr="0005138D">
        <w:rPr>
          <w:rFonts w:ascii="Times New Roman" w:eastAsia="Calibri" w:hAnsi="Times New Roman" w:cs="Times New Roman"/>
          <w:kern w:val="0"/>
          <w:lang w:eastAsia="en-US"/>
          <w14:ligatures w14:val="none"/>
        </w:rPr>
        <w:t>…………………………</w:t>
      </w:r>
    </w:p>
    <w:p w14:paraId="73A46C28" w14:textId="5889D7CA" w:rsidR="00F260DD" w:rsidRPr="00143DE6" w:rsidRDefault="00F260DD" w:rsidP="0005138D">
      <w:pPr>
        <w:spacing w:after="0" w:line="240" w:lineRule="auto"/>
        <w:rPr>
          <w:rFonts w:ascii="Times New Roman" w:hAnsi="Times New Roman" w:cs="Times New Roman"/>
        </w:rPr>
      </w:pPr>
      <w:r w:rsidRPr="00143DE6">
        <w:rPr>
          <w:rFonts w:ascii="Times New Roman" w:hAnsi="Times New Roman" w:cs="Times New Roman"/>
        </w:rPr>
        <w:t xml:space="preserve">Prof.  M. M. Yahaya   </w:t>
      </w:r>
      <w:r w:rsidRPr="00143DE6">
        <w:rPr>
          <w:rFonts w:ascii="Times New Roman" w:hAnsi="Times New Roman" w:cs="Times New Roman"/>
        </w:rPr>
        <w:tab/>
      </w:r>
      <w:r w:rsidRPr="00143DE6">
        <w:rPr>
          <w:rFonts w:ascii="Times New Roman" w:hAnsi="Times New Roman" w:cs="Times New Roman"/>
        </w:rPr>
        <w:tab/>
      </w:r>
      <w:r w:rsidRPr="00143DE6">
        <w:rPr>
          <w:rFonts w:ascii="Times New Roman" w:hAnsi="Times New Roman" w:cs="Times New Roman"/>
        </w:rPr>
        <w:tab/>
        <w:t xml:space="preserve">                            </w:t>
      </w:r>
      <w:r w:rsidR="0005138D">
        <w:rPr>
          <w:rFonts w:ascii="Times New Roman" w:hAnsi="Times New Roman" w:cs="Times New Roman"/>
        </w:rPr>
        <w:tab/>
      </w:r>
      <w:r w:rsidR="0005138D">
        <w:rPr>
          <w:rFonts w:ascii="Times New Roman" w:hAnsi="Times New Roman" w:cs="Times New Roman"/>
        </w:rPr>
        <w:tab/>
      </w:r>
      <w:r w:rsidR="0005138D">
        <w:rPr>
          <w:rFonts w:ascii="Times New Roman" w:hAnsi="Times New Roman" w:cs="Times New Roman"/>
        </w:rPr>
        <w:tab/>
      </w:r>
      <w:r w:rsidRPr="00143DE6">
        <w:rPr>
          <w:rFonts w:ascii="Times New Roman" w:hAnsi="Times New Roman" w:cs="Times New Roman"/>
        </w:rPr>
        <w:t>Date</w:t>
      </w:r>
    </w:p>
    <w:p w14:paraId="05D63A83" w14:textId="74FDAD5F" w:rsidR="00F260DD" w:rsidRPr="00143DE6" w:rsidRDefault="00A3605D" w:rsidP="0005138D">
      <w:pPr>
        <w:spacing w:after="0" w:line="240" w:lineRule="auto"/>
        <w:rPr>
          <w:rFonts w:ascii="Times New Roman" w:hAnsi="Times New Roman" w:cs="Times New Roman"/>
        </w:rPr>
      </w:pPr>
      <w:r>
        <w:rPr>
          <w:rFonts w:ascii="Times New Roman" w:hAnsi="Times New Roman" w:cs="Times New Roman"/>
        </w:rPr>
        <w:t>(</w:t>
      </w:r>
      <w:r w:rsidR="00F260DD" w:rsidRPr="00143DE6">
        <w:rPr>
          <w:rFonts w:ascii="Times New Roman" w:hAnsi="Times New Roman" w:cs="Times New Roman"/>
        </w:rPr>
        <w:t>Head of Department</w:t>
      </w:r>
      <w:r>
        <w:rPr>
          <w:rFonts w:ascii="Times New Roman" w:hAnsi="Times New Roman" w:cs="Times New Roman"/>
        </w:rPr>
        <w:t>)</w:t>
      </w:r>
      <w:r w:rsidR="00F260DD" w:rsidRPr="00143DE6">
        <w:rPr>
          <w:rFonts w:ascii="Times New Roman" w:hAnsi="Times New Roman" w:cs="Times New Roman"/>
        </w:rPr>
        <w:tab/>
      </w:r>
    </w:p>
    <w:p w14:paraId="004E50AB" w14:textId="77777777" w:rsidR="00F260DD" w:rsidRPr="00995563" w:rsidRDefault="00F260DD" w:rsidP="00FF11FA">
      <w:pPr>
        <w:pStyle w:val="Heading1"/>
        <w:rPr>
          <w:rFonts w:eastAsia="Times New Roman"/>
          <w:kern w:val="36"/>
        </w:rPr>
      </w:pPr>
      <w:bookmarkStart w:id="1" w:name="_Toc214285864"/>
      <w:r w:rsidRPr="00995563">
        <w:rPr>
          <w:rStyle w:val="Strong"/>
          <w:rFonts w:eastAsia="Times New Roman" w:cs="Times New Roman"/>
          <w:color w:val="000000" w:themeColor="text1"/>
          <w:szCs w:val="24"/>
        </w:rPr>
        <w:t>DEDICATION</w:t>
      </w:r>
      <w:bookmarkEnd w:id="1"/>
    </w:p>
    <w:p w14:paraId="57796013" w14:textId="77777777" w:rsidR="00F260DD" w:rsidRPr="00995563" w:rsidRDefault="00F260DD" w:rsidP="00FF11FA">
      <w:pPr>
        <w:pStyle w:val="NormalWeb"/>
        <w:spacing w:line="480" w:lineRule="auto"/>
      </w:pPr>
      <w:r w:rsidRPr="00995563">
        <w:t xml:space="preserve">This work is dedicated to </w:t>
      </w:r>
      <w:r w:rsidRPr="00402629">
        <w:rPr>
          <w:rStyle w:val="Strong"/>
          <w:b w:val="0"/>
          <w:bCs w:val="0"/>
        </w:rPr>
        <w:t>Almighty Allah (S.W.T)</w:t>
      </w:r>
      <w:r w:rsidRPr="00D56FAB">
        <w:rPr>
          <w:b/>
          <w:bCs/>
        </w:rPr>
        <w:t xml:space="preserve"> </w:t>
      </w:r>
      <w:r w:rsidRPr="00995563">
        <w:t>for His infinite mercy, guidance, and strength throughout the course of this research.</w:t>
      </w:r>
      <w:r>
        <w:t xml:space="preserve"> </w:t>
      </w:r>
      <w:r w:rsidRPr="00995563">
        <w:t xml:space="preserve">It is also dedicated to my beloved </w:t>
      </w:r>
      <w:r w:rsidRPr="00402629">
        <w:rPr>
          <w:rStyle w:val="Strong"/>
          <w:b w:val="0"/>
          <w:bCs w:val="0"/>
        </w:rPr>
        <w:t>parents</w:t>
      </w:r>
      <w:r w:rsidRPr="00995563">
        <w:rPr>
          <w:rStyle w:val="Strong"/>
        </w:rPr>
        <w:t xml:space="preserve"> </w:t>
      </w:r>
      <w:r w:rsidRPr="00402629">
        <w:rPr>
          <w:rStyle w:val="Strong"/>
          <w:b w:val="0"/>
          <w:bCs w:val="0"/>
        </w:rPr>
        <w:t>Alh. Mustapha Ibrahim and Hajiya Mufliyat Usman Ibrahim</w:t>
      </w:r>
      <w:r w:rsidRPr="00402629">
        <w:rPr>
          <w:b/>
          <w:bCs/>
        </w:rPr>
        <w:t xml:space="preserve"> </w:t>
      </w:r>
      <w:r w:rsidRPr="00995563">
        <w:t>for their unwavering support, encouragement, and prayers that sustained me through this academic journey.</w:t>
      </w:r>
    </w:p>
    <w:p w14:paraId="66679C55" w14:textId="77777777" w:rsidR="00F260DD" w:rsidRPr="00995563" w:rsidRDefault="00F260DD" w:rsidP="00FF11FA">
      <w:pPr>
        <w:pStyle w:val="Heading1"/>
        <w:spacing w:line="480" w:lineRule="auto"/>
        <w:jc w:val="both"/>
        <w:rPr>
          <w:rStyle w:val="Strong"/>
          <w:rFonts w:eastAsia="Times New Roman" w:cs="Times New Roman"/>
          <w:color w:val="000000" w:themeColor="text1"/>
          <w:szCs w:val="24"/>
        </w:rPr>
      </w:pPr>
    </w:p>
    <w:p w14:paraId="2FE55287" w14:textId="77777777" w:rsidR="00F260DD" w:rsidRPr="00995563" w:rsidRDefault="00F260DD" w:rsidP="00FF11FA">
      <w:pPr>
        <w:pStyle w:val="Heading1"/>
        <w:spacing w:line="480" w:lineRule="auto"/>
        <w:jc w:val="both"/>
        <w:rPr>
          <w:rStyle w:val="Strong"/>
          <w:rFonts w:eastAsia="Times New Roman" w:cs="Times New Roman"/>
          <w:color w:val="000000" w:themeColor="text1"/>
          <w:szCs w:val="24"/>
        </w:rPr>
      </w:pPr>
    </w:p>
    <w:p w14:paraId="0B9BE33B" w14:textId="77777777" w:rsidR="00F260DD" w:rsidRPr="00995563" w:rsidRDefault="00F260DD" w:rsidP="00FF11FA">
      <w:pPr>
        <w:pStyle w:val="Heading1"/>
        <w:spacing w:line="480" w:lineRule="auto"/>
        <w:jc w:val="both"/>
        <w:rPr>
          <w:rStyle w:val="Strong"/>
          <w:rFonts w:eastAsia="Times New Roman" w:cs="Times New Roman"/>
          <w:color w:val="000000" w:themeColor="text1"/>
          <w:szCs w:val="24"/>
        </w:rPr>
      </w:pPr>
    </w:p>
    <w:p w14:paraId="76690E45" w14:textId="77777777" w:rsidR="00F260DD" w:rsidRPr="00995563" w:rsidRDefault="00F260DD" w:rsidP="00FF11FA">
      <w:pPr>
        <w:pStyle w:val="Heading1"/>
        <w:spacing w:line="480" w:lineRule="auto"/>
        <w:jc w:val="both"/>
        <w:rPr>
          <w:rStyle w:val="Strong"/>
          <w:rFonts w:eastAsia="Times New Roman" w:cs="Times New Roman"/>
          <w:color w:val="000000" w:themeColor="text1"/>
          <w:szCs w:val="24"/>
        </w:rPr>
      </w:pPr>
    </w:p>
    <w:p w14:paraId="375563FA" w14:textId="77777777" w:rsidR="00F260DD" w:rsidRPr="00995563" w:rsidRDefault="00F260DD" w:rsidP="00FF11FA">
      <w:pPr>
        <w:pStyle w:val="Heading1"/>
        <w:spacing w:line="480" w:lineRule="auto"/>
        <w:jc w:val="both"/>
        <w:rPr>
          <w:rStyle w:val="Strong"/>
          <w:rFonts w:eastAsia="Times New Roman" w:cs="Times New Roman"/>
          <w:color w:val="000000" w:themeColor="text1"/>
          <w:szCs w:val="24"/>
        </w:rPr>
      </w:pPr>
    </w:p>
    <w:p w14:paraId="61E951D9" w14:textId="77777777" w:rsidR="00F260DD" w:rsidRPr="00995563" w:rsidRDefault="00F260DD" w:rsidP="00FF11FA">
      <w:pPr>
        <w:pStyle w:val="Heading1"/>
        <w:spacing w:line="480" w:lineRule="auto"/>
        <w:jc w:val="both"/>
        <w:rPr>
          <w:rStyle w:val="Strong"/>
          <w:rFonts w:eastAsia="Times New Roman" w:cs="Times New Roman"/>
          <w:color w:val="000000" w:themeColor="text1"/>
          <w:szCs w:val="24"/>
        </w:rPr>
      </w:pPr>
    </w:p>
    <w:p w14:paraId="4EF5DE7A" w14:textId="77777777" w:rsidR="00F260DD" w:rsidRPr="00995563" w:rsidRDefault="00F260DD" w:rsidP="00FF11FA">
      <w:pPr>
        <w:spacing w:line="480" w:lineRule="auto"/>
        <w:jc w:val="both"/>
        <w:rPr>
          <w:rFonts w:ascii="Times New Roman" w:hAnsi="Times New Roman" w:cs="Times New Roman"/>
        </w:rPr>
      </w:pPr>
    </w:p>
    <w:p w14:paraId="4964D6B2" w14:textId="77777777" w:rsidR="00F260DD" w:rsidRPr="00995563" w:rsidRDefault="00F260DD" w:rsidP="00FF11FA">
      <w:pPr>
        <w:spacing w:line="480" w:lineRule="auto"/>
        <w:jc w:val="both"/>
        <w:rPr>
          <w:rFonts w:ascii="Times New Roman" w:hAnsi="Times New Roman" w:cs="Times New Roman"/>
        </w:rPr>
      </w:pPr>
    </w:p>
    <w:p w14:paraId="3C8D457A" w14:textId="77777777" w:rsidR="00F260DD" w:rsidRPr="00995563" w:rsidRDefault="00F260DD" w:rsidP="00FF11FA">
      <w:pPr>
        <w:spacing w:line="480" w:lineRule="auto"/>
        <w:jc w:val="both"/>
        <w:rPr>
          <w:rFonts w:ascii="Times New Roman" w:hAnsi="Times New Roman" w:cs="Times New Roman"/>
        </w:rPr>
      </w:pPr>
    </w:p>
    <w:p w14:paraId="12AF38DB" w14:textId="77777777" w:rsidR="00F260DD" w:rsidRPr="00995563" w:rsidRDefault="00F260DD" w:rsidP="00FF11FA">
      <w:pPr>
        <w:spacing w:line="480" w:lineRule="auto"/>
        <w:jc w:val="both"/>
        <w:rPr>
          <w:rFonts w:ascii="Times New Roman" w:hAnsi="Times New Roman" w:cs="Times New Roman"/>
        </w:rPr>
      </w:pPr>
    </w:p>
    <w:p w14:paraId="250412D0" w14:textId="314E69A9" w:rsidR="00F260DD" w:rsidRPr="0009656C" w:rsidRDefault="00F260DD" w:rsidP="0009656C">
      <w:pPr>
        <w:pStyle w:val="Heading1"/>
        <w:jc w:val="center"/>
        <w:rPr>
          <w:rFonts w:eastAsia="Times New Roman"/>
          <w:b w:val="0"/>
          <w:bCs/>
        </w:rPr>
      </w:pPr>
      <w:bookmarkStart w:id="2" w:name="_Toc214285865"/>
      <w:r w:rsidRPr="0009656C">
        <w:rPr>
          <w:rStyle w:val="Strong"/>
          <w:rFonts w:eastAsia="Times New Roman" w:cs="Times New Roman"/>
          <w:b/>
          <w:bCs w:val="0"/>
          <w:color w:val="000000" w:themeColor="text1"/>
          <w:szCs w:val="24"/>
        </w:rPr>
        <w:t>ACKNOWLEDGEMENTS</w:t>
      </w:r>
      <w:bookmarkEnd w:id="2"/>
    </w:p>
    <w:p w14:paraId="28528237" w14:textId="77777777" w:rsidR="00F260DD" w:rsidRPr="002D1553" w:rsidRDefault="00F260DD" w:rsidP="00FF11FA">
      <w:pPr>
        <w:pStyle w:val="NormalWeb"/>
        <w:spacing w:line="480" w:lineRule="auto"/>
        <w:jc w:val="both"/>
        <w:rPr>
          <w:rStyle w:val="Strong"/>
          <w:b w:val="0"/>
          <w:bCs w:val="0"/>
        </w:rPr>
      </w:pPr>
      <w:r w:rsidRPr="002D1553">
        <w:rPr>
          <w:rStyle w:val="Strong"/>
          <w:b w:val="0"/>
          <w:bCs w:val="0"/>
        </w:rPr>
        <w:t>All praise to Almighty Allah the most beneficent the most merciful for guiding me throughout this and making it possible for me to complete my research work. I will forward be grateful for his immense guidance and countless mercy upon me.</w:t>
      </w:r>
    </w:p>
    <w:p w14:paraId="005A4ADB" w14:textId="77777777" w:rsidR="00F260DD" w:rsidRPr="002D1553" w:rsidRDefault="00F260DD" w:rsidP="00FF11FA">
      <w:pPr>
        <w:pStyle w:val="NormalWeb"/>
        <w:spacing w:line="480" w:lineRule="auto"/>
        <w:jc w:val="both"/>
        <w:rPr>
          <w:rStyle w:val="Strong"/>
          <w:b w:val="0"/>
          <w:bCs w:val="0"/>
        </w:rPr>
      </w:pPr>
      <w:r w:rsidRPr="002D1553">
        <w:rPr>
          <w:rStyle w:val="Strong"/>
          <w:b w:val="0"/>
          <w:bCs w:val="0"/>
        </w:rPr>
        <w:t>A special gratitude go to my project supervisor in person of Dr I.U Karaye who has played a role of a tutor and mentor who has assisted me through out my project and also the entire department of biological science and specifically Prof. I. M Magami, Dr M. M Mainasara, Head of department (Prof  M. M Yahaya) Mallam Bara’u Yahaya, Mallam Abdulrahman GBL, Baba Sidi, Mallama Sadiya and host of other who have contributed in my academic development over the past few years.</w:t>
      </w:r>
    </w:p>
    <w:p w14:paraId="22F662FE" w14:textId="77777777" w:rsidR="00F260DD" w:rsidRPr="002D1553" w:rsidRDefault="00F260DD" w:rsidP="00FF11FA">
      <w:pPr>
        <w:pStyle w:val="NormalWeb"/>
        <w:spacing w:line="480" w:lineRule="auto"/>
        <w:jc w:val="both"/>
        <w:rPr>
          <w:rStyle w:val="Strong"/>
          <w:b w:val="0"/>
          <w:bCs w:val="0"/>
        </w:rPr>
      </w:pPr>
      <w:r w:rsidRPr="002D1553">
        <w:rPr>
          <w:rStyle w:val="Strong"/>
          <w:b w:val="0"/>
          <w:bCs w:val="0"/>
        </w:rPr>
        <w:t>In addition am using this medium to appreciate my beloved parents Alhaji Mustapha Ibrahim and Hajiya Mufliyat Ibrahim for their support through out this journey I really appreciate them may God bless them. And my siblings Mustapha, Ismail, Hassan and Hussaini for their immense support, my aunty (Jumoke Fasilat Owolabi) for supporting me financially and my uncle (Abdulrahim Mustapha) I’m  also grateful for my family in sokoto the Yunusa’s family from Grandma and Grandpa my uncles( Dr. Majeed, Dr Kasim, Dr. Ismail, Mr Kabiru, Mr. Musbudeen) my aunties( Aunty Tawa, Mummy Kabira, Mummy Basit) and my sis Kabira thank you for supporting throughout my journey.</w:t>
      </w:r>
    </w:p>
    <w:p w14:paraId="61405CED" w14:textId="77777777" w:rsidR="00F260DD" w:rsidRPr="002D1553" w:rsidRDefault="00F260DD" w:rsidP="00FF11FA">
      <w:pPr>
        <w:pStyle w:val="NormalWeb"/>
        <w:spacing w:line="480" w:lineRule="auto"/>
        <w:jc w:val="both"/>
        <w:rPr>
          <w:rStyle w:val="Strong"/>
          <w:b w:val="0"/>
          <w:bCs w:val="0"/>
        </w:rPr>
      </w:pPr>
      <w:r w:rsidRPr="002D1553">
        <w:rPr>
          <w:rStyle w:val="Strong"/>
          <w:b w:val="0"/>
          <w:bCs w:val="0"/>
        </w:rPr>
        <w:t xml:space="preserve">My heartfelt to my partner Yahaya Abdulrahman Adeiza who is my biggest motivation, support me through out my academic thank you for supporting throughout. </w:t>
      </w:r>
    </w:p>
    <w:p w14:paraId="7D39D03A" w14:textId="77777777" w:rsidR="00F260DD" w:rsidRPr="002D1553" w:rsidRDefault="00F260DD" w:rsidP="00FF11FA">
      <w:pPr>
        <w:pStyle w:val="NormalWeb"/>
        <w:spacing w:line="480" w:lineRule="auto"/>
        <w:jc w:val="both"/>
        <w:rPr>
          <w:rStyle w:val="Strong"/>
          <w:b w:val="0"/>
          <w:bCs w:val="0"/>
        </w:rPr>
      </w:pPr>
      <w:r w:rsidRPr="002D1553">
        <w:rPr>
          <w:rStyle w:val="Strong"/>
          <w:b w:val="0"/>
          <w:bCs w:val="0"/>
        </w:rPr>
        <w:t xml:space="preserve">My gratitude goes to my friends that also supports me throughout my academic Balkisu Baraya, Ameerah Eniola, Hawau Kolawole, kauther Ishaq, Farida Abdulganiu ,Dorathy Andrew, Esther Egbemi, Grace Iweze, Kauthar  Ishaq, I appreciate their friendship and support </w:t>
      </w:r>
    </w:p>
    <w:p w14:paraId="2DF642FF" w14:textId="77777777" w:rsidR="00F260DD" w:rsidRPr="002D1553" w:rsidRDefault="00F260DD" w:rsidP="00FF11FA">
      <w:pPr>
        <w:pStyle w:val="NormalWeb"/>
        <w:spacing w:line="480" w:lineRule="auto"/>
        <w:jc w:val="both"/>
        <w:rPr>
          <w:rStyle w:val="Strong"/>
          <w:b w:val="0"/>
          <w:bCs w:val="0"/>
        </w:rPr>
      </w:pPr>
      <w:r w:rsidRPr="002D1553">
        <w:rPr>
          <w:rStyle w:val="Strong"/>
          <w:b w:val="0"/>
          <w:bCs w:val="0"/>
        </w:rPr>
        <w:t xml:space="preserve">Last but not the least, I want to thank me, I want to thank me for believing in me, I want to thank me for doing all this handwork, i want to thank me for not having days off, I want to thank me for never quitting, I want to thank me for always being a giver and trying to give more than I receive. May Allah bless me abundantly. </w:t>
      </w:r>
    </w:p>
    <w:p w14:paraId="5B750920" w14:textId="77777777" w:rsidR="00F260DD" w:rsidRDefault="00F260DD" w:rsidP="00FF11FA">
      <w:pPr>
        <w:pStyle w:val="NormalWeb"/>
        <w:jc w:val="center"/>
        <w:rPr>
          <w:rStyle w:val="Strong"/>
          <w:rFonts w:eastAsia="Times New Roman"/>
          <w:color w:val="000000" w:themeColor="text1"/>
        </w:rPr>
      </w:pPr>
    </w:p>
    <w:p w14:paraId="33EBFE52" w14:textId="77777777" w:rsidR="00F260DD" w:rsidRDefault="00F260DD" w:rsidP="00FF11FA">
      <w:pPr>
        <w:pStyle w:val="NormalWeb"/>
        <w:jc w:val="center"/>
        <w:rPr>
          <w:rStyle w:val="Strong"/>
          <w:rFonts w:eastAsia="Times New Roman"/>
          <w:color w:val="000000" w:themeColor="text1"/>
        </w:rPr>
      </w:pPr>
    </w:p>
    <w:p w14:paraId="7F8866A1" w14:textId="77777777" w:rsidR="00F260DD" w:rsidRDefault="00F260DD" w:rsidP="00FF11FA">
      <w:pPr>
        <w:pStyle w:val="NormalWeb"/>
        <w:jc w:val="center"/>
        <w:rPr>
          <w:rStyle w:val="Strong"/>
          <w:rFonts w:eastAsia="Times New Roman"/>
          <w:color w:val="000000" w:themeColor="text1"/>
        </w:rPr>
      </w:pPr>
    </w:p>
    <w:p w14:paraId="2ED61C56" w14:textId="77777777" w:rsidR="00F260DD" w:rsidRDefault="00F260DD" w:rsidP="00FF11FA">
      <w:pPr>
        <w:pStyle w:val="NormalWeb"/>
        <w:jc w:val="center"/>
        <w:rPr>
          <w:rStyle w:val="Strong"/>
          <w:rFonts w:eastAsia="Times New Roman"/>
          <w:color w:val="000000" w:themeColor="text1"/>
        </w:rPr>
      </w:pPr>
    </w:p>
    <w:p w14:paraId="6709CDA8" w14:textId="77777777" w:rsidR="00F260DD" w:rsidRDefault="00F260DD" w:rsidP="00FF11FA">
      <w:pPr>
        <w:pStyle w:val="NormalWeb"/>
        <w:jc w:val="center"/>
        <w:rPr>
          <w:rStyle w:val="Strong"/>
          <w:rFonts w:eastAsia="Times New Roman"/>
          <w:color w:val="000000" w:themeColor="text1"/>
        </w:rPr>
      </w:pPr>
    </w:p>
    <w:p w14:paraId="7E238BA1" w14:textId="77777777" w:rsidR="00F260DD" w:rsidRDefault="00F260DD" w:rsidP="00FF11FA">
      <w:pPr>
        <w:pStyle w:val="NormalWeb"/>
        <w:jc w:val="center"/>
        <w:rPr>
          <w:rStyle w:val="Strong"/>
          <w:rFonts w:eastAsia="Times New Roman"/>
          <w:color w:val="000000" w:themeColor="text1"/>
        </w:rPr>
      </w:pPr>
    </w:p>
    <w:p w14:paraId="34B0AB61" w14:textId="77777777" w:rsidR="00F260DD" w:rsidRDefault="00F260DD" w:rsidP="00FF11FA">
      <w:pPr>
        <w:pStyle w:val="NormalWeb"/>
        <w:jc w:val="center"/>
        <w:rPr>
          <w:rStyle w:val="Strong"/>
          <w:rFonts w:eastAsia="Times New Roman"/>
          <w:color w:val="000000" w:themeColor="text1"/>
        </w:rPr>
      </w:pPr>
    </w:p>
    <w:p w14:paraId="78AB86DF" w14:textId="77777777" w:rsidR="00F260DD" w:rsidRDefault="00F260DD" w:rsidP="00FF11FA">
      <w:pPr>
        <w:pStyle w:val="NormalWeb"/>
        <w:jc w:val="center"/>
        <w:rPr>
          <w:rStyle w:val="Strong"/>
          <w:rFonts w:eastAsia="Times New Roman"/>
          <w:color w:val="000000" w:themeColor="text1"/>
        </w:rPr>
      </w:pPr>
    </w:p>
    <w:p w14:paraId="676202A9" w14:textId="77777777" w:rsidR="00F260DD" w:rsidRDefault="00F260DD" w:rsidP="00FF11FA">
      <w:pPr>
        <w:pStyle w:val="NormalWeb"/>
        <w:jc w:val="center"/>
        <w:rPr>
          <w:rStyle w:val="Strong"/>
          <w:rFonts w:eastAsia="Times New Roman"/>
          <w:color w:val="000000" w:themeColor="text1"/>
        </w:rPr>
      </w:pPr>
    </w:p>
    <w:p w14:paraId="360CEB95" w14:textId="77777777" w:rsidR="00F260DD" w:rsidRDefault="00F260DD" w:rsidP="00FF11FA">
      <w:pPr>
        <w:pStyle w:val="NormalWeb"/>
        <w:jc w:val="center"/>
        <w:rPr>
          <w:rStyle w:val="Strong"/>
          <w:rFonts w:eastAsia="Times New Roman"/>
          <w:color w:val="000000" w:themeColor="text1"/>
        </w:rPr>
      </w:pPr>
    </w:p>
    <w:p w14:paraId="28B672F8" w14:textId="77777777" w:rsidR="00F260DD" w:rsidRDefault="00F260DD" w:rsidP="00FF11FA">
      <w:pPr>
        <w:pStyle w:val="NormalWeb"/>
        <w:jc w:val="center"/>
        <w:rPr>
          <w:rStyle w:val="Strong"/>
          <w:rFonts w:eastAsia="Times New Roman"/>
          <w:color w:val="000000" w:themeColor="text1"/>
        </w:rPr>
      </w:pPr>
    </w:p>
    <w:p w14:paraId="7A6564A3" w14:textId="77777777" w:rsidR="00F260DD" w:rsidRDefault="00F260DD" w:rsidP="00FF11FA">
      <w:pPr>
        <w:pStyle w:val="NormalWeb"/>
        <w:jc w:val="center"/>
        <w:rPr>
          <w:rStyle w:val="Strong"/>
          <w:rFonts w:eastAsia="Times New Roman"/>
          <w:color w:val="000000" w:themeColor="text1"/>
        </w:rPr>
      </w:pPr>
    </w:p>
    <w:p w14:paraId="7B9393DB" w14:textId="1E58813A" w:rsidR="000E1989" w:rsidRDefault="000E1989" w:rsidP="000E1989">
      <w:pPr>
        <w:pStyle w:val="Heading1"/>
        <w:jc w:val="center"/>
        <w:rPr>
          <w:rStyle w:val="Strong"/>
          <w:rFonts w:eastAsia="Times New Roman"/>
          <w:color w:val="000000" w:themeColor="text1"/>
        </w:rPr>
      </w:pPr>
      <w:bookmarkStart w:id="3" w:name="_Toc214285866"/>
      <w:r>
        <w:rPr>
          <w:rStyle w:val="Strong"/>
          <w:rFonts w:eastAsia="Times New Roman"/>
          <w:color w:val="000000" w:themeColor="text1"/>
        </w:rPr>
        <w:t>Table of Contents</w:t>
      </w:r>
      <w:bookmarkEnd w:id="3"/>
    </w:p>
    <w:sdt>
      <w:sdtPr>
        <w:rPr>
          <w:rFonts w:ascii="Times New Roman" w:eastAsiaTheme="minorEastAsia" w:hAnsi="Times New Roman" w:cs="Times New Roman"/>
          <w:color w:val="auto"/>
          <w:kern w:val="2"/>
          <w:sz w:val="24"/>
          <w:szCs w:val="24"/>
          <w:lang w:val="en-GB" w:eastAsia="en-GB"/>
          <w14:ligatures w14:val="standardContextual"/>
        </w:rPr>
        <w:id w:val="368953532"/>
        <w:docPartObj>
          <w:docPartGallery w:val="Table of Contents"/>
          <w:docPartUnique/>
        </w:docPartObj>
      </w:sdtPr>
      <w:sdtEndPr>
        <w:rPr>
          <w:bCs/>
          <w:noProof/>
        </w:rPr>
      </w:sdtEndPr>
      <w:sdtContent>
        <w:p w14:paraId="0508BE75" w14:textId="3B96AAAE" w:rsidR="000E1989" w:rsidRPr="000E1989" w:rsidRDefault="000E1989">
          <w:pPr>
            <w:pStyle w:val="TOCHeading"/>
            <w:rPr>
              <w:rFonts w:ascii="Times New Roman" w:hAnsi="Times New Roman" w:cs="Times New Roman"/>
              <w:color w:val="auto"/>
              <w:sz w:val="24"/>
              <w:szCs w:val="24"/>
            </w:rPr>
          </w:pPr>
          <w:r w:rsidRPr="000E1989">
            <w:rPr>
              <w:rFonts w:ascii="Times New Roman" w:hAnsi="Times New Roman" w:cs="Times New Roman"/>
              <w:color w:val="auto"/>
              <w:sz w:val="24"/>
              <w:szCs w:val="24"/>
            </w:rPr>
            <w:t>Titles………………………………………………………………..……………………..pages</w:t>
          </w:r>
        </w:p>
        <w:p w14:paraId="216F449E" w14:textId="54A45F65" w:rsidR="000E1989" w:rsidRPr="000E1989" w:rsidRDefault="000E1989">
          <w:pPr>
            <w:pStyle w:val="TOC1"/>
            <w:tabs>
              <w:tab w:val="right" w:leader="dot" w:pos="9016"/>
            </w:tabs>
            <w:rPr>
              <w:rFonts w:ascii="Times New Roman" w:hAnsi="Times New Roman" w:cs="Times New Roman"/>
              <w:noProof/>
            </w:rPr>
          </w:pPr>
          <w:r w:rsidRPr="000E1989">
            <w:rPr>
              <w:rFonts w:ascii="Times New Roman" w:hAnsi="Times New Roman" w:cs="Times New Roman"/>
            </w:rPr>
            <w:fldChar w:fldCharType="begin"/>
          </w:r>
          <w:r w:rsidRPr="000E1989">
            <w:rPr>
              <w:rFonts w:ascii="Times New Roman" w:hAnsi="Times New Roman" w:cs="Times New Roman"/>
            </w:rPr>
            <w:instrText xml:space="preserve"> TOC \o "1-3" \h \z \u </w:instrText>
          </w:r>
          <w:r w:rsidRPr="000E1989">
            <w:rPr>
              <w:rFonts w:ascii="Times New Roman" w:hAnsi="Times New Roman" w:cs="Times New Roman"/>
            </w:rPr>
            <w:fldChar w:fldCharType="separate"/>
          </w:r>
          <w:hyperlink w:anchor="_Toc214285863" w:history="1">
            <w:r w:rsidRPr="000E1989">
              <w:rPr>
                <w:rStyle w:val="Hyperlink"/>
                <w:rFonts w:ascii="Times New Roman" w:hAnsi="Times New Roman" w:cs="Times New Roman"/>
                <w:noProof/>
              </w:rPr>
              <w:t>CERTIFICATION</w:t>
            </w:r>
            <w:r w:rsidRPr="000E1989">
              <w:rPr>
                <w:rFonts w:ascii="Times New Roman" w:hAnsi="Times New Roman" w:cs="Times New Roman"/>
                <w:noProof/>
                <w:webHidden/>
              </w:rPr>
              <w:tab/>
            </w:r>
            <w:r w:rsidRPr="000E1989">
              <w:rPr>
                <w:rFonts w:ascii="Times New Roman" w:hAnsi="Times New Roman" w:cs="Times New Roman"/>
                <w:noProof/>
                <w:webHidden/>
              </w:rPr>
              <w:fldChar w:fldCharType="begin"/>
            </w:r>
            <w:r w:rsidRPr="000E1989">
              <w:rPr>
                <w:rFonts w:ascii="Times New Roman" w:hAnsi="Times New Roman" w:cs="Times New Roman"/>
                <w:noProof/>
                <w:webHidden/>
              </w:rPr>
              <w:instrText xml:space="preserve"> PAGEREF _Toc214285863 \h </w:instrText>
            </w:r>
            <w:r w:rsidRPr="000E1989">
              <w:rPr>
                <w:rFonts w:ascii="Times New Roman" w:hAnsi="Times New Roman" w:cs="Times New Roman"/>
                <w:noProof/>
                <w:webHidden/>
              </w:rPr>
            </w:r>
            <w:r w:rsidRPr="000E1989">
              <w:rPr>
                <w:rFonts w:ascii="Times New Roman" w:hAnsi="Times New Roman" w:cs="Times New Roman"/>
                <w:noProof/>
                <w:webHidden/>
              </w:rPr>
              <w:fldChar w:fldCharType="separate"/>
            </w:r>
            <w:r w:rsidR="00224A14">
              <w:rPr>
                <w:rFonts w:ascii="Times New Roman" w:hAnsi="Times New Roman" w:cs="Times New Roman"/>
                <w:noProof/>
                <w:webHidden/>
              </w:rPr>
              <w:t>ii</w:t>
            </w:r>
            <w:r w:rsidRPr="000E1989">
              <w:rPr>
                <w:rFonts w:ascii="Times New Roman" w:hAnsi="Times New Roman" w:cs="Times New Roman"/>
                <w:noProof/>
                <w:webHidden/>
              </w:rPr>
              <w:fldChar w:fldCharType="end"/>
            </w:r>
          </w:hyperlink>
        </w:p>
        <w:p w14:paraId="44A82AC1" w14:textId="3927515A" w:rsidR="000E1989" w:rsidRPr="000E1989" w:rsidRDefault="0042465D">
          <w:pPr>
            <w:pStyle w:val="TOC1"/>
            <w:tabs>
              <w:tab w:val="right" w:leader="dot" w:pos="9016"/>
            </w:tabs>
            <w:rPr>
              <w:rFonts w:ascii="Times New Roman" w:hAnsi="Times New Roman" w:cs="Times New Roman"/>
              <w:noProof/>
            </w:rPr>
          </w:pPr>
          <w:hyperlink w:anchor="_Toc214285864" w:history="1">
            <w:r w:rsidR="000E1989" w:rsidRPr="000E1989">
              <w:rPr>
                <w:rStyle w:val="Hyperlink"/>
                <w:rFonts w:ascii="Times New Roman" w:eastAsia="Times New Roman" w:hAnsi="Times New Roman" w:cs="Times New Roman"/>
                <w:bCs/>
                <w:noProof/>
              </w:rPr>
              <w:t>DEDICATION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_Toc214285864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iii</w:t>
            </w:r>
            <w:r w:rsidR="000E1989" w:rsidRPr="000E1989">
              <w:rPr>
                <w:rFonts w:ascii="Times New Roman" w:hAnsi="Times New Roman" w:cs="Times New Roman"/>
                <w:noProof/>
                <w:webHidden/>
              </w:rPr>
              <w:fldChar w:fldCharType="end"/>
            </w:r>
          </w:hyperlink>
        </w:p>
        <w:p w14:paraId="027D014A" w14:textId="68FD6092" w:rsidR="000E1989" w:rsidRPr="000E1989" w:rsidRDefault="0042465D">
          <w:pPr>
            <w:pStyle w:val="TOC1"/>
            <w:tabs>
              <w:tab w:val="right" w:leader="dot" w:pos="9016"/>
            </w:tabs>
            <w:rPr>
              <w:rFonts w:ascii="Times New Roman" w:hAnsi="Times New Roman" w:cs="Times New Roman"/>
              <w:noProof/>
            </w:rPr>
          </w:pPr>
          <w:hyperlink w:anchor="_Toc214285865" w:history="1">
            <w:r w:rsidR="000E1989" w:rsidRPr="000E1989">
              <w:rPr>
                <w:rStyle w:val="Hyperlink"/>
                <w:rFonts w:ascii="Times New Roman" w:eastAsia="Times New Roman" w:hAnsi="Times New Roman" w:cs="Times New Roman"/>
                <w:bCs/>
                <w:noProof/>
              </w:rPr>
              <w:t>ACKNOWLEDGEMENTS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_Toc214285865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iv</w:t>
            </w:r>
            <w:r w:rsidR="000E1989" w:rsidRPr="000E1989">
              <w:rPr>
                <w:rFonts w:ascii="Times New Roman" w:hAnsi="Times New Roman" w:cs="Times New Roman"/>
                <w:noProof/>
                <w:webHidden/>
              </w:rPr>
              <w:fldChar w:fldCharType="end"/>
            </w:r>
          </w:hyperlink>
        </w:p>
        <w:p w14:paraId="10A718D3" w14:textId="20D5F3DE" w:rsidR="000E1989" w:rsidRPr="000E1989" w:rsidRDefault="0042465D">
          <w:pPr>
            <w:pStyle w:val="TOC1"/>
            <w:tabs>
              <w:tab w:val="right" w:leader="dot" w:pos="9016"/>
            </w:tabs>
            <w:rPr>
              <w:rFonts w:ascii="Times New Roman" w:hAnsi="Times New Roman" w:cs="Times New Roman"/>
              <w:noProof/>
            </w:rPr>
          </w:pPr>
          <w:hyperlink w:anchor="_Toc214285866" w:history="1">
            <w:r w:rsidR="000E1989" w:rsidRPr="000E1989">
              <w:rPr>
                <w:rStyle w:val="Hyperlink"/>
                <w:rFonts w:ascii="Times New Roman" w:eastAsia="Times New Roman" w:hAnsi="Times New Roman" w:cs="Times New Roman"/>
                <w:bCs/>
                <w:noProof/>
              </w:rPr>
              <w:t>Table of Contents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_Toc214285866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vi</w:t>
            </w:r>
            <w:r w:rsidR="000E1989" w:rsidRPr="000E1989">
              <w:rPr>
                <w:rFonts w:ascii="Times New Roman" w:hAnsi="Times New Roman" w:cs="Times New Roman"/>
                <w:noProof/>
                <w:webHidden/>
              </w:rPr>
              <w:fldChar w:fldCharType="end"/>
            </w:r>
          </w:hyperlink>
        </w:p>
        <w:p w14:paraId="75701F2F" w14:textId="1F2B9042" w:rsidR="000E1989" w:rsidRPr="000E1989" w:rsidRDefault="0042465D">
          <w:pPr>
            <w:pStyle w:val="TOC1"/>
            <w:tabs>
              <w:tab w:val="right" w:leader="dot" w:pos="9016"/>
            </w:tabs>
            <w:rPr>
              <w:rFonts w:ascii="Times New Roman" w:hAnsi="Times New Roman" w:cs="Times New Roman"/>
              <w:noProof/>
            </w:rPr>
          </w:pPr>
          <w:hyperlink w:anchor="_Toc214285867" w:history="1">
            <w:r w:rsidR="000E1989" w:rsidRPr="000E1989">
              <w:rPr>
                <w:rStyle w:val="Hyperlink"/>
                <w:rFonts w:ascii="Times New Roman" w:eastAsia="Times New Roman" w:hAnsi="Times New Roman" w:cs="Times New Roman"/>
                <w:bCs/>
                <w:noProof/>
              </w:rPr>
              <w:t>ABSTRACT</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_Toc214285867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viii</w:t>
            </w:r>
            <w:r w:rsidR="000E1989" w:rsidRPr="000E1989">
              <w:rPr>
                <w:rFonts w:ascii="Times New Roman" w:hAnsi="Times New Roman" w:cs="Times New Roman"/>
                <w:noProof/>
                <w:webHidden/>
              </w:rPr>
              <w:fldChar w:fldCharType="end"/>
            </w:r>
          </w:hyperlink>
        </w:p>
        <w:p w14:paraId="69693852" w14:textId="2E4C7E7D" w:rsidR="000E1989" w:rsidRPr="000E1989" w:rsidRDefault="0042465D">
          <w:pPr>
            <w:pStyle w:val="TOC1"/>
            <w:tabs>
              <w:tab w:val="right" w:leader="dot" w:pos="9016"/>
            </w:tabs>
            <w:rPr>
              <w:rFonts w:ascii="Times New Roman" w:hAnsi="Times New Roman" w:cs="Times New Roman"/>
              <w:noProof/>
            </w:rPr>
          </w:pPr>
          <w:hyperlink w:anchor="_Toc214285868" w:history="1">
            <w:r w:rsidR="000E1989" w:rsidRPr="000E1989">
              <w:rPr>
                <w:rStyle w:val="Hyperlink"/>
                <w:rFonts w:ascii="Times New Roman" w:hAnsi="Times New Roman" w:cs="Times New Roman"/>
                <w:noProof/>
              </w:rPr>
              <w:t>CHAPTER ONE</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_Toc214285868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w:t>
            </w:r>
            <w:r w:rsidR="000E1989" w:rsidRPr="000E1989">
              <w:rPr>
                <w:rFonts w:ascii="Times New Roman" w:hAnsi="Times New Roman" w:cs="Times New Roman"/>
                <w:noProof/>
                <w:webHidden/>
              </w:rPr>
              <w:fldChar w:fldCharType="end"/>
            </w:r>
          </w:hyperlink>
        </w:p>
        <w:p w14:paraId="04A29183" w14:textId="7A93238C" w:rsidR="000E1989" w:rsidRPr="000E1989" w:rsidRDefault="0042465D">
          <w:pPr>
            <w:pStyle w:val="TOC1"/>
            <w:tabs>
              <w:tab w:val="right" w:leader="dot" w:pos="9016"/>
            </w:tabs>
            <w:rPr>
              <w:rFonts w:ascii="Times New Roman" w:hAnsi="Times New Roman" w:cs="Times New Roman"/>
              <w:noProof/>
            </w:rPr>
          </w:pPr>
          <w:hyperlink w:anchor="_Toc214285869" w:history="1">
            <w:r w:rsidR="000E1989" w:rsidRPr="000E1989">
              <w:rPr>
                <w:rStyle w:val="Hyperlink"/>
                <w:rFonts w:ascii="Times New Roman" w:hAnsi="Times New Roman" w:cs="Times New Roman"/>
                <w:noProof/>
              </w:rPr>
              <w:t>INTRODUCTION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_Toc214285869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w:t>
            </w:r>
            <w:r w:rsidR="000E1989" w:rsidRPr="000E1989">
              <w:rPr>
                <w:rFonts w:ascii="Times New Roman" w:hAnsi="Times New Roman" w:cs="Times New Roman"/>
                <w:noProof/>
                <w:webHidden/>
              </w:rPr>
              <w:fldChar w:fldCharType="end"/>
            </w:r>
          </w:hyperlink>
        </w:p>
        <w:p w14:paraId="6BB4FB65" w14:textId="3B74CAB0" w:rsidR="000E1989" w:rsidRPr="000E1989" w:rsidRDefault="0042465D">
          <w:pPr>
            <w:pStyle w:val="TOC1"/>
            <w:tabs>
              <w:tab w:val="right" w:leader="dot" w:pos="9016"/>
            </w:tabs>
            <w:rPr>
              <w:rFonts w:ascii="Times New Roman" w:hAnsi="Times New Roman" w:cs="Times New Roman"/>
              <w:noProof/>
            </w:rPr>
          </w:pPr>
          <w:hyperlink w:anchor="_Toc214285870" w:history="1">
            <w:r w:rsidR="000E1989" w:rsidRPr="000E1989">
              <w:rPr>
                <w:rStyle w:val="Hyperlink"/>
                <w:rFonts w:ascii="Times New Roman" w:hAnsi="Times New Roman" w:cs="Times New Roman"/>
                <w:noProof/>
              </w:rPr>
              <w:t>1.3 Justification of the Study</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_Toc214285870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4</w:t>
            </w:r>
            <w:r w:rsidR="000E1989" w:rsidRPr="000E1989">
              <w:rPr>
                <w:rFonts w:ascii="Times New Roman" w:hAnsi="Times New Roman" w:cs="Times New Roman"/>
                <w:noProof/>
                <w:webHidden/>
              </w:rPr>
              <w:fldChar w:fldCharType="end"/>
            </w:r>
          </w:hyperlink>
        </w:p>
        <w:p w14:paraId="191D435C" w14:textId="3174F9DB" w:rsidR="000E1989" w:rsidRPr="000E1989" w:rsidRDefault="0042465D">
          <w:pPr>
            <w:pStyle w:val="TOC1"/>
            <w:tabs>
              <w:tab w:val="right" w:leader="dot" w:pos="9016"/>
            </w:tabs>
            <w:rPr>
              <w:rFonts w:ascii="Times New Roman" w:hAnsi="Times New Roman" w:cs="Times New Roman"/>
              <w:noProof/>
            </w:rPr>
          </w:pPr>
          <w:hyperlink w:anchor="_Toc214285871" w:history="1">
            <w:r w:rsidR="000E1989" w:rsidRPr="000E1989">
              <w:rPr>
                <w:rStyle w:val="Hyperlink"/>
                <w:rFonts w:ascii="Times New Roman" w:eastAsia="Times New Roman" w:hAnsi="Times New Roman" w:cs="Times New Roman"/>
                <w:bCs/>
                <w:noProof/>
              </w:rPr>
              <w:t>CHAPTER TWO</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_Toc214285871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7</w:t>
            </w:r>
            <w:r w:rsidR="000E1989" w:rsidRPr="000E1989">
              <w:rPr>
                <w:rFonts w:ascii="Times New Roman" w:hAnsi="Times New Roman" w:cs="Times New Roman"/>
                <w:noProof/>
                <w:webHidden/>
              </w:rPr>
              <w:fldChar w:fldCharType="end"/>
            </w:r>
          </w:hyperlink>
        </w:p>
        <w:p w14:paraId="12ADE908" w14:textId="79EE14C2" w:rsidR="000E1989" w:rsidRPr="000E1989" w:rsidRDefault="0042465D">
          <w:pPr>
            <w:pStyle w:val="TOC1"/>
            <w:tabs>
              <w:tab w:val="right" w:leader="dot" w:pos="9016"/>
            </w:tabs>
            <w:rPr>
              <w:rFonts w:ascii="Times New Roman" w:hAnsi="Times New Roman" w:cs="Times New Roman"/>
              <w:noProof/>
            </w:rPr>
          </w:pPr>
          <w:hyperlink w:anchor="_Toc214285872" w:history="1">
            <w:r w:rsidR="000E1989" w:rsidRPr="000E1989">
              <w:rPr>
                <w:rStyle w:val="Hyperlink"/>
                <w:rFonts w:ascii="Times New Roman" w:eastAsia="Times New Roman" w:hAnsi="Times New Roman" w:cs="Times New Roman"/>
                <w:bCs/>
                <w:noProof/>
              </w:rPr>
              <w:t>2.0 LITERATURE REVIEW</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_Toc214285872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7</w:t>
            </w:r>
            <w:r w:rsidR="000E1989" w:rsidRPr="000E1989">
              <w:rPr>
                <w:rFonts w:ascii="Times New Roman" w:hAnsi="Times New Roman" w:cs="Times New Roman"/>
                <w:noProof/>
                <w:webHidden/>
              </w:rPr>
              <w:fldChar w:fldCharType="end"/>
            </w:r>
          </w:hyperlink>
        </w:p>
        <w:p w14:paraId="34D18BC2" w14:textId="3B0912EC" w:rsidR="000E1989" w:rsidRPr="000E1989" w:rsidRDefault="0042465D">
          <w:pPr>
            <w:pStyle w:val="TOC1"/>
            <w:tabs>
              <w:tab w:val="right" w:leader="dot" w:pos="9016"/>
            </w:tabs>
            <w:rPr>
              <w:rFonts w:ascii="Times New Roman" w:hAnsi="Times New Roman" w:cs="Times New Roman"/>
              <w:noProof/>
            </w:rPr>
          </w:pPr>
          <w:hyperlink w:anchor="_Toc214285873" w:history="1">
            <w:r w:rsidR="000E1989" w:rsidRPr="000E1989">
              <w:rPr>
                <w:rStyle w:val="Hyperlink"/>
                <w:rFonts w:ascii="Times New Roman" w:eastAsia="Times New Roman" w:hAnsi="Times New Roman" w:cs="Times New Roman"/>
                <w:bCs/>
                <w:noProof/>
              </w:rPr>
              <w:t xml:space="preserve">2.1 Botanical Description of </w:t>
            </w:r>
            <w:r w:rsidR="000E1989" w:rsidRPr="000E1989">
              <w:rPr>
                <w:rStyle w:val="Hyperlink"/>
                <w:rFonts w:ascii="Times New Roman" w:eastAsia="Times New Roman" w:hAnsi="Times New Roman" w:cs="Times New Roman"/>
                <w:iCs/>
                <w:noProof/>
              </w:rPr>
              <w:t>Sorghum bicolor</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_Toc214285873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7</w:t>
            </w:r>
            <w:r w:rsidR="000E1989" w:rsidRPr="000E1989">
              <w:rPr>
                <w:rFonts w:ascii="Times New Roman" w:hAnsi="Times New Roman" w:cs="Times New Roman"/>
                <w:noProof/>
                <w:webHidden/>
              </w:rPr>
              <w:fldChar w:fldCharType="end"/>
            </w:r>
          </w:hyperlink>
        </w:p>
        <w:p w14:paraId="65EB5FA0" w14:textId="77CD6B45" w:rsidR="000E1989" w:rsidRPr="000E1989" w:rsidRDefault="0042465D">
          <w:pPr>
            <w:pStyle w:val="TOC1"/>
            <w:tabs>
              <w:tab w:val="right" w:leader="dot" w:pos="9016"/>
            </w:tabs>
            <w:rPr>
              <w:rFonts w:ascii="Times New Roman" w:hAnsi="Times New Roman" w:cs="Times New Roman"/>
              <w:noProof/>
            </w:rPr>
          </w:pPr>
          <w:hyperlink w:anchor="_Toc214285874" w:history="1">
            <w:r w:rsidR="000E1989" w:rsidRPr="000E1989">
              <w:rPr>
                <w:rStyle w:val="Hyperlink"/>
                <w:rFonts w:ascii="Times New Roman" w:eastAsia="Times New Roman" w:hAnsi="Times New Roman" w:cs="Times New Roman"/>
                <w:bCs/>
                <w:noProof/>
              </w:rPr>
              <w:t>2.1.1 Taxonomy</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_Toc214285874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9</w:t>
            </w:r>
            <w:r w:rsidR="000E1989" w:rsidRPr="000E1989">
              <w:rPr>
                <w:rFonts w:ascii="Times New Roman" w:hAnsi="Times New Roman" w:cs="Times New Roman"/>
                <w:noProof/>
                <w:webHidden/>
              </w:rPr>
              <w:fldChar w:fldCharType="end"/>
            </w:r>
          </w:hyperlink>
        </w:p>
        <w:p w14:paraId="11C06847" w14:textId="21AA1174" w:rsidR="000E1989" w:rsidRPr="000E1989" w:rsidRDefault="0042465D">
          <w:pPr>
            <w:pStyle w:val="TOC1"/>
            <w:tabs>
              <w:tab w:val="right" w:leader="dot" w:pos="9016"/>
            </w:tabs>
            <w:rPr>
              <w:rFonts w:ascii="Times New Roman" w:hAnsi="Times New Roman" w:cs="Times New Roman"/>
              <w:noProof/>
            </w:rPr>
          </w:pPr>
          <w:hyperlink w:anchor="_Toc214285875" w:history="1">
            <w:r w:rsidR="000E1989" w:rsidRPr="000E1989">
              <w:rPr>
                <w:rStyle w:val="Hyperlink"/>
                <w:rFonts w:ascii="Times New Roman" w:eastAsia="Times New Roman" w:hAnsi="Times New Roman" w:cs="Times New Roman"/>
                <w:bCs/>
                <w:noProof/>
              </w:rPr>
              <w:t>2.1.2 Morphology</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_Toc214285875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10</w:t>
            </w:r>
            <w:r w:rsidR="000E1989" w:rsidRPr="000E1989">
              <w:rPr>
                <w:rFonts w:ascii="Times New Roman" w:hAnsi="Times New Roman" w:cs="Times New Roman"/>
                <w:noProof/>
                <w:webHidden/>
              </w:rPr>
              <w:fldChar w:fldCharType="end"/>
            </w:r>
          </w:hyperlink>
        </w:p>
        <w:p w14:paraId="1D6D1588" w14:textId="2842653C" w:rsidR="000E1989" w:rsidRPr="000E1989" w:rsidRDefault="0042465D">
          <w:pPr>
            <w:pStyle w:val="TOC1"/>
            <w:tabs>
              <w:tab w:val="right" w:leader="dot" w:pos="9016"/>
            </w:tabs>
            <w:rPr>
              <w:rFonts w:ascii="Times New Roman" w:hAnsi="Times New Roman" w:cs="Times New Roman"/>
              <w:noProof/>
            </w:rPr>
          </w:pPr>
          <w:hyperlink w:anchor="_Toc214285876" w:history="1">
            <w:r w:rsidR="000E1989" w:rsidRPr="000E1989">
              <w:rPr>
                <w:rStyle w:val="Hyperlink"/>
                <w:rFonts w:ascii="Times New Roman" w:hAnsi="Times New Roman" w:cs="Times New Roman"/>
                <w:noProof/>
              </w:rPr>
              <w:t>2.2 Botanical Description of Wheat (</w:t>
            </w:r>
            <w:r w:rsidR="000E1989" w:rsidRPr="000E1989">
              <w:rPr>
                <w:rStyle w:val="Hyperlink"/>
                <w:rFonts w:ascii="Times New Roman" w:hAnsi="Times New Roman" w:cs="Times New Roman"/>
                <w:iCs/>
                <w:noProof/>
              </w:rPr>
              <w:t>Triticum</w:t>
            </w:r>
            <w:r w:rsidR="000E1989" w:rsidRPr="000E1989">
              <w:rPr>
                <w:rStyle w:val="Hyperlink"/>
                <w:rFonts w:ascii="Times New Roman" w:hAnsi="Times New Roman" w:cs="Times New Roman"/>
                <w:noProof/>
              </w:rPr>
              <w:t xml:space="preserve"> </w:t>
            </w:r>
            <w:r w:rsidR="000E1989" w:rsidRPr="000E1989">
              <w:rPr>
                <w:rStyle w:val="Hyperlink"/>
                <w:rFonts w:ascii="Times New Roman" w:hAnsi="Times New Roman" w:cs="Times New Roman"/>
                <w:iCs/>
                <w:noProof/>
              </w:rPr>
              <w:t>aestivum</w:t>
            </w:r>
            <w:r w:rsidR="000E1989" w:rsidRPr="000E1989">
              <w:rPr>
                <w:rStyle w:val="Hyperlink"/>
                <w:rFonts w:ascii="Times New Roman" w:hAnsi="Times New Roman" w:cs="Times New Roman"/>
                <w:noProof/>
              </w:rPr>
              <w:t>)</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_Toc214285876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10</w:t>
            </w:r>
            <w:r w:rsidR="000E1989" w:rsidRPr="000E1989">
              <w:rPr>
                <w:rFonts w:ascii="Times New Roman" w:hAnsi="Times New Roman" w:cs="Times New Roman"/>
                <w:noProof/>
                <w:webHidden/>
              </w:rPr>
              <w:fldChar w:fldCharType="end"/>
            </w:r>
          </w:hyperlink>
        </w:p>
        <w:p w14:paraId="7CDFBC8C" w14:textId="28A9B515" w:rsidR="000E1989" w:rsidRPr="000E1989" w:rsidRDefault="0042465D">
          <w:pPr>
            <w:pStyle w:val="TOC1"/>
            <w:tabs>
              <w:tab w:val="right" w:leader="dot" w:pos="9016"/>
            </w:tabs>
            <w:rPr>
              <w:rFonts w:ascii="Times New Roman" w:hAnsi="Times New Roman" w:cs="Times New Roman"/>
              <w:noProof/>
            </w:rPr>
          </w:pPr>
          <w:hyperlink w:anchor="_Toc214285877" w:history="1">
            <w:r w:rsidR="000E1989" w:rsidRPr="000E1989">
              <w:rPr>
                <w:rStyle w:val="Hyperlink"/>
                <w:rFonts w:ascii="Times New Roman" w:hAnsi="Times New Roman" w:cs="Times New Roman"/>
                <w:noProof/>
              </w:rPr>
              <w:t>2.2.1 Taxonomically, wheat is classified as: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_Toc214285877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11</w:t>
            </w:r>
            <w:r w:rsidR="000E1989" w:rsidRPr="000E1989">
              <w:rPr>
                <w:rFonts w:ascii="Times New Roman" w:hAnsi="Times New Roman" w:cs="Times New Roman"/>
                <w:noProof/>
                <w:webHidden/>
              </w:rPr>
              <w:fldChar w:fldCharType="end"/>
            </w:r>
          </w:hyperlink>
        </w:p>
        <w:p w14:paraId="2E514544" w14:textId="1F4A295A" w:rsidR="000E1989" w:rsidRPr="000E1989" w:rsidRDefault="0042465D">
          <w:pPr>
            <w:pStyle w:val="TOC1"/>
            <w:tabs>
              <w:tab w:val="right" w:leader="dot" w:pos="9016"/>
            </w:tabs>
            <w:rPr>
              <w:rFonts w:ascii="Times New Roman" w:hAnsi="Times New Roman" w:cs="Times New Roman"/>
              <w:noProof/>
            </w:rPr>
          </w:pPr>
          <w:hyperlink w:anchor="_Toc214285878" w:history="1">
            <w:r w:rsidR="000E1989" w:rsidRPr="000E1989">
              <w:rPr>
                <w:rStyle w:val="Hyperlink"/>
                <w:rFonts w:ascii="Times New Roman" w:hAnsi="Times New Roman" w:cs="Times New Roman"/>
                <w:noProof/>
              </w:rPr>
              <w:t>2.3 Comparative Morphology and Physiology of Sorghum bicolor and Triticum aestivum</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_Toc214285878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12</w:t>
            </w:r>
            <w:r w:rsidR="000E1989" w:rsidRPr="000E1989">
              <w:rPr>
                <w:rFonts w:ascii="Times New Roman" w:hAnsi="Times New Roman" w:cs="Times New Roman"/>
                <w:noProof/>
                <w:webHidden/>
              </w:rPr>
              <w:fldChar w:fldCharType="end"/>
            </w:r>
          </w:hyperlink>
        </w:p>
        <w:p w14:paraId="7EDB05A9" w14:textId="230E540C" w:rsidR="000E1989" w:rsidRPr="000E1989" w:rsidRDefault="0042465D">
          <w:pPr>
            <w:pStyle w:val="TOC1"/>
            <w:tabs>
              <w:tab w:val="right" w:leader="dot" w:pos="9016"/>
            </w:tabs>
            <w:rPr>
              <w:rFonts w:ascii="Times New Roman" w:hAnsi="Times New Roman" w:cs="Times New Roman"/>
              <w:noProof/>
            </w:rPr>
          </w:pPr>
          <w:hyperlink w:anchor="_Toc214285879" w:history="1">
            <w:r w:rsidR="000E1989" w:rsidRPr="000E1989">
              <w:rPr>
                <w:rStyle w:val="Hyperlink"/>
                <w:rFonts w:ascii="Times New Roman" w:hAnsi="Times New Roman" w:cs="Times New Roman"/>
                <w:noProof/>
              </w:rPr>
              <w:t>2.4 Importance of Seed Germination and Early Seedling Growth</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_Toc214285879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13</w:t>
            </w:r>
            <w:r w:rsidR="000E1989" w:rsidRPr="000E1989">
              <w:rPr>
                <w:rFonts w:ascii="Times New Roman" w:hAnsi="Times New Roman" w:cs="Times New Roman"/>
                <w:noProof/>
                <w:webHidden/>
              </w:rPr>
              <w:fldChar w:fldCharType="end"/>
            </w:r>
          </w:hyperlink>
        </w:p>
        <w:p w14:paraId="33751AEF" w14:textId="5AF2DD1B" w:rsidR="000E1989" w:rsidRPr="000E1989" w:rsidRDefault="0042465D">
          <w:pPr>
            <w:pStyle w:val="TOC1"/>
            <w:tabs>
              <w:tab w:val="right" w:leader="dot" w:pos="9016"/>
            </w:tabs>
            <w:rPr>
              <w:rFonts w:ascii="Times New Roman" w:hAnsi="Times New Roman" w:cs="Times New Roman"/>
              <w:noProof/>
            </w:rPr>
          </w:pPr>
          <w:hyperlink w:anchor="_Toc214285880" w:history="1">
            <w:r w:rsidR="000E1989" w:rsidRPr="000E1989">
              <w:rPr>
                <w:rStyle w:val="Hyperlink"/>
                <w:rFonts w:ascii="Times New Roman" w:hAnsi="Times New Roman" w:cs="Times New Roman"/>
                <w:noProof/>
              </w:rPr>
              <w:t>2.5 Effect of NPK on Germination and Early Seedling Growth of Cereal Crops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_Toc214285880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14</w:t>
            </w:r>
            <w:r w:rsidR="000E1989" w:rsidRPr="000E1989">
              <w:rPr>
                <w:rFonts w:ascii="Times New Roman" w:hAnsi="Times New Roman" w:cs="Times New Roman"/>
                <w:noProof/>
                <w:webHidden/>
              </w:rPr>
              <w:fldChar w:fldCharType="end"/>
            </w:r>
          </w:hyperlink>
        </w:p>
        <w:p w14:paraId="2E970417" w14:textId="1B9EF525" w:rsidR="000E1989" w:rsidRPr="000E1989" w:rsidRDefault="0042465D">
          <w:pPr>
            <w:pStyle w:val="TOC1"/>
            <w:tabs>
              <w:tab w:val="right" w:leader="dot" w:pos="9016"/>
            </w:tabs>
            <w:rPr>
              <w:rFonts w:ascii="Times New Roman" w:hAnsi="Times New Roman" w:cs="Times New Roman"/>
              <w:noProof/>
            </w:rPr>
          </w:pPr>
          <w:hyperlink w:anchor="_Toc214285881" w:history="1">
            <w:r w:rsidR="000E1989" w:rsidRPr="000E1989">
              <w:rPr>
                <w:rStyle w:val="Hyperlink"/>
                <w:rFonts w:ascii="Times New Roman" w:eastAsia="Times New Roman" w:hAnsi="Times New Roman" w:cs="Times New Roman"/>
                <w:bCs/>
                <w:noProof/>
              </w:rPr>
              <w:t xml:space="preserve">2.6 Economic Importance of </w:t>
            </w:r>
            <w:r w:rsidR="000E1989" w:rsidRPr="000E1989">
              <w:rPr>
                <w:rStyle w:val="Hyperlink"/>
                <w:rFonts w:ascii="Times New Roman" w:eastAsia="Times New Roman" w:hAnsi="Times New Roman" w:cs="Times New Roman"/>
                <w:iCs/>
                <w:noProof/>
              </w:rPr>
              <w:t>Sorghum bicolor</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_Toc214285881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15</w:t>
            </w:r>
            <w:r w:rsidR="000E1989" w:rsidRPr="000E1989">
              <w:rPr>
                <w:rFonts w:ascii="Times New Roman" w:hAnsi="Times New Roman" w:cs="Times New Roman"/>
                <w:noProof/>
                <w:webHidden/>
              </w:rPr>
              <w:fldChar w:fldCharType="end"/>
            </w:r>
          </w:hyperlink>
        </w:p>
        <w:p w14:paraId="7284A1D9" w14:textId="2EAF684F" w:rsidR="000E1989" w:rsidRPr="000E1989" w:rsidRDefault="0042465D">
          <w:pPr>
            <w:pStyle w:val="TOC1"/>
            <w:tabs>
              <w:tab w:val="right" w:leader="dot" w:pos="9016"/>
            </w:tabs>
            <w:rPr>
              <w:rFonts w:ascii="Times New Roman" w:hAnsi="Times New Roman" w:cs="Times New Roman"/>
              <w:noProof/>
            </w:rPr>
          </w:pPr>
          <w:hyperlink w:anchor="_Toc214285882" w:history="1">
            <w:r w:rsidR="000E1989" w:rsidRPr="000E1989">
              <w:rPr>
                <w:rStyle w:val="Hyperlink"/>
                <w:rFonts w:ascii="Times New Roman" w:eastAsia="Times New Roman" w:hAnsi="Times New Roman" w:cs="Times New Roman"/>
                <w:bCs/>
                <w:noProof/>
              </w:rPr>
              <w:t>2.6.1 Food and Nutrition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_Toc214285882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16</w:t>
            </w:r>
            <w:r w:rsidR="000E1989" w:rsidRPr="000E1989">
              <w:rPr>
                <w:rFonts w:ascii="Times New Roman" w:hAnsi="Times New Roman" w:cs="Times New Roman"/>
                <w:noProof/>
                <w:webHidden/>
              </w:rPr>
              <w:fldChar w:fldCharType="end"/>
            </w:r>
          </w:hyperlink>
        </w:p>
        <w:p w14:paraId="6541E436" w14:textId="07AE401F" w:rsidR="000E1989" w:rsidRPr="000E1989" w:rsidRDefault="0042465D">
          <w:pPr>
            <w:pStyle w:val="TOC1"/>
            <w:tabs>
              <w:tab w:val="right" w:leader="dot" w:pos="9016"/>
            </w:tabs>
            <w:rPr>
              <w:rFonts w:ascii="Times New Roman" w:hAnsi="Times New Roman" w:cs="Times New Roman"/>
              <w:noProof/>
            </w:rPr>
          </w:pPr>
          <w:hyperlink w:anchor="_Toc214285883" w:history="1">
            <w:r w:rsidR="000E1989" w:rsidRPr="000E1989">
              <w:rPr>
                <w:rStyle w:val="Hyperlink"/>
                <w:rFonts w:ascii="Times New Roman" w:eastAsia="Times New Roman" w:hAnsi="Times New Roman" w:cs="Times New Roman"/>
                <w:bCs/>
                <w:noProof/>
              </w:rPr>
              <w:t>2.6.2 Livestock Feed</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_Toc214285883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16</w:t>
            </w:r>
            <w:r w:rsidR="000E1989" w:rsidRPr="000E1989">
              <w:rPr>
                <w:rFonts w:ascii="Times New Roman" w:hAnsi="Times New Roman" w:cs="Times New Roman"/>
                <w:noProof/>
                <w:webHidden/>
              </w:rPr>
              <w:fldChar w:fldCharType="end"/>
            </w:r>
          </w:hyperlink>
        </w:p>
        <w:p w14:paraId="2BDCD87D" w14:textId="66571903" w:rsidR="000E1989" w:rsidRPr="000E1989" w:rsidRDefault="0042465D">
          <w:pPr>
            <w:pStyle w:val="TOC1"/>
            <w:tabs>
              <w:tab w:val="right" w:leader="dot" w:pos="9016"/>
            </w:tabs>
            <w:rPr>
              <w:rFonts w:ascii="Times New Roman" w:hAnsi="Times New Roman" w:cs="Times New Roman"/>
              <w:noProof/>
            </w:rPr>
          </w:pPr>
          <w:hyperlink w:anchor="_Toc214285884" w:history="1">
            <w:r w:rsidR="000E1989" w:rsidRPr="000E1989">
              <w:rPr>
                <w:rStyle w:val="Hyperlink"/>
                <w:rFonts w:ascii="Times New Roman" w:eastAsia="Times New Roman" w:hAnsi="Times New Roman" w:cs="Times New Roman"/>
                <w:bCs/>
                <w:noProof/>
              </w:rPr>
              <w:t>2.6.3 Industrial and Bioenergy Applications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_Toc214285884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16</w:t>
            </w:r>
            <w:r w:rsidR="000E1989" w:rsidRPr="000E1989">
              <w:rPr>
                <w:rFonts w:ascii="Times New Roman" w:hAnsi="Times New Roman" w:cs="Times New Roman"/>
                <w:noProof/>
                <w:webHidden/>
              </w:rPr>
              <w:fldChar w:fldCharType="end"/>
            </w:r>
          </w:hyperlink>
        </w:p>
        <w:p w14:paraId="526A0A54" w14:textId="0A20355B" w:rsidR="000E1989" w:rsidRPr="000E1989" w:rsidRDefault="0042465D">
          <w:pPr>
            <w:pStyle w:val="TOC1"/>
            <w:tabs>
              <w:tab w:val="right" w:leader="dot" w:pos="9016"/>
            </w:tabs>
            <w:rPr>
              <w:rFonts w:ascii="Times New Roman" w:hAnsi="Times New Roman" w:cs="Times New Roman"/>
              <w:noProof/>
            </w:rPr>
          </w:pPr>
          <w:hyperlink w:anchor="_Toc214285885" w:history="1">
            <w:r w:rsidR="000E1989" w:rsidRPr="000E1989">
              <w:rPr>
                <w:rStyle w:val="Hyperlink"/>
                <w:rFonts w:ascii="Times New Roman" w:eastAsia="Times New Roman" w:hAnsi="Times New Roman" w:cs="Times New Roman"/>
                <w:bCs/>
                <w:noProof/>
              </w:rPr>
              <w:t>2.6.4 Environmental and Socioeconomic Role</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_Toc214285885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17</w:t>
            </w:r>
            <w:r w:rsidR="000E1989" w:rsidRPr="000E1989">
              <w:rPr>
                <w:rFonts w:ascii="Times New Roman" w:hAnsi="Times New Roman" w:cs="Times New Roman"/>
                <w:noProof/>
                <w:webHidden/>
              </w:rPr>
              <w:fldChar w:fldCharType="end"/>
            </w:r>
          </w:hyperlink>
        </w:p>
        <w:p w14:paraId="491B06F7" w14:textId="4FE31C91" w:rsidR="000E1989" w:rsidRPr="000E1989" w:rsidRDefault="0042465D">
          <w:pPr>
            <w:pStyle w:val="TOC1"/>
            <w:tabs>
              <w:tab w:val="right" w:leader="dot" w:pos="9016"/>
            </w:tabs>
            <w:rPr>
              <w:rFonts w:ascii="Times New Roman" w:hAnsi="Times New Roman" w:cs="Times New Roman"/>
              <w:noProof/>
            </w:rPr>
          </w:pPr>
          <w:hyperlink w:anchor="_Toc214285886" w:history="1">
            <w:r w:rsidR="000E1989" w:rsidRPr="000E1989">
              <w:rPr>
                <w:rStyle w:val="Hyperlink"/>
                <w:rFonts w:ascii="Times New Roman" w:hAnsi="Times New Roman" w:cs="Times New Roman"/>
                <w:noProof/>
              </w:rPr>
              <w:t>2.7 Environmental Conditions for Sorghum Cultivation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_Toc214285886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17</w:t>
            </w:r>
            <w:r w:rsidR="000E1989" w:rsidRPr="000E1989">
              <w:rPr>
                <w:rFonts w:ascii="Times New Roman" w:hAnsi="Times New Roman" w:cs="Times New Roman"/>
                <w:noProof/>
                <w:webHidden/>
              </w:rPr>
              <w:fldChar w:fldCharType="end"/>
            </w:r>
          </w:hyperlink>
        </w:p>
        <w:p w14:paraId="2CE71264" w14:textId="312404A3" w:rsidR="000E1989" w:rsidRPr="000E1989" w:rsidRDefault="0042465D">
          <w:pPr>
            <w:pStyle w:val="TOC1"/>
            <w:tabs>
              <w:tab w:val="right" w:leader="dot" w:pos="9016"/>
            </w:tabs>
            <w:rPr>
              <w:rFonts w:ascii="Times New Roman" w:hAnsi="Times New Roman" w:cs="Times New Roman"/>
              <w:noProof/>
            </w:rPr>
          </w:pPr>
          <w:hyperlink w:anchor="_Toc214285887" w:history="1">
            <w:r w:rsidR="000E1989" w:rsidRPr="000E1989">
              <w:rPr>
                <w:rStyle w:val="Hyperlink"/>
                <w:rFonts w:ascii="Times New Roman" w:hAnsi="Times New Roman" w:cs="Times New Roman"/>
                <w:noProof/>
              </w:rPr>
              <w:t>2.8 Seed Germination and Early Seedling Growth</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_Toc214285887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18</w:t>
            </w:r>
            <w:r w:rsidR="000E1989" w:rsidRPr="000E1989">
              <w:rPr>
                <w:rFonts w:ascii="Times New Roman" w:hAnsi="Times New Roman" w:cs="Times New Roman"/>
                <w:noProof/>
                <w:webHidden/>
              </w:rPr>
              <w:fldChar w:fldCharType="end"/>
            </w:r>
          </w:hyperlink>
        </w:p>
        <w:p w14:paraId="37B945F1" w14:textId="7A0A28C0" w:rsidR="000E1989" w:rsidRPr="000E1989" w:rsidRDefault="0042465D">
          <w:pPr>
            <w:pStyle w:val="TOC1"/>
            <w:tabs>
              <w:tab w:val="right" w:leader="dot" w:pos="9016"/>
            </w:tabs>
            <w:rPr>
              <w:rFonts w:ascii="Times New Roman" w:hAnsi="Times New Roman" w:cs="Times New Roman"/>
              <w:noProof/>
            </w:rPr>
          </w:pPr>
          <w:hyperlink w:anchor="_Toc214285888" w:history="1">
            <w:r w:rsidR="000E1989" w:rsidRPr="000E1989">
              <w:rPr>
                <w:rStyle w:val="Hyperlink"/>
                <w:rFonts w:ascii="Times New Roman" w:hAnsi="Times New Roman" w:cs="Times New Roman"/>
                <w:bCs/>
                <w:noProof/>
              </w:rPr>
              <w:t>2.9 Status of Sorghum Cultivation in Nigeria</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_Toc214285888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18</w:t>
            </w:r>
            <w:r w:rsidR="000E1989" w:rsidRPr="000E1989">
              <w:rPr>
                <w:rFonts w:ascii="Times New Roman" w:hAnsi="Times New Roman" w:cs="Times New Roman"/>
                <w:noProof/>
                <w:webHidden/>
              </w:rPr>
              <w:fldChar w:fldCharType="end"/>
            </w:r>
          </w:hyperlink>
        </w:p>
        <w:p w14:paraId="59BD108E" w14:textId="26167AAF" w:rsidR="000E1989" w:rsidRPr="000E1989" w:rsidRDefault="0042465D">
          <w:pPr>
            <w:pStyle w:val="TOC1"/>
            <w:tabs>
              <w:tab w:val="right" w:leader="dot" w:pos="9016"/>
            </w:tabs>
            <w:rPr>
              <w:rFonts w:ascii="Times New Roman" w:hAnsi="Times New Roman" w:cs="Times New Roman"/>
              <w:noProof/>
            </w:rPr>
          </w:pPr>
          <w:hyperlink w:anchor="_Toc214285889" w:history="1">
            <w:r w:rsidR="000E1989" w:rsidRPr="000E1989">
              <w:rPr>
                <w:rStyle w:val="Hyperlink"/>
                <w:rFonts w:ascii="Times New Roman" w:hAnsi="Times New Roman" w:cs="Times New Roman"/>
                <w:bCs/>
                <w:noProof/>
              </w:rPr>
              <w:t>2.10 Trends in Sorghum Cultivation in Nigeria</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_Toc214285889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19</w:t>
            </w:r>
            <w:r w:rsidR="000E1989" w:rsidRPr="000E1989">
              <w:rPr>
                <w:rFonts w:ascii="Times New Roman" w:hAnsi="Times New Roman" w:cs="Times New Roman"/>
                <w:noProof/>
                <w:webHidden/>
              </w:rPr>
              <w:fldChar w:fldCharType="end"/>
            </w:r>
          </w:hyperlink>
        </w:p>
        <w:p w14:paraId="453107E7" w14:textId="1CB8BB04" w:rsidR="000E1989" w:rsidRPr="000E1989" w:rsidRDefault="0042465D">
          <w:pPr>
            <w:pStyle w:val="TOC1"/>
            <w:tabs>
              <w:tab w:val="right" w:leader="dot" w:pos="9016"/>
            </w:tabs>
            <w:rPr>
              <w:rFonts w:ascii="Times New Roman" w:hAnsi="Times New Roman" w:cs="Times New Roman"/>
              <w:noProof/>
            </w:rPr>
          </w:pPr>
          <w:hyperlink w:anchor="_Toc214285890" w:history="1">
            <w:r w:rsidR="000E1989" w:rsidRPr="000E1989">
              <w:rPr>
                <w:rStyle w:val="Hyperlink"/>
                <w:rFonts w:ascii="Times New Roman" w:hAnsi="Times New Roman" w:cs="Times New Roman"/>
                <w:bCs/>
                <w:noProof/>
              </w:rPr>
              <w:t>2.11 Factors for the Declining Areas Under Sorghum Cultivation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_Toc214285890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21</w:t>
            </w:r>
            <w:r w:rsidR="000E1989" w:rsidRPr="000E1989">
              <w:rPr>
                <w:rFonts w:ascii="Times New Roman" w:hAnsi="Times New Roman" w:cs="Times New Roman"/>
                <w:noProof/>
                <w:webHidden/>
              </w:rPr>
              <w:fldChar w:fldCharType="end"/>
            </w:r>
          </w:hyperlink>
        </w:p>
        <w:p w14:paraId="05090D7A" w14:textId="74D707DC" w:rsidR="000E1989" w:rsidRPr="000E1989" w:rsidRDefault="0042465D">
          <w:pPr>
            <w:pStyle w:val="TOC1"/>
            <w:tabs>
              <w:tab w:val="right" w:leader="dot" w:pos="9016"/>
            </w:tabs>
            <w:rPr>
              <w:rFonts w:ascii="Times New Roman" w:hAnsi="Times New Roman" w:cs="Times New Roman"/>
              <w:noProof/>
            </w:rPr>
          </w:pPr>
          <w:hyperlink w:anchor="_Toc214285891" w:history="1">
            <w:r w:rsidR="000E1989" w:rsidRPr="000E1989">
              <w:rPr>
                <w:rStyle w:val="Hyperlink"/>
                <w:rFonts w:ascii="Times New Roman" w:hAnsi="Times New Roman" w:cs="Times New Roman"/>
                <w:noProof/>
              </w:rPr>
              <w:t>2.12 Importance of Fertilizers in Crop Production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_Toc214285891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22</w:t>
            </w:r>
            <w:r w:rsidR="000E1989" w:rsidRPr="000E1989">
              <w:rPr>
                <w:rFonts w:ascii="Times New Roman" w:hAnsi="Times New Roman" w:cs="Times New Roman"/>
                <w:noProof/>
                <w:webHidden/>
              </w:rPr>
              <w:fldChar w:fldCharType="end"/>
            </w:r>
          </w:hyperlink>
        </w:p>
        <w:p w14:paraId="4756ABA8" w14:textId="486F5AC2" w:rsidR="000E1989" w:rsidRPr="000E1989" w:rsidRDefault="0042465D">
          <w:pPr>
            <w:pStyle w:val="TOC1"/>
            <w:tabs>
              <w:tab w:val="right" w:leader="dot" w:pos="9016"/>
            </w:tabs>
            <w:rPr>
              <w:rFonts w:ascii="Times New Roman" w:hAnsi="Times New Roman" w:cs="Times New Roman"/>
              <w:noProof/>
            </w:rPr>
          </w:pPr>
          <w:hyperlink w:anchor="_Toc214285892" w:history="1">
            <w:r w:rsidR="000E1989" w:rsidRPr="000E1989">
              <w:rPr>
                <w:rStyle w:val="Hyperlink"/>
                <w:rFonts w:ascii="Times New Roman" w:eastAsia="Times New Roman" w:hAnsi="Times New Roman" w:cs="Times New Roman"/>
                <w:bCs/>
                <w:noProof/>
              </w:rPr>
              <w:t>CHAPTER THREE</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_Toc214285892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23</w:t>
            </w:r>
            <w:r w:rsidR="000E1989" w:rsidRPr="000E1989">
              <w:rPr>
                <w:rFonts w:ascii="Times New Roman" w:hAnsi="Times New Roman" w:cs="Times New Roman"/>
                <w:noProof/>
                <w:webHidden/>
              </w:rPr>
              <w:fldChar w:fldCharType="end"/>
            </w:r>
          </w:hyperlink>
        </w:p>
        <w:p w14:paraId="6304178F" w14:textId="3E0E4F75" w:rsidR="000E1989" w:rsidRPr="000E1989" w:rsidRDefault="0042465D">
          <w:pPr>
            <w:pStyle w:val="TOC1"/>
            <w:tabs>
              <w:tab w:val="right" w:leader="dot" w:pos="9016"/>
            </w:tabs>
            <w:rPr>
              <w:rFonts w:ascii="Times New Roman" w:hAnsi="Times New Roman" w:cs="Times New Roman"/>
              <w:noProof/>
            </w:rPr>
          </w:pPr>
          <w:hyperlink w:anchor="_Toc214285893" w:history="1">
            <w:r w:rsidR="000E1989" w:rsidRPr="000E1989">
              <w:rPr>
                <w:rStyle w:val="Hyperlink"/>
                <w:rFonts w:ascii="Times New Roman" w:eastAsia="Times New Roman" w:hAnsi="Times New Roman" w:cs="Times New Roman"/>
                <w:bCs/>
                <w:noProof/>
              </w:rPr>
              <w:t>3.0 Materials And Methods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_Toc214285893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23</w:t>
            </w:r>
            <w:r w:rsidR="000E1989" w:rsidRPr="000E1989">
              <w:rPr>
                <w:rFonts w:ascii="Times New Roman" w:hAnsi="Times New Roman" w:cs="Times New Roman"/>
                <w:noProof/>
                <w:webHidden/>
              </w:rPr>
              <w:fldChar w:fldCharType="end"/>
            </w:r>
          </w:hyperlink>
        </w:p>
        <w:p w14:paraId="2F08A663" w14:textId="3292DEBE" w:rsidR="000E1989" w:rsidRPr="000E1989" w:rsidRDefault="0042465D">
          <w:pPr>
            <w:pStyle w:val="TOC1"/>
            <w:tabs>
              <w:tab w:val="right" w:leader="dot" w:pos="9016"/>
            </w:tabs>
            <w:rPr>
              <w:rFonts w:ascii="Times New Roman" w:hAnsi="Times New Roman" w:cs="Times New Roman"/>
              <w:noProof/>
            </w:rPr>
          </w:pPr>
          <w:hyperlink w:anchor="_Toc214285894" w:history="1">
            <w:r w:rsidR="000E1989" w:rsidRPr="000E1989">
              <w:rPr>
                <w:rStyle w:val="Hyperlink"/>
                <w:rFonts w:ascii="Times New Roman" w:eastAsia="Times New Roman" w:hAnsi="Times New Roman" w:cs="Times New Roman"/>
                <w:bCs/>
                <w:noProof/>
              </w:rPr>
              <w:t>3.1 Study Area</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_Toc214285894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23</w:t>
            </w:r>
            <w:r w:rsidR="000E1989" w:rsidRPr="000E1989">
              <w:rPr>
                <w:rFonts w:ascii="Times New Roman" w:hAnsi="Times New Roman" w:cs="Times New Roman"/>
                <w:noProof/>
                <w:webHidden/>
              </w:rPr>
              <w:fldChar w:fldCharType="end"/>
            </w:r>
          </w:hyperlink>
        </w:p>
        <w:p w14:paraId="79E3EAD8" w14:textId="7A336522" w:rsidR="000E1989" w:rsidRPr="000E1989" w:rsidRDefault="0042465D">
          <w:pPr>
            <w:pStyle w:val="TOC1"/>
            <w:tabs>
              <w:tab w:val="right" w:leader="dot" w:pos="9016"/>
            </w:tabs>
            <w:rPr>
              <w:rFonts w:ascii="Times New Roman" w:hAnsi="Times New Roman" w:cs="Times New Roman"/>
              <w:noProof/>
            </w:rPr>
          </w:pPr>
          <w:hyperlink w:anchor="_Toc214285895" w:history="1">
            <w:r w:rsidR="000E1989" w:rsidRPr="000E1989">
              <w:rPr>
                <w:rStyle w:val="Hyperlink"/>
                <w:rFonts w:ascii="Times New Roman" w:eastAsia="Times New Roman" w:hAnsi="Times New Roman" w:cs="Times New Roman"/>
                <w:bCs/>
                <w:noProof/>
              </w:rPr>
              <w:t>3.2 Source of Plant Material and Fertilizers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_Toc214285895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23</w:t>
            </w:r>
            <w:r w:rsidR="000E1989" w:rsidRPr="000E1989">
              <w:rPr>
                <w:rFonts w:ascii="Times New Roman" w:hAnsi="Times New Roman" w:cs="Times New Roman"/>
                <w:noProof/>
                <w:webHidden/>
              </w:rPr>
              <w:fldChar w:fldCharType="end"/>
            </w:r>
          </w:hyperlink>
        </w:p>
        <w:p w14:paraId="37B55A3A" w14:textId="15F06931" w:rsidR="000E1989" w:rsidRPr="000E1989" w:rsidRDefault="0042465D">
          <w:pPr>
            <w:pStyle w:val="TOC1"/>
            <w:tabs>
              <w:tab w:val="right" w:leader="dot" w:pos="9016"/>
            </w:tabs>
            <w:rPr>
              <w:rFonts w:ascii="Times New Roman" w:hAnsi="Times New Roman" w:cs="Times New Roman"/>
              <w:noProof/>
            </w:rPr>
          </w:pPr>
          <w:hyperlink w:anchor="_Toc214285896" w:history="1">
            <w:r w:rsidR="000E1989" w:rsidRPr="000E1989">
              <w:rPr>
                <w:rStyle w:val="Hyperlink"/>
                <w:rFonts w:ascii="Times New Roman" w:eastAsia="Times New Roman" w:hAnsi="Times New Roman" w:cs="Times New Roman"/>
                <w:bCs/>
                <w:noProof/>
              </w:rPr>
              <w:t>3.3 Experimental Design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_Toc214285896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24</w:t>
            </w:r>
            <w:r w:rsidR="000E1989" w:rsidRPr="000E1989">
              <w:rPr>
                <w:rFonts w:ascii="Times New Roman" w:hAnsi="Times New Roman" w:cs="Times New Roman"/>
                <w:noProof/>
                <w:webHidden/>
              </w:rPr>
              <w:fldChar w:fldCharType="end"/>
            </w:r>
          </w:hyperlink>
        </w:p>
        <w:p w14:paraId="4353435A" w14:textId="1887BC1B" w:rsidR="000E1989" w:rsidRPr="000E1989" w:rsidRDefault="0042465D">
          <w:pPr>
            <w:pStyle w:val="TOC1"/>
            <w:tabs>
              <w:tab w:val="right" w:leader="dot" w:pos="9016"/>
            </w:tabs>
            <w:rPr>
              <w:rFonts w:ascii="Times New Roman" w:hAnsi="Times New Roman" w:cs="Times New Roman"/>
              <w:noProof/>
            </w:rPr>
          </w:pPr>
          <w:hyperlink w:anchor="_Toc214285897" w:history="1">
            <w:r w:rsidR="000E1989" w:rsidRPr="000E1989">
              <w:rPr>
                <w:rStyle w:val="Hyperlink"/>
                <w:rFonts w:ascii="Times New Roman" w:eastAsia="Times New Roman" w:hAnsi="Times New Roman" w:cs="Times New Roman"/>
                <w:bCs/>
                <w:noProof/>
              </w:rPr>
              <w:t>3.4 Germination Test Procedure (Lab Study)</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_Toc214285897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24</w:t>
            </w:r>
            <w:r w:rsidR="000E1989" w:rsidRPr="000E1989">
              <w:rPr>
                <w:rFonts w:ascii="Times New Roman" w:hAnsi="Times New Roman" w:cs="Times New Roman"/>
                <w:noProof/>
                <w:webHidden/>
              </w:rPr>
              <w:fldChar w:fldCharType="end"/>
            </w:r>
          </w:hyperlink>
        </w:p>
        <w:p w14:paraId="6C4BBD31" w14:textId="22B4D894" w:rsidR="000E1989" w:rsidRPr="000E1989" w:rsidRDefault="0042465D">
          <w:pPr>
            <w:pStyle w:val="TOC1"/>
            <w:tabs>
              <w:tab w:val="right" w:leader="dot" w:pos="9016"/>
            </w:tabs>
            <w:rPr>
              <w:rFonts w:ascii="Times New Roman" w:hAnsi="Times New Roman" w:cs="Times New Roman"/>
              <w:noProof/>
            </w:rPr>
          </w:pPr>
          <w:hyperlink w:anchor="_Toc214285898" w:history="1">
            <w:r w:rsidR="000E1989" w:rsidRPr="000E1989">
              <w:rPr>
                <w:rStyle w:val="Hyperlink"/>
                <w:rFonts w:ascii="Times New Roman" w:eastAsia="Times New Roman" w:hAnsi="Times New Roman" w:cs="Times New Roman"/>
                <w:bCs/>
                <w:noProof/>
              </w:rPr>
              <w:t>3.5 Seedling Growth Evaluation (Field Study)</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_Toc214285898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25</w:t>
            </w:r>
            <w:r w:rsidR="000E1989" w:rsidRPr="000E1989">
              <w:rPr>
                <w:rFonts w:ascii="Times New Roman" w:hAnsi="Times New Roman" w:cs="Times New Roman"/>
                <w:noProof/>
                <w:webHidden/>
              </w:rPr>
              <w:fldChar w:fldCharType="end"/>
            </w:r>
          </w:hyperlink>
        </w:p>
        <w:p w14:paraId="30A5F76A" w14:textId="1CEA085F" w:rsidR="000E1989" w:rsidRPr="000E1989" w:rsidRDefault="0042465D">
          <w:pPr>
            <w:pStyle w:val="TOC1"/>
            <w:tabs>
              <w:tab w:val="right" w:leader="dot" w:pos="9016"/>
            </w:tabs>
            <w:rPr>
              <w:rFonts w:ascii="Times New Roman" w:hAnsi="Times New Roman" w:cs="Times New Roman"/>
              <w:noProof/>
            </w:rPr>
          </w:pPr>
          <w:hyperlink w:anchor="_Toc214285899" w:history="1">
            <w:r w:rsidR="000E1989" w:rsidRPr="000E1989">
              <w:rPr>
                <w:rStyle w:val="Hyperlink"/>
                <w:rFonts w:ascii="Times New Roman" w:hAnsi="Times New Roman" w:cs="Times New Roman"/>
                <w:noProof/>
              </w:rPr>
              <w:t xml:space="preserve">3.6 </w:t>
            </w:r>
            <w:r w:rsidR="000E1989" w:rsidRPr="000E1989">
              <w:rPr>
                <w:rStyle w:val="Hyperlink"/>
                <w:rFonts w:ascii="Times New Roman" w:eastAsia="Times New Roman" w:hAnsi="Times New Roman" w:cs="Times New Roman"/>
                <w:bCs/>
                <w:noProof/>
              </w:rPr>
              <w:t>Soil Analysis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_Toc214285899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25</w:t>
            </w:r>
            <w:r w:rsidR="000E1989" w:rsidRPr="000E1989">
              <w:rPr>
                <w:rFonts w:ascii="Times New Roman" w:hAnsi="Times New Roman" w:cs="Times New Roman"/>
                <w:noProof/>
                <w:webHidden/>
              </w:rPr>
              <w:fldChar w:fldCharType="end"/>
            </w:r>
          </w:hyperlink>
        </w:p>
        <w:p w14:paraId="6A1165A9" w14:textId="0F1447DB" w:rsidR="000E1989" w:rsidRPr="000E1989" w:rsidRDefault="0042465D">
          <w:pPr>
            <w:pStyle w:val="TOC1"/>
            <w:tabs>
              <w:tab w:val="right" w:leader="dot" w:pos="9016"/>
            </w:tabs>
            <w:rPr>
              <w:rFonts w:ascii="Times New Roman" w:hAnsi="Times New Roman" w:cs="Times New Roman"/>
              <w:noProof/>
            </w:rPr>
          </w:pPr>
          <w:hyperlink w:anchor="_Toc214285900" w:history="1">
            <w:r w:rsidR="000E1989" w:rsidRPr="000E1989">
              <w:rPr>
                <w:rStyle w:val="Hyperlink"/>
                <w:rFonts w:ascii="Times New Roman" w:eastAsia="Times New Roman" w:hAnsi="Times New Roman" w:cs="Times New Roman"/>
                <w:bCs/>
                <w:noProof/>
              </w:rPr>
              <w:t>3.7 Statistical Analysis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_Toc214285900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25</w:t>
            </w:r>
            <w:r w:rsidR="000E1989" w:rsidRPr="000E1989">
              <w:rPr>
                <w:rFonts w:ascii="Times New Roman" w:hAnsi="Times New Roman" w:cs="Times New Roman"/>
                <w:noProof/>
                <w:webHidden/>
              </w:rPr>
              <w:fldChar w:fldCharType="end"/>
            </w:r>
          </w:hyperlink>
        </w:p>
        <w:p w14:paraId="38760187" w14:textId="10486985" w:rsidR="000E1989" w:rsidRPr="000E1989" w:rsidRDefault="0042465D">
          <w:pPr>
            <w:pStyle w:val="TOC1"/>
            <w:tabs>
              <w:tab w:val="right" w:leader="dot" w:pos="9016"/>
            </w:tabs>
            <w:rPr>
              <w:rFonts w:ascii="Times New Roman" w:hAnsi="Times New Roman" w:cs="Times New Roman"/>
              <w:noProof/>
            </w:rPr>
          </w:pPr>
          <w:hyperlink w:anchor="_Toc214285901" w:history="1">
            <w:r w:rsidR="000E1989" w:rsidRPr="000E1989">
              <w:rPr>
                <w:rStyle w:val="Hyperlink"/>
                <w:rFonts w:ascii="Times New Roman" w:eastAsia="Times New Roman" w:hAnsi="Times New Roman" w:cs="Times New Roman"/>
                <w:bCs/>
                <w:noProof/>
              </w:rPr>
              <w:t>CHAPTER FOUR</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_Toc214285901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26</w:t>
            </w:r>
            <w:r w:rsidR="000E1989" w:rsidRPr="000E1989">
              <w:rPr>
                <w:rFonts w:ascii="Times New Roman" w:hAnsi="Times New Roman" w:cs="Times New Roman"/>
                <w:noProof/>
                <w:webHidden/>
              </w:rPr>
              <w:fldChar w:fldCharType="end"/>
            </w:r>
          </w:hyperlink>
        </w:p>
        <w:p w14:paraId="2225588F" w14:textId="0AF21296" w:rsidR="000E1989" w:rsidRPr="000E1989" w:rsidRDefault="0042465D">
          <w:pPr>
            <w:pStyle w:val="TOC1"/>
            <w:tabs>
              <w:tab w:val="right" w:leader="dot" w:pos="9016"/>
            </w:tabs>
            <w:rPr>
              <w:rFonts w:ascii="Times New Roman" w:hAnsi="Times New Roman" w:cs="Times New Roman"/>
              <w:noProof/>
            </w:rPr>
          </w:pPr>
          <w:hyperlink w:anchor="_Toc214285902" w:history="1">
            <w:r w:rsidR="000E1989" w:rsidRPr="000E1989">
              <w:rPr>
                <w:rStyle w:val="Hyperlink"/>
                <w:rFonts w:ascii="Times New Roman" w:eastAsia="Times New Roman" w:hAnsi="Times New Roman" w:cs="Times New Roman"/>
                <w:bCs/>
                <w:noProof/>
              </w:rPr>
              <w:t>4.0 RESULTS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_Toc214285902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26</w:t>
            </w:r>
            <w:r w:rsidR="000E1989" w:rsidRPr="000E1989">
              <w:rPr>
                <w:rFonts w:ascii="Times New Roman" w:hAnsi="Times New Roman" w:cs="Times New Roman"/>
                <w:noProof/>
                <w:webHidden/>
              </w:rPr>
              <w:fldChar w:fldCharType="end"/>
            </w:r>
          </w:hyperlink>
        </w:p>
        <w:p w14:paraId="12F50247" w14:textId="664CA13D" w:rsidR="000E1989" w:rsidRPr="000E1989" w:rsidRDefault="0042465D">
          <w:pPr>
            <w:pStyle w:val="TOC1"/>
            <w:tabs>
              <w:tab w:val="right" w:leader="dot" w:pos="9016"/>
            </w:tabs>
            <w:rPr>
              <w:rFonts w:ascii="Times New Roman" w:hAnsi="Times New Roman" w:cs="Times New Roman"/>
              <w:noProof/>
            </w:rPr>
          </w:pPr>
          <w:hyperlink w:anchor="_Toc214285903" w:history="1">
            <w:r w:rsidR="000E1989" w:rsidRPr="000E1989">
              <w:rPr>
                <w:rStyle w:val="Hyperlink"/>
                <w:rFonts w:ascii="Times New Roman" w:eastAsia="Times New Roman" w:hAnsi="Times New Roman" w:cs="Times New Roman"/>
                <w:bCs/>
                <w:noProof/>
              </w:rPr>
              <w:t xml:space="preserve">4.1 Effect of NPK Fertilizer on Germination Percentage (%) of </w:t>
            </w:r>
            <w:r w:rsidR="000E1989" w:rsidRPr="000E1989">
              <w:rPr>
                <w:rStyle w:val="Hyperlink"/>
                <w:rFonts w:ascii="Times New Roman" w:eastAsia="Times New Roman" w:hAnsi="Times New Roman" w:cs="Times New Roman"/>
                <w:bCs/>
                <w:iCs/>
                <w:noProof/>
              </w:rPr>
              <w:t>Sorghum bicolor</w:t>
            </w:r>
            <w:r w:rsidR="000E1989" w:rsidRPr="000E1989">
              <w:rPr>
                <w:rStyle w:val="Hyperlink"/>
                <w:rFonts w:ascii="Times New Roman" w:eastAsia="Times New Roman" w:hAnsi="Times New Roman" w:cs="Times New Roman"/>
                <w:noProof/>
              </w:rPr>
              <w:t xml:space="preserve"> </w:t>
            </w:r>
            <w:r w:rsidR="000E1989" w:rsidRPr="000E1989">
              <w:rPr>
                <w:rStyle w:val="Hyperlink"/>
                <w:rFonts w:ascii="Times New Roman" w:eastAsia="Times New Roman" w:hAnsi="Times New Roman" w:cs="Times New Roman"/>
                <w:bCs/>
                <w:noProof/>
              </w:rPr>
              <w:t>and</w:t>
            </w:r>
            <w:r w:rsidR="000E1989" w:rsidRPr="000E1989">
              <w:rPr>
                <w:rStyle w:val="Hyperlink"/>
                <w:rFonts w:ascii="Times New Roman" w:eastAsia="Times New Roman" w:hAnsi="Times New Roman" w:cs="Times New Roman"/>
                <w:noProof/>
              </w:rPr>
              <w:t xml:space="preserve"> </w:t>
            </w:r>
            <w:r w:rsidR="000E1989" w:rsidRPr="000E1989">
              <w:rPr>
                <w:rStyle w:val="Hyperlink"/>
                <w:rFonts w:ascii="Times New Roman" w:eastAsia="Times New Roman" w:hAnsi="Times New Roman" w:cs="Times New Roman"/>
                <w:bCs/>
                <w:iCs/>
                <w:noProof/>
              </w:rPr>
              <w:t>Triticum aestivum</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_Toc214285903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26</w:t>
            </w:r>
            <w:r w:rsidR="000E1989" w:rsidRPr="000E1989">
              <w:rPr>
                <w:rFonts w:ascii="Times New Roman" w:hAnsi="Times New Roman" w:cs="Times New Roman"/>
                <w:noProof/>
                <w:webHidden/>
              </w:rPr>
              <w:fldChar w:fldCharType="end"/>
            </w:r>
          </w:hyperlink>
          <w:hyperlink w:anchor="_Toc214285904" w:history="1"/>
        </w:p>
        <w:p w14:paraId="5C65207A" w14:textId="67EF098B" w:rsidR="000E1989" w:rsidRPr="000E1989" w:rsidRDefault="0042465D">
          <w:pPr>
            <w:pStyle w:val="TOC1"/>
            <w:tabs>
              <w:tab w:val="right" w:leader="dot" w:pos="9016"/>
            </w:tabs>
            <w:rPr>
              <w:rFonts w:ascii="Times New Roman" w:hAnsi="Times New Roman" w:cs="Times New Roman"/>
              <w:noProof/>
            </w:rPr>
          </w:pPr>
          <w:hyperlink w:anchor="_Toc214285905" w:history="1">
            <w:r w:rsidR="000E1989" w:rsidRPr="000E1989">
              <w:rPr>
                <w:rStyle w:val="Hyperlink"/>
                <w:rFonts w:ascii="Times New Roman" w:eastAsia="Times New Roman" w:hAnsi="Times New Roman" w:cs="Times New Roman"/>
                <w:bCs/>
                <w:noProof/>
              </w:rPr>
              <w:t>4.2 Effects of NPK Fertilizer on Early Seedling Growth Parameters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_Toc214285905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28</w:t>
            </w:r>
            <w:r w:rsidR="000E1989" w:rsidRPr="000E1989">
              <w:rPr>
                <w:rFonts w:ascii="Times New Roman" w:hAnsi="Times New Roman" w:cs="Times New Roman"/>
                <w:noProof/>
                <w:webHidden/>
              </w:rPr>
              <w:fldChar w:fldCharType="end"/>
            </w:r>
          </w:hyperlink>
        </w:p>
        <w:p w14:paraId="2C4004DB" w14:textId="6754EB03" w:rsidR="000E1989" w:rsidRPr="000E1989" w:rsidRDefault="0042465D">
          <w:pPr>
            <w:pStyle w:val="TOC1"/>
            <w:tabs>
              <w:tab w:val="right" w:leader="dot" w:pos="9016"/>
            </w:tabs>
            <w:rPr>
              <w:rFonts w:ascii="Times New Roman" w:hAnsi="Times New Roman" w:cs="Times New Roman"/>
              <w:noProof/>
            </w:rPr>
          </w:pPr>
          <w:hyperlink w:anchor="_Toc214285907" w:history="1">
            <w:r w:rsidR="000E1989" w:rsidRPr="000E1989">
              <w:rPr>
                <w:rStyle w:val="Hyperlink"/>
                <w:rFonts w:ascii="Times New Roman" w:eastAsia="Times New Roman" w:hAnsi="Times New Roman" w:cs="Times New Roman"/>
                <w:bCs/>
                <w:noProof/>
              </w:rPr>
              <w:t>4.3 Effects on Number of Leaves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_Toc214285907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30</w:t>
            </w:r>
            <w:r w:rsidR="000E1989" w:rsidRPr="000E1989">
              <w:rPr>
                <w:rFonts w:ascii="Times New Roman" w:hAnsi="Times New Roman" w:cs="Times New Roman"/>
                <w:noProof/>
                <w:webHidden/>
              </w:rPr>
              <w:fldChar w:fldCharType="end"/>
            </w:r>
          </w:hyperlink>
        </w:p>
        <w:p w14:paraId="4A98ABE4" w14:textId="749F4E94" w:rsidR="000E1989" w:rsidRPr="000E1989" w:rsidRDefault="0042465D">
          <w:pPr>
            <w:pStyle w:val="TOC1"/>
            <w:tabs>
              <w:tab w:val="right" w:leader="dot" w:pos="9016"/>
            </w:tabs>
            <w:rPr>
              <w:rFonts w:ascii="Times New Roman" w:hAnsi="Times New Roman" w:cs="Times New Roman"/>
              <w:noProof/>
            </w:rPr>
          </w:pPr>
          <w:hyperlink w:anchor="_Toc214285909" w:history="1">
            <w:r w:rsidR="000E1989" w:rsidRPr="000E1989">
              <w:rPr>
                <w:rStyle w:val="Hyperlink"/>
                <w:rFonts w:ascii="Times New Roman" w:eastAsia="Times New Roman" w:hAnsi="Times New Roman" w:cs="Times New Roman"/>
                <w:bCs/>
                <w:noProof/>
              </w:rPr>
              <w:t>4.4 Effect of NPK Fertilizer on Fresh and Dry Weight</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_Toc214285909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32</w:t>
            </w:r>
            <w:r w:rsidR="000E1989" w:rsidRPr="000E1989">
              <w:rPr>
                <w:rFonts w:ascii="Times New Roman" w:hAnsi="Times New Roman" w:cs="Times New Roman"/>
                <w:noProof/>
                <w:webHidden/>
              </w:rPr>
              <w:fldChar w:fldCharType="end"/>
            </w:r>
          </w:hyperlink>
          <w:hyperlink w:anchor="_Toc214285910" w:history="1"/>
        </w:p>
        <w:p w14:paraId="5E072756" w14:textId="3CF31611" w:rsidR="000E1989" w:rsidRPr="000E1989" w:rsidRDefault="0042465D">
          <w:pPr>
            <w:pStyle w:val="TOC1"/>
            <w:tabs>
              <w:tab w:val="right" w:leader="dot" w:pos="9016"/>
            </w:tabs>
            <w:rPr>
              <w:rFonts w:ascii="Times New Roman" w:hAnsi="Times New Roman" w:cs="Times New Roman"/>
              <w:noProof/>
            </w:rPr>
          </w:pPr>
          <w:hyperlink w:anchor="_Toc214285911" w:history="1">
            <w:r w:rsidR="000E1989" w:rsidRPr="000E1989">
              <w:rPr>
                <w:rStyle w:val="Hyperlink"/>
                <w:rFonts w:ascii="Times New Roman" w:eastAsia="Times New Roman" w:hAnsi="Times New Roman" w:cs="Times New Roman"/>
                <w:bCs/>
                <w:noProof/>
              </w:rPr>
              <w:t>CHAPTER FIVE</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_Toc214285911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34</w:t>
            </w:r>
            <w:r w:rsidR="000E1989" w:rsidRPr="000E1989">
              <w:rPr>
                <w:rFonts w:ascii="Times New Roman" w:hAnsi="Times New Roman" w:cs="Times New Roman"/>
                <w:noProof/>
                <w:webHidden/>
              </w:rPr>
              <w:fldChar w:fldCharType="end"/>
            </w:r>
          </w:hyperlink>
        </w:p>
        <w:p w14:paraId="537D0275" w14:textId="0AD96D1C" w:rsidR="000E1989" w:rsidRPr="000E1989" w:rsidRDefault="0042465D">
          <w:pPr>
            <w:pStyle w:val="TOC1"/>
            <w:tabs>
              <w:tab w:val="right" w:leader="dot" w:pos="9016"/>
            </w:tabs>
            <w:rPr>
              <w:rFonts w:ascii="Times New Roman" w:hAnsi="Times New Roman" w:cs="Times New Roman"/>
              <w:noProof/>
            </w:rPr>
          </w:pPr>
          <w:hyperlink w:anchor="_Toc214285912" w:history="1">
            <w:r w:rsidR="000E1989" w:rsidRPr="000E1989">
              <w:rPr>
                <w:rStyle w:val="Hyperlink"/>
                <w:rFonts w:ascii="Times New Roman" w:eastAsia="Times New Roman" w:hAnsi="Times New Roman" w:cs="Times New Roman"/>
                <w:bCs/>
                <w:noProof/>
              </w:rPr>
              <w:t>5.1 Discussion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_Toc214285912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34</w:t>
            </w:r>
            <w:r w:rsidR="000E1989" w:rsidRPr="000E1989">
              <w:rPr>
                <w:rFonts w:ascii="Times New Roman" w:hAnsi="Times New Roman" w:cs="Times New Roman"/>
                <w:noProof/>
                <w:webHidden/>
              </w:rPr>
              <w:fldChar w:fldCharType="end"/>
            </w:r>
          </w:hyperlink>
        </w:p>
        <w:p w14:paraId="7DD411C6" w14:textId="4B1681F7" w:rsidR="000E1989" w:rsidRPr="000E1989" w:rsidRDefault="0042465D">
          <w:pPr>
            <w:pStyle w:val="TOC1"/>
            <w:tabs>
              <w:tab w:val="right" w:leader="dot" w:pos="9016"/>
            </w:tabs>
            <w:rPr>
              <w:rFonts w:ascii="Times New Roman" w:hAnsi="Times New Roman" w:cs="Times New Roman"/>
              <w:noProof/>
            </w:rPr>
          </w:pPr>
          <w:hyperlink w:anchor="_Toc214285913" w:history="1">
            <w:r w:rsidR="000E1989" w:rsidRPr="000E1989">
              <w:rPr>
                <w:rStyle w:val="Hyperlink"/>
                <w:rFonts w:ascii="Times New Roman" w:eastAsia="Times New Roman" w:hAnsi="Times New Roman" w:cs="Times New Roman"/>
                <w:bCs/>
                <w:noProof/>
              </w:rPr>
              <w:t>5.2 Conclusion</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_Toc214285913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36</w:t>
            </w:r>
            <w:r w:rsidR="000E1989" w:rsidRPr="000E1989">
              <w:rPr>
                <w:rFonts w:ascii="Times New Roman" w:hAnsi="Times New Roman" w:cs="Times New Roman"/>
                <w:noProof/>
                <w:webHidden/>
              </w:rPr>
              <w:fldChar w:fldCharType="end"/>
            </w:r>
          </w:hyperlink>
        </w:p>
        <w:p w14:paraId="4BBADFE0" w14:textId="0F983CC0" w:rsidR="000E1989" w:rsidRPr="000E1989" w:rsidRDefault="0042465D">
          <w:pPr>
            <w:pStyle w:val="TOC1"/>
            <w:tabs>
              <w:tab w:val="right" w:leader="dot" w:pos="9016"/>
            </w:tabs>
            <w:rPr>
              <w:rFonts w:ascii="Times New Roman" w:hAnsi="Times New Roman" w:cs="Times New Roman"/>
              <w:noProof/>
            </w:rPr>
          </w:pPr>
          <w:hyperlink w:anchor="_Toc214285914" w:history="1">
            <w:r w:rsidR="000E1989" w:rsidRPr="000E1989">
              <w:rPr>
                <w:rStyle w:val="Hyperlink"/>
                <w:rFonts w:ascii="Times New Roman" w:eastAsia="Times New Roman" w:hAnsi="Times New Roman" w:cs="Times New Roman"/>
                <w:bCs/>
                <w:noProof/>
              </w:rPr>
              <w:t>5.3 Recommendations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_Toc214285914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37</w:t>
            </w:r>
            <w:r w:rsidR="000E1989" w:rsidRPr="000E1989">
              <w:rPr>
                <w:rFonts w:ascii="Times New Roman" w:hAnsi="Times New Roman" w:cs="Times New Roman"/>
                <w:noProof/>
                <w:webHidden/>
              </w:rPr>
              <w:fldChar w:fldCharType="end"/>
            </w:r>
          </w:hyperlink>
        </w:p>
        <w:p w14:paraId="5B2B7375" w14:textId="3186EC79" w:rsidR="000E1989" w:rsidRPr="000E1989" w:rsidRDefault="0042465D">
          <w:pPr>
            <w:pStyle w:val="TOC1"/>
            <w:tabs>
              <w:tab w:val="right" w:leader="dot" w:pos="9016"/>
            </w:tabs>
            <w:rPr>
              <w:rFonts w:ascii="Times New Roman" w:hAnsi="Times New Roman" w:cs="Times New Roman"/>
              <w:noProof/>
            </w:rPr>
          </w:pPr>
          <w:hyperlink w:anchor="_Toc214285915" w:history="1">
            <w:r w:rsidR="000E1989" w:rsidRPr="000E1989">
              <w:rPr>
                <w:rStyle w:val="Hyperlink"/>
                <w:rFonts w:ascii="Times New Roman" w:hAnsi="Times New Roman" w:cs="Times New Roman"/>
                <w:noProof/>
              </w:rPr>
              <w:t>REFERENCES</w:t>
            </w:r>
            <w:r w:rsidR="000E1989" w:rsidRPr="000E1989">
              <w:rPr>
                <w:rFonts w:ascii="Times New Roman" w:hAnsi="Times New Roman" w:cs="Times New Roman"/>
                <w:noProof/>
                <w:webHidden/>
              </w:rPr>
              <w:tab/>
            </w:r>
            <w:r w:rsidR="000E1989" w:rsidRPr="000E1989">
              <w:rPr>
                <w:rFonts w:ascii="Times New Roman" w:hAnsi="Times New Roman" w:cs="Times New Roman"/>
                <w:noProof/>
                <w:webHidden/>
              </w:rPr>
              <w:fldChar w:fldCharType="begin"/>
            </w:r>
            <w:r w:rsidR="000E1989" w:rsidRPr="000E1989">
              <w:rPr>
                <w:rFonts w:ascii="Times New Roman" w:hAnsi="Times New Roman" w:cs="Times New Roman"/>
                <w:noProof/>
                <w:webHidden/>
              </w:rPr>
              <w:instrText xml:space="preserve"> PAGEREF _Toc214285915 \h </w:instrText>
            </w:r>
            <w:r w:rsidR="000E1989" w:rsidRPr="000E1989">
              <w:rPr>
                <w:rFonts w:ascii="Times New Roman" w:hAnsi="Times New Roman" w:cs="Times New Roman"/>
                <w:noProof/>
                <w:webHidden/>
              </w:rPr>
            </w:r>
            <w:r w:rsidR="000E1989" w:rsidRPr="000E1989">
              <w:rPr>
                <w:rFonts w:ascii="Times New Roman" w:hAnsi="Times New Roman" w:cs="Times New Roman"/>
                <w:noProof/>
                <w:webHidden/>
              </w:rPr>
              <w:fldChar w:fldCharType="separate"/>
            </w:r>
            <w:r w:rsidR="00224A14">
              <w:rPr>
                <w:rFonts w:ascii="Times New Roman" w:hAnsi="Times New Roman" w:cs="Times New Roman"/>
                <w:noProof/>
                <w:webHidden/>
              </w:rPr>
              <w:t>39</w:t>
            </w:r>
            <w:r w:rsidR="000E1989" w:rsidRPr="000E1989">
              <w:rPr>
                <w:rFonts w:ascii="Times New Roman" w:hAnsi="Times New Roman" w:cs="Times New Roman"/>
                <w:noProof/>
                <w:webHidden/>
              </w:rPr>
              <w:fldChar w:fldCharType="end"/>
            </w:r>
          </w:hyperlink>
        </w:p>
        <w:p w14:paraId="3B7F4FFE" w14:textId="202ABAB8" w:rsidR="000E1989" w:rsidRPr="000E1989" w:rsidRDefault="000E1989">
          <w:pPr>
            <w:rPr>
              <w:rFonts w:ascii="Times New Roman" w:hAnsi="Times New Roman" w:cs="Times New Roman"/>
            </w:rPr>
          </w:pPr>
          <w:r w:rsidRPr="000E1989">
            <w:rPr>
              <w:rFonts w:ascii="Times New Roman" w:hAnsi="Times New Roman" w:cs="Times New Roman"/>
              <w:bCs/>
              <w:noProof/>
            </w:rPr>
            <w:fldChar w:fldCharType="end"/>
          </w:r>
        </w:p>
      </w:sdtContent>
    </w:sdt>
    <w:p w14:paraId="64860049" w14:textId="6B490CE3" w:rsidR="000E1989" w:rsidRDefault="000E1989" w:rsidP="00FF11FA">
      <w:pPr>
        <w:pStyle w:val="Heading1"/>
        <w:rPr>
          <w:rStyle w:val="Strong"/>
          <w:rFonts w:eastAsia="Times New Roman"/>
          <w:color w:val="000000" w:themeColor="text1"/>
        </w:rPr>
      </w:pPr>
      <w:bookmarkStart w:id="4" w:name="_Toc214285867"/>
    </w:p>
    <w:p w14:paraId="6C80417F" w14:textId="68905669" w:rsidR="00F2462A" w:rsidRDefault="00F2462A" w:rsidP="00F2462A"/>
    <w:p w14:paraId="7153DB8F" w14:textId="2A7E67B4" w:rsidR="00F2462A" w:rsidRPr="0009656C" w:rsidRDefault="00F2462A" w:rsidP="00F2462A">
      <w:pPr>
        <w:jc w:val="center"/>
        <w:rPr>
          <w:rFonts w:asciiTheme="majorBidi" w:hAnsiTheme="majorBidi" w:cstheme="majorBidi"/>
          <w:b/>
        </w:rPr>
      </w:pPr>
      <w:r w:rsidRPr="0009656C">
        <w:rPr>
          <w:rFonts w:asciiTheme="majorBidi" w:hAnsiTheme="majorBidi" w:cstheme="majorBidi"/>
          <w:b/>
        </w:rPr>
        <w:t>List of Tables</w:t>
      </w:r>
    </w:p>
    <w:p w14:paraId="4AEE58DC" w14:textId="3B357C4F" w:rsidR="00F2462A" w:rsidRPr="0009656C" w:rsidRDefault="00F2462A" w:rsidP="00F2462A">
      <w:pPr>
        <w:rPr>
          <w:rFonts w:asciiTheme="majorBidi" w:hAnsiTheme="majorBidi" w:cstheme="majorBidi"/>
        </w:rPr>
      </w:pPr>
      <w:r w:rsidRPr="0009656C">
        <w:rPr>
          <w:rFonts w:asciiTheme="majorBidi" w:hAnsiTheme="majorBidi" w:cstheme="majorBidi"/>
        </w:rPr>
        <w:t xml:space="preserve">Table </w:t>
      </w:r>
      <w:r w:rsidR="0009656C" w:rsidRPr="0009656C">
        <w:rPr>
          <w:rFonts w:asciiTheme="majorBidi" w:hAnsiTheme="majorBidi" w:cstheme="majorBidi"/>
        </w:rPr>
        <w:t>4.</w:t>
      </w:r>
      <w:r w:rsidRPr="0009656C">
        <w:rPr>
          <w:rFonts w:asciiTheme="majorBidi" w:hAnsiTheme="majorBidi" w:cstheme="majorBidi"/>
        </w:rPr>
        <w:t>1: Effect of NPK Fertilizer on Germination Percentage (%) of Sorghum bicolor and Triticum aestivum………………………………………………………………………….</w:t>
      </w:r>
      <w:r w:rsidRPr="0009656C">
        <w:rPr>
          <w:rFonts w:asciiTheme="majorBidi" w:hAnsiTheme="majorBidi" w:cstheme="majorBidi"/>
          <w:webHidden/>
        </w:rPr>
        <w:tab/>
      </w:r>
      <w:r w:rsidRPr="0009656C">
        <w:rPr>
          <w:rFonts w:asciiTheme="majorBidi" w:hAnsiTheme="majorBidi" w:cstheme="majorBidi"/>
          <w:webHidden/>
        </w:rPr>
        <w:fldChar w:fldCharType="begin"/>
      </w:r>
      <w:r w:rsidRPr="0009656C">
        <w:rPr>
          <w:rFonts w:asciiTheme="majorBidi" w:hAnsiTheme="majorBidi" w:cstheme="majorBidi"/>
          <w:webHidden/>
        </w:rPr>
        <w:instrText xml:space="preserve"> PAGEREF _Toc214285904 \h </w:instrText>
      </w:r>
      <w:r w:rsidRPr="0009656C">
        <w:rPr>
          <w:rFonts w:asciiTheme="majorBidi" w:hAnsiTheme="majorBidi" w:cstheme="majorBidi"/>
          <w:webHidden/>
        </w:rPr>
      </w:r>
      <w:r w:rsidRPr="0009656C">
        <w:rPr>
          <w:rFonts w:asciiTheme="majorBidi" w:hAnsiTheme="majorBidi" w:cstheme="majorBidi"/>
          <w:webHidden/>
        </w:rPr>
        <w:fldChar w:fldCharType="separate"/>
      </w:r>
      <w:r w:rsidR="00224A14">
        <w:rPr>
          <w:rFonts w:asciiTheme="majorBidi" w:hAnsiTheme="majorBidi" w:cstheme="majorBidi"/>
          <w:noProof/>
          <w:webHidden/>
        </w:rPr>
        <w:t>27</w:t>
      </w:r>
      <w:r w:rsidRPr="0009656C">
        <w:rPr>
          <w:rFonts w:asciiTheme="majorBidi" w:hAnsiTheme="majorBidi" w:cstheme="majorBidi"/>
          <w:webHidden/>
        </w:rPr>
        <w:fldChar w:fldCharType="end"/>
      </w:r>
    </w:p>
    <w:p w14:paraId="615B8B73" w14:textId="176B3259" w:rsidR="00F2462A" w:rsidRPr="0009656C" w:rsidRDefault="0042465D" w:rsidP="00F2462A">
      <w:pPr>
        <w:pStyle w:val="TOC1"/>
        <w:tabs>
          <w:tab w:val="right" w:leader="dot" w:pos="9016"/>
        </w:tabs>
        <w:rPr>
          <w:rFonts w:asciiTheme="majorBidi" w:hAnsiTheme="majorBidi" w:cstheme="majorBidi"/>
          <w:noProof/>
        </w:rPr>
      </w:pPr>
      <w:hyperlink w:anchor="_Toc214285906" w:history="1">
        <w:r w:rsidR="00F2462A" w:rsidRPr="0009656C">
          <w:rPr>
            <w:rStyle w:val="Hyperlink"/>
            <w:rFonts w:asciiTheme="majorBidi" w:eastAsia="Times New Roman" w:hAnsiTheme="majorBidi" w:cstheme="majorBidi"/>
            <w:bCs/>
            <w:iCs/>
            <w:noProof/>
            <w:color w:val="auto"/>
            <w:u w:val="none"/>
          </w:rPr>
          <w:t>Table</w:t>
        </w:r>
        <w:r w:rsidR="0009656C" w:rsidRPr="0009656C">
          <w:rPr>
            <w:rStyle w:val="Hyperlink"/>
            <w:rFonts w:asciiTheme="majorBidi" w:eastAsia="Times New Roman" w:hAnsiTheme="majorBidi" w:cstheme="majorBidi"/>
            <w:bCs/>
            <w:iCs/>
            <w:noProof/>
            <w:color w:val="auto"/>
            <w:u w:val="none"/>
          </w:rPr>
          <w:t>4.</w:t>
        </w:r>
        <w:r w:rsidR="00F2462A" w:rsidRPr="0009656C">
          <w:rPr>
            <w:rStyle w:val="Hyperlink"/>
            <w:rFonts w:asciiTheme="majorBidi" w:eastAsia="Times New Roman" w:hAnsiTheme="majorBidi" w:cstheme="majorBidi"/>
            <w:bCs/>
            <w:iCs/>
            <w:noProof/>
            <w:color w:val="auto"/>
            <w:u w:val="none"/>
          </w:rPr>
          <w:t xml:space="preserve"> 2: Effect of NPK Fertilizer on Seedling Height (cm) of </w:t>
        </w:r>
        <w:r w:rsidR="00F2462A" w:rsidRPr="0009656C">
          <w:rPr>
            <w:rStyle w:val="Hyperlink"/>
            <w:rFonts w:asciiTheme="majorBidi" w:eastAsia="Times New Roman" w:hAnsiTheme="majorBidi" w:cstheme="majorBidi"/>
            <w:bCs/>
            <w:noProof/>
            <w:color w:val="auto"/>
            <w:u w:val="none"/>
          </w:rPr>
          <w:t>Sorghum bicolor</w:t>
        </w:r>
        <w:r w:rsidR="00F2462A" w:rsidRPr="0009656C">
          <w:rPr>
            <w:rStyle w:val="Hyperlink"/>
            <w:rFonts w:asciiTheme="majorBidi" w:eastAsia="Times New Roman" w:hAnsiTheme="majorBidi" w:cstheme="majorBidi"/>
            <w:bCs/>
            <w:iCs/>
            <w:noProof/>
            <w:color w:val="auto"/>
            <w:u w:val="none"/>
          </w:rPr>
          <w:t xml:space="preserve"> and </w:t>
        </w:r>
        <w:r w:rsidR="00F2462A" w:rsidRPr="0009656C">
          <w:rPr>
            <w:rStyle w:val="Hyperlink"/>
            <w:rFonts w:asciiTheme="majorBidi" w:eastAsia="Times New Roman" w:hAnsiTheme="majorBidi" w:cstheme="majorBidi"/>
            <w:bCs/>
            <w:noProof/>
            <w:color w:val="auto"/>
            <w:u w:val="none"/>
          </w:rPr>
          <w:t>Triticum aestivum</w:t>
        </w:r>
        <w:r w:rsidR="00F2462A" w:rsidRPr="0009656C">
          <w:rPr>
            <w:rFonts w:asciiTheme="majorBidi" w:hAnsiTheme="majorBidi" w:cstheme="majorBidi"/>
            <w:noProof/>
            <w:webHidden/>
          </w:rPr>
          <w:tab/>
        </w:r>
        <w:r w:rsidR="00F2462A" w:rsidRPr="0009656C">
          <w:rPr>
            <w:rFonts w:asciiTheme="majorBidi" w:hAnsiTheme="majorBidi" w:cstheme="majorBidi"/>
            <w:noProof/>
            <w:webHidden/>
          </w:rPr>
          <w:fldChar w:fldCharType="begin"/>
        </w:r>
        <w:r w:rsidR="00F2462A" w:rsidRPr="0009656C">
          <w:rPr>
            <w:rFonts w:asciiTheme="majorBidi" w:hAnsiTheme="majorBidi" w:cstheme="majorBidi"/>
            <w:noProof/>
            <w:webHidden/>
          </w:rPr>
          <w:instrText xml:space="preserve"> PAGEREF _Toc214285906 \h </w:instrText>
        </w:r>
        <w:r w:rsidR="00F2462A" w:rsidRPr="0009656C">
          <w:rPr>
            <w:rFonts w:asciiTheme="majorBidi" w:hAnsiTheme="majorBidi" w:cstheme="majorBidi"/>
            <w:noProof/>
            <w:webHidden/>
          </w:rPr>
        </w:r>
        <w:r w:rsidR="00F2462A" w:rsidRPr="0009656C">
          <w:rPr>
            <w:rFonts w:asciiTheme="majorBidi" w:hAnsiTheme="majorBidi" w:cstheme="majorBidi"/>
            <w:noProof/>
            <w:webHidden/>
          </w:rPr>
          <w:fldChar w:fldCharType="separate"/>
        </w:r>
        <w:r w:rsidR="00224A14">
          <w:rPr>
            <w:rFonts w:asciiTheme="majorBidi" w:hAnsiTheme="majorBidi" w:cstheme="majorBidi"/>
            <w:noProof/>
            <w:webHidden/>
          </w:rPr>
          <w:t>29</w:t>
        </w:r>
        <w:r w:rsidR="00F2462A" w:rsidRPr="0009656C">
          <w:rPr>
            <w:rFonts w:asciiTheme="majorBidi" w:hAnsiTheme="majorBidi" w:cstheme="majorBidi"/>
            <w:noProof/>
            <w:webHidden/>
          </w:rPr>
          <w:fldChar w:fldCharType="end"/>
        </w:r>
      </w:hyperlink>
    </w:p>
    <w:p w14:paraId="01F239CA" w14:textId="260B5DDF" w:rsidR="00F2462A" w:rsidRPr="0009656C" w:rsidRDefault="0042465D" w:rsidP="00F2462A">
      <w:pPr>
        <w:pStyle w:val="TOC1"/>
        <w:tabs>
          <w:tab w:val="right" w:leader="dot" w:pos="9016"/>
        </w:tabs>
        <w:rPr>
          <w:rFonts w:asciiTheme="majorBidi" w:hAnsiTheme="majorBidi" w:cstheme="majorBidi"/>
          <w:noProof/>
        </w:rPr>
      </w:pPr>
      <w:hyperlink w:anchor="_Toc214285908" w:history="1">
        <w:r w:rsidR="00F2462A" w:rsidRPr="0009656C">
          <w:rPr>
            <w:rStyle w:val="Hyperlink"/>
            <w:rFonts w:asciiTheme="majorBidi" w:eastAsia="Times New Roman" w:hAnsiTheme="majorBidi" w:cstheme="majorBidi"/>
            <w:bCs/>
            <w:iCs/>
            <w:noProof/>
            <w:color w:val="auto"/>
            <w:u w:val="none"/>
          </w:rPr>
          <w:t xml:space="preserve">Table </w:t>
        </w:r>
        <w:r w:rsidR="0009656C" w:rsidRPr="0009656C">
          <w:rPr>
            <w:rStyle w:val="Hyperlink"/>
            <w:rFonts w:asciiTheme="majorBidi" w:eastAsia="Times New Roman" w:hAnsiTheme="majorBidi" w:cstheme="majorBidi"/>
            <w:bCs/>
            <w:iCs/>
            <w:noProof/>
            <w:color w:val="auto"/>
            <w:u w:val="none"/>
          </w:rPr>
          <w:t>4.</w:t>
        </w:r>
        <w:r w:rsidR="00F2462A" w:rsidRPr="0009656C">
          <w:rPr>
            <w:rStyle w:val="Hyperlink"/>
            <w:rFonts w:asciiTheme="majorBidi" w:eastAsia="Times New Roman" w:hAnsiTheme="majorBidi" w:cstheme="majorBidi"/>
            <w:bCs/>
            <w:iCs/>
            <w:noProof/>
            <w:color w:val="auto"/>
            <w:u w:val="none"/>
          </w:rPr>
          <w:t xml:space="preserve">3: Effect of NPK Fertilizer on Number of Leaves of </w:t>
        </w:r>
        <w:r w:rsidR="00F2462A" w:rsidRPr="0009656C">
          <w:rPr>
            <w:rStyle w:val="Hyperlink"/>
            <w:rFonts w:asciiTheme="majorBidi" w:eastAsia="Times New Roman" w:hAnsiTheme="majorBidi" w:cstheme="majorBidi"/>
            <w:bCs/>
            <w:noProof/>
            <w:color w:val="auto"/>
            <w:u w:val="none"/>
          </w:rPr>
          <w:t>Sorghum bicolor</w:t>
        </w:r>
        <w:r w:rsidR="00F2462A" w:rsidRPr="0009656C">
          <w:rPr>
            <w:rStyle w:val="Hyperlink"/>
            <w:rFonts w:asciiTheme="majorBidi" w:eastAsia="Times New Roman" w:hAnsiTheme="majorBidi" w:cstheme="majorBidi"/>
            <w:bCs/>
            <w:iCs/>
            <w:noProof/>
            <w:color w:val="auto"/>
            <w:u w:val="none"/>
          </w:rPr>
          <w:t xml:space="preserve"> and </w:t>
        </w:r>
        <w:r w:rsidR="00F2462A" w:rsidRPr="0009656C">
          <w:rPr>
            <w:rStyle w:val="Hyperlink"/>
            <w:rFonts w:asciiTheme="majorBidi" w:eastAsia="Times New Roman" w:hAnsiTheme="majorBidi" w:cstheme="majorBidi"/>
            <w:bCs/>
            <w:noProof/>
            <w:color w:val="auto"/>
            <w:u w:val="none"/>
          </w:rPr>
          <w:t>Triticum aestivum</w:t>
        </w:r>
        <w:r w:rsidR="00F2462A" w:rsidRPr="0009656C">
          <w:rPr>
            <w:rFonts w:asciiTheme="majorBidi" w:hAnsiTheme="majorBidi" w:cstheme="majorBidi"/>
            <w:noProof/>
            <w:webHidden/>
          </w:rPr>
          <w:tab/>
        </w:r>
        <w:r w:rsidR="00F2462A" w:rsidRPr="0009656C">
          <w:rPr>
            <w:rFonts w:asciiTheme="majorBidi" w:hAnsiTheme="majorBidi" w:cstheme="majorBidi"/>
            <w:noProof/>
            <w:webHidden/>
          </w:rPr>
          <w:fldChar w:fldCharType="begin"/>
        </w:r>
        <w:r w:rsidR="00F2462A" w:rsidRPr="0009656C">
          <w:rPr>
            <w:rFonts w:asciiTheme="majorBidi" w:hAnsiTheme="majorBidi" w:cstheme="majorBidi"/>
            <w:noProof/>
            <w:webHidden/>
          </w:rPr>
          <w:instrText xml:space="preserve"> PAGEREF _Toc214285908 \h </w:instrText>
        </w:r>
        <w:r w:rsidR="00F2462A" w:rsidRPr="0009656C">
          <w:rPr>
            <w:rFonts w:asciiTheme="majorBidi" w:hAnsiTheme="majorBidi" w:cstheme="majorBidi"/>
            <w:noProof/>
            <w:webHidden/>
          </w:rPr>
        </w:r>
        <w:r w:rsidR="00F2462A" w:rsidRPr="0009656C">
          <w:rPr>
            <w:rFonts w:asciiTheme="majorBidi" w:hAnsiTheme="majorBidi" w:cstheme="majorBidi"/>
            <w:noProof/>
            <w:webHidden/>
          </w:rPr>
          <w:fldChar w:fldCharType="separate"/>
        </w:r>
        <w:r w:rsidR="00224A14">
          <w:rPr>
            <w:rFonts w:asciiTheme="majorBidi" w:hAnsiTheme="majorBidi" w:cstheme="majorBidi"/>
            <w:noProof/>
            <w:webHidden/>
          </w:rPr>
          <w:t>31</w:t>
        </w:r>
        <w:r w:rsidR="00F2462A" w:rsidRPr="0009656C">
          <w:rPr>
            <w:rFonts w:asciiTheme="majorBidi" w:hAnsiTheme="majorBidi" w:cstheme="majorBidi"/>
            <w:noProof/>
            <w:webHidden/>
          </w:rPr>
          <w:fldChar w:fldCharType="end"/>
        </w:r>
      </w:hyperlink>
    </w:p>
    <w:p w14:paraId="7B00F307" w14:textId="7E97F6A4" w:rsidR="00F2462A" w:rsidRPr="0009656C" w:rsidRDefault="00F2462A" w:rsidP="00F2462A">
      <w:pPr>
        <w:rPr>
          <w:rFonts w:asciiTheme="majorBidi" w:hAnsiTheme="majorBidi" w:cstheme="majorBidi"/>
        </w:rPr>
      </w:pPr>
      <w:r w:rsidRPr="0009656C">
        <w:rPr>
          <w:rFonts w:asciiTheme="majorBidi" w:hAnsiTheme="majorBidi" w:cstheme="majorBidi"/>
        </w:rPr>
        <w:t>Table</w:t>
      </w:r>
      <w:r w:rsidR="0009656C" w:rsidRPr="0009656C">
        <w:rPr>
          <w:rFonts w:asciiTheme="majorBidi" w:hAnsiTheme="majorBidi" w:cstheme="majorBidi"/>
        </w:rPr>
        <w:t>4.</w:t>
      </w:r>
      <w:r w:rsidRPr="0009656C">
        <w:rPr>
          <w:rFonts w:asciiTheme="majorBidi" w:hAnsiTheme="majorBidi" w:cstheme="majorBidi"/>
        </w:rPr>
        <w:t xml:space="preserve"> 4: Effect of NPK Fertilizer on Fresh and Dry Weight (g) of Sorghum bicolor and Triticum aestivum…………………………………………………………………………..</w:t>
      </w:r>
      <w:r w:rsidRPr="0009656C">
        <w:rPr>
          <w:rFonts w:asciiTheme="majorBidi" w:hAnsiTheme="majorBidi" w:cstheme="majorBidi"/>
          <w:webHidden/>
        </w:rPr>
        <w:tab/>
      </w:r>
      <w:r w:rsidRPr="0009656C">
        <w:rPr>
          <w:rFonts w:asciiTheme="majorBidi" w:hAnsiTheme="majorBidi" w:cstheme="majorBidi"/>
          <w:webHidden/>
        </w:rPr>
        <w:fldChar w:fldCharType="begin"/>
      </w:r>
      <w:r w:rsidRPr="0009656C">
        <w:rPr>
          <w:rFonts w:asciiTheme="majorBidi" w:hAnsiTheme="majorBidi" w:cstheme="majorBidi"/>
          <w:webHidden/>
        </w:rPr>
        <w:instrText xml:space="preserve"> PAGEREF _Toc214285910 \h </w:instrText>
      </w:r>
      <w:r w:rsidRPr="0009656C">
        <w:rPr>
          <w:rFonts w:asciiTheme="majorBidi" w:hAnsiTheme="majorBidi" w:cstheme="majorBidi"/>
          <w:webHidden/>
        </w:rPr>
      </w:r>
      <w:r w:rsidRPr="0009656C">
        <w:rPr>
          <w:rFonts w:asciiTheme="majorBidi" w:hAnsiTheme="majorBidi" w:cstheme="majorBidi"/>
          <w:webHidden/>
        </w:rPr>
        <w:fldChar w:fldCharType="separate"/>
      </w:r>
      <w:r w:rsidR="00224A14">
        <w:rPr>
          <w:rFonts w:asciiTheme="majorBidi" w:hAnsiTheme="majorBidi" w:cstheme="majorBidi"/>
          <w:noProof/>
          <w:webHidden/>
        </w:rPr>
        <w:t>33</w:t>
      </w:r>
      <w:r w:rsidRPr="0009656C">
        <w:rPr>
          <w:rFonts w:asciiTheme="majorBidi" w:hAnsiTheme="majorBidi" w:cstheme="majorBidi"/>
          <w:webHidden/>
        </w:rPr>
        <w:fldChar w:fldCharType="end"/>
      </w:r>
    </w:p>
    <w:p w14:paraId="55FD9266" w14:textId="77777777" w:rsidR="00F2462A" w:rsidRPr="00F2462A" w:rsidRDefault="00F2462A" w:rsidP="00F2462A"/>
    <w:p w14:paraId="27636DA7" w14:textId="44086CF9" w:rsidR="000E1989" w:rsidRDefault="000E1989" w:rsidP="000E1989"/>
    <w:p w14:paraId="12496540" w14:textId="37AB90B8" w:rsidR="00F2462A" w:rsidRDefault="00F2462A" w:rsidP="000E1989"/>
    <w:p w14:paraId="4BDBA90D" w14:textId="6EC71020" w:rsidR="00F2462A" w:rsidRDefault="00F2462A" w:rsidP="000E1989"/>
    <w:p w14:paraId="65C287E5" w14:textId="1E4F36AF" w:rsidR="00F2462A" w:rsidRDefault="00F2462A" w:rsidP="000E1989"/>
    <w:p w14:paraId="5FF1892D" w14:textId="76D6DC02" w:rsidR="00F2462A" w:rsidRDefault="00F2462A" w:rsidP="000E1989"/>
    <w:p w14:paraId="2BC33675" w14:textId="12CACDF1" w:rsidR="00F2462A" w:rsidRDefault="00F2462A" w:rsidP="000E1989"/>
    <w:p w14:paraId="094B4CF4" w14:textId="10D4DEED" w:rsidR="00F2462A" w:rsidRDefault="00F2462A" w:rsidP="000E1989"/>
    <w:p w14:paraId="5178E644" w14:textId="108D6709" w:rsidR="00F2462A" w:rsidRDefault="00F2462A" w:rsidP="000E1989"/>
    <w:p w14:paraId="1BB685D6" w14:textId="0696BAD6" w:rsidR="00F2462A" w:rsidRDefault="00F2462A" w:rsidP="000E1989"/>
    <w:p w14:paraId="5F8A46E2" w14:textId="4BADF959" w:rsidR="00F2462A" w:rsidRDefault="00F2462A" w:rsidP="000E1989"/>
    <w:p w14:paraId="6C439F66" w14:textId="7C37817E" w:rsidR="00F2462A" w:rsidRDefault="00F2462A" w:rsidP="000E1989"/>
    <w:p w14:paraId="786FC4F8" w14:textId="13BFA08B" w:rsidR="00F2462A" w:rsidRDefault="00F2462A" w:rsidP="000E1989"/>
    <w:p w14:paraId="397EB649" w14:textId="76EE8A3C" w:rsidR="00F2462A" w:rsidRDefault="00F2462A" w:rsidP="000E1989"/>
    <w:p w14:paraId="383A1AFB" w14:textId="7A563184" w:rsidR="00F2462A" w:rsidRDefault="00F2462A" w:rsidP="000E1989"/>
    <w:p w14:paraId="57B69501" w14:textId="44E727FF" w:rsidR="00F2462A" w:rsidRDefault="00F2462A" w:rsidP="000E1989"/>
    <w:p w14:paraId="6B32DC32" w14:textId="0C639CE0" w:rsidR="00F260DD" w:rsidRPr="000E1989" w:rsidRDefault="00F260DD" w:rsidP="000E1989">
      <w:pPr>
        <w:pStyle w:val="Heading1"/>
        <w:jc w:val="center"/>
        <w:rPr>
          <w:b w:val="0"/>
        </w:rPr>
      </w:pPr>
      <w:r w:rsidRPr="000E1989">
        <w:rPr>
          <w:rStyle w:val="Strong"/>
          <w:rFonts w:eastAsia="Times New Roman"/>
          <w:b/>
          <w:color w:val="000000" w:themeColor="text1"/>
        </w:rPr>
        <w:t>ABSTRACT</w:t>
      </w:r>
      <w:bookmarkEnd w:id="4"/>
    </w:p>
    <w:p w14:paraId="19364820" w14:textId="31F397CF" w:rsidR="00F260DD" w:rsidRDefault="00F260DD" w:rsidP="00FF11FA">
      <w:pPr>
        <w:pStyle w:val="NormalWeb"/>
        <w:jc w:val="both"/>
      </w:pPr>
      <w:r>
        <w:t xml:space="preserve">This study investigated the Effect of NPK Fertilizer on Seed Germination and Early Seedling Growth of </w:t>
      </w:r>
      <w:r w:rsidRPr="00132956">
        <w:rPr>
          <w:i/>
          <w:iCs/>
        </w:rPr>
        <w:t>Sorghum bicolor</w:t>
      </w:r>
      <w:r>
        <w:t xml:space="preserve"> and </w:t>
      </w:r>
      <w:r w:rsidRPr="003B0AC2">
        <w:rPr>
          <w:i/>
          <w:iCs/>
        </w:rPr>
        <w:t>Triticum aestivum</w:t>
      </w:r>
      <w:r>
        <w:t xml:space="preserve"> in Sokoto State. The experiment was conducted at the Physiology and Biological Garden, Department of Biological Sciences, Usmanu Danfodiyo University, Sokoto. Seeds of </w:t>
      </w:r>
      <w:r w:rsidRPr="003B0AC2">
        <w:rPr>
          <w:i/>
          <w:iCs/>
        </w:rPr>
        <w:t>Sorghum bicolor</w:t>
      </w:r>
      <w:r>
        <w:t xml:space="preserve"> and </w:t>
      </w:r>
      <w:r w:rsidRPr="003B0AC2">
        <w:rPr>
          <w:i/>
          <w:iCs/>
        </w:rPr>
        <w:t xml:space="preserve">Triticum aestivum </w:t>
      </w:r>
      <w:r>
        <w:t xml:space="preserve">were subjected to four NPK fertilizer treatments (0 g, 2 g, 4 g, and 6 g) using a completely randomized design. Germination percentage, seedling height, number of leaves, and fresh and dry weights were measured over </w:t>
      </w:r>
      <w:r w:rsidR="002B431B">
        <w:t>6</w:t>
      </w:r>
      <w:r>
        <w:t xml:space="preserve"> weeks. Data were analyzed using ANOVA and Duncan’s Multiple Range Test at a 5% level of significance. Results revealed that NPK significantly enhanced germination and early seedling growth of both species, with optimal responses observed at 4 g treatment. Higher NPK concentration (6 g) reduced. performance, indicating possible nutrient toxicity and osmotic imbalance. </w:t>
      </w:r>
      <w:r w:rsidRPr="003B0AC2">
        <w:rPr>
          <w:i/>
          <w:iCs/>
        </w:rPr>
        <w:t>Sorghum bicolor</w:t>
      </w:r>
      <w:r>
        <w:t xml:space="preserve"> exhibited superior growth compared to </w:t>
      </w:r>
      <w:r w:rsidRPr="003B0AC2">
        <w:rPr>
          <w:i/>
          <w:iCs/>
        </w:rPr>
        <w:t>Triticum aestivum</w:t>
      </w:r>
      <w:r>
        <w:t xml:space="preserve">, suggesting higher adaptability to Sokoto’s semi-arid conditions. The study concludes that moderate NPK levels (4 g) promote efficient growth and recommends integrated nutrient management strategies to sustain productivity while preserving soil health. </w:t>
      </w:r>
    </w:p>
    <w:p w14:paraId="5279C4EC" w14:textId="77777777" w:rsidR="00F260DD" w:rsidRDefault="00F260DD" w:rsidP="00FF11FA">
      <w:pPr>
        <w:pStyle w:val="NormalWeb"/>
        <w:jc w:val="both"/>
      </w:pPr>
    </w:p>
    <w:p w14:paraId="4DDE7DE2" w14:textId="77777777" w:rsidR="00B05077" w:rsidRDefault="00B05077" w:rsidP="00FF11FA">
      <w:pPr>
        <w:spacing w:line="480" w:lineRule="auto"/>
        <w:jc w:val="center"/>
        <w:rPr>
          <w:rFonts w:ascii="Times New Roman" w:hAnsi="Times New Roman" w:cs="Times New Roman"/>
          <w:b/>
          <w:bCs/>
        </w:rPr>
      </w:pPr>
    </w:p>
    <w:p w14:paraId="115E2578" w14:textId="77777777" w:rsidR="00B05077" w:rsidRDefault="00B05077" w:rsidP="00FF11FA">
      <w:pPr>
        <w:spacing w:line="480" w:lineRule="auto"/>
        <w:jc w:val="center"/>
        <w:rPr>
          <w:rFonts w:ascii="Times New Roman" w:hAnsi="Times New Roman" w:cs="Times New Roman"/>
          <w:b/>
          <w:bCs/>
        </w:rPr>
      </w:pPr>
    </w:p>
    <w:p w14:paraId="4517456E" w14:textId="77777777" w:rsidR="00B05077" w:rsidRDefault="00B05077" w:rsidP="00FF11FA">
      <w:pPr>
        <w:spacing w:line="480" w:lineRule="auto"/>
        <w:jc w:val="center"/>
        <w:rPr>
          <w:rFonts w:ascii="Times New Roman" w:hAnsi="Times New Roman" w:cs="Times New Roman"/>
          <w:b/>
          <w:bCs/>
        </w:rPr>
      </w:pPr>
    </w:p>
    <w:p w14:paraId="3A147C36" w14:textId="77777777" w:rsidR="00B05077" w:rsidRDefault="00B05077" w:rsidP="00FF11FA">
      <w:pPr>
        <w:spacing w:line="480" w:lineRule="auto"/>
        <w:jc w:val="center"/>
        <w:rPr>
          <w:rFonts w:ascii="Times New Roman" w:hAnsi="Times New Roman" w:cs="Times New Roman"/>
          <w:b/>
          <w:bCs/>
        </w:rPr>
      </w:pPr>
    </w:p>
    <w:p w14:paraId="49E51167" w14:textId="77777777" w:rsidR="00B05077" w:rsidRDefault="00B05077" w:rsidP="00FF11FA">
      <w:pPr>
        <w:spacing w:line="480" w:lineRule="auto"/>
        <w:jc w:val="center"/>
        <w:rPr>
          <w:rFonts w:ascii="Times New Roman" w:hAnsi="Times New Roman" w:cs="Times New Roman"/>
          <w:b/>
          <w:bCs/>
        </w:rPr>
      </w:pPr>
    </w:p>
    <w:p w14:paraId="777B2094" w14:textId="77777777" w:rsidR="00B05077" w:rsidRDefault="00B05077" w:rsidP="00FF11FA">
      <w:pPr>
        <w:spacing w:line="480" w:lineRule="auto"/>
        <w:jc w:val="center"/>
        <w:rPr>
          <w:rFonts w:ascii="Times New Roman" w:hAnsi="Times New Roman" w:cs="Times New Roman"/>
          <w:b/>
          <w:bCs/>
        </w:rPr>
      </w:pPr>
    </w:p>
    <w:p w14:paraId="4466C6B0" w14:textId="77777777" w:rsidR="00B05077" w:rsidRDefault="00B05077" w:rsidP="00FF11FA">
      <w:pPr>
        <w:spacing w:line="480" w:lineRule="auto"/>
        <w:jc w:val="center"/>
        <w:rPr>
          <w:rFonts w:ascii="Times New Roman" w:hAnsi="Times New Roman" w:cs="Times New Roman"/>
          <w:b/>
          <w:bCs/>
        </w:rPr>
      </w:pPr>
    </w:p>
    <w:p w14:paraId="63EA9976" w14:textId="18271AE9" w:rsidR="000E1989" w:rsidRDefault="000E1989" w:rsidP="000E1989">
      <w:pPr>
        <w:spacing w:line="480" w:lineRule="auto"/>
        <w:rPr>
          <w:rFonts w:ascii="Times New Roman" w:hAnsi="Times New Roman" w:cs="Times New Roman"/>
          <w:b/>
          <w:bCs/>
        </w:rPr>
        <w:sectPr w:rsidR="000E1989" w:rsidSect="0005138D">
          <w:footerReference w:type="even" r:id="rId9"/>
          <w:footerReference w:type="default" r:id="rId10"/>
          <w:pgSz w:w="11906" w:h="16838"/>
          <w:pgMar w:top="1440" w:right="1440" w:bottom="3600" w:left="1440" w:header="706" w:footer="2970" w:gutter="0"/>
          <w:pgNumType w:fmt="lowerRoman" w:start="1"/>
          <w:cols w:space="708"/>
          <w:docGrid w:linePitch="360"/>
        </w:sectPr>
      </w:pPr>
    </w:p>
    <w:p w14:paraId="05325983" w14:textId="5B1945C1" w:rsidR="00FB3ED8" w:rsidRPr="00547F38" w:rsidRDefault="00FB3ED8" w:rsidP="000E1989">
      <w:pPr>
        <w:pStyle w:val="Heading1"/>
        <w:jc w:val="center"/>
      </w:pPr>
      <w:bookmarkStart w:id="5" w:name="_Toc214285868"/>
      <w:r w:rsidRPr="00547F38">
        <w:t>CHAPTER ONE</w:t>
      </w:r>
      <w:bookmarkEnd w:id="5"/>
    </w:p>
    <w:p w14:paraId="77A0A411" w14:textId="77777777" w:rsidR="00FB3ED8" w:rsidRPr="00547F38" w:rsidRDefault="00FB3ED8" w:rsidP="000E1989">
      <w:pPr>
        <w:pStyle w:val="Heading1"/>
        <w:jc w:val="center"/>
      </w:pPr>
      <w:bookmarkStart w:id="6" w:name="_Toc214285869"/>
      <w:r w:rsidRPr="00547F38">
        <w:t>INTRODUCTION</w:t>
      </w:r>
      <w:bookmarkEnd w:id="6"/>
    </w:p>
    <w:p w14:paraId="68C32A31" w14:textId="77777777" w:rsidR="00FB3ED8" w:rsidRPr="00547F38" w:rsidRDefault="00FB3ED8" w:rsidP="00FB3ED8">
      <w:pPr>
        <w:pStyle w:val="ListParagraph"/>
        <w:numPr>
          <w:ilvl w:val="1"/>
          <w:numId w:val="7"/>
        </w:numPr>
        <w:spacing w:line="480" w:lineRule="auto"/>
        <w:jc w:val="both"/>
        <w:rPr>
          <w:rFonts w:ascii="Times New Roman" w:hAnsi="Times New Roman" w:cs="Times New Roman"/>
          <w:b/>
          <w:bCs/>
        </w:rPr>
      </w:pPr>
      <w:r w:rsidRPr="00547F38">
        <w:rPr>
          <w:rFonts w:ascii="Times New Roman" w:hAnsi="Times New Roman" w:cs="Times New Roman"/>
          <w:b/>
          <w:bCs/>
        </w:rPr>
        <w:t>Background of the Study</w:t>
      </w:r>
    </w:p>
    <w:p w14:paraId="223689F8" w14:textId="77777777" w:rsidR="00FB3ED8" w:rsidRDefault="00FB3ED8" w:rsidP="00FF11FA">
      <w:pPr>
        <w:spacing w:line="480" w:lineRule="auto"/>
        <w:jc w:val="both"/>
        <w:rPr>
          <w:rFonts w:ascii="Times New Roman" w:hAnsi="Times New Roman" w:cs="Times New Roman"/>
        </w:rPr>
      </w:pPr>
      <w:r w:rsidRPr="00C00DB4">
        <w:rPr>
          <w:rFonts w:ascii="Times New Roman" w:hAnsi="Times New Roman" w:cs="Times New Roman"/>
        </w:rPr>
        <w:t>Sorghum (</w:t>
      </w:r>
      <w:r w:rsidRPr="00C00DB4">
        <w:rPr>
          <w:rFonts w:ascii="Times New Roman" w:hAnsi="Times New Roman" w:cs="Times New Roman"/>
          <w:i/>
          <w:iCs/>
        </w:rPr>
        <w:t>Sorghum bicolor</w:t>
      </w:r>
      <w:r w:rsidRPr="00C00DB4">
        <w:rPr>
          <w:rFonts w:ascii="Times New Roman" w:hAnsi="Times New Roman" w:cs="Times New Roman"/>
        </w:rPr>
        <w:t>) and wheat (</w:t>
      </w:r>
      <w:r w:rsidRPr="00C00DB4">
        <w:rPr>
          <w:rFonts w:ascii="Times New Roman" w:hAnsi="Times New Roman" w:cs="Times New Roman"/>
          <w:i/>
          <w:iCs/>
        </w:rPr>
        <w:t>Triticum aestivum</w:t>
      </w:r>
      <w:r w:rsidRPr="00C00DB4">
        <w:rPr>
          <w:rFonts w:ascii="Times New Roman" w:hAnsi="Times New Roman" w:cs="Times New Roman"/>
        </w:rPr>
        <w:t>) are staple crops critical to food security in Nigeria, especially in the northern region</w:t>
      </w:r>
      <w:r>
        <w:rPr>
          <w:rFonts w:ascii="Times New Roman" w:hAnsi="Times New Roman" w:cs="Times New Roman"/>
        </w:rPr>
        <w:t xml:space="preserve">. Wheat, although less widely cultivated due to climatic constraints, remains a vital food crop due to its nutritional and economic value. The performance of these crops, especially during the critical stages of seed germination and early seedling development, significantly determines the ultimate yield and productivity. </w:t>
      </w:r>
      <w:r w:rsidRPr="00C00DB4">
        <w:rPr>
          <w:rFonts w:ascii="Times New Roman" w:hAnsi="Times New Roman" w:cs="Times New Roman"/>
        </w:rPr>
        <w:t xml:space="preserve">Their early growth stages are highly influenced by soil fertility and nutrient availability, particularly macronutrients like nitrogen (N), phosphorus (P), and potassium (K). The application of NPK fertilizer has been reported to enhance germination and seedling vigor, although response patterns vary by species and ecological zone (Usman </w:t>
      </w:r>
      <w:r w:rsidRPr="005A6595">
        <w:rPr>
          <w:rFonts w:ascii="Times New Roman" w:hAnsi="Times New Roman" w:cs="Times New Roman"/>
          <w:i/>
          <w:iCs/>
        </w:rPr>
        <w:t xml:space="preserve">et al., </w:t>
      </w:r>
      <w:r w:rsidRPr="00C00DB4">
        <w:rPr>
          <w:rFonts w:ascii="Times New Roman" w:hAnsi="Times New Roman" w:cs="Times New Roman"/>
        </w:rPr>
        <w:t xml:space="preserve">2021; Olanrewaju </w:t>
      </w:r>
      <w:r w:rsidRPr="005A6595">
        <w:rPr>
          <w:rFonts w:ascii="Times New Roman" w:hAnsi="Times New Roman" w:cs="Times New Roman"/>
          <w:i/>
          <w:iCs/>
        </w:rPr>
        <w:t>et</w:t>
      </w:r>
      <w:r w:rsidRPr="00C00DB4">
        <w:rPr>
          <w:rFonts w:ascii="Times New Roman" w:hAnsi="Times New Roman" w:cs="Times New Roman"/>
        </w:rPr>
        <w:t xml:space="preserve"> </w:t>
      </w:r>
      <w:r w:rsidRPr="00BA04CD">
        <w:rPr>
          <w:rFonts w:ascii="Times New Roman" w:hAnsi="Times New Roman" w:cs="Times New Roman"/>
          <w:i/>
          <w:iCs/>
        </w:rPr>
        <w:t>al.,</w:t>
      </w:r>
      <w:r w:rsidRPr="00C00DB4">
        <w:rPr>
          <w:rFonts w:ascii="Times New Roman" w:hAnsi="Times New Roman" w:cs="Times New Roman"/>
        </w:rPr>
        <w:t xml:space="preserve"> 2022). </w:t>
      </w:r>
    </w:p>
    <w:p w14:paraId="2157C5B7" w14:textId="77777777" w:rsidR="00FB3ED8" w:rsidRPr="00A7151D" w:rsidRDefault="00FB3ED8" w:rsidP="00FF11FA">
      <w:pPr>
        <w:spacing w:line="480" w:lineRule="auto"/>
        <w:jc w:val="both"/>
        <w:rPr>
          <w:rFonts w:ascii="Times New Roman" w:hAnsi="Times New Roman" w:cs="Times New Roman"/>
        </w:rPr>
      </w:pPr>
      <w:r w:rsidRPr="005B0755">
        <w:rPr>
          <w:rFonts w:ascii="Times New Roman" w:hAnsi="Times New Roman" w:cs="Times New Roman"/>
          <w:i/>
          <w:iCs/>
        </w:rPr>
        <w:t>Sorghum bicolor</w:t>
      </w:r>
      <w:r w:rsidRPr="005B0755">
        <w:rPr>
          <w:rFonts w:ascii="Times New Roman" w:hAnsi="Times New Roman" w:cs="Times New Roman"/>
        </w:rPr>
        <w:t xml:space="preserve"> (L.) </w:t>
      </w:r>
      <w:r w:rsidRPr="00A7151D">
        <w:rPr>
          <w:rFonts w:ascii="Times New Roman" w:hAnsi="Times New Roman" w:cs="Times New Roman"/>
        </w:rPr>
        <w:t>Moench is one of the most important cereal crops in the world and ranks fifth in global cereal production after wheat, rice, maize, and barley (FAO, 2020). It is a resilient and versatile crop that thrives in hot, dry environments where other cereals may fail, making it a staple for millions, especially in semi-arid and arid regions like Northern Nigeria (ICRISAT, 2019; Obilana, 2004). Sorghum serves multiple purposes: it is used for human consumption, livestock feed, and increasingly in biofuel and brewing industries. In Nigeria, particularly in Sokoto State, sorghum is not only culturally significant but also economically vital, forming a major part of the local diet and income source for smallholder farmers (NAERLS, 2022).</w:t>
      </w:r>
    </w:p>
    <w:p w14:paraId="3F48B00F"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Despite sorghum’s adaptability, soil fertility remains a key determinant of its successful cultivation and yield. Many soils in Nigeria, particularly in the Sudano-Sahelian zones, are deficient in key macronutrients such as nitrogen (N), phosphorus (P), and potassium (K), as well as secondary nutrients like magnesium (Mg), all of which are essential for optimal plant growth (Jones </w:t>
      </w:r>
      <w:r w:rsidRPr="00BF4619">
        <w:rPr>
          <w:rFonts w:ascii="Times New Roman" w:hAnsi="Times New Roman" w:cs="Times New Roman"/>
          <w:i/>
          <w:iCs/>
        </w:rPr>
        <w:t>et al</w:t>
      </w:r>
      <w:r w:rsidRPr="00A7151D">
        <w:rPr>
          <w:rFonts w:ascii="Times New Roman" w:hAnsi="Times New Roman" w:cs="Times New Roman"/>
        </w:rPr>
        <w:t>., 2013). Fertilizers are often applied to compensate for these deficiencies, thereby enhancing seed germination, early seedling development, and overall productivity (Brady and Weil, 2017).</w:t>
      </w:r>
    </w:p>
    <w:p w14:paraId="6296FA3A"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Among commonly used fertilizers are compound formulations such as </w:t>
      </w:r>
      <w:r>
        <w:rPr>
          <w:rFonts w:ascii="Times New Roman" w:hAnsi="Times New Roman" w:cs="Times New Roman"/>
        </w:rPr>
        <w:t>N</w:t>
      </w:r>
      <w:r w:rsidRPr="00A7151D">
        <w:rPr>
          <w:rFonts w:ascii="Times New Roman" w:hAnsi="Times New Roman" w:cs="Times New Roman"/>
        </w:rPr>
        <w:t>PK (</w:t>
      </w:r>
      <w:r>
        <w:rPr>
          <w:rFonts w:ascii="Times New Roman" w:hAnsi="Times New Roman" w:cs="Times New Roman"/>
        </w:rPr>
        <w:t>Nitrogen</w:t>
      </w:r>
      <w:r w:rsidRPr="00A7151D">
        <w:rPr>
          <w:rFonts w:ascii="Times New Roman" w:hAnsi="Times New Roman" w:cs="Times New Roman"/>
        </w:rPr>
        <w:t xml:space="preserve">, Phosphorus, and Potassium), and single nutrient fertilizers like Ammonium Sulphate [(NH₄)₂SO₄], which is rich in nitrogen and sulfur. </w:t>
      </w:r>
      <w:r>
        <w:rPr>
          <w:rFonts w:ascii="Times New Roman" w:hAnsi="Times New Roman" w:cs="Times New Roman"/>
        </w:rPr>
        <w:t>N</w:t>
      </w:r>
      <w:r w:rsidRPr="00A7151D">
        <w:rPr>
          <w:rFonts w:ascii="Times New Roman" w:hAnsi="Times New Roman" w:cs="Times New Roman"/>
        </w:rPr>
        <w:t>PK fertilizers supply multiple essential nutrients simultaneously—</w:t>
      </w:r>
      <w:r>
        <w:rPr>
          <w:rFonts w:ascii="Times New Roman" w:hAnsi="Times New Roman" w:cs="Times New Roman"/>
        </w:rPr>
        <w:t>nitrogen</w:t>
      </w:r>
      <w:r w:rsidRPr="00A7151D">
        <w:rPr>
          <w:rFonts w:ascii="Times New Roman" w:hAnsi="Times New Roman" w:cs="Times New Roman"/>
        </w:rPr>
        <w:t xml:space="preserve"> contributes to chlorophyll synthesis and enzyme activation, phosphorus aids in energy transfer and root development, while potassium regulates water uptake, enzyme activation, and disease resistance (Marschner, 2012; Yara, 2021). Ammonium sulphate, on the other hand, is a fast-acting nitrogen fertilizer that promotes vegetative growth, enhances chlorophyll content, and increases leaf area index in the early stages of plant development (Havlin </w:t>
      </w:r>
      <w:r w:rsidRPr="00BF4619">
        <w:rPr>
          <w:rFonts w:ascii="Times New Roman" w:hAnsi="Times New Roman" w:cs="Times New Roman"/>
          <w:i/>
          <w:iCs/>
        </w:rPr>
        <w:t>et al.,</w:t>
      </w:r>
      <w:r w:rsidRPr="00A7151D">
        <w:rPr>
          <w:rFonts w:ascii="Times New Roman" w:hAnsi="Times New Roman" w:cs="Times New Roman"/>
        </w:rPr>
        <w:t xml:space="preserve"> 2014; Ayeni, 2011).</w:t>
      </w:r>
    </w:p>
    <w:p w14:paraId="550A678C"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Seed germination and early seedling growth are critical phases in the life cycle of a plant and are highly sensitive to both environmental and soil nutrient conditions. These stages determine plant population density, crop stand establishment, and ultimately influence final yield (Bewley </w:t>
      </w:r>
      <w:r w:rsidRPr="00937404">
        <w:rPr>
          <w:rFonts w:ascii="Times New Roman" w:hAnsi="Times New Roman" w:cs="Times New Roman"/>
          <w:i/>
          <w:iCs/>
        </w:rPr>
        <w:t>et al.,</w:t>
      </w:r>
      <w:r w:rsidRPr="00A7151D">
        <w:rPr>
          <w:rFonts w:ascii="Times New Roman" w:hAnsi="Times New Roman" w:cs="Times New Roman"/>
        </w:rPr>
        <w:t xml:space="preserve"> 2013; Finch-Savage and Bassel, 2016). Fertilizer application during or immediately after sowing can significantly influence germination percentage, root-shoot ratio, seedling vigor, and stress tolerance (Singh and Shivay, 2003). However, inappropriate fertilizer types, concentrations, or timing can negatively affect seed germination due to osmotic stress or toxicity (Salisbury </w:t>
      </w:r>
      <w:r>
        <w:rPr>
          <w:rFonts w:ascii="Times New Roman" w:hAnsi="Times New Roman" w:cs="Times New Roman"/>
        </w:rPr>
        <w:t xml:space="preserve">and </w:t>
      </w:r>
      <w:r w:rsidRPr="00A7151D">
        <w:rPr>
          <w:rFonts w:ascii="Times New Roman" w:hAnsi="Times New Roman" w:cs="Times New Roman"/>
        </w:rPr>
        <w:t>Ross, 1992).</w:t>
      </w:r>
    </w:p>
    <w:p w14:paraId="6C5690F1" w14:textId="32FC1731"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In Sokoto State, farmers often apply fertilizers based on traditional knowledge or economic considerations without scientific understanding of their specific effects during different crop growth stages. While both </w:t>
      </w:r>
      <w:r>
        <w:rPr>
          <w:rFonts w:ascii="Times New Roman" w:hAnsi="Times New Roman" w:cs="Times New Roman"/>
        </w:rPr>
        <w:t>N</w:t>
      </w:r>
      <w:r w:rsidRPr="00A7151D">
        <w:rPr>
          <w:rFonts w:ascii="Times New Roman" w:hAnsi="Times New Roman" w:cs="Times New Roman"/>
        </w:rPr>
        <w:t xml:space="preserve">PK </w:t>
      </w:r>
      <w:r>
        <w:rPr>
          <w:rFonts w:ascii="Times New Roman" w:hAnsi="Times New Roman" w:cs="Times New Roman"/>
        </w:rPr>
        <w:t>is</w:t>
      </w:r>
      <w:r w:rsidRPr="00A7151D">
        <w:rPr>
          <w:rFonts w:ascii="Times New Roman" w:hAnsi="Times New Roman" w:cs="Times New Roman"/>
        </w:rPr>
        <w:t xml:space="preserve"> commonly used, there is insufficient comparative research on </w:t>
      </w:r>
      <w:r>
        <w:rPr>
          <w:rFonts w:ascii="Times New Roman" w:hAnsi="Times New Roman" w:cs="Times New Roman"/>
        </w:rPr>
        <w:t>the</w:t>
      </w:r>
      <w:r w:rsidRPr="00A7151D">
        <w:rPr>
          <w:rFonts w:ascii="Times New Roman" w:hAnsi="Times New Roman" w:cs="Times New Roman"/>
        </w:rPr>
        <w:t xml:space="preserve"> influence on </w:t>
      </w:r>
      <w:r w:rsidRPr="00862675">
        <w:rPr>
          <w:rFonts w:ascii="Times New Roman" w:hAnsi="Times New Roman" w:cs="Times New Roman"/>
          <w:i/>
          <w:iCs/>
        </w:rPr>
        <w:t>Sorghum</w:t>
      </w:r>
      <w:r w:rsidRPr="00A7151D">
        <w:rPr>
          <w:rFonts w:ascii="Times New Roman" w:hAnsi="Times New Roman" w:cs="Times New Roman"/>
        </w:rPr>
        <w:t xml:space="preserve"> </w:t>
      </w:r>
      <w:r w:rsidRPr="00862675">
        <w:rPr>
          <w:rFonts w:ascii="Times New Roman" w:hAnsi="Times New Roman" w:cs="Times New Roman"/>
          <w:i/>
          <w:iCs/>
        </w:rPr>
        <w:t>bicolor</w:t>
      </w:r>
      <w:r>
        <w:rPr>
          <w:rFonts w:ascii="Times New Roman" w:hAnsi="Times New Roman" w:cs="Times New Roman"/>
        </w:rPr>
        <w:t xml:space="preserve"> and </w:t>
      </w:r>
      <w:r>
        <w:rPr>
          <w:rFonts w:ascii="Times New Roman" w:hAnsi="Times New Roman" w:cs="Times New Roman"/>
          <w:i/>
          <w:iCs/>
        </w:rPr>
        <w:t>Triticum aestivum</w:t>
      </w:r>
      <w:r w:rsidRPr="00A7151D">
        <w:rPr>
          <w:rFonts w:ascii="Times New Roman" w:hAnsi="Times New Roman" w:cs="Times New Roman"/>
        </w:rPr>
        <w:t xml:space="preserve"> germination and early seedling development under local agro-climatic conditions. This necessitates a systematic investigation to inform better fertilizer management practices.</w:t>
      </w:r>
    </w:p>
    <w:p w14:paraId="50035E51" w14:textId="77777777" w:rsidR="00FB3ED8" w:rsidRPr="00A7151D" w:rsidRDefault="00FB3ED8" w:rsidP="00FB3ED8">
      <w:pPr>
        <w:pStyle w:val="ListParagraph"/>
        <w:numPr>
          <w:ilvl w:val="1"/>
          <w:numId w:val="7"/>
        </w:numPr>
        <w:spacing w:line="480" w:lineRule="auto"/>
        <w:jc w:val="both"/>
        <w:rPr>
          <w:rFonts w:ascii="Times New Roman" w:hAnsi="Times New Roman" w:cs="Times New Roman"/>
          <w:b/>
          <w:bCs/>
        </w:rPr>
      </w:pPr>
      <w:r w:rsidRPr="00A7151D">
        <w:rPr>
          <w:rFonts w:ascii="Times New Roman" w:hAnsi="Times New Roman" w:cs="Times New Roman"/>
          <w:b/>
          <w:bCs/>
        </w:rPr>
        <w:t>Statement of the Research Problem</w:t>
      </w:r>
    </w:p>
    <w:p w14:paraId="2C463181"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Agricultural productivity in Sokoto State is significantly constrained by declining soil fertility, unpredictable rainfall, and limited adoption of improved agronomic practices (Usman</w:t>
      </w:r>
      <w:r w:rsidRPr="00FF5A18">
        <w:rPr>
          <w:rFonts w:ascii="Times New Roman" w:hAnsi="Times New Roman" w:cs="Times New Roman"/>
          <w:i/>
          <w:iCs/>
        </w:rPr>
        <w:t xml:space="preserve"> et al</w:t>
      </w:r>
      <w:r w:rsidRPr="00A7151D">
        <w:rPr>
          <w:rFonts w:ascii="Times New Roman" w:hAnsi="Times New Roman" w:cs="Times New Roman"/>
        </w:rPr>
        <w:t xml:space="preserve">., 2015). Fertilizers remain one of the few technologies accessible to farmers for improving crop performance, but their effectiveness depends on crop type, application method, and soil characteristics (Palm </w:t>
      </w:r>
      <w:r w:rsidRPr="00FF5A18">
        <w:rPr>
          <w:rFonts w:ascii="Times New Roman" w:hAnsi="Times New Roman" w:cs="Times New Roman"/>
          <w:i/>
          <w:iCs/>
        </w:rPr>
        <w:t>et al</w:t>
      </w:r>
      <w:r w:rsidRPr="00A7151D">
        <w:rPr>
          <w:rFonts w:ascii="Times New Roman" w:hAnsi="Times New Roman" w:cs="Times New Roman"/>
        </w:rPr>
        <w:t>., 2001). In the case of sorghum</w:t>
      </w:r>
      <w:r>
        <w:rPr>
          <w:rFonts w:ascii="Times New Roman" w:hAnsi="Times New Roman" w:cs="Times New Roman"/>
        </w:rPr>
        <w:t xml:space="preserve"> and wheat</w:t>
      </w:r>
      <w:r w:rsidRPr="00A7151D">
        <w:rPr>
          <w:rFonts w:ascii="Times New Roman" w:hAnsi="Times New Roman" w:cs="Times New Roman"/>
        </w:rPr>
        <w:t>, which is highly sensitive to nutrient availability during its early developmental stages, the choice and timing of fertilizer application can have profound effects on seedling vigour and yield potential.</w:t>
      </w:r>
    </w:p>
    <w:p w14:paraId="1BE5E0CE" w14:textId="77777777" w:rsidR="00FB3ED8"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Despite the widespread availability of </w:t>
      </w:r>
      <w:r>
        <w:rPr>
          <w:rFonts w:ascii="Times New Roman" w:hAnsi="Times New Roman" w:cs="Times New Roman"/>
        </w:rPr>
        <w:t>N</w:t>
      </w:r>
      <w:r w:rsidRPr="00A7151D">
        <w:rPr>
          <w:rFonts w:ascii="Times New Roman" w:hAnsi="Times New Roman" w:cs="Times New Roman"/>
        </w:rPr>
        <w:t xml:space="preserve">PK fertilizers, there is limited empirical data on how they influence the early stages of sorghum </w:t>
      </w:r>
      <w:r>
        <w:rPr>
          <w:rFonts w:ascii="Times New Roman" w:hAnsi="Times New Roman" w:cs="Times New Roman"/>
        </w:rPr>
        <w:t xml:space="preserve">and wheat </w:t>
      </w:r>
      <w:r w:rsidRPr="00A7151D">
        <w:rPr>
          <w:rFonts w:ascii="Times New Roman" w:hAnsi="Times New Roman" w:cs="Times New Roman"/>
        </w:rPr>
        <w:t>development in the Sahelian agro-ecological zone. Consequently, farmers often apply these inputs without adequate knowledge of optimal dosages, resulting in poor seedling establishment, reduced nutrient use efficiency, and sometimes economic losses (Nwite</w:t>
      </w:r>
      <w:r w:rsidRPr="00A424D1">
        <w:rPr>
          <w:rFonts w:ascii="Times New Roman" w:hAnsi="Times New Roman" w:cs="Times New Roman"/>
          <w:i/>
          <w:iCs/>
        </w:rPr>
        <w:t xml:space="preserve"> et al.,</w:t>
      </w:r>
      <w:r w:rsidRPr="00A7151D">
        <w:rPr>
          <w:rFonts w:ascii="Times New Roman" w:hAnsi="Times New Roman" w:cs="Times New Roman"/>
        </w:rPr>
        <w:t xml:space="preserve"> 2013). Moreover, inappropriate fertilizer use can lead to soil acidification, nutrient leaching, and environmental degradation (Zhao</w:t>
      </w:r>
      <w:r w:rsidRPr="00A424D1">
        <w:rPr>
          <w:rFonts w:ascii="Times New Roman" w:hAnsi="Times New Roman" w:cs="Times New Roman"/>
          <w:i/>
          <w:iCs/>
        </w:rPr>
        <w:t xml:space="preserve"> et al., </w:t>
      </w:r>
      <w:r w:rsidRPr="00A7151D">
        <w:rPr>
          <w:rFonts w:ascii="Times New Roman" w:hAnsi="Times New Roman" w:cs="Times New Roman"/>
        </w:rPr>
        <w:t>2009).</w:t>
      </w:r>
    </w:p>
    <w:p w14:paraId="5CEE087D" w14:textId="77777777" w:rsidR="00FB3ED8" w:rsidRPr="00A7151D" w:rsidRDefault="00FB3ED8" w:rsidP="00FF11FA">
      <w:pPr>
        <w:spacing w:line="480" w:lineRule="auto"/>
        <w:jc w:val="both"/>
        <w:rPr>
          <w:rFonts w:ascii="Times New Roman" w:hAnsi="Times New Roman" w:cs="Times New Roman"/>
        </w:rPr>
      </w:pPr>
      <w:r>
        <w:rPr>
          <w:rFonts w:ascii="Times New Roman" w:hAnsi="Times New Roman" w:cs="Times New Roman"/>
        </w:rPr>
        <w:t xml:space="preserve">Poor germination and weak seedling establishment due to low soil fertility are major limitations to sorghum and wheat production in Sokoto. Despite the known benefits of NPK fertilizers, limited research exists on their comparative effect on the early development of these cereals in this ecological zone. </w:t>
      </w:r>
    </w:p>
    <w:p w14:paraId="544E332E" w14:textId="18640F63"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Without region-specific studies that evaluate fertilizer effects under controlled conditions, extension services lack the evidence needed to make informed recommendations. This gap in knowledge undermines ongoing efforts to improve food security and agricultural sustainability in Northern Nigeria.</w:t>
      </w:r>
    </w:p>
    <w:p w14:paraId="570E573B" w14:textId="77777777" w:rsidR="00FB3ED8" w:rsidRPr="00A7151D" w:rsidRDefault="00FB3ED8" w:rsidP="00FF11FA">
      <w:pPr>
        <w:pStyle w:val="Heading1"/>
      </w:pPr>
      <w:bookmarkStart w:id="7" w:name="_Toc214285870"/>
      <w:r w:rsidRPr="00A7151D">
        <w:t>1.3 Justification of the Study</w:t>
      </w:r>
      <w:bookmarkEnd w:id="7"/>
    </w:p>
    <w:p w14:paraId="5C35655F"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This research is justified on several fronts. Firstly, it addresses a critical knowledge gap by evaluating the effects of </w:t>
      </w:r>
      <w:r>
        <w:rPr>
          <w:rFonts w:ascii="Times New Roman" w:hAnsi="Times New Roman" w:cs="Times New Roman"/>
        </w:rPr>
        <w:t>one of the most</w:t>
      </w:r>
      <w:r w:rsidRPr="00A7151D">
        <w:rPr>
          <w:rFonts w:ascii="Times New Roman" w:hAnsi="Times New Roman" w:cs="Times New Roman"/>
        </w:rPr>
        <w:t xml:space="preserve"> commonly used fertilizers </w:t>
      </w:r>
      <w:r>
        <w:rPr>
          <w:rFonts w:ascii="Times New Roman" w:hAnsi="Times New Roman" w:cs="Times New Roman"/>
        </w:rPr>
        <w:t>N</w:t>
      </w:r>
      <w:r w:rsidRPr="00A7151D">
        <w:rPr>
          <w:rFonts w:ascii="Times New Roman" w:hAnsi="Times New Roman" w:cs="Times New Roman"/>
        </w:rPr>
        <w:t xml:space="preserve">PK on the germination and early seedling growth of </w:t>
      </w:r>
      <w:r>
        <w:rPr>
          <w:rFonts w:ascii="Times New Roman" w:hAnsi="Times New Roman" w:cs="Times New Roman"/>
        </w:rPr>
        <w:t>Sorghum (</w:t>
      </w:r>
      <w:r w:rsidRPr="00FF228D">
        <w:rPr>
          <w:rFonts w:ascii="Times New Roman" w:hAnsi="Times New Roman" w:cs="Times New Roman"/>
          <w:i/>
          <w:iCs/>
        </w:rPr>
        <w:t>Sorghum bicolor</w:t>
      </w:r>
      <w:r>
        <w:rPr>
          <w:rFonts w:ascii="Times New Roman" w:hAnsi="Times New Roman" w:cs="Times New Roman"/>
        </w:rPr>
        <w:t>) and wheat (</w:t>
      </w:r>
      <w:r w:rsidRPr="00FF228D">
        <w:rPr>
          <w:rFonts w:ascii="Times New Roman" w:hAnsi="Times New Roman" w:cs="Times New Roman"/>
          <w:i/>
          <w:iCs/>
        </w:rPr>
        <w:t>Triticum aestivum</w:t>
      </w:r>
      <w:r>
        <w:rPr>
          <w:rFonts w:ascii="Times New Roman" w:hAnsi="Times New Roman" w:cs="Times New Roman"/>
        </w:rPr>
        <w:t xml:space="preserve">) </w:t>
      </w:r>
      <w:r w:rsidRPr="00A7151D">
        <w:rPr>
          <w:rFonts w:ascii="Times New Roman" w:hAnsi="Times New Roman" w:cs="Times New Roman"/>
        </w:rPr>
        <w:t xml:space="preserve"> under the specific environmental conditions of Sokoto State. The outcome of this study will provide scientific evidence on how </w:t>
      </w:r>
      <w:r>
        <w:rPr>
          <w:rFonts w:ascii="Times New Roman" w:hAnsi="Times New Roman" w:cs="Times New Roman"/>
        </w:rPr>
        <w:t>this</w:t>
      </w:r>
      <w:r w:rsidRPr="00A7151D">
        <w:rPr>
          <w:rFonts w:ascii="Times New Roman" w:hAnsi="Times New Roman" w:cs="Times New Roman"/>
        </w:rPr>
        <w:t xml:space="preserve"> fertilizers influence key developmental parameters such as germination rate, root-shoot length, and seedling vigour.</w:t>
      </w:r>
    </w:p>
    <w:p w14:paraId="077EDFC8"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Secondly, the study aligns with national and regional goals of enhancing cereal crop production as a strategy to combat food insecurity and rural poverty (FMARD, 2021). Improving fertilizer efficiency and optimizing agronomic practices are essential to achieving these goals.</w:t>
      </w:r>
    </w:p>
    <w:p w14:paraId="295BAF35"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Thirdly, the findings will inform local farmers, agronomists, and policymakers on best fertilizer management practices for sorghum</w:t>
      </w:r>
      <w:r>
        <w:rPr>
          <w:rFonts w:ascii="Times New Roman" w:hAnsi="Times New Roman" w:cs="Times New Roman"/>
        </w:rPr>
        <w:t xml:space="preserve"> and wheat</w:t>
      </w:r>
      <w:r w:rsidRPr="00A7151D">
        <w:rPr>
          <w:rFonts w:ascii="Times New Roman" w:hAnsi="Times New Roman" w:cs="Times New Roman"/>
        </w:rPr>
        <w:t xml:space="preserve"> cultivation. It will also support extension agents in tailoring their recommendations to the needs of farmers in the region, thereby promoting more efficient and sustainable fertilizer use.</w:t>
      </w:r>
    </w:p>
    <w:p w14:paraId="67C878FF" w14:textId="1115C3C1" w:rsidR="00FF11FA" w:rsidRPr="000E1989" w:rsidRDefault="00FB3ED8" w:rsidP="00FF11FA">
      <w:pPr>
        <w:spacing w:line="480" w:lineRule="auto"/>
        <w:jc w:val="both"/>
        <w:rPr>
          <w:rFonts w:ascii="Times New Roman" w:hAnsi="Times New Roman" w:cs="Times New Roman"/>
        </w:rPr>
      </w:pPr>
      <w:r w:rsidRPr="00A7151D">
        <w:rPr>
          <w:rFonts w:ascii="Times New Roman" w:hAnsi="Times New Roman" w:cs="Times New Roman"/>
        </w:rPr>
        <w:t>Lastly, as climate change continues to alter rainfall patterns and increase soil degradation, there is an urgent need for adaptive research that improves crop resilience. By enhancing early seedling vigour and establishment, this study contributes to building a more robust sorghum</w:t>
      </w:r>
      <w:r>
        <w:rPr>
          <w:rFonts w:ascii="Times New Roman" w:hAnsi="Times New Roman" w:cs="Times New Roman"/>
        </w:rPr>
        <w:t xml:space="preserve"> and wheat</w:t>
      </w:r>
      <w:r w:rsidRPr="00A7151D">
        <w:rPr>
          <w:rFonts w:ascii="Times New Roman" w:hAnsi="Times New Roman" w:cs="Times New Roman"/>
        </w:rPr>
        <w:t xml:space="preserve"> production system capable of withst</w:t>
      </w:r>
      <w:r w:rsidR="000E1989">
        <w:rPr>
          <w:rFonts w:ascii="Times New Roman" w:hAnsi="Times New Roman" w:cs="Times New Roman"/>
        </w:rPr>
        <w:t>anding environmental stressors.</w:t>
      </w:r>
    </w:p>
    <w:p w14:paraId="41C19276" w14:textId="6E4C7971" w:rsidR="00FB3ED8" w:rsidRPr="00A7151D" w:rsidRDefault="00FB3ED8" w:rsidP="00FF11FA">
      <w:pPr>
        <w:spacing w:line="480" w:lineRule="auto"/>
        <w:jc w:val="both"/>
        <w:rPr>
          <w:rFonts w:ascii="Times New Roman" w:hAnsi="Times New Roman" w:cs="Times New Roman"/>
          <w:b/>
          <w:bCs/>
        </w:rPr>
      </w:pPr>
      <w:r w:rsidRPr="00A7151D">
        <w:rPr>
          <w:rFonts w:ascii="Times New Roman" w:hAnsi="Times New Roman" w:cs="Times New Roman"/>
          <w:b/>
          <w:bCs/>
        </w:rPr>
        <w:t xml:space="preserve">Aim and objectives of the study </w:t>
      </w:r>
    </w:p>
    <w:p w14:paraId="3A1C8778"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b/>
          <w:bCs/>
        </w:rPr>
        <w:t>Aim</w:t>
      </w:r>
      <w:r w:rsidRPr="00A7151D">
        <w:rPr>
          <w:rFonts w:ascii="Times New Roman" w:hAnsi="Times New Roman" w:cs="Times New Roman"/>
        </w:rPr>
        <w:t>:</w:t>
      </w:r>
    </w:p>
    <w:p w14:paraId="43D182CC" w14:textId="34C2A389"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To investigate the effects of </w:t>
      </w:r>
      <w:r>
        <w:rPr>
          <w:rFonts w:ascii="Times New Roman" w:hAnsi="Times New Roman" w:cs="Times New Roman"/>
        </w:rPr>
        <w:t>N</w:t>
      </w:r>
      <w:r w:rsidRPr="00A7151D">
        <w:rPr>
          <w:rFonts w:ascii="Times New Roman" w:hAnsi="Times New Roman" w:cs="Times New Roman"/>
        </w:rPr>
        <w:t xml:space="preserve">PK </w:t>
      </w:r>
      <w:r>
        <w:rPr>
          <w:rFonts w:ascii="Times New Roman" w:hAnsi="Times New Roman" w:cs="Times New Roman"/>
        </w:rPr>
        <w:t>fertilizer</w:t>
      </w:r>
      <w:r w:rsidRPr="00A7151D">
        <w:rPr>
          <w:rFonts w:ascii="Times New Roman" w:hAnsi="Times New Roman" w:cs="Times New Roman"/>
        </w:rPr>
        <w:t xml:space="preserve"> on seed germination and early seedling growth of </w:t>
      </w:r>
      <w:r w:rsidRPr="0067595D">
        <w:rPr>
          <w:rFonts w:ascii="Times New Roman" w:hAnsi="Times New Roman" w:cs="Times New Roman"/>
          <w:i/>
          <w:iCs/>
        </w:rPr>
        <w:t>Sorghum bicolor</w:t>
      </w:r>
      <w:r>
        <w:rPr>
          <w:rFonts w:ascii="Times New Roman" w:hAnsi="Times New Roman" w:cs="Times New Roman"/>
          <w:i/>
          <w:iCs/>
        </w:rPr>
        <w:t xml:space="preserve"> </w:t>
      </w:r>
      <w:r w:rsidRPr="00DA21D5">
        <w:rPr>
          <w:rFonts w:ascii="Times New Roman" w:hAnsi="Times New Roman" w:cs="Times New Roman"/>
        </w:rPr>
        <w:t>and</w:t>
      </w:r>
      <w:r>
        <w:rPr>
          <w:rFonts w:ascii="Times New Roman" w:hAnsi="Times New Roman" w:cs="Times New Roman"/>
          <w:i/>
          <w:iCs/>
        </w:rPr>
        <w:t xml:space="preserve"> Triticum aestivum</w:t>
      </w:r>
      <w:r w:rsidRPr="00A7151D">
        <w:rPr>
          <w:rFonts w:ascii="Times New Roman" w:hAnsi="Times New Roman" w:cs="Times New Roman"/>
        </w:rPr>
        <w:t xml:space="preserve"> in Sokoto State.</w:t>
      </w:r>
    </w:p>
    <w:p w14:paraId="28384E0A" w14:textId="77777777" w:rsidR="0009656C" w:rsidRDefault="0009656C" w:rsidP="00FF11FA">
      <w:pPr>
        <w:spacing w:line="480" w:lineRule="auto"/>
        <w:jc w:val="both"/>
        <w:rPr>
          <w:rFonts w:ascii="Times New Roman" w:hAnsi="Times New Roman" w:cs="Times New Roman"/>
          <w:b/>
          <w:bCs/>
        </w:rPr>
      </w:pPr>
    </w:p>
    <w:p w14:paraId="57939610" w14:textId="77777777" w:rsidR="00FB3ED8" w:rsidRPr="0067595D" w:rsidRDefault="00FB3ED8" w:rsidP="00FF11FA">
      <w:pPr>
        <w:spacing w:line="480" w:lineRule="auto"/>
        <w:jc w:val="both"/>
        <w:rPr>
          <w:rFonts w:ascii="Times New Roman" w:hAnsi="Times New Roman" w:cs="Times New Roman"/>
          <w:b/>
          <w:bCs/>
        </w:rPr>
      </w:pPr>
      <w:r w:rsidRPr="0067595D">
        <w:rPr>
          <w:rFonts w:ascii="Times New Roman" w:hAnsi="Times New Roman" w:cs="Times New Roman"/>
          <w:b/>
          <w:bCs/>
        </w:rPr>
        <w:t>Specific Objectives:</w:t>
      </w:r>
    </w:p>
    <w:p w14:paraId="53F0C85E" w14:textId="77777777" w:rsidR="00FB3ED8" w:rsidRPr="00A7151D" w:rsidRDefault="00FB3ED8" w:rsidP="00FB3ED8">
      <w:pPr>
        <w:pStyle w:val="ListParagraph"/>
        <w:numPr>
          <w:ilvl w:val="0"/>
          <w:numId w:val="8"/>
        </w:numPr>
        <w:spacing w:line="480" w:lineRule="auto"/>
        <w:jc w:val="both"/>
        <w:rPr>
          <w:rFonts w:ascii="Times New Roman" w:hAnsi="Times New Roman" w:cs="Times New Roman"/>
        </w:rPr>
      </w:pPr>
      <w:r w:rsidRPr="00A7151D">
        <w:rPr>
          <w:rFonts w:ascii="Times New Roman" w:hAnsi="Times New Roman" w:cs="Times New Roman"/>
        </w:rPr>
        <w:t xml:space="preserve">To determine the germination percentage and germination rate of </w:t>
      </w:r>
      <w:r w:rsidRPr="00A424D1">
        <w:rPr>
          <w:rFonts w:ascii="Times New Roman" w:hAnsi="Times New Roman" w:cs="Times New Roman"/>
          <w:i/>
          <w:iCs/>
        </w:rPr>
        <w:t>Sorghum bicolor</w:t>
      </w:r>
      <w:r>
        <w:rPr>
          <w:rFonts w:ascii="Times New Roman" w:hAnsi="Times New Roman" w:cs="Times New Roman"/>
          <w:i/>
          <w:iCs/>
        </w:rPr>
        <w:t xml:space="preserve"> and </w:t>
      </w:r>
      <w:r>
        <w:rPr>
          <w:rFonts w:ascii="Times New Roman" w:hAnsi="Times New Roman" w:cs="Times New Roman"/>
        </w:rPr>
        <w:t xml:space="preserve">Triticum aestivum </w:t>
      </w:r>
      <w:r w:rsidRPr="00A7151D">
        <w:rPr>
          <w:rFonts w:ascii="Times New Roman" w:hAnsi="Times New Roman" w:cs="Times New Roman"/>
        </w:rPr>
        <w:t xml:space="preserve">seeds treated with </w:t>
      </w:r>
      <w:r>
        <w:rPr>
          <w:rFonts w:ascii="Times New Roman" w:hAnsi="Times New Roman" w:cs="Times New Roman"/>
        </w:rPr>
        <w:t>N</w:t>
      </w:r>
      <w:r w:rsidRPr="00A7151D">
        <w:rPr>
          <w:rFonts w:ascii="Times New Roman" w:hAnsi="Times New Roman" w:cs="Times New Roman"/>
        </w:rPr>
        <w:t xml:space="preserve">PK </w:t>
      </w:r>
      <w:r>
        <w:rPr>
          <w:rFonts w:ascii="Times New Roman" w:hAnsi="Times New Roman" w:cs="Times New Roman"/>
        </w:rPr>
        <w:t>fertilizer</w:t>
      </w:r>
      <w:r w:rsidRPr="00A7151D">
        <w:rPr>
          <w:rFonts w:ascii="Times New Roman" w:hAnsi="Times New Roman" w:cs="Times New Roman"/>
        </w:rPr>
        <w:t>.</w:t>
      </w:r>
    </w:p>
    <w:p w14:paraId="57438ED8" w14:textId="77777777" w:rsidR="00FB3ED8" w:rsidRPr="00A7151D" w:rsidRDefault="00FB3ED8" w:rsidP="00FB3ED8">
      <w:pPr>
        <w:pStyle w:val="ListParagraph"/>
        <w:numPr>
          <w:ilvl w:val="0"/>
          <w:numId w:val="8"/>
        </w:numPr>
        <w:spacing w:line="480" w:lineRule="auto"/>
        <w:jc w:val="both"/>
        <w:rPr>
          <w:rFonts w:ascii="Times New Roman" w:hAnsi="Times New Roman" w:cs="Times New Roman"/>
        </w:rPr>
      </w:pPr>
      <w:r w:rsidRPr="00A7151D">
        <w:rPr>
          <w:rFonts w:ascii="Times New Roman" w:hAnsi="Times New Roman" w:cs="Times New Roman"/>
        </w:rPr>
        <w:t xml:space="preserve">To assess the effects of </w:t>
      </w:r>
      <w:r>
        <w:rPr>
          <w:rFonts w:ascii="Times New Roman" w:hAnsi="Times New Roman" w:cs="Times New Roman"/>
        </w:rPr>
        <w:t>N</w:t>
      </w:r>
      <w:r w:rsidRPr="00A7151D">
        <w:rPr>
          <w:rFonts w:ascii="Times New Roman" w:hAnsi="Times New Roman" w:cs="Times New Roman"/>
        </w:rPr>
        <w:t>PK on early seedling growth parameters such as shoot length, root length, and fresh/dry biomass.</w:t>
      </w:r>
    </w:p>
    <w:p w14:paraId="55CBE65C" w14:textId="77777777" w:rsidR="00FB3ED8" w:rsidRPr="00A7151D" w:rsidRDefault="00FB3ED8" w:rsidP="00FB3ED8">
      <w:pPr>
        <w:pStyle w:val="ListParagraph"/>
        <w:numPr>
          <w:ilvl w:val="0"/>
          <w:numId w:val="8"/>
        </w:numPr>
        <w:spacing w:line="480" w:lineRule="auto"/>
        <w:jc w:val="both"/>
        <w:rPr>
          <w:rFonts w:ascii="Times New Roman" w:hAnsi="Times New Roman" w:cs="Times New Roman"/>
        </w:rPr>
      </w:pPr>
      <w:r w:rsidRPr="00A7151D">
        <w:rPr>
          <w:rFonts w:ascii="Times New Roman" w:hAnsi="Times New Roman" w:cs="Times New Roman"/>
        </w:rPr>
        <w:t xml:space="preserve">To identify the more effective fertilizer treatment in promoting early growth performance of </w:t>
      </w:r>
      <w:r w:rsidRPr="0067595D">
        <w:rPr>
          <w:rFonts w:ascii="Times New Roman" w:hAnsi="Times New Roman" w:cs="Times New Roman"/>
          <w:i/>
          <w:iCs/>
        </w:rPr>
        <w:t>Sorghum bicolor</w:t>
      </w:r>
      <w:r>
        <w:rPr>
          <w:rFonts w:ascii="Times New Roman" w:hAnsi="Times New Roman" w:cs="Times New Roman"/>
        </w:rPr>
        <w:t xml:space="preserve"> and </w:t>
      </w:r>
      <w:r w:rsidRPr="00903C56">
        <w:rPr>
          <w:rFonts w:ascii="Times New Roman" w:hAnsi="Times New Roman" w:cs="Times New Roman"/>
          <w:i/>
          <w:iCs/>
        </w:rPr>
        <w:t>Triticum</w:t>
      </w:r>
      <w:r>
        <w:rPr>
          <w:rFonts w:ascii="Times New Roman" w:hAnsi="Times New Roman" w:cs="Times New Roman"/>
        </w:rPr>
        <w:t xml:space="preserve"> </w:t>
      </w:r>
      <w:r w:rsidRPr="00B86E21">
        <w:rPr>
          <w:rFonts w:ascii="Times New Roman" w:hAnsi="Times New Roman" w:cs="Times New Roman"/>
          <w:i/>
          <w:iCs/>
        </w:rPr>
        <w:t>aestivum</w:t>
      </w:r>
      <w:r>
        <w:rPr>
          <w:rFonts w:ascii="Times New Roman" w:hAnsi="Times New Roman" w:cs="Times New Roman"/>
        </w:rPr>
        <w:t xml:space="preserve"> </w:t>
      </w:r>
      <w:r w:rsidRPr="00A7151D">
        <w:rPr>
          <w:rFonts w:ascii="Times New Roman" w:hAnsi="Times New Roman" w:cs="Times New Roman"/>
        </w:rPr>
        <w:t>under the environmental conditions of Sokoto.</w:t>
      </w:r>
    </w:p>
    <w:p w14:paraId="0A5134DC" w14:textId="77777777" w:rsidR="00FB3ED8" w:rsidRPr="00A7151D" w:rsidRDefault="00FB3ED8" w:rsidP="00FF11FA">
      <w:pPr>
        <w:spacing w:line="480" w:lineRule="auto"/>
        <w:jc w:val="both"/>
        <w:rPr>
          <w:rFonts w:ascii="Times New Roman" w:hAnsi="Times New Roman" w:cs="Times New Roman"/>
        </w:rPr>
      </w:pPr>
      <w:r w:rsidRPr="00A7151D">
        <w:rPr>
          <w:rFonts w:ascii="Times New Roman" w:hAnsi="Times New Roman" w:cs="Times New Roman"/>
        </w:rPr>
        <w:t xml:space="preserve"> </w:t>
      </w:r>
    </w:p>
    <w:p w14:paraId="6865A2CD" w14:textId="77777777" w:rsidR="00FB3ED8" w:rsidRDefault="00FB3ED8" w:rsidP="00FF11FA">
      <w:pPr>
        <w:spacing w:line="480" w:lineRule="auto"/>
        <w:jc w:val="both"/>
        <w:rPr>
          <w:rFonts w:ascii="Times New Roman" w:hAnsi="Times New Roman" w:cs="Times New Roman"/>
        </w:rPr>
      </w:pPr>
    </w:p>
    <w:p w14:paraId="2F1240CD" w14:textId="77777777" w:rsidR="00B05077" w:rsidRDefault="00B05077" w:rsidP="00FF11FA">
      <w:pPr>
        <w:spacing w:line="480" w:lineRule="auto"/>
        <w:jc w:val="both"/>
        <w:rPr>
          <w:rFonts w:ascii="Times New Roman" w:hAnsi="Times New Roman" w:cs="Times New Roman"/>
        </w:rPr>
      </w:pPr>
    </w:p>
    <w:p w14:paraId="1EDFA7BD" w14:textId="77777777" w:rsidR="00B05077" w:rsidRDefault="00B05077" w:rsidP="00FF11FA">
      <w:pPr>
        <w:spacing w:line="480" w:lineRule="auto"/>
        <w:jc w:val="both"/>
        <w:rPr>
          <w:rFonts w:ascii="Times New Roman" w:hAnsi="Times New Roman" w:cs="Times New Roman"/>
        </w:rPr>
      </w:pPr>
    </w:p>
    <w:p w14:paraId="07577FA5" w14:textId="77777777" w:rsidR="00B05077" w:rsidRDefault="00B05077" w:rsidP="00FF11FA">
      <w:pPr>
        <w:spacing w:line="480" w:lineRule="auto"/>
        <w:jc w:val="both"/>
        <w:rPr>
          <w:rFonts w:ascii="Times New Roman" w:hAnsi="Times New Roman" w:cs="Times New Roman"/>
        </w:rPr>
      </w:pPr>
    </w:p>
    <w:p w14:paraId="24F717EC" w14:textId="77777777" w:rsidR="00B05077" w:rsidRDefault="00B05077" w:rsidP="00FF11FA">
      <w:pPr>
        <w:spacing w:line="480" w:lineRule="auto"/>
        <w:jc w:val="both"/>
        <w:rPr>
          <w:rFonts w:ascii="Times New Roman" w:hAnsi="Times New Roman" w:cs="Times New Roman"/>
        </w:rPr>
      </w:pPr>
    </w:p>
    <w:p w14:paraId="3C09C2E4" w14:textId="77777777" w:rsidR="00B05077" w:rsidRDefault="00B05077" w:rsidP="00FF11FA">
      <w:pPr>
        <w:spacing w:line="480" w:lineRule="auto"/>
        <w:jc w:val="both"/>
        <w:rPr>
          <w:rFonts w:ascii="Times New Roman" w:hAnsi="Times New Roman" w:cs="Times New Roman"/>
        </w:rPr>
      </w:pPr>
    </w:p>
    <w:p w14:paraId="0857DE98" w14:textId="77777777" w:rsidR="00B05077" w:rsidRDefault="00B05077" w:rsidP="00FF11FA">
      <w:pPr>
        <w:spacing w:line="480" w:lineRule="auto"/>
        <w:jc w:val="both"/>
        <w:rPr>
          <w:rFonts w:ascii="Times New Roman" w:hAnsi="Times New Roman" w:cs="Times New Roman"/>
        </w:rPr>
      </w:pPr>
    </w:p>
    <w:p w14:paraId="6A454698" w14:textId="26DEF1FF" w:rsidR="00B05077" w:rsidRPr="00A7151D" w:rsidRDefault="00B05077" w:rsidP="00FF11FA">
      <w:pPr>
        <w:spacing w:line="480" w:lineRule="auto"/>
        <w:jc w:val="both"/>
        <w:rPr>
          <w:rFonts w:ascii="Times New Roman" w:hAnsi="Times New Roman" w:cs="Times New Roman"/>
        </w:rPr>
      </w:pPr>
    </w:p>
    <w:p w14:paraId="2C2CB56B" w14:textId="15846E67" w:rsidR="00D102FC" w:rsidRPr="000E1989" w:rsidRDefault="00D102FC" w:rsidP="000E1989">
      <w:pPr>
        <w:pStyle w:val="Heading1"/>
        <w:jc w:val="center"/>
        <w:rPr>
          <w:rStyle w:val="Strong"/>
          <w:rFonts w:eastAsia="Times New Roman" w:cs="Times New Roman"/>
          <w:b/>
          <w:color w:val="000000" w:themeColor="text1"/>
          <w:szCs w:val="24"/>
        </w:rPr>
      </w:pPr>
      <w:bookmarkStart w:id="8" w:name="_Toc214285871"/>
      <w:r w:rsidRPr="000E1989">
        <w:rPr>
          <w:rStyle w:val="Strong"/>
          <w:rFonts w:eastAsia="Times New Roman" w:cs="Times New Roman"/>
          <w:b/>
          <w:color w:val="000000" w:themeColor="text1"/>
          <w:szCs w:val="24"/>
        </w:rPr>
        <w:t>CHAPTER TWO</w:t>
      </w:r>
      <w:bookmarkEnd w:id="8"/>
    </w:p>
    <w:p w14:paraId="4A388B6F" w14:textId="5EA4D0CC" w:rsidR="00D102FC" w:rsidRPr="000E1989" w:rsidRDefault="00D102FC" w:rsidP="000E1989">
      <w:pPr>
        <w:pStyle w:val="Heading1"/>
        <w:jc w:val="center"/>
        <w:rPr>
          <w:rFonts w:eastAsia="Times New Roman"/>
          <w:b w:val="0"/>
          <w:kern w:val="0"/>
          <w14:ligatures w14:val="none"/>
        </w:rPr>
      </w:pPr>
      <w:bookmarkStart w:id="9" w:name="_Toc214285872"/>
      <w:r w:rsidRPr="000E1989">
        <w:rPr>
          <w:rStyle w:val="Strong"/>
          <w:rFonts w:eastAsia="Times New Roman" w:cs="Times New Roman"/>
          <w:b/>
          <w:color w:val="000000" w:themeColor="text1"/>
          <w:szCs w:val="24"/>
        </w:rPr>
        <w:t>LITERATURE REVIEW</w:t>
      </w:r>
      <w:bookmarkEnd w:id="9"/>
    </w:p>
    <w:p w14:paraId="7649F8B0" w14:textId="77777777" w:rsidR="00D102FC" w:rsidRPr="000E1989" w:rsidRDefault="00D102FC" w:rsidP="00FF11FA">
      <w:pPr>
        <w:pStyle w:val="Heading1"/>
        <w:rPr>
          <w:rFonts w:eastAsia="Times New Roman"/>
          <w:b w:val="0"/>
        </w:rPr>
      </w:pPr>
      <w:bookmarkStart w:id="10" w:name="_Toc214285873"/>
      <w:r w:rsidRPr="000E1989">
        <w:rPr>
          <w:rStyle w:val="Strong"/>
          <w:rFonts w:eastAsia="Times New Roman" w:cs="Times New Roman"/>
          <w:b/>
          <w:color w:val="000000" w:themeColor="text1"/>
          <w:szCs w:val="24"/>
        </w:rPr>
        <w:t xml:space="preserve">2.1 Botanical Description of </w:t>
      </w:r>
      <w:r w:rsidRPr="00B71C23">
        <w:rPr>
          <w:rStyle w:val="Emphasis"/>
          <w:rFonts w:eastAsia="Times New Roman" w:cs="Times New Roman"/>
          <w:color w:val="000000" w:themeColor="text1"/>
          <w:szCs w:val="24"/>
        </w:rPr>
        <w:t>Sorghum bicolor</w:t>
      </w:r>
      <w:bookmarkEnd w:id="10"/>
    </w:p>
    <w:p w14:paraId="0ED67033" w14:textId="77777777" w:rsidR="00D102FC" w:rsidRPr="00AE4D90" w:rsidRDefault="00D102FC" w:rsidP="00FF11FA">
      <w:pPr>
        <w:spacing w:line="480" w:lineRule="auto"/>
        <w:jc w:val="both"/>
        <w:rPr>
          <w:rFonts w:ascii="Times New Roman" w:hAnsi="Times New Roman" w:cs="Times New Roman"/>
        </w:rPr>
      </w:pPr>
      <w:r w:rsidRPr="00AE4D90">
        <w:rPr>
          <w:rFonts w:ascii="Times New Roman" w:hAnsi="Times New Roman" w:cs="Times New Roman"/>
        </w:rPr>
        <w:t xml:space="preserve">Sorghum (Sorghum bicolor L.) is the fifth most important cereal crop in the world, overcome only by wheat, rice, maize and barley in production. Sorghum shows high production performance in a wide range of adverse edaphoclimatic conditions (Arouna, and Pucci, 2020; Espitia-Hernández </w:t>
      </w:r>
      <w:r w:rsidRPr="00AE4D90">
        <w:rPr>
          <w:rFonts w:ascii="Times New Roman" w:hAnsi="Times New Roman" w:cs="Times New Roman"/>
          <w:i/>
          <w:iCs/>
        </w:rPr>
        <w:t>et al.,</w:t>
      </w:r>
      <w:r w:rsidRPr="00AE4D90">
        <w:rPr>
          <w:rFonts w:ascii="Times New Roman" w:hAnsi="Times New Roman" w:cs="Times New Roman"/>
        </w:rPr>
        <w:t xml:space="preserve"> 2020; Rashwan, </w:t>
      </w:r>
      <w:r>
        <w:rPr>
          <w:rFonts w:ascii="Times New Roman" w:hAnsi="Times New Roman" w:cs="Times New Roman"/>
          <w:i/>
          <w:iCs/>
        </w:rPr>
        <w:t>et al.</w:t>
      </w:r>
      <w:r w:rsidRPr="00AE4D90">
        <w:rPr>
          <w:rFonts w:ascii="Times New Roman" w:hAnsi="Times New Roman" w:cs="Times New Roman"/>
        </w:rPr>
        <w:t xml:space="preserve">, </w:t>
      </w:r>
      <w:r>
        <w:rPr>
          <w:rFonts w:ascii="Times New Roman" w:hAnsi="Times New Roman" w:cs="Times New Roman"/>
        </w:rPr>
        <w:t xml:space="preserve">20201; </w:t>
      </w:r>
      <w:r w:rsidRPr="00AE4D90">
        <w:rPr>
          <w:rFonts w:ascii="Times New Roman" w:hAnsi="Times New Roman" w:cs="Times New Roman"/>
        </w:rPr>
        <w:t>Chen, 2021). Sorghum has been extensively used as animal feed and human food, mainly in arid and semi-arid areas of Africa, Asia and Latin America (Espitia-Hernández</w:t>
      </w:r>
      <w:r w:rsidRPr="00AE4D90">
        <w:rPr>
          <w:rFonts w:ascii="Times New Roman" w:hAnsi="Times New Roman" w:cs="Times New Roman"/>
          <w:i/>
          <w:iCs/>
        </w:rPr>
        <w:t xml:space="preserve"> et al</w:t>
      </w:r>
      <w:r w:rsidRPr="00AE4D90">
        <w:rPr>
          <w:rFonts w:ascii="Times New Roman" w:hAnsi="Times New Roman" w:cs="Times New Roman"/>
        </w:rPr>
        <w:t xml:space="preserve">., 2020; Kimani </w:t>
      </w:r>
      <w:r w:rsidRPr="00AE4D90">
        <w:rPr>
          <w:rFonts w:ascii="Times New Roman" w:hAnsi="Times New Roman" w:cs="Times New Roman"/>
          <w:i/>
          <w:iCs/>
        </w:rPr>
        <w:t xml:space="preserve">et al., </w:t>
      </w:r>
      <w:r w:rsidRPr="00AE4D90">
        <w:rPr>
          <w:rFonts w:ascii="Times New Roman" w:hAnsi="Times New Roman" w:cs="Times New Roman"/>
        </w:rPr>
        <w:t xml:space="preserve">2020; Palacios, </w:t>
      </w:r>
      <w:r>
        <w:rPr>
          <w:rFonts w:ascii="Times New Roman" w:hAnsi="Times New Roman" w:cs="Times New Roman"/>
          <w:i/>
          <w:iCs/>
        </w:rPr>
        <w:t>et al.,</w:t>
      </w:r>
      <w:r w:rsidRPr="00AE4D90">
        <w:rPr>
          <w:rFonts w:ascii="Times New Roman" w:hAnsi="Times New Roman" w:cs="Times New Roman"/>
        </w:rPr>
        <w:t xml:space="preserve"> 2021; Teferra </w:t>
      </w:r>
      <w:r w:rsidRPr="00AE4D90">
        <w:rPr>
          <w:rFonts w:ascii="Times New Roman" w:hAnsi="Times New Roman" w:cs="Times New Roman"/>
          <w:i/>
          <w:iCs/>
        </w:rPr>
        <w:t>et al.,</w:t>
      </w:r>
      <w:r w:rsidRPr="00AE4D90">
        <w:rPr>
          <w:rFonts w:ascii="Times New Roman" w:hAnsi="Times New Roman" w:cs="Times New Roman"/>
        </w:rPr>
        <w:t xml:space="preserve"> 2019). It has been used as a staple for millions of people in several countries, mainly in Africa and Asia. Recently, this cereal has gained momentum in developed countries, due to its high nutritional value, health promoting properties, and potential use in the production of gluten-free foods which are especially important for people with celiac disease (Arouna </w:t>
      </w:r>
      <w:r w:rsidRPr="00AE4D90">
        <w:rPr>
          <w:rFonts w:ascii="Times New Roman" w:hAnsi="Times New Roman" w:cs="Times New Roman"/>
          <w:i/>
          <w:iCs/>
        </w:rPr>
        <w:t>et al.</w:t>
      </w:r>
      <w:r w:rsidRPr="00AE4D90">
        <w:rPr>
          <w:rFonts w:ascii="Times New Roman" w:hAnsi="Times New Roman" w:cs="Times New Roman"/>
        </w:rPr>
        <w:t>, 2020; Espitia-Hernández</w:t>
      </w:r>
      <w:r w:rsidRPr="00AE4D90">
        <w:rPr>
          <w:rFonts w:ascii="Times New Roman" w:hAnsi="Times New Roman" w:cs="Times New Roman"/>
          <w:i/>
          <w:iCs/>
        </w:rPr>
        <w:t xml:space="preserve"> et al</w:t>
      </w:r>
      <w:r w:rsidRPr="00AE4D90">
        <w:rPr>
          <w:rFonts w:ascii="Times New Roman" w:hAnsi="Times New Roman" w:cs="Times New Roman"/>
        </w:rPr>
        <w:t>., 2020; Gaytán-Martínez, 2020; Kimani</w:t>
      </w:r>
      <w:r w:rsidRPr="003E0E00">
        <w:rPr>
          <w:rFonts w:ascii="Times New Roman" w:hAnsi="Times New Roman" w:cs="Times New Roman"/>
          <w:i/>
          <w:iCs/>
        </w:rPr>
        <w:t xml:space="preserve"> et al., </w:t>
      </w:r>
      <w:r w:rsidRPr="00AE4D90">
        <w:rPr>
          <w:rFonts w:ascii="Times New Roman" w:hAnsi="Times New Roman" w:cs="Times New Roman"/>
        </w:rPr>
        <w:t>2020).</w:t>
      </w:r>
    </w:p>
    <w:p w14:paraId="539B1C88" w14:textId="77777777" w:rsidR="00D102FC" w:rsidRPr="00AE4D90" w:rsidRDefault="00D102FC" w:rsidP="00FF11FA">
      <w:pPr>
        <w:spacing w:line="480" w:lineRule="auto"/>
        <w:jc w:val="both"/>
        <w:rPr>
          <w:rFonts w:ascii="Times New Roman" w:hAnsi="Times New Roman" w:cs="Times New Roman"/>
        </w:rPr>
      </w:pPr>
      <w:r w:rsidRPr="00AE4D90">
        <w:rPr>
          <w:rFonts w:ascii="Times New Roman" w:hAnsi="Times New Roman" w:cs="Times New Roman"/>
        </w:rPr>
        <w:t xml:space="preserve">Sorghum varieties vary based on genetics, color, and chemical composition (Dykes &amp; Rooney, 2006; Dykes, Hoffmann Jr., Portillo-Rodriguez, Rooney and Rooney, 2014). Sorghum classification based on the presence/absence of a pigmented testa and its association with condensed tannin is widely used as an agronomic trait, resulting in tannin-free and tannin sorghum. This phenotypic characteristic is controlled by B1B2 genes and affected by the spreader gene S. Tannin-free sorghums (type I), without a pigmented testa, have low levels of phenols, and no condensed tannin, whereas tannin-sorghums (types II and III), have a pigmented testa and contain condensed tannin (Palacios </w:t>
      </w:r>
      <w:r w:rsidRPr="00AE4D90">
        <w:rPr>
          <w:rFonts w:ascii="Times New Roman" w:hAnsi="Times New Roman" w:cs="Times New Roman"/>
          <w:i/>
          <w:iCs/>
        </w:rPr>
        <w:t>et al.,</w:t>
      </w:r>
      <w:r w:rsidRPr="00AE4D90">
        <w:rPr>
          <w:rFonts w:ascii="Times New Roman" w:hAnsi="Times New Roman" w:cs="Times New Roman"/>
        </w:rPr>
        <w:t xml:space="preserve"> 2021; Xiong</w:t>
      </w:r>
      <w:r>
        <w:rPr>
          <w:rFonts w:ascii="Times New Roman" w:hAnsi="Times New Roman" w:cs="Times New Roman"/>
        </w:rPr>
        <w:t xml:space="preserve"> </w:t>
      </w:r>
      <w:r>
        <w:rPr>
          <w:rFonts w:ascii="Times New Roman" w:hAnsi="Times New Roman" w:cs="Times New Roman"/>
          <w:i/>
          <w:iCs/>
        </w:rPr>
        <w:t xml:space="preserve">et al., </w:t>
      </w:r>
      <w:r w:rsidRPr="00AE4D90">
        <w:rPr>
          <w:rFonts w:ascii="Times New Roman" w:hAnsi="Times New Roman" w:cs="Times New Roman"/>
        </w:rPr>
        <w:t xml:space="preserve">2019). Tannin sorghum varieties play important agronomic roles as it is a chemical barrier against pathogens, herbivores, insects, birds (Dykes and Rooney, 2006; Kimani </w:t>
      </w:r>
      <w:r w:rsidRPr="00AE4D90">
        <w:rPr>
          <w:rFonts w:ascii="Times New Roman" w:hAnsi="Times New Roman" w:cs="Times New Roman"/>
          <w:i/>
          <w:iCs/>
        </w:rPr>
        <w:t>et al.,</w:t>
      </w:r>
      <w:r w:rsidRPr="00AE4D90">
        <w:rPr>
          <w:rFonts w:ascii="Times New Roman" w:hAnsi="Times New Roman" w:cs="Times New Roman"/>
        </w:rPr>
        <w:t xml:space="preserve"> 2020; Palacios </w:t>
      </w:r>
      <w:r w:rsidRPr="00AE4D90">
        <w:rPr>
          <w:rFonts w:ascii="Times New Roman" w:hAnsi="Times New Roman" w:cs="Times New Roman"/>
          <w:i/>
          <w:iCs/>
        </w:rPr>
        <w:t>et al</w:t>
      </w:r>
      <w:r w:rsidRPr="00AE4D90">
        <w:rPr>
          <w:rFonts w:ascii="Times New Roman" w:hAnsi="Times New Roman" w:cs="Times New Roman"/>
        </w:rPr>
        <w:t xml:space="preserve">., 2021). </w:t>
      </w:r>
    </w:p>
    <w:p w14:paraId="00A27C9B" w14:textId="77777777" w:rsidR="00D102FC" w:rsidRPr="00AE4D90" w:rsidRDefault="00D102FC" w:rsidP="00FF11FA">
      <w:pPr>
        <w:pStyle w:val="NormalWeb"/>
        <w:spacing w:line="480" w:lineRule="auto"/>
        <w:jc w:val="both"/>
      </w:pPr>
      <w:r w:rsidRPr="00AE4D90">
        <w:t xml:space="preserve">Sorghum has been valued as a potential source of dietary fiber (Gaytán-Martínez, 2020; Rashwan </w:t>
      </w:r>
      <w:r w:rsidRPr="00612B97">
        <w:rPr>
          <w:i/>
          <w:iCs/>
        </w:rPr>
        <w:t>et al</w:t>
      </w:r>
      <w:r w:rsidRPr="00AE4D90">
        <w:t xml:space="preserve">., 2021) and minerals – magnesium, iron and zinc (Espitia-Hernández </w:t>
      </w:r>
      <w:r w:rsidRPr="00344314">
        <w:rPr>
          <w:i/>
          <w:iCs/>
        </w:rPr>
        <w:t>et al.,</w:t>
      </w:r>
      <w:r w:rsidRPr="00AE4D90">
        <w:t xml:space="preserve"> 2020; Kimani </w:t>
      </w:r>
      <w:r w:rsidRPr="00612B97">
        <w:rPr>
          <w:i/>
          <w:iCs/>
        </w:rPr>
        <w:t xml:space="preserve">et al., </w:t>
      </w:r>
      <w:r w:rsidRPr="00AE4D90">
        <w:t xml:space="preserve">2020; Paiva </w:t>
      </w:r>
      <w:r w:rsidRPr="00AE4D90">
        <w:rPr>
          <w:i/>
          <w:iCs/>
        </w:rPr>
        <w:t>et al</w:t>
      </w:r>
      <w:r w:rsidRPr="00AE4D90">
        <w:t xml:space="preserve">., 2017). In addition, sorghum is rich in bioactive compounds, which are responsible for health effects including the prevention of oxidative stress, obesity, dyslipidemia, cardiovascular disease, and hypertension (Gaytán-Martínez, 2020; Lee </w:t>
      </w:r>
      <w:r w:rsidRPr="00AE4D90">
        <w:rPr>
          <w:i/>
          <w:iCs/>
        </w:rPr>
        <w:t>et al</w:t>
      </w:r>
      <w:r w:rsidRPr="00AE4D90">
        <w:t>., 2020). These beneficial effects can be associated with the presence of phenolic compounds and biologically active amines. In fact, phenolic compounds have anti-inflammatory, anti-carcinogenic and anti-diabetic properties and can prevent oxidative stress (Espitia-Hernández</w:t>
      </w:r>
      <w:r w:rsidRPr="00AE4D90">
        <w:rPr>
          <w:i/>
          <w:iCs/>
        </w:rPr>
        <w:t xml:space="preserve"> et al</w:t>
      </w:r>
      <w:r w:rsidRPr="00AE4D90">
        <w:t xml:space="preserve">., 2020; Gaytán-Martínez, 2020; Ghimire, Seo, Yu, Kim, and Chung, 2021; Kimani </w:t>
      </w:r>
      <w:r w:rsidRPr="00344314">
        <w:rPr>
          <w:i/>
          <w:iCs/>
        </w:rPr>
        <w:t>et al</w:t>
      </w:r>
      <w:r w:rsidRPr="00AE4D90">
        <w:t xml:space="preserve">., 2020; Luo </w:t>
      </w:r>
      <w:r w:rsidRPr="00AE4D90">
        <w:rPr>
          <w:i/>
          <w:iCs/>
        </w:rPr>
        <w:t>et al</w:t>
      </w:r>
      <w:r w:rsidRPr="00AE4D90">
        <w:t xml:space="preserve">., 2018; Ofosu </w:t>
      </w:r>
      <w:r w:rsidRPr="00AE4D90">
        <w:rPr>
          <w:i/>
          <w:iCs/>
        </w:rPr>
        <w:t>et al.,</w:t>
      </w:r>
      <w:r w:rsidRPr="00AE4D90">
        <w:t xml:space="preserve"> 2021; Teferra</w:t>
      </w:r>
      <w:r w:rsidRPr="00AE4D90">
        <w:rPr>
          <w:i/>
          <w:iCs/>
        </w:rPr>
        <w:t xml:space="preserve"> et al.,</w:t>
      </w:r>
      <w:r w:rsidRPr="00AE4D90">
        <w:t xml:space="preserve"> 2019). Anatomically, sorghum displays Kranz anatomy, indicative of C4 photosynthesis, which confers high efficiency in carbon fixation and water-use. This makes it more productive in hot, dry environments compared to C3 crops like wheat (Zhao</w:t>
      </w:r>
      <w:r w:rsidRPr="00344314">
        <w:rPr>
          <w:i/>
          <w:iCs/>
        </w:rPr>
        <w:t xml:space="preserve"> et al</w:t>
      </w:r>
      <w:r w:rsidRPr="00AE4D90">
        <w:t>., 2016).</w:t>
      </w:r>
    </w:p>
    <w:p w14:paraId="7492E8B3" w14:textId="77777777" w:rsidR="00D102FC" w:rsidRPr="00AE4D90" w:rsidRDefault="00D102FC" w:rsidP="00FF11FA">
      <w:pPr>
        <w:pStyle w:val="NormalWeb"/>
        <w:spacing w:line="480" w:lineRule="auto"/>
        <w:jc w:val="both"/>
      </w:pPr>
      <w:r w:rsidRPr="00AE4D90">
        <w:t xml:space="preserve">Physiologically, sorghum is capable of closing its stomata rapidly to prevent moisture loss. Its epicuticular wax layer and sunken stomata reduce transpiration, traits that make it ideal for regions experiencing unpredictable rainfall (Yohannes </w:t>
      </w:r>
      <w:r w:rsidRPr="0096556F">
        <w:rPr>
          <w:i/>
          <w:iCs/>
        </w:rPr>
        <w:t>et al.,</w:t>
      </w:r>
      <w:r w:rsidRPr="00AE4D90">
        <w:t xml:space="preserve"> 2020).</w:t>
      </w:r>
    </w:p>
    <w:p w14:paraId="42F6032E" w14:textId="77777777" w:rsidR="00D102FC" w:rsidRPr="00AE4D90" w:rsidRDefault="00D102FC" w:rsidP="00FF11FA">
      <w:pPr>
        <w:pStyle w:val="NormalWeb"/>
        <w:spacing w:line="480" w:lineRule="auto"/>
        <w:jc w:val="both"/>
      </w:pPr>
      <w:r w:rsidRPr="00AE4D90">
        <w:t>Its growth stages span from germination, seedling, tillering, panicle initiation, flowering, and grain filling, with the duration influenced by cultivar and environmental conditions. The crop's adaptability to diverse soils and its photoperiod insensitivity contribute to its broad cultivation across ecological zones (IITA, 2021).</w:t>
      </w:r>
    </w:p>
    <w:p w14:paraId="72E4CD28" w14:textId="12FFAD9E" w:rsidR="00D102FC" w:rsidRPr="00B71C23" w:rsidRDefault="00D102FC" w:rsidP="00FF11FA">
      <w:pPr>
        <w:pStyle w:val="Heading1"/>
        <w:rPr>
          <w:rFonts w:eastAsia="Times New Roman"/>
          <w:b w:val="0"/>
          <w:i/>
          <w:iCs/>
        </w:rPr>
      </w:pPr>
      <w:bookmarkStart w:id="11" w:name="_Toc214285874"/>
      <w:r w:rsidRPr="00B71C23">
        <w:rPr>
          <w:rStyle w:val="Strong"/>
          <w:rFonts w:eastAsia="Times New Roman" w:cs="Times New Roman"/>
          <w:b/>
          <w:color w:val="000000" w:themeColor="text1"/>
        </w:rPr>
        <w:t>2.1.1 Taxonomy</w:t>
      </w:r>
      <w:bookmarkEnd w:id="11"/>
    </w:p>
    <w:p w14:paraId="4E9F6261"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Style w:val="Emphasis"/>
          <w:rFonts w:ascii="Times New Roman" w:hAnsi="Times New Roman" w:cs="Times New Roman"/>
        </w:rPr>
        <w:t>Sorghum bicolor</w:t>
      </w:r>
      <w:r w:rsidRPr="00AE4D90">
        <w:rPr>
          <w:rFonts w:ascii="Times New Roman" w:hAnsi="Times New Roman" w:cs="Times New Roman"/>
        </w:rPr>
        <w:t xml:space="preserve"> (L.) Moench belongs to the family Poaceae (grass family). It is the most cultivated species within the </w:t>
      </w:r>
      <w:r w:rsidRPr="00AE4D90">
        <w:rPr>
          <w:rStyle w:val="Emphasis"/>
          <w:rFonts w:ascii="Times New Roman" w:hAnsi="Times New Roman" w:cs="Times New Roman"/>
        </w:rPr>
        <w:t>Sorghum</w:t>
      </w:r>
      <w:r w:rsidRPr="00AE4D90">
        <w:rPr>
          <w:rFonts w:ascii="Times New Roman" w:hAnsi="Times New Roman" w:cs="Times New Roman"/>
        </w:rPr>
        <w:t xml:space="preserve"> genus due to its adaptability and economic value (Kebede </w:t>
      </w:r>
      <w:r w:rsidRPr="00AE4D90">
        <w:rPr>
          <w:rFonts w:ascii="Times New Roman" w:hAnsi="Times New Roman" w:cs="Times New Roman"/>
          <w:i/>
          <w:iCs/>
        </w:rPr>
        <w:t>et al.,</w:t>
      </w:r>
      <w:r w:rsidRPr="00AE4D90">
        <w:rPr>
          <w:rFonts w:ascii="Times New Roman" w:hAnsi="Times New Roman" w:cs="Times New Roman"/>
        </w:rPr>
        <w:t xml:space="preserve"> 2012).</w:t>
      </w:r>
    </w:p>
    <w:p w14:paraId="538DFDD3" w14:textId="77777777" w:rsidR="00D102FC" w:rsidRPr="00AE4D90" w:rsidRDefault="00D102FC" w:rsidP="00D102FC">
      <w:pPr>
        <w:numPr>
          <w:ilvl w:val="0"/>
          <w:numId w:val="5"/>
        </w:numPr>
        <w:spacing w:before="100" w:beforeAutospacing="1" w:after="100" w:afterAutospacing="1" w:line="480" w:lineRule="auto"/>
        <w:jc w:val="both"/>
        <w:rPr>
          <w:rFonts w:ascii="Times New Roman" w:hAnsi="Times New Roman" w:cs="Times New Roman"/>
        </w:rPr>
      </w:pPr>
      <w:r w:rsidRPr="00AE4D90">
        <w:rPr>
          <w:rStyle w:val="Strong"/>
          <w:rFonts w:ascii="Times New Roman" w:hAnsi="Times New Roman" w:cs="Times New Roman"/>
        </w:rPr>
        <w:t>Kingdom</w:t>
      </w:r>
      <w:r w:rsidRPr="00AE4D90">
        <w:rPr>
          <w:rFonts w:ascii="Times New Roman" w:hAnsi="Times New Roman" w:cs="Times New Roman"/>
        </w:rPr>
        <w:t>: Plantae</w:t>
      </w:r>
    </w:p>
    <w:p w14:paraId="094F78A6" w14:textId="77777777" w:rsidR="00D102FC" w:rsidRPr="00AE4D90" w:rsidRDefault="00D102FC" w:rsidP="00D102FC">
      <w:pPr>
        <w:numPr>
          <w:ilvl w:val="0"/>
          <w:numId w:val="5"/>
        </w:numPr>
        <w:spacing w:before="100" w:beforeAutospacing="1" w:after="100" w:afterAutospacing="1" w:line="480" w:lineRule="auto"/>
        <w:jc w:val="both"/>
        <w:rPr>
          <w:rFonts w:ascii="Times New Roman" w:hAnsi="Times New Roman" w:cs="Times New Roman"/>
        </w:rPr>
      </w:pPr>
      <w:r w:rsidRPr="00AE4D90">
        <w:rPr>
          <w:rStyle w:val="Strong"/>
          <w:rFonts w:ascii="Times New Roman" w:hAnsi="Times New Roman" w:cs="Times New Roman"/>
        </w:rPr>
        <w:t>Clade</w:t>
      </w:r>
      <w:r w:rsidRPr="00AE4D90">
        <w:rPr>
          <w:rFonts w:ascii="Times New Roman" w:hAnsi="Times New Roman" w:cs="Times New Roman"/>
        </w:rPr>
        <w:t>: Angiosperms</w:t>
      </w:r>
    </w:p>
    <w:p w14:paraId="48D4287C" w14:textId="77777777" w:rsidR="00D102FC" w:rsidRPr="00AE4D90" w:rsidRDefault="00D102FC" w:rsidP="00D102FC">
      <w:pPr>
        <w:numPr>
          <w:ilvl w:val="0"/>
          <w:numId w:val="5"/>
        </w:numPr>
        <w:spacing w:before="100" w:beforeAutospacing="1" w:after="100" w:afterAutospacing="1" w:line="480" w:lineRule="auto"/>
        <w:jc w:val="both"/>
        <w:rPr>
          <w:rFonts w:ascii="Times New Roman" w:hAnsi="Times New Roman" w:cs="Times New Roman"/>
        </w:rPr>
      </w:pPr>
      <w:r w:rsidRPr="00AE4D90">
        <w:rPr>
          <w:rStyle w:val="Strong"/>
          <w:rFonts w:ascii="Times New Roman" w:hAnsi="Times New Roman" w:cs="Times New Roman"/>
        </w:rPr>
        <w:t>Clade</w:t>
      </w:r>
      <w:r w:rsidRPr="00AE4D90">
        <w:rPr>
          <w:rFonts w:ascii="Times New Roman" w:hAnsi="Times New Roman" w:cs="Times New Roman"/>
        </w:rPr>
        <w:t>: Monocots</w:t>
      </w:r>
    </w:p>
    <w:p w14:paraId="0E21EF06" w14:textId="77777777" w:rsidR="00D102FC" w:rsidRPr="00AE4D90" w:rsidRDefault="00D102FC" w:rsidP="00D102FC">
      <w:pPr>
        <w:numPr>
          <w:ilvl w:val="0"/>
          <w:numId w:val="5"/>
        </w:numPr>
        <w:spacing w:before="100" w:beforeAutospacing="1" w:after="100" w:afterAutospacing="1" w:line="480" w:lineRule="auto"/>
        <w:jc w:val="both"/>
        <w:rPr>
          <w:rFonts w:ascii="Times New Roman" w:hAnsi="Times New Roman" w:cs="Times New Roman"/>
        </w:rPr>
      </w:pPr>
      <w:r w:rsidRPr="00AE4D90">
        <w:rPr>
          <w:rStyle w:val="Strong"/>
          <w:rFonts w:ascii="Times New Roman" w:hAnsi="Times New Roman" w:cs="Times New Roman"/>
        </w:rPr>
        <w:t>Order</w:t>
      </w:r>
      <w:r w:rsidRPr="00AE4D90">
        <w:rPr>
          <w:rFonts w:ascii="Times New Roman" w:hAnsi="Times New Roman" w:cs="Times New Roman"/>
        </w:rPr>
        <w:t>: Poales</w:t>
      </w:r>
    </w:p>
    <w:p w14:paraId="46DB61B7" w14:textId="77777777" w:rsidR="00D102FC" w:rsidRPr="00AE4D90" w:rsidRDefault="00D102FC" w:rsidP="00D102FC">
      <w:pPr>
        <w:numPr>
          <w:ilvl w:val="0"/>
          <w:numId w:val="5"/>
        </w:numPr>
        <w:spacing w:before="100" w:beforeAutospacing="1" w:after="100" w:afterAutospacing="1" w:line="480" w:lineRule="auto"/>
        <w:jc w:val="both"/>
        <w:rPr>
          <w:rFonts w:ascii="Times New Roman" w:hAnsi="Times New Roman" w:cs="Times New Roman"/>
        </w:rPr>
      </w:pPr>
      <w:r w:rsidRPr="00AE4D90">
        <w:rPr>
          <w:rStyle w:val="Strong"/>
          <w:rFonts w:ascii="Times New Roman" w:hAnsi="Times New Roman" w:cs="Times New Roman"/>
        </w:rPr>
        <w:t>Family</w:t>
      </w:r>
      <w:r w:rsidRPr="00AE4D90">
        <w:rPr>
          <w:rFonts w:ascii="Times New Roman" w:hAnsi="Times New Roman" w:cs="Times New Roman"/>
        </w:rPr>
        <w:t>: Poaceae</w:t>
      </w:r>
    </w:p>
    <w:p w14:paraId="69408D95" w14:textId="77777777" w:rsidR="00D102FC" w:rsidRPr="00AE4D90" w:rsidRDefault="00D102FC" w:rsidP="00D102FC">
      <w:pPr>
        <w:numPr>
          <w:ilvl w:val="0"/>
          <w:numId w:val="5"/>
        </w:numPr>
        <w:spacing w:before="100" w:beforeAutospacing="1" w:after="100" w:afterAutospacing="1" w:line="480" w:lineRule="auto"/>
        <w:jc w:val="both"/>
        <w:rPr>
          <w:rFonts w:ascii="Times New Roman" w:hAnsi="Times New Roman" w:cs="Times New Roman"/>
        </w:rPr>
      </w:pPr>
      <w:r w:rsidRPr="00AE4D90">
        <w:rPr>
          <w:rStyle w:val="Strong"/>
          <w:rFonts w:ascii="Times New Roman" w:hAnsi="Times New Roman" w:cs="Times New Roman"/>
        </w:rPr>
        <w:t>Genus</w:t>
      </w:r>
      <w:r w:rsidRPr="00AE4D90">
        <w:rPr>
          <w:rFonts w:ascii="Times New Roman" w:hAnsi="Times New Roman" w:cs="Times New Roman"/>
        </w:rPr>
        <w:t xml:space="preserve">: </w:t>
      </w:r>
      <w:r w:rsidRPr="00AE4D90">
        <w:rPr>
          <w:rStyle w:val="Emphasis"/>
          <w:rFonts w:ascii="Times New Roman" w:hAnsi="Times New Roman" w:cs="Times New Roman"/>
        </w:rPr>
        <w:t>Sorghum</w:t>
      </w:r>
    </w:p>
    <w:p w14:paraId="6C8480BE" w14:textId="77777777" w:rsidR="00D102FC" w:rsidRPr="00AE4D90" w:rsidRDefault="00D102FC" w:rsidP="00D102FC">
      <w:pPr>
        <w:numPr>
          <w:ilvl w:val="0"/>
          <w:numId w:val="5"/>
        </w:numPr>
        <w:spacing w:before="100" w:beforeAutospacing="1" w:after="100" w:afterAutospacing="1" w:line="480" w:lineRule="auto"/>
        <w:jc w:val="both"/>
        <w:rPr>
          <w:rFonts w:ascii="Times New Roman" w:hAnsi="Times New Roman" w:cs="Times New Roman"/>
        </w:rPr>
      </w:pPr>
      <w:r w:rsidRPr="00AE4D90">
        <w:rPr>
          <w:rStyle w:val="Strong"/>
          <w:rFonts w:ascii="Times New Roman" w:hAnsi="Times New Roman" w:cs="Times New Roman"/>
        </w:rPr>
        <w:t>Species</w:t>
      </w:r>
      <w:r w:rsidRPr="00AE4D90">
        <w:rPr>
          <w:rFonts w:ascii="Times New Roman" w:hAnsi="Times New Roman" w:cs="Times New Roman"/>
        </w:rPr>
        <w:t xml:space="preserve">: </w:t>
      </w:r>
      <w:r w:rsidRPr="00AE4D90">
        <w:rPr>
          <w:rStyle w:val="Emphasis"/>
          <w:rFonts w:ascii="Times New Roman" w:hAnsi="Times New Roman" w:cs="Times New Roman"/>
        </w:rPr>
        <w:t>Sorghum bicolor</w:t>
      </w:r>
      <w:r w:rsidRPr="00AE4D90">
        <w:rPr>
          <w:rFonts w:ascii="Times New Roman" w:hAnsi="Times New Roman" w:cs="Times New Roman"/>
        </w:rPr>
        <w:t xml:space="preserve"> (L.) Moench</w:t>
      </w:r>
    </w:p>
    <w:p w14:paraId="324BDD47"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Style w:val="Emphasis"/>
          <w:rFonts w:ascii="Times New Roman" w:hAnsi="Times New Roman" w:cs="Times New Roman"/>
        </w:rPr>
        <w:t>Sorghum</w:t>
      </w:r>
      <w:r w:rsidRPr="00AE4D90">
        <w:rPr>
          <w:rFonts w:ascii="Times New Roman" w:hAnsi="Times New Roman" w:cs="Times New Roman"/>
        </w:rPr>
        <w:t xml:space="preserve"> is divided into several races: </w:t>
      </w:r>
      <w:r w:rsidRPr="00AE4D90">
        <w:rPr>
          <w:rStyle w:val="Emphasis"/>
          <w:rFonts w:ascii="Times New Roman" w:hAnsi="Times New Roman" w:cs="Times New Roman"/>
        </w:rPr>
        <w:t>bicolor</w:t>
      </w:r>
      <w:r w:rsidRPr="00AE4D90">
        <w:rPr>
          <w:rFonts w:ascii="Times New Roman" w:hAnsi="Times New Roman" w:cs="Times New Roman"/>
        </w:rPr>
        <w:t xml:space="preserve">, </w:t>
      </w:r>
      <w:r w:rsidRPr="00AE4D90">
        <w:rPr>
          <w:rStyle w:val="Emphasis"/>
          <w:rFonts w:ascii="Times New Roman" w:hAnsi="Times New Roman" w:cs="Times New Roman"/>
        </w:rPr>
        <w:t>guinea</w:t>
      </w:r>
      <w:r w:rsidRPr="00AE4D90">
        <w:rPr>
          <w:rFonts w:ascii="Times New Roman" w:hAnsi="Times New Roman" w:cs="Times New Roman"/>
        </w:rPr>
        <w:t xml:space="preserve">, </w:t>
      </w:r>
      <w:r w:rsidRPr="00AE4D90">
        <w:rPr>
          <w:rStyle w:val="Emphasis"/>
          <w:rFonts w:ascii="Times New Roman" w:hAnsi="Times New Roman" w:cs="Times New Roman"/>
        </w:rPr>
        <w:t>durra</w:t>
      </w:r>
      <w:r w:rsidRPr="00AE4D90">
        <w:rPr>
          <w:rFonts w:ascii="Times New Roman" w:hAnsi="Times New Roman" w:cs="Times New Roman"/>
        </w:rPr>
        <w:t xml:space="preserve">, </w:t>
      </w:r>
      <w:r w:rsidRPr="00AE4D90">
        <w:rPr>
          <w:rStyle w:val="Emphasis"/>
          <w:rFonts w:ascii="Times New Roman" w:hAnsi="Times New Roman" w:cs="Times New Roman"/>
        </w:rPr>
        <w:t>kafir</w:t>
      </w:r>
      <w:r w:rsidRPr="00AE4D90">
        <w:rPr>
          <w:rFonts w:ascii="Times New Roman" w:hAnsi="Times New Roman" w:cs="Times New Roman"/>
        </w:rPr>
        <w:t xml:space="preserve">, and </w:t>
      </w:r>
      <w:r w:rsidRPr="00AE4D90">
        <w:rPr>
          <w:rStyle w:val="Emphasis"/>
          <w:rFonts w:ascii="Times New Roman" w:hAnsi="Times New Roman" w:cs="Times New Roman"/>
        </w:rPr>
        <w:t>caudatum</w:t>
      </w:r>
      <w:r w:rsidRPr="00AE4D90">
        <w:rPr>
          <w:rFonts w:ascii="Times New Roman" w:hAnsi="Times New Roman" w:cs="Times New Roman"/>
        </w:rPr>
        <w:t xml:space="preserve">, with many intermediate forms. These races have adapted to diverse environments and reflect centuries of farmer selection (Upadhyaya </w:t>
      </w:r>
      <w:r w:rsidRPr="00AE4D90">
        <w:rPr>
          <w:rFonts w:ascii="Times New Roman" w:hAnsi="Times New Roman" w:cs="Times New Roman"/>
          <w:i/>
          <w:iCs/>
        </w:rPr>
        <w:t>et al</w:t>
      </w:r>
      <w:r w:rsidRPr="00AE4D90">
        <w:rPr>
          <w:rFonts w:ascii="Times New Roman" w:hAnsi="Times New Roman" w:cs="Times New Roman"/>
        </w:rPr>
        <w:t>., 2016).</w:t>
      </w:r>
    </w:p>
    <w:p w14:paraId="2374C7FC" w14:textId="77777777" w:rsidR="00D102FC" w:rsidRPr="00B71C23" w:rsidRDefault="00D102FC" w:rsidP="00FF11FA">
      <w:pPr>
        <w:pStyle w:val="Heading1"/>
        <w:rPr>
          <w:rFonts w:eastAsia="Times New Roman"/>
          <w:b w:val="0"/>
          <w:i/>
          <w:iCs/>
        </w:rPr>
      </w:pPr>
      <w:bookmarkStart w:id="12" w:name="_Toc214285875"/>
      <w:r w:rsidRPr="00B71C23">
        <w:rPr>
          <w:rStyle w:val="Strong"/>
          <w:rFonts w:eastAsia="Times New Roman" w:cs="Times New Roman"/>
          <w:b/>
          <w:color w:val="000000" w:themeColor="text1"/>
        </w:rPr>
        <w:t>2.1.2 Morphology</w:t>
      </w:r>
      <w:bookmarkEnd w:id="12"/>
    </w:p>
    <w:p w14:paraId="5228C432"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Style w:val="Emphasis"/>
          <w:rFonts w:ascii="Times New Roman" w:hAnsi="Times New Roman" w:cs="Times New Roman"/>
        </w:rPr>
        <w:t>Sorghum bicolor</w:t>
      </w:r>
      <w:r w:rsidRPr="00AE4D90">
        <w:rPr>
          <w:rFonts w:ascii="Times New Roman" w:hAnsi="Times New Roman" w:cs="Times New Roman"/>
        </w:rPr>
        <w:t xml:space="preserve"> is an erect annual grass that can reach heights between 1.5–4 meters. The stem is solid and may be sweet or dry depending on the variety. Leaves are linear, alternately arranged, and grow up to 100 cm long and 5–10 cm wide (Girma</w:t>
      </w:r>
      <w:r w:rsidRPr="00AE4D90">
        <w:rPr>
          <w:rFonts w:ascii="Times New Roman" w:hAnsi="Times New Roman" w:cs="Times New Roman"/>
          <w:i/>
          <w:iCs/>
        </w:rPr>
        <w:t xml:space="preserve"> et al</w:t>
      </w:r>
      <w:r w:rsidRPr="00AE4D90">
        <w:rPr>
          <w:rFonts w:ascii="Times New Roman" w:hAnsi="Times New Roman" w:cs="Times New Roman"/>
        </w:rPr>
        <w:t>., 2015).</w:t>
      </w:r>
    </w:p>
    <w:p w14:paraId="00FB8E1B" w14:textId="77777777" w:rsidR="00D102FC"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The inflorescence is a panicle that may be loose or compact. Grains are caryopses, variable in size and color. The root system is fibrous, supporting its ability to tolerate drought and nutrient-poor soils (Obilana</w:t>
      </w:r>
      <w:r w:rsidRPr="00AE4D90">
        <w:rPr>
          <w:rFonts w:ascii="Times New Roman" w:hAnsi="Times New Roman" w:cs="Times New Roman"/>
          <w:i/>
          <w:iCs/>
        </w:rPr>
        <w:t xml:space="preserve"> et al</w:t>
      </w:r>
      <w:r w:rsidRPr="00AE4D90">
        <w:rPr>
          <w:rFonts w:ascii="Times New Roman" w:hAnsi="Times New Roman" w:cs="Times New Roman"/>
        </w:rPr>
        <w:t>., 2013).</w:t>
      </w:r>
    </w:p>
    <w:p w14:paraId="4D87506A" w14:textId="6D01E1AD" w:rsidR="00D102FC" w:rsidRPr="00FE3661" w:rsidRDefault="00D102FC" w:rsidP="00FF11FA">
      <w:pPr>
        <w:pStyle w:val="Heading1"/>
      </w:pPr>
      <w:bookmarkStart w:id="13" w:name="_Toc214285876"/>
      <w:r>
        <w:t xml:space="preserve">2.2 </w:t>
      </w:r>
      <w:r w:rsidRPr="00FE3661">
        <w:t>Botanical Description of Wheat (</w:t>
      </w:r>
      <w:r w:rsidRPr="00EC2280">
        <w:rPr>
          <w:i/>
          <w:iCs/>
        </w:rPr>
        <w:t>Triticum</w:t>
      </w:r>
      <w:r w:rsidRPr="00FE3661">
        <w:t xml:space="preserve"> </w:t>
      </w:r>
      <w:r w:rsidRPr="00EC2280">
        <w:rPr>
          <w:i/>
          <w:iCs/>
        </w:rPr>
        <w:t>aestivum</w:t>
      </w:r>
      <w:r w:rsidRPr="00FE3661">
        <w:t>)</w:t>
      </w:r>
      <w:bookmarkEnd w:id="13"/>
    </w:p>
    <w:p w14:paraId="5B24CB99" w14:textId="77777777" w:rsidR="00D102FC" w:rsidRDefault="00D102FC" w:rsidP="00FF11FA">
      <w:pPr>
        <w:spacing w:before="100" w:beforeAutospacing="1" w:after="100" w:afterAutospacing="1" w:line="480" w:lineRule="auto"/>
        <w:jc w:val="both"/>
        <w:rPr>
          <w:rFonts w:ascii="Times New Roman" w:hAnsi="Times New Roman" w:cs="Times New Roman"/>
        </w:rPr>
      </w:pPr>
      <w:r w:rsidRPr="00EC2280">
        <w:rPr>
          <w:rFonts w:ascii="Times New Roman" w:hAnsi="Times New Roman" w:cs="Times New Roman"/>
          <w:i/>
          <w:iCs/>
        </w:rPr>
        <w:t>Triticum aestivum</w:t>
      </w:r>
      <w:r>
        <w:rPr>
          <w:rFonts w:ascii="Times New Roman" w:hAnsi="Times New Roman" w:cs="Times New Roman"/>
        </w:rPr>
        <w:t>, commonly known as bread wheat, is a globally cultivated temperate cereal crop in the Poaceae family. It has an erect growth habit with slender stems that produce multiple tillers. Each tiller supports a spike or ear composed of spikelets, which contain two to five florets capable of producing grains (Shewry &amp; Hey, 2015).</w:t>
      </w:r>
    </w:p>
    <w:p w14:paraId="2DA390C3"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 xml:space="preserve">Wheat roots are fibrous and shallower compared to sorghum, making them more sensitive to topsoil fertility. Its leaves are long, narrow, and bluish-green, with parallel venation and a well-developed ligule. Wheat is a C3 plant, thus less efficient in water and nitrogen use under high temperature and low rainfall conditions (Kazan &amp; Lyons, 2016; Zhao </w:t>
      </w:r>
      <w:r w:rsidRPr="00FE3661">
        <w:rPr>
          <w:rFonts w:ascii="Times New Roman" w:hAnsi="Times New Roman" w:cs="Times New Roman"/>
          <w:i/>
          <w:iCs/>
        </w:rPr>
        <w:t>et al.,</w:t>
      </w:r>
      <w:r>
        <w:rPr>
          <w:rFonts w:ascii="Times New Roman" w:hAnsi="Times New Roman" w:cs="Times New Roman"/>
        </w:rPr>
        <w:t xml:space="preserve"> 2017).</w:t>
      </w:r>
    </w:p>
    <w:p w14:paraId="76F55D0E"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The crop grows optimally at temperatures between 15–25°C and requires fertile loamy soils with adequate nitrogen and phosphorus. Growth stages include germination, tillering, stem elongation, heading, anthesis, and grain filling. The crop is typically photoperiod-insensitive, allowing for flexible planting across zones.</w:t>
      </w:r>
    </w:p>
    <w:p w14:paraId="3DFFE895" w14:textId="77777777" w:rsidR="00D102FC" w:rsidRPr="009E4D8C" w:rsidRDefault="00D102FC" w:rsidP="00FF11FA">
      <w:pPr>
        <w:pStyle w:val="Heading1"/>
      </w:pPr>
      <w:bookmarkStart w:id="14" w:name="_Toc214285877"/>
      <w:r w:rsidRPr="009E4D8C">
        <w:t>2.2.1 Taxonomically, wheat is classified as:</w:t>
      </w:r>
      <w:bookmarkEnd w:id="14"/>
    </w:p>
    <w:p w14:paraId="1D8A77C5"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Kingdom: Plantae</w:t>
      </w:r>
    </w:p>
    <w:p w14:paraId="642179A9"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Phylum: Angiosperms</w:t>
      </w:r>
    </w:p>
    <w:p w14:paraId="734531F7"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Class: Monocotyledonae</w:t>
      </w:r>
    </w:p>
    <w:p w14:paraId="409ACE50"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Order: Poales</w:t>
      </w:r>
    </w:p>
    <w:p w14:paraId="0DE99707"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Family: Poaceae</w:t>
      </w:r>
    </w:p>
    <w:p w14:paraId="5553915A"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Genus: Triticum</w:t>
      </w:r>
    </w:p>
    <w:p w14:paraId="01FC112D"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Species</w:t>
      </w:r>
      <w:r w:rsidRPr="00EC2280">
        <w:rPr>
          <w:rFonts w:ascii="Times New Roman" w:hAnsi="Times New Roman" w:cs="Times New Roman"/>
        </w:rPr>
        <w:t>:</w:t>
      </w:r>
      <w:r w:rsidRPr="00EC2280">
        <w:rPr>
          <w:rFonts w:ascii="Times New Roman" w:hAnsi="Times New Roman" w:cs="Times New Roman"/>
          <w:i/>
          <w:iCs/>
        </w:rPr>
        <w:t xml:space="preserve"> T. Aestivum</w:t>
      </w:r>
    </w:p>
    <w:p w14:paraId="3E2B98E8" w14:textId="77777777" w:rsidR="00D102FC" w:rsidRPr="00F769F1" w:rsidRDefault="00D102FC" w:rsidP="00FF11FA">
      <w:pPr>
        <w:pStyle w:val="Heading1"/>
      </w:pPr>
      <w:bookmarkStart w:id="15" w:name="_Toc214285878"/>
      <w:r w:rsidRPr="00F769F1">
        <w:t>2.3 Comparative Morphology and Physiology of Sorghum bicolor and Triticum aestivum</w:t>
      </w:r>
      <w:bookmarkEnd w:id="15"/>
    </w:p>
    <w:p w14:paraId="2995C08C"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Despite both belonging to the same family (Poaceae),</w:t>
      </w:r>
      <w:r w:rsidRPr="00EC2280">
        <w:rPr>
          <w:rFonts w:ascii="Times New Roman" w:hAnsi="Times New Roman" w:cs="Times New Roman"/>
          <w:i/>
          <w:iCs/>
        </w:rPr>
        <w:t xml:space="preserve"> S. Bicolor</w:t>
      </w:r>
      <w:r>
        <w:rPr>
          <w:rFonts w:ascii="Times New Roman" w:hAnsi="Times New Roman" w:cs="Times New Roman"/>
        </w:rPr>
        <w:t xml:space="preserve"> and</w:t>
      </w:r>
      <w:r w:rsidRPr="00EC2280">
        <w:rPr>
          <w:rFonts w:ascii="Times New Roman" w:hAnsi="Times New Roman" w:cs="Times New Roman"/>
          <w:i/>
          <w:iCs/>
        </w:rPr>
        <w:t xml:space="preserve"> T. Aestivum</w:t>
      </w:r>
      <w:r>
        <w:rPr>
          <w:rFonts w:ascii="Times New Roman" w:hAnsi="Times New Roman" w:cs="Times New Roman"/>
        </w:rPr>
        <w:t xml:space="preserve"> exhibit differences in morphology and physiology. Sorghum has thicker stems, broader leaves, and a more robust root system adapted to dry climates, while wheat has a finer structure suited to cooler and moist environments (Upadhyaya </w:t>
      </w:r>
      <w:r w:rsidRPr="003C0942">
        <w:rPr>
          <w:rFonts w:ascii="Times New Roman" w:hAnsi="Times New Roman" w:cs="Times New Roman"/>
          <w:i/>
          <w:iCs/>
        </w:rPr>
        <w:t xml:space="preserve">et al., </w:t>
      </w:r>
      <w:r>
        <w:rPr>
          <w:rFonts w:ascii="Times New Roman" w:hAnsi="Times New Roman" w:cs="Times New Roman"/>
        </w:rPr>
        <w:t>2016).</w:t>
      </w:r>
    </w:p>
    <w:p w14:paraId="7108712E"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 xml:space="preserve">Photosynthetically, sorghum employs a C4 pathway, which provides greater water-use and photosynthetic efficiency. Wheat’s C3 metabolism, in contrast, is less efficient under high temperatures but performs well in temperate climates (Yohannes </w:t>
      </w:r>
      <w:r w:rsidRPr="003C0942">
        <w:rPr>
          <w:rFonts w:ascii="Times New Roman" w:hAnsi="Times New Roman" w:cs="Times New Roman"/>
          <w:i/>
          <w:iCs/>
        </w:rPr>
        <w:t>et al.,</w:t>
      </w:r>
      <w:r>
        <w:rPr>
          <w:rFonts w:ascii="Times New Roman" w:hAnsi="Times New Roman" w:cs="Times New Roman"/>
        </w:rPr>
        <w:t xml:space="preserve"> 2020). As a result, sorghum is better suited to marginal lands, while wheat requires more intensive input management.</w:t>
      </w:r>
    </w:p>
    <w:p w14:paraId="6BEAE5FF"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 xml:space="preserve">Root system architecture also differs. Sorghum’s roots penetrate deeper into the soil, accessing subsoil moisture and nutrients, while wheat’s roots concentrate in the topsoil. This makes wheat more responsive to top-dressings and more vulnerable to drought (Ahmed </w:t>
      </w:r>
      <w:r w:rsidRPr="003C0942">
        <w:rPr>
          <w:rFonts w:ascii="Times New Roman" w:hAnsi="Times New Roman" w:cs="Times New Roman"/>
          <w:i/>
          <w:iCs/>
        </w:rPr>
        <w:t>et al.,</w:t>
      </w:r>
      <w:r>
        <w:rPr>
          <w:rFonts w:ascii="Times New Roman" w:hAnsi="Times New Roman" w:cs="Times New Roman"/>
        </w:rPr>
        <w:t xml:space="preserve"> 2020).</w:t>
      </w:r>
    </w:p>
    <w:p w14:paraId="2D86643E"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Growth habit and phenology are also key differentiators. Sorghum’s long growth cycle and heat tolerance enable extended field duration, whereas wheat matures more rapidly and is sensitive to heat during grain filling. Understanding these differences is critical when comparing their response to fertilizers and field management strategies (Zhao</w:t>
      </w:r>
      <w:r w:rsidRPr="003C0942">
        <w:rPr>
          <w:rFonts w:ascii="Times New Roman" w:hAnsi="Times New Roman" w:cs="Times New Roman"/>
          <w:i/>
          <w:iCs/>
        </w:rPr>
        <w:t xml:space="preserve"> et al</w:t>
      </w:r>
      <w:r>
        <w:rPr>
          <w:rFonts w:ascii="Times New Roman" w:hAnsi="Times New Roman" w:cs="Times New Roman"/>
        </w:rPr>
        <w:t>., 2017).</w:t>
      </w:r>
    </w:p>
    <w:p w14:paraId="17C07B10" w14:textId="77777777" w:rsidR="00D102FC" w:rsidRPr="00F769F1" w:rsidRDefault="00D102FC" w:rsidP="00FF11FA">
      <w:pPr>
        <w:pStyle w:val="Heading1"/>
      </w:pPr>
      <w:bookmarkStart w:id="16" w:name="_Toc214285879"/>
      <w:r w:rsidRPr="00F769F1">
        <w:t>2.4 Importance of Seed Germination and Early Seedling Growth</w:t>
      </w:r>
      <w:bookmarkEnd w:id="16"/>
    </w:p>
    <w:p w14:paraId="4E3DD4CD"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 xml:space="preserve">The success of any cereal crop depends on rapid and uniform seed germination, followed by vigorous seedling growth. These early stages determine plant establishment, competitiveness, and final yield. Delays or uneven germination can lead to reduced stand density and increased susceptibility to pests and diseases (Aliyu </w:t>
      </w:r>
      <w:r w:rsidRPr="003C0942">
        <w:rPr>
          <w:rFonts w:ascii="Times New Roman" w:hAnsi="Times New Roman" w:cs="Times New Roman"/>
          <w:i/>
          <w:iCs/>
        </w:rPr>
        <w:t>et al.,</w:t>
      </w:r>
      <w:r>
        <w:rPr>
          <w:rFonts w:ascii="Times New Roman" w:hAnsi="Times New Roman" w:cs="Times New Roman"/>
        </w:rPr>
        <w:t xml:space="preserve"> 2019).</w:t>
      </w:r>
    </w:p>
    <w:p w14:paraId="35199AF5"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Seedling vigor is influenced by intrinsic seed properties, soil temperature, moisture, and nutrient availability. Nutrient-deficient soils, which are common in sub-Saharan Africa, often result in poor germination rates and weak seedlings, especially in cereals like sorghum and wheat (Ibrahim</w:t>
      </w:r>
      <w:r w:rsidRPr="003C0942">
        <w:rPr>
          <w:rFonts w:ascii="Times New Roman" w:hAnsi="Times New Roman" w:cs="Times New Roman"/>
          <w:i/>
          <w:iCs/>
        </w:rPr>
        <w:t xml:space="preserve"> et al</w:t>
      </w:r>
      <w:r>
        <w:rPr>
          <w:rFonts w:ascii="Times New Roman" w:hAnsi="Times New Roman" w:cs="Times New Roman"/>
        </w:rPr>
        <w:t>., 2021).</w:t>
      </w:r>
    </w:p>
    <w:p w14:paraId="325A84B8"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Improved germination has been linked to seed priming and appropriate fertilizer application. For instance, early nitrogen supply boosts chlorophyll formation, while phosphorus is essential for energy metabolism during germination (Olaniyan</w:t>
      </w:r>
      <w:r w:rsidRPr="003C0942">
        <w:rPr>
          <w:rFonts w:ascii="Times New Roman" w:hAnsi="Times New Roman" w:cs="Times New Roman"/>
          <w:i/>
          <w:iCs/>
        </w:rPr>
        <w:t xml:space="preserve"> et al</w:t>
      </w:r>
      <w:r>
        <w:rPr>
          <w:rFonts w:ascii="Times New Roman" w:hAnsi="Times New Roman" w:cs="Times New Roman"/>
        </w:rPr>
        <w:t>., 2021).</w:t>
      </w:r>
    </w:p>
    <w:p w14:paraId="55A246E8"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In both sorghum and wheat, early seedling performance predicts resilience to drought and weed competition. Early nutrient access supports root elongation and shoot development, leading to faster canopy closure and better resource capture (Ahmed</w:t>
      </w:r>
      <w:r w:rsidRPr="003C0942">
        <w:rPr>
          <w:rFonts w:ascii="Times New Roman" w:hAnsi="Times New Roman" w:cs="Times New Roman"/>
          <w:i/>
          <w:iCs/>
        </w:rPr>
        <w:t xml:space="preserve"> et al.,</w:t>
      </w:r>
      <w:r>
        <w:rPr>
          <w:rFonts w:ascii="Times New Roman" w:hAnsi="Times New Roman" w:cs="Times New Roman"/>
        </w:rPr>
        <w:t xml:space="preserve"> 2020).</w:t>
      </w:r>
    </w:p>
    <w:p w14:paraId="4D8717BC"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Thus, optimizing fertilizer input during early growth is crucial to improving productivity, particularly under rainfed conditions and on marginal soils.</w:t>
      </w:r>
    </w:p>
    <w:p w14:paraId="52A65EE3" w14:textId="77777777" w:rsidR="00D102FC" w:rsidRPr="004F467D" w:rsidRDefault="00D102FC" w:rsidP="00FF11FA">
      <w:pPr>
        <w:pStyle w:val="Heading1"/>
      </w:pPr>
      <w:bookmarkStart w:id="17" w:name="_Toc214285880"/>
      <w:r w:rsidRPr="004F467D">
        <w:t>2.5 Effect of NPK on Germination and Early Seedling Growth of Cereal Crops</w:t>
      </w:r>
      <w:bookmarkEnd w:id="17"/>
    </w:p>
    <w:p w14:paraId="53931144"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 xml:space="preserve">NPK fertilizers play a fundamental role in supporting early cereal growth. Nitrogen supports leaf and protein development, phosphorus is key for root growth and energy transfer, while potassium strengthens cell walls and enhances stress resistance (Olanrewaju </w:t>
      </w:r>
      <w:r w:rsidRPr="003C0942">
        <w:rPr>
          <w:rFonts w:ascii="Times New Roman" w:hAnsi="Times New Roman" w:cs="Times New Roman"/>
          <w:i/>
          <w:iCs/>
        </w:rPr>
        <w:t xml:space="preserve">et al., </w:t>
      </w:r>
      <w:r>
        <w:rPr>
          <w:rFonts w:ascii="Times New Roman" w:hAnsi="Times New Roman" w:cs="Times New Roman"/>
        </w:rPr>
        <w:t>2018).</w:t>
      </w:r>
    </w:p>
    <w:p w14:paraId="4C0A3FA2"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In wheat, phosphorus application at sowing significantly increases emergence rates and tiller formation. Similarly, in sorghum, balanced NPK application has been shown to enhance both shoot and root biomass at early stages (Aliyu</w:t>
      </w:r>
      <w:r w:rsidRPr="003C0942">
        <w:rPr>
          <w:rFonts w:ascii="Times New Roman" w:hAnsi="Times New Roman" w:cs="Times New Roman"/>
          <w:i/>
          <w:iCs/>
        </w:rPr>
        <w:t xml:space="preserve"> et al</w:t>
      </w:r>
      <w:r>
        <w:rPr>
          <w:rFonts w:ascii="Times New Roman" w:hAnsi="Times New Roman" w:cs="Times New Roman"/>
        </w:rPr>
        <w:t>., 2019; Ibrahim</w:t>
      </w:r>
      <w:r w:rsidRPr="003C0942">
        <w:rPr>
          <w:rFonts w:ascii="Times New Roman" w:hAnsi="Times New Roman" w:cs="Times New Roman"/>
          <w:i/>
          <w:iCs/>
        </w:rPr>
        <w:t xml:space="preserve"> et al</w:t>
      </w:r>
      <w:r>
        <w:rPr>
          <w:rFonts w:ascii="Times New Roman" w:hAnsi="Times New Roman" w:cs="Times New Roman"/>
        </w:rPr>
        <w:t>., 2021).</w:t>
      </w:r>
    </w:p>
    <w:p w14:paraId="40381333"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However, the optimal rate of NPK varies by species and environment. Excessive nitrogen can promote lush vegetative growth at the expense of root development and may increase disease vulnerability, especially in wheat (Kazan &amp; Lyons, 2016).</w:t>
      </w:r>
    </w:p>
    <w:p w14:paraId="42457434" w14:textId="77777777" w:rsidR="00D102FC"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Several studies have emphasized split applications of NPK to improve nutrient use efficiency. For instance, starter doses at planting followed by top dressing improve synchronization with plant demand (Zhao</w:t>
      </w:r>
      <w:r w:rsidRPr="003C0942">
        <w:rPr>
          <w:rFonts w:ascii="Times New Roman" w:hAnsi="Times New Roman" w:cs="Times New Roman"/>
          <w:i/>
          <w:iCs/>
        </w:rPr>
        <w:t xml:space="preserve"> et al</w:t>
      </w:r>
      <w:r>
        <w:rPr>
          <w:rFonts w:ascii="Times New Roman" w:hAnsi="Times New Roman" w:cs="Times New Roman"/>
        </w:rPr>
        <w:t>., 2017). The timing and method of fertilizer application are also critical to reduce losses due to leaching or volatilization.</w:t>
      </w:r>
    </w:p>
    <w:p w14:paraId="7D87BF36"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Pr>
          <w:rFonts w:ascii="Times New Roman" w:hAnsi="Times New Roman" w:cs="Times New Roman"/>
        </w:rPr>
        <w:t xml:space="preserve">Therefore, tailored NPK management is vital to support rapid germination and vigorous seedling growth in both S. Bicolor and </w:t>
      </w:r>
      <w:r w:rsidRPr="00EC2280">
        <w:rPr>
          <w:rFonts w:ascii="Times New Roman" w:hAnsi="Times New Roman" w:cs="Times New Roman"/>
          <w:i/>
          <w:iCs/>
        </w:rPr>
        <w:t>T. Aestivum</w:t>
      </w:r>
      <w:r>
        <w:rPr>
          <w:rFonts w:ascii="Times New Roman" w:hAnsi="Times New Roman" w:cs="Times New Roman"/>
        </w:rPr>
        <w:t xml:space="preserve">, particularly in regions like Sokoto with challenging edaphic conditions. </w:t>
      </w:r>
    </w:p>
    <w:p w14:paraId="5BBF7007" w14:textId="77777777" w:rsidR="00D102FC" w:rsidRPr="00B71C23" w:rsidRDefault="00D102FC" w:rsidP="00FF11FA">
      <w:pPr>
        <w:pStyle w:val="Heading1"/>
        <w:rPr>
          <w:rStyle w:val="Emphasis"/>
          <w:rFonts w:eastAsia="Times New Roman" w:cs="Times New Roman"/>
          <w:b w:val="0"/>
          <w:bCs/>
          <w:color w:val="000000" w:themeColor="text1"/>
          <w:szCs w:val="24"/>
        </w:rPr>
      </w:pPr>
      <w:bookmarkStart w:id="18" w:name="_Toc214285881"/>
      <w:r w:rsidRPr="00B71C23">
        <w:rPr>
          <w:rStyle w:val="Strong"/>
          <w:rFonts w:eastAsia="Times New Roman" w:cs="Times New Roman"/>
          <w:b/>
          <w:color w:val="000000" w:themeColor="text1"/>
          <w:szCs w:val="24"/>
        </w:rPr>
        <w:t xml:space="preserve">2.6 Economic Importance of </w:t>
      </w:r>
      <w:r w:rsidRPr="00B71C23">
        <w:rPr>
          <w:rStyle w:val="Emphasis"/>
          <w:rFonts w:eastAsia="Times New Roman" w:cs="Times New Roman"/>
          <w:color w:val="000000" w:themeColor="text1"/>
          <w:szCs w:val="24"/>
        </w:rPr>
        <w:t>Sorghum bicolor</w:t>
      </w:r>
      <w:bookmarkEnd w:id="18"/>
    </w:p>
    <w:p w14:paraId="5A39AEA8" w14:textId="77777777" w:rsidR="00D102FC" w:rsidRPr="00AE4D90" w:rsidRDefault="00D102FC" w:rsidP="00FF11FA">
      <w:pPr>
        <w:pStyle w:val="NormalWeb"/>
        <w:spacing w:line="480" w:lineRule="auto"/>
        <w:jc w:val="both"/>
      </w:pPr>
      <w:r w:rsidRPr="00AE4D90">
        <w:t>Sorghum plays a vital socio-economic role, particularly in developing countries. It is ranked as the fifth most important cereal crop globally after maize, rice, wheat, and barley. In Nigeria, it is a staple in many households and forms a core part of food security strategies, especially in the northern states (FAO, 2021).</w:t>
      </w:r>
    </w:p>
    <w:p w14:paraId="71EE555E" w14:textId="77777777" w:rsidR="00D102FC" w:rsidRPr="00AE4D90" w:rsidRDefault="00D102FC" w:rsidP="00FF11FA">
      <w:pPr>
        <w:pStyle w:val="NormalWeb"/>
        <w:spacing w:line="480" w:lineRule="auto"/>
        <w:jc w:val="both"/>
      </w:pPr>
      <w:r w:rsidRPr="00AE4D90">
        <w:t>The grains are used in the preparation of traditional foods such as tuwo, pap, couscous, and local beverages like burukutu and pito. Its stover is fed to livestock, and the entire plant is used as silage. The by-products from sorghum processing are also utilized in the manufacture of poultry feeds and alcoholic beverages, especially in breweries (Ajeigbe</w:t>
      </w:r>
      <w:r w:rsidRPr="00AE4D90">
        <w:rPr>
          <w:i/>
          <w:iCs/>
        </w:rPr>
        <w:t xml:space="preserve"> et al</w:t>
      </w:r>
      <w:r w:rsidRPr="00AE4D90">
        <w:t>., 2021).</w:t>
      </w:r>
    </w:p>
    <w:p w14:paraId="5F4DFE64" w14:textId="77777777" w:rsidR="00D102FC" w:rsidRPr="00AE4D90" w:rsidRDefault="00D102FC" w:rsidP="00FF11FA">
      <w:pPr>
        <w:pStyle w:val="NormalWeb"/>
        <w:spacing w:line="480" w:lineRule="auto"/>
        <w:jc w:val="both"/>
      </w:pPr>
      <w:r w:rsidRPr="00AE4D90">
        <w:t xml:space="preserve">Sorghum has gained global recognition for its nutritional attributes. It is gluten-free, rich in phenolic compounds, and has antioxidant, anti-inflammatory, and anti-carcinogenic properties (Zhao </w:t>
      </w:r>
      <w:r w:rsidRPr="00AE4D90">
        <w:rPr>
          <w:i/>
          <w:iCs/>
        </w:rPr>
        <w:t xml:space="preserve">et al., </w:t>
      </w:r>
      <w:r w:rsidRPr="00AE4D90">
        <w:t>2016). This has made it a desirable grain in health-conscious markets, including among people with celiac disease and diabetes.</w:t>
      </w:r>
    </w:p>
    <w:p w14:paraId="4E253D49" w14:textId="77777777" w:rsidR="00D102FC" w:rsidRPr="00AE4D90" w:rsidRDefault="00D102FC" w:rsidP="00FF11FA">
      <w:pPr>
        <w:pStyle w:val="NormalWeb"/>
        <w:spacing w:line="480" w:lineRule="auto"/>
        <w:jc w:val="both"/>
      </w:pPr>
      <w:r w:rsidRPr="00AE4D90">
        <w:t xml:space="preserve">In terms of industry, sorghum serves as a feedstock for biofuel production, particularly ethanol. Its high biomass production and fermentable sugars make it suitable for energy generation (Upadhyaya </w:t>
      </w:r>
      <w:r w:rsidRPr="00AE4D90">
        <w:rPr>
          <w:i/>
          <w:iCs/>
        </w:rPr>
        <w:t>et al</w:t>
      </w:r>
      <w:r w:rsidRPr="00AE4D90">
        <w:t>., 2016). The crop's economic potential is further demonstrated by its ability to grow on marginal lands, requiring fewer inputs than other cereals.</w:t>
      </w:r>
    </w:p>
    <w:p w14:paraId="05ACF623" w14:textId="77777777" w:rsidR="00D102FC" w:rsidRPr="00AE4D90" w:rsidRDefault="00D102FC" w:rsidP="00FF11FA">
      <w:pPr>
        <w:pStyle w:val="NormalWeb"/>
        <w:spacing w:line="480" w:lineRule="auto"/>
        <w:jc w:val="both"/>
      </w:pPr>
      <w:r w:rsidRPr="00AE4D90">
        <w:t>Furthermore, sorghum cultivation supports rural livelihoods, providing employment to thousands of farmers, transporters, and processors. Its integration into agricultural value chains has fostered economic resilience in vulnerable communities (Ndanitsa</w:t>
      </w:r>
      <w:r w:rsidRPr="00AE4D90">
        <w:rPr>
          <w:i/>
          <w:iCs/>
        </w:rPr>
        <w:t xml:space="preserve"> et al., </w:t>
      </w:r>
      <w:r w:rsidRPr="00AE4D90">
        <w:t>2022).</w:t>
      </w:r>
    </w:p>
    <w:p w14:paraId="576B3D4F" w14:textId="77777777" w:rsidR="00D102FC" w:rsidRPr="00B71C23" w:rsidRDefault="00D102FC" w:rsidP="00FF11FA">
      <w:pPr>
        <w:pStyle w:val="Heading1"/>
        <w:rPr>
          <w:rFonts w:eastAsia="Times New Roman"/>
          <w:b w:val="0"/>
          <w:i/>
          <w:iCs/>
        </w:rPr>
      </w:pPr>
      <w:bookmarkStart w:id="19" w:name="_Toc214285882"/>
      <w:r w:rsidRPr="00B71C23">
        <w:rPr>
          <w:rStyle w:val="Strong"/>
          <w:rFonts w:eastAsia="Times New Roman" w:cs="Times New Roman"/>
          <w:b/>
          <w:color w:val="000000" w:themeColor="text1"/>
        </w:rPr>
        <w:t>2.6.1 Food and Nutrition</w:t>
      </w:r>
      <w:bookmarkEnd w:id="19"/>
    </w:p>
    <w:p w14:paraId="481BDA10"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Sorghum is the fifth most important cereal globally and a staple food for over 500 million people, especially in Africa and South Asia (FAOSTAT, 2021). In Nigeria, it is a dietary staple in the northern states where it is used in dishes like tuwo and local beverages such as kunu and burukutu.</w:t>
      </w:r>
    </w:p>
    <w:p w14:paraId="6F8973E6"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 xml:space="preserve">Nutritionally, sorghum is rich in carbohydrates (70–75%), protein (10–12%), fiber (2–5%), and essential micronutrients such as iron and zinc (Onyeka </w:t>
      </w:r>
      <w:r w:rsidRPr="00AE4D90">
        <w:rPr>
          <w:rFonts w:ascii="Times New Roman" w:hAnsi="Times New Roman" w:cs="Times New Roman"/>
          <w:i/>
          <w:iCs/>
        </w:rPr>
        <w:t>et al</w:t>
      </w:r>
      <w:r w:rsidRPr="00AE4D90">
        <w:rPr>
          <w:rFonts w:ascii="Times New Roman" w:hAnsi="Times New Roman" w:cs="Times New Roman"/>
        </w:rPr>
        <w:t>., 2020). Some varieties also contain antioxidants, contributing to health benefits (Adugna, 2020).</w:t>
      </w:r>
    </w:p>
    <w:p w14:paraId="07302177" w14:textId="77777777" w:rsidR="00D102FC" w:rsidRPr="00B71C23" w:rsidRDefault="00D102FC" w:rsidP="00FF11FA">
      <w:pPr>
        <w:pStyle w:val="Heading1"/>
        <w:rPr>
          <w:rFonts w:eastAsia="Times New Roman"/>
          <w:b w:val="0"/>
          <w:i/>
          <w:iCs/>
        </w:rPr>
      </w:pPr>
      <w:bookmarkStart w:id="20" w:name="_Toc214285883"/>
      <w:r w:rsidRPr="00B71C23">
        <w:rPr>
          <w:rStyle w:val="Strong"/>
          <w:rFonts w:eastAsia="Times New Roman" w:cs="Times New Roman"/>
          <w:b/>
          <w:color w:val="000000" w:themeColor="text1"/>
        </w:rPr>
        <w:t>2.6.2 Livestock Feed</w:t>
      </w:r>
      <w:bookmarkEnd w:id="20"/>
    </w:p>
    <w:p w14:paraId="5C807CB7"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 xml:space="preserve">Sorghum leaves and stalks serve as valuable forage for livestock. Sorghum silage and hay are important in dryland animal production systems due to their high biomass and digestibility (Gashu </w:t>
      </w:r>
      <w:r w:rsidRPr="00AE4D90">
        <w:rPr>
          <w:rFonts w:ascii="Times New Roman" w:hAnsi="Times New Roman" w:cs="Times New Roman"/>
          <w:i/>
          <w:iCs/>
        </w:rPr>
        <w:t>et al.,</w:t>
      </w:r>
      <w:r w:rsidRPr="00AE4D90">
        <w:rPr>
          <w:rFonts w:ascii="Times New Roman" w:hAnsi="Times New Roman" w:cs="Times New Roman"/>
        </w:rPr>
        <w:t xml:space="preserve"> 2022).</w:t>
      </w:r>
    </w:p>
    <w:p w14:paraId="483D51F2" w14:textId="77777777" w:rsidR="00D102FC" w:rsidRPr="00B71C23" w:rsidRDefault="00D102FC" w:rsidP="00FF11FA">
      <w:pPr>
        <w:pStyle w:val="Heading1"/>
        <w:rPr>
          <w:rFonts w:eastAsia="Times New Roman"/>
          <w:b w:val="0"/>
          <w:i/>
          <w:iCs/>
        </w:rPr>
      </w:pPr>
      <w:bookmarkStart w:id="21" w:name="_Toc214285884"/>
      <w:r w:rsidRPr="00B71C23">
        <w:rPr>
          <w:rStyle w:val="Strong"/>
          <w:rFonts w:eastAsia="Times New Roman" w:cs="Times New Roman"/>
          <w:b/>
          <w:color w:val="000000" w:themeColor="text1"/>
        </w:rPr>
        <w:t>2.6.3 Industrial and Bioenergy Applications</w:t>
      </w:r>
      <w:bookmarkEnd w:id="21"/>
    </w:p>
    <w:p w14:paraId="737D861B"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 xml:space="preserve">Sorghum is increasingly used in the bioethanol industry. Sweet sorghum varieties contain high sugar content in stalks, ideal for fermentation into ethanol (Raji </w:t>
      </w:r>
      <w:r w:rsidRPr="00AE4D90">
        <w:rPr>
          <w:rFonts w:ascii="Times New Roman" w:hAnsi="Times New Roman" w:cs="Times New Roman"/>
          <w:i/>
          <w:iCs/>
        </w:rPr>
        <w:t>et al</w:t>
      </w:r>
      <w:r w:rsidRPr="00AE4D90">
        <w:rPr>
          <w:rFonts w:ascii="Times New Roman" w:hAnsi="Times New Roman" w:cs="Times New Roman"/>
        </w:rPr>
        <w:t xml:space="preserve">., 2016). Sorghum starch is also utilized in the brewing, food, textile, and pharmaceutical industries (Aminu </w:t>
      </w:r>
      <w:r w:rsidRPr="00AE4D90">
        <w:rPr>
          <w:rFonts w:ascii="Times New Roman" w:hAnsi="Times New Roman" w:cs="Times New Roman"/>
          <w:i/>
          <w:iCs/>
        </w:rPr>
        <w:t>et al.,</w:t>
      </w:r>
      <w:r w:rsidRPr="00AE4D90">
        <w:rPr>
          <w:rFonts w:ascii="Times New Roman" w:hAnsi="Times New Roman" w:cs="Times New Roman"/>
        </w:rPr>
        <w:t xml:space="preserve"> 2020).</w:t>
      </w:r>
    </w:p>
    <w:p w14:paraId="318EA7CE" w14:textId="77777777" w:rsidR="00D102FC" w:rsidRPr="00B71C23" w:rsidRDefault="00D102FC" w:rsidP="00FF11FA">
      <w:pPr>
        <w:pStyle w:val="Heading1"/>
        <w:rPr>
          <w:rFonts w:eastAsia="Times New Roman"/>
          <w:b w:val="0"/>
          <w:i/>
          <w:iCs/>
        </w:rPr>
      </w:pPr>
      <w:bookmarkStart w:id="22" w:name="_Toc214285885"/>
      <w:r w:rsidRPr="00B71C23">
        <w:rPr>
          <w:rStyle w:val="Strong"/>
          <w:rFonts w:eastAsia="Times New Roman" w:cs="Times New Roman"/>
          <w:b/>
          <w:color w:val="000000" w:themeColor="text1"/>
        </w:rPr>
        <w:t>2.6.4 Environmental and Socioeconomic Role</w:t>
      </w:r>
      <w:bookmarkEnd w:id="22"/>
    </w:p>
    <w:p w14:paraId="48C85630"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 xml:space="preserve">Due to its drought tolerance, sorghum ensures food security in marginal areas affected by climate variability. It requires fewer inputs and grows well on degraded soils, offering resilience and economic opportunities to smallholder farmers (Yusuf </w:t>
      </w:r>
      <w:r w:rsidRPr="00AE4D90">
        <w:rPr>
          <w:rFonts w:ascii="Times New Roman" w:hAnsi="Times New Roman" w:cs="Times New Roman"/>
          <w:i/>
          <w:iCs/>
        </w:rPr>
        <w:t>et al.,</w:t>
      </w:r>
      <w:r w:rsidRPr="00AE4D90">
        <w:rPr>
          <w:rFonts w:ascii="Times New Roman" w:hAnsi="Times New Roman" w:cs="Times New Roman"/>
        </w:rPr>
        <w:t xml:space="preserve"> 2020; ICRISAT, 2019).</w:t>
      </w:r>
    </w:p>
    <w:p w14:paraId="489F4CCC" w14:textId="77777777" w:rsidR="00D102FC" w:rsidRPr="00AE4D90" w:rsidRDefault="00D102FC" w:rsidP="00FF11FA">
      <w:pPr>
        <w:pStyle w:val="Heading1"/>
      </w:pPr>
      <w:bookmarkStart w:id="23" w:name="_Toc214285886"/>
      <w:r w:rsidRPr="00AE4D90">
        <w:t>2.</w:t>
      </w:r>
      <w:r>
        <w:t>7</w:t>
      </w:r>
      <w:r w:rsidRPr="00AE4D90">
        <w:t xml:space="preserve"> Environmental Conditions for Sorghum Cultivation</w:t>
      </w:r>
      <w:bookmarkEnd w:id="23"/>
      <w:r w:rsidRPr="00AE4D90">
        <w:t xml:space="preserve"> </w:t>
      </w:r>
    </w:p>
    <w:p w14:paraId="22521463"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Sorghum thrives in a wide range of soil types, but it performs best in well-drained loamy soils with moderate fertility. It can tolerate soil pH ranging from 5.5 to 8.5 but prefers slightly acidic to neutral soils (FAO, 2020). The crop is especially adapted to regions with annual rainfall between 300–700 mm, making it ideal for semi-arid environments such as Sokoto State (Usman</w:t>
      </w:r>
      <w:r w:rsidRPr="00AE4D90">
        <w:rPr>
          <w:rFonts w:ascii="Times New Roman" w:hAnsi="Times New Roman" w:cs="Times New Roman"/>
          <w:i/>
          <w:iCs/>
        </w:rPr>
        <w:t xml:space="preserve"> et al</w:t>
      </w:r>
      <w:r w:rsidRPr="00AE4D90">
        <w:rPr>
          <w:rFonts w:ascii="Times New Roman" w:hAnsi="Times New Roman" w:cs="Times New Roman"/>
        </w:rPr>
        <w:t>., 2015). Temperature also plays a crucial role in its growth, with optimal germination occurring between 25°C and 35°C. It prefers loamy to sandy soils with a neutral to slightly acidic pH but tolerates saline and alkaline soils better than maize (Olanite</w:t>
      </w:r>
      <w:r w:rsidRPr="00AE4D90">
        <w:rPr>
          <w:rFonts w:ascii="Times New Roman" w:hAnsi="Times New Roman" w:cs="Times New Roman"/>
          <w:i/>
          <w:iCs/>
        </w:rPr>
        <w:t xml:space="preserve"> et al</w:t>
      </w:r>
      <w:r w:rsidRPr="00AE4D90">
        <w:rPr>
          <w:rFonts w:ascii="Times New Roman" w:hAnsi="Times New Roman" w:cs="Times New Roman"/>
        </w:rPr>
        <w:t>., 2017). Its deep rooting system enhances its drought resilience (Kombiok</w:t>
      </w:r>
      <w:r w:rsidRPr="00AE4D90">
        <w:rPr>
          <w:rFonts w:ascii="Times New Roman" w:hAnsi="Times New Roman" w:cs="Times New Roman"/>
          <w:i/>
          <w:iCs/>
        </w:rPr>
        <w:t xml:space="preserve"> et al</w:t>
      </w:r>
      <w:r w:rsidRPr="00AE4D90">
        <w:rPr>
          <w:rFonts w:ascii="Times New Roman" w:hAnsi="Times New Roman" w:cs="Times New Roman"/>
        </w:rPr>
        <w:t>., 2021).</w:t>
      </w:r>
    </w:p>
    <w:p w14:paraId="41E4F17B" w14:textId="77777777" w:rsidR="00D102FC" w:rsidRPr="00AE4D90" w:rsidRDefault="00D102FC" w:rsidP="00FF11FA">
      <w:pPr>
        <w:pStyle w:val="Heading1"/>
        <w:rPr>
          <w:kern w:val="0"/>
          <w14:ligatures w14:val="none"/>
        </w:rPr>
      </w:pPr>
      <w:bookmarkStart w:id="24" w:name="_Toc214285887"/>
      <w:r w:rsidRPr="00AE4D90">
        <w:t>2.</w:t>
      </w:r>
      <w:r>
        <w:t xml:space="preserve">8 </w:t>
      </w:r>
      <w:r w:rsidRPr="00AE4D90">
        <w:t>Seed Germination and Early Seedling Growth</w:t>
      </w:r>
      <w:bookmarkEnd w:id="24"/>
      <w:r w:rsidRPr="00AE4D90">
        <w:t xml:space="preserve"> </w:t>
      </w:r>
    </w:p>
    <w:p w14:paraId="0710DB85" w14:textId="77777777" w:rsidR="00D102FC" w:rsidRPr="00AE4D90" w:rsidRDefault="00D102FC" w:rsidP="00FF11FA">
      <w:pPr>
        <w:spacing w:before="100" w:beforeAutospacing="1" w:after="100" w:afterAutospacing="1" w:line="480" w:lineRule="auto"/>
        <w:jc w:val="both"/>
        <w:rPr>
          <w:rFonts w:ascii="Times New Roman" w:hAnsi="Times New Roman" w:cs="Times New Roman"/>
          <w:kern w:val="0"/>
          <w14:ligatures w14:val="none"/>
        </w:rPr>
      </w:pPr>
      <w:r w:rsidRPr="00AE4D90">
        <w:rPr>
          <w:rFonts w:ascii="Times New Roman" w:hAnsi="Times New Roman" w:cs="Times New Roman"/>
        </w:rPr>
        <w:t>Seed germination is a physiological process by which a seed emerges from dormancy and begins to grow into a seedling. It involves water absorption, enzyme activation, and mobilization of stored food reserves (Bewley</w:t>
      </w:r>
      <w:r w:rsidRPr="00AE4D90">
        <w:rPr>
          <w:rFonts w:ascii="Times New Roman" w:hAnsi="Times New Roman" w:cs="Times New Roman"/>
          <w:i/>
          <w:iCs/>
        </w:rPr>
        <w:t xml:space="preserve"> et al</w:t>
      </w:r>
      <w:r w:rsidRPr="00AE4D90">
        <w:rPr>
          <w:rFonts w:ascii="Times New Roman" w:hAnsi="Times New Roman" w:cs="Times New Roman"/>
        </w:rPr>
        <w:t>., 2013). Early seedling growth refers to the period shortly after germination, characterized by root elongation, shoot emergence, and leaf development. These stages are crucial as they determine the establishment, uniformity, and ultimate yield potential of the crop (Finch-Savage and Bassel, 2016).</w:t>
      </w:r>
    </w:p>
    <w:p w14:paraId="2CC23D02"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Several internal and external factors affect seed germination, including seed viability, moisture availability, temperature, light, and nutrient availability (Salisbury and Ross, 1992). Nutrients, particularly nitrogen, phosphorus, potassium, and magnesium, are key elements that support enzymatic activities, energy transfer, cell division, and chlorophyll formation during this stage (Marschner, 2012).</w:t>
      </w:r>
    </w:p>
    <w:p w14:paraId="32AB3857" w14:textId="77777777" w:rsidR="00D102FC" w:rsidRPr="00B71C23" w:rsidRDefault="00D102FC" w:rsidP="00FF11FA">
      <w:pPr>
        <w:pStyle w:val="Heading1"/>
        <w:rPr>
          <w:b w:val="0"/>
        </w:rPr>
      </w:pPr>
      <w:bookmarkStart w:id="25" w:name="_Toc214285888"/>
      <w:r w:rsidRPr="00B71C23">
        <w:rPr>
          <w:rStyle w:val="Strong"/>
          <w:b/>
        </w:rPr>
        <w:t>2.9 Status of Sorghum Cultivation in Nigeria</w:t>
      </w:r>
      <w:bookmarkEnd w:id="25"/>
    </w:p>
    <w:p w14:paraId="6D9D2770" w14:textId="77777777" w:rsidR="00D102FC" w:rsidRPr="00AE4D90" w:rsidRDefault="00D102FC" w:rsidP="00FF11FA">
      <w:pPr>
        <w:pStyle w:val="NormalWeb"/>
        <w:spacing w:line="480" w:lineRule="auto"/>
        <w:jc w:val="both"/>
      </w:pPr>
      <w:r w:rsidRPr="00AE4D90">
        <w:t>Nigeria is Africa’s largest sorghum producer and ranks among the top producers globally. The crop is primarily cultivated in the savannah regions of the North, including Sokoto, Zamfara, Kano, Bauchi, and Borno states (NAERLS, 2020). These areas possess the agro-climatic conditions favorable for sorghum production, such as long dry seasons and sandy loam soils.</w:t>
      </w:r>
    </w:p>
    <w:p w14:paraId="40FED89E" w14:textId="77777777" w:rsidR="00D102FC" w:rsidRPr="00AE4D90" w:rsidRDefault="00D102FC" w:rsidP="00FF11FA">
      <w:pPr>
        <w:pStyle w:val="NormalWeb"/>
        <w:spacing w:line="480" w:lineRule="auto"/>
        <w:jc w:val="both"/>
      </w:pPr>
      <w:r w:rsidRPr="00AE4D90">
        <w:t>According to IITA (2021), sorghum occupies approximately 4.5 to 5 million hectares in Nigeria, with an estimated annual production exceeding 7 million metric tons. The crop is mostly grown under rainfed conditions by smallholder farmers with limited access to irrigation facilities.</w:t>
      </w:r>
    </w:p>
    <w:p w14:paraId="0BC8F2A7" w14:textId="77777777" w:rsidR="00D102FC" w:rsidRPr="00AE4D90" w:rsidRDefault="00D102FC" w:rsidP="00FF11FA">
      <w:pPr>
        <w:pStyle w:val="NormalWeb"/>
        <w:spacing w:line="480" w:lineRule="auto"/>
        <w:jc w:val="both"/>
      </w:pPr>
      <w:r w:rsidRPr="00AE4D90">
        <w:t>Sorghum farming is deeply rooted in local traditions and is often intercropped with legumes such as cowpea or groundnut to enhance soil fertility and reduce pest incidence. The predominance of traditional farming systems, however, poses challenges in terms of yield optimization and quality control (Ajeigbe</w:t>
      </w:r>
      <w:r w:rsidRPr="000741D0">
        <w:rPr>
          <w:i/>
          <w:iCs/>
        </w:rPr>
        <w:t xml:space="preserve"> et al</w:t>
      </w:r>
      <w:r w:rsidRPr="00AE4D90">
        <w:t>., 2021).</w:t>
      </w:r>
    </w:p>
    <w:p w14:paraId="3711AE8F" w14:textId="77777777" w:rsidR="00D102FC" w:rsidRPr="00AE4D90" w:rsidRDefault="00D102FC" w:rsidP="00FF11FA">
      <w:pPr>
        <w:pStyle w:val="NormalWeb"/>
        <w:spacing w:line="480" w:lineRule="auto"/>
        <w:jc w:val="both"/>
      </w:pPr>
      <w:r w:rsidRPr="00AE4D90">
        <w:t>Despite its widespread cultivation, there exists a yield gap between actual farm-level output and the crop’s genetic potential. This has been attributed to limited adoption of improved varieties, poor agronomic practices, and post-harvest losses (Olanrewaju</w:t>
      </w:r>
      <w:r w:rsidRPr="000741D0">
        <w:rPr>
          <w:i/>
          <w:iCs/>
        </w:rPr>
        <w:t xml:space="preserve"> et al</w:t>
      </w:r>
      <w:r w:rsidRPr="00AE4D90">
        <w:t>., 2018).</w:t>
      </w:r>
    </w:p>
    <w:p w14:paraId="3C627F23" w14:textId="77777777" w:rsidR="00D102FC" w:rsidRPr="00AE4D90" w:rsidRDefault="00D102FC" w:rsidP="00FF11FA">
      <w:pPr>
        <w:pStyle w:val="NormalWeb"/>
        <w:spacing w:line="480" w:lineRule="auto"/>
        <w:jc w:val="both"/>
      </w:pPr>
      <w:r w:rsidRPr="00AE4D90">
        <w:t>Recent government and private-sector initiatives have focused on enhancing the value chain through improved seed dissemination, access to extension services, and market linkages. Programs like the Agricultural Transformation Agenda and Anchor Borrowers' Program have positively impacted sorghum production (Ndanitsa</w:t>
      </w:r>
      <w:r w:rsidRPr="000741D0">
        <w:rPr>
          <w:i/>
          <w:iCs/>
        </w:rPr>
        <w:t xml:space="preserve"> et al.,</w:t>
      </w:r>
      <w:r w:rsidRPr="00AE4D90">
        <w:t xml:space="preserve"> 2022).</w:t>
      </w:r>
    </w:p>
    <w:p w14:paraId="29B43DBA" w14:textId="77777777" w:rsidR="00D102FC" w:rsidRPr="00B71C23" w:rsidRDefault="00D102FC" w:rsidP="00FF11FA">
      <w:pPr>
        <w:pStyle w:val="Heading1"/>
        <w:rPr>
          <w:b w:val="0"/>
        </w:rPr>
      </w:pPr>
      <w:bookmarkStart w:id="26" w:name="_Toc214285889"/>
      <w:r w:rsidRPr="00B71C23">
        <w:rPr>
          <w:rStyle w:val="Strong"/>
          <w:b/>
        </w:rPr>
        <w:t>2.10 Trends in Sorghum Cultivation in Nigeria</w:t>
      </w:r>
      <w:bookmarkEnd w:id="26"/>
    </w:p>
    <w:p w14:paraId="02B0E483" w14:textId="77777777" w:rsidR="00D102FC" w:rsidRPr="00AE4D90" w:rsidRDefault="00D102FC" w:rsidP="00FF11FA">
      <w:pPr>
        <w:pStyle w:val="NormalWeb"/>
        <w:spacing w:line="480" w:lineRule="auto"/>
        <w:jc w:val="both"/>
      </w:pPr>
      <w:r w:rsidRPr="00AE4D90">
        <w:t>Over the last decade, trends in sorghum cultivation in Nigeria have been influenced by climatic variability, policy interventions, and market dynamics. Between 2015 and 2020, data from the National Bureau of Statistics indicate that production volumes have shown a gradual increase due to interventions in seed supply and fertilizer distribution (NAERLS, 2020).</w:t>
      </w:r>
    </w:p>
    <w:p w14:paraId="573B2432" w14:textId="77777777" w:rsidR="00D102FC" w:rsidRPr="00AE4D90" w:rsidRDefault="00D102FC" w:rsidP="00FF11FA">
      <w:pPr>
        <w:pStyle w:val="NormalWeb"/>
        <w:spacing w:line="480" w:lineRule="auto"/>
        <w:jc w:val="both"/>
      </w:pPr>
      <w:r w:rsidRPr="00AE4D90">
        <w:t xml:space="preserve">The introduction of improved drought-resistant varieties, such as SAMSORG series, has contributed to yield stabilization in drought-prone regions. However, inconsistencies in rainfall distribution and emerging pest pressures (e.g., armyworm) have occasionally offset production gains (Upadhyaya </w:t>
      </w:r>
      <w:r w:rsidRPr="00304BE4">
        <w:rPr>
          <w:i/>
          <w:iCs/>
        </w:rPr>
        <w:t xml:space="preserve">et al., </w:t>
      </w:r>
      <w:r w:rsidRPr="00AE4D90">
        <w:t>2016).</w:t>
      </w:r>
    </w:p>
    <w:p w14:paraId="12E86B42" w14:textId="77777777" w:rsidR="00D102FC" w:rsidRPr="00AE4D90" w:rsidRDefault="00D102FC" w:rsidP="00FF11FA">
      <w:pPr>
        <w:pStyle w:val="NormalWeb"/>
        <w:spacing w:line="480" w:lineRule="auto"/>
        <w:jc w:val="both"/>
      </w:pPr>
      <w:r w:rsidRPr="00AE4D90">
        <w:t xml:space="preserve">Furthermore, increased demand for sorghum by the brewing industry and the feed sector has incentivized commercial-scale farming, particularly in regions closer to urban markets. This has led to increased mechanization and investment in sorghum processing infrastructure (Ajeigbe </w:t>
      </w:r>
      <w:r w:rsidRPr="00304BE4">
        <w:rPr>
          <w:i/>
          <w:iCs/>
        </w:rPr>
        <w:t>et al</w:t>
      </w:r>
      <w:r w:rsidRPr="00AE4D90">
        <w:t>., 2021).</w:t>
      </w:r>
    </w:p>
    <w:p w14:paraId="79678C54" w14:textId="77777777" w:rsidR="00D102FC" w:rsidRPr="00AE4D90" w:rsidRDefault="00D102FC" w:rsidP="00FF11FA">
      <w:pPr>
        <w:pStyle w:val="NormalWeb"/>
        <w:spacing w:line="480" w:lineRule="auto"/>
        <w:jc w:val="both"/>
      </w:pPr>
      <w:r w:rsidRPr="00AE4D90">
        <w:t>Trends also show a gradual shift in cropping systems, with some farmers replacing sorghum with maize or rice due to perceived better market returns and government subsidies. Nevertheless, sorghum remains a staple among subsistence farmers due to its resilience and cultural acceptability (IITA, 2021).</w:t>
      </w:r>
    </w:p>
    <w:p w14:paraId="147F6C0D" w14:textId="77777777" w:rsidR="00D102FC" w:rsidRPr="00AE4D90" w:rsidRDefault="00D102FC" w:rsidP="00FF11FA">
      <w:pPr>
        <w:pStyle w:val="NormalWeb"/>
        <w:spacing w:line="480" w:lineRule="auto"/>
        <w:jc w:val="both"/>
      </w:pPr>
      <w:r w:rsidRPr="00AE4D90">
        <w:t xml:space="preserve">Despite fluctuations, the overall outlook for sorghum production remains positive, provided that issues related to input affordability, climate adaptation, and infrastructure are adequately addressed (Ndanitsa </w:t>
      </w:r>
      <w:r w:rsidRPr="00304BE4">
        <w:rPr>
          <w:i/>
          <w:iCs/>
        </w:rPr>
        <w:t xml:space="preserve">et al., </w:t>
      </w:r>
      <w:r w:rsidRPr="00AE4D90">
        <w:t>2022).</w:t>
      </w:r>
    </w:p>
    <w:p w14:paraId="7760FA06" w14:textId="77777777" w:rsidR="00D102FC" w:rsidRPr="00B71C23" w:rsidRDefault="00D102FC" w:rsidP="00FF11FA">
      <w:pPr>
        <w:pStyle w:val="Heading1"/>
        <w:rPr>
          <w:b w:val="0"/>
        </w:rPr>
      </w:pPr>
      <w:bookmarkStart w:id="27" w:name="_Toc214285890"/>
      <w:r w:rsidRPr="00B71C23">
        <w:rPr>
          <w:rStyle w:val="Strong"/>
          <w:b/>
        </w:rPr>
        <w:t>2.11 Factors for the Declining Areas Under Sorghum Cultivation</w:t>
      </w:r>
      <w:bookmarkEnd w:id="27"/>
    </w:p>
    <w:p w14:paraId="5E64A712" w14:textId="77777777" w:rsidR="00D102FC" w:rsidRPr="00AE4D90" w:rsidRDefault="00D102FC" w:rsidP="00FF11FA">
      <w:pPr>
        <w:pStyle w:val="NormalWeb"/>
        <w:spacing w:line="480" w:lineRule="auto"/>
        <w:jc w:val="both"/>
      </w:pPr>
      <w:r w:rsidRPr="00AE4D90">
        <w:t>Several factors contribute to the declining land area under sorghum cultivation. Key among them is the perception of sorghum as a subsistence crop with lower economic returns compared to maize or rice. This has led many farmers, especially youths, to shift to more lucrative crops (Akinola</w:t>
      </w:r>
      <w:r w:rsidRPr="00304BE4">
        <w:rPr>
          <w:i/>
          <w:iCs/>
        </w:rPr>
        <w:t xml:space="preserve"> et al</w:t>
      </w:r>
      <w:r w:rsidRPr="00AE4D90">
        <w:t>., 2017).</w:t>
      </w:r>
    </w:p>
    <w:p w14:paraId="566A5726" w14:textId="77777777" w:rsidR="00D102FC" w:rsidRPr="00AE4D90" w:rsidRDefault="00D102FC" w:rsidP="00FF11FA">
      <w:pPr>
        <w:pStyle w:val="NormalWeb"/>
        <w:spacing w:line="480" w:lineRule="auto"/>
        <w:jc w:val="both"/>
      </w:pPr>
      <w:r w:rsidRPr="00AE4D90">
        <w:t xml:space="preserve">Land degradation and soil fertility decline have also reduced sorghum productivity, discouraging continued cultivation. The lack of sustainable land management practices exacerbates soil erosion and nutrient loss, especially in the northern regions of Nigeria (Ndanitsa </w:t>
      </w:r>
      <w:r w:rsidRPr="00304BE4">
        <w:rPr>
          <w:i/>
          <w:iCs/>
        </w:rPr>
        <w:t>et al</w:t>
      </w:r>
      <w:r w:rsidRPr="00AE4D90">
        <w:t>., 2022).</w:t>
      </w:r>
    </w:p>
    <w:p w14:paraId="489E1F13" w14:textId="77777777" w:rsidR="00D102FC" w:rsidRPr="00AE4D90" w:rsidRDefault="00D102FC" w:rsidP="00FF11FA">
      <w:pPr>
        <w:pStyle w:val="NormalWeb"/>
        <w:spacing w:line="480" w:lineRule="auto"/>
        <w:jc w:val="both"/>
      </w:pPr>
      <w:r w:rsidRPr="00AE4D90">
        <w:t>Another critical factor is the limited access to improved seeds and fertilizers. Most smallholder farmers rely on saved seeds, which have low vigor and susceptibility to pests and diseases. Inadequate extension services further hinder the adoption of best agronomic practices (Olaniyan</w:t>
      </w:r>
      <w:r w:rsidRPr="00304BE4">
        <w:rPr>
          <w:i/>
          <w:iCs/>
        </w:rPr>
        <w:t xml:space="preserve"> et al., </w:t>
      </w:r>
      <w:r w:rsidRPr="00AE4D90">
        <w:t>2021).</w:t>
      </w:r>
    </w:p>
    <w:p w14:paraId="751B06AC" w14:textId="77777777" w:rsidR="00D102FC" w:rsidRPr="00AE4D90" w:rsidRDefault="00D102FC" w:rsidP="00FF11FA">
      <w:pPr>
        <w:pStyle w:val="NormalWeb"/>
        <w:spacing w:line="480" w:lineRule="auto"/>
        <w:jc w:val="both"/>
      </w:pPr>
      <w:r w:rsidRPr="00AE4D90">
        <w:t xml:space="preserve">Climate change has led to erratic rainfall, prolonged dry spells, and increased pest incidence, all of which negatively impact sorghum cultivation. Migration due to insecurity and urbanization has also reduced the available labor force and land for farming (Ahmed </w:t>
      </w:r>
      <w:r w:rsidRPr="00304BE4">
        <w:rPr>
          <w:i/>
          <w:iCs/>
        </w:rPr>
        <w:t>et al</w:t>
      </w:r>
      <w:r w:rsidRPr="00AE4D90">
        <w:t>., 2020).</w:t>
      </w:r>
    </w:p>
    <w:p w14:paraId="28DBEE78" w14:textId="77777777" w:rsidR="00D102FC" w:rsidRPr="00AE4D90" w:rsidRDefault="00D102FC" w:rsidP="00FF11FA">
      <w:pPr>
        <w:pStyle w:val="NormalWeb"/>
        <w:spacing w:line="480" w:lineRule="auto"/>
        <w:jc w:val="both"/>
      </w:pPr>
      <w:r w:rsidRPr="00AE4D90">
        <w:t>Market constraints, such as lack of storage facilities and price volatility, make sorghum farming unattractive. Addressing these multifaceted challenges requires integrated policies that improve input supply, extension support, climate resilience, and value addition (Ajeigbe</w:t>
      </w:r>
      <w:r w:rsidRPr="00304BE4">
        <w:rPr>
          <w:i/>
          <w:iCs/>
        </w:rPr>
        <w:t xml:space="preserve"> et al</w:t>
      </w:r>
      <w:r w:rsidRPr="00AE4D90">
        <w:t>., 2021).</w:t>
      </w:r>
    </w:p>
    <w:p w14:paraId="18584059" w14:textId="77777777" w:rsidR="00D102FC" w:rsidRPr="00AE4D90" w:rsidRDefault="00D102FC" w:rsidP="00FF11FA">
      <w:pPr>
        <w:pStyle w:val="Heading1"/>
      </w:pPr>
      <w:bookmarkStart w:id="28" w:name="_Toc214285891"/>
      <w:r w:rsidRPr="00AE4D90">
        <w:t>2.</w:t>
      </w:r>
      <w:r>
        <w:t>12</w:t>
      </w:r>
      <w:r w:rsidRPr="00AE4D90">
        <w:t xml:space="preserve"> Importance of Fertilizers in Crop Production</w:t>
      </w:r>
      <w:bookmarkEnd w:id="28"/>
      <w:r w:rsidRPr="00AE4D90">
        <w:t xml:space="preserve"> </w:t>
      </w:r>
    </w:p>
    <w:p w14:paraId="0CA94624" w14:textId="77777777" w:rsidR="00D102FC" w:rsidRPr="00AE4D90" w:rsidRDefault="00D102FC" w:rsidP="00FF11FA">
      <w:pPr>
        <w:pStyle w:val="NormalWeb"/>
        <w:spacing w:line="480" w:lineRule="auto"/>
        <w:jc w:val="both"/>
      </w:pPr>
      <w:r w:rsidRPr="00AE4D90">
        <w:t>Fertilizers are materials that supply one or more essential plant nutrients. They are broadly classified into organic and inorganic fertilizers. Inorganic fertilizers such as MPK and ammonium sulphate are widely used for their high nutrient concentration and immediate availability to plants (Brady and Weil, 2017). The application of fertilizers at the early stages of plant growth is critical for promoting root development, seedling vigour, and subsequent crop productivity (Palm</w:t>
      </w:r>
      <w:r w:rsidRPr="00AE4D90">
        <w:rPr>
          <w:i/>
          <w:iCs/>
        </w:rPr>
        <w:t xml:space="preserve"> et al.</w:t>
      </w:r>
      <w:r w:rsidRPr="00AE4D90">
        <w:t>, 2001).</w:t>
      </w:r>
    </w:p>
    <w:p w14:paraId="54F48235" w14:textId="77777777" w:rsidR="00D102FC" w:rsidRPr="00AE4D90" w:rsidRDefault="00D102FC" w:rsidP="00FF11FA">
      <w:pPr>
        <w:spacing w:before="100" w:beforeAutospacing="1" w:after="100" w:afterAutospacing="1" w:line="480" w:lineRule="auto"/>
        <w:jc w:val="both"/>
        <w:rPr>
          <w:rFonts w:ascii="Times New Roman" w:hAnsi="Times New Roman" w:cs="Times New Roman"/>
        </w:rPr>
      </w:pPr>
      <w:r w:rsidRPr="00AE4D90">
        <w:rPr>
          <w:rFonts w:ascii="Times New Roman" w:hAnsi="Times New Roman" w:cs="Times New Roman"/>
        </w:rPr>
        <w:t xml:space="preserve">The efficiency of fertilizer use depends on several factors including soil type, weather conditions, application method, and the physiological stage of the crop. Misuse or overuse can lead to environmental problems such as eutrophication, leaching, and soil acidification (Zhao </w:t>
      </w:r>
      <w:r w:rsidRPr="00AE4D90">
        <w:rPr>
          <w:rFonts w:ascii="Times New Roman" w:hAnsi="Times New Roman" w:cs="Times New Roman"/>
          <w:i/>
          <w:iCs/>
        </w:rPr>
        <w:t>et al</w:t>
      </w:r>
      <w:r w:rsidRPr="00AE4D90">
        <w:rPr>
          <w:rFonts w:ascii="Times New Roman" w:hAnsi="Times New Roman" w:cs="Times New Roman"/>
        </w:rPr>
        <w:t>., 2009).</w:t>
      </w:r>
    </w:p>
    <w:p w14:paraId="43340EC2" w14:textId="77777777" w:rsidR="00D102FC" w:rsidRPr="00AE4D90" w:rsidRDefault="00D102FC" w:rsidP="00FF11FA">
      <w:pPr>
        <w:spacing w:line="480" w:lineRule="auto"/>
        <w:jc w:val="both"/>
        <w:rPr>
          <w:rFonts w:ascii="Times New Roman" w:hAnsi="Times New Roman" w:cs="Times New Roman"/>
        </w:rPr>
      </w:pPr>
    </w:p>
    <w:p w14:paraId="40283BE8" w14:textId="77777777" w:rsidR="00D102FC" w:rsidRDefault="00D102FC" w:rsidP="00FF11FA">
      <w:pPr>
        <w:pStyle w:val="Heading2"/>
        <w:spacing w:line="480" w:lineRule="auto"/>
        <w:jc w:val="center"/>
        <w:rPr>
          <w:rStyle w:val="Strong"/>
          <w:rFonts w:ascii="Times New Roman" w:eastAsia="Times New Roman" w:hAnsi="Times New Roman" w:cs="Times New Roman"/>
          <w:color w:val="000000" w:themeColor="text1"/>
          <w:sz w:val="24"/>
          <w:szCs w:val="24"/>
        </w:rPr>
      </w:pPr>
    </w:p>
    <w:p w14:paraId="5E5D7642" w14:textId="7DE5B828" w:rsidR="00D102FC" w:rsidRDefault="00D102FC" w:rsidP="00FF11FA">
      <w:pPr>
        <w:pStyle w:val="Heading2"/>
        <w:spacing w:line="480" w:lineRule="auto"/>
        <w:rPr>
          <w:rStyle w:val="Strong"/>
          <w:rFonts w:ascii="Times New Roman" w:eastAsia="Times New Roman" w:hAnsi="Times New Roman" w:cs="Times New Roman"/>
          <w:color w:val="000000" w:themeColor="text1"/>
          <w:sz w:val="24"/>
          <w:szCs w:val="24"/>
        </w:rPr>
      </w:pPr>
    </w:p>
    <w:p w14:paraId="2896AC12" w14:textId="77777777" w:rsidR="00D102FC" w:rsidRPr="00D102FC" w:rsidRDefault="00D102FC" w:rsidP="00D102FC"/>
    <w:p w14:paraId="58985BCC" w14:textId="5F65C5AD" w:rsidR="00697133" w:rsidRPr="00B71C23" w:rsidRDefault="00697133" w:rsidP="00B71C23">
      <w:pPr>
        <w:pStyle w:val="Heading1"/>
        <w:jc w:val="center"/>
        <w:rPr>
          <w:rStyle w:val="Strong"/>
          <w:rFonts w:eastAsia="Times New Roman" w:cs="Times New Roman"/>
          <w:b/>
          <w:color w:val="000000" w:themeColor="text1"/>
          <w:szCs w:val="24"/>
        </w:rPr>
      </w:pPr>
      <w:bookmarkStart w:id="29" w:name="_Toc214285892"/>
      <w:r w:rsidRPr="00B71C23">
        <w:rPr>
          <w:rStyle w:val="Strong"/>
          <w:rFonts w:eastAsia="Times New Roman" w:cs="Times New Roman"/>
          <w:b/>
          <w:color w:val="000000" w:themeColor="text1"/>
          <w:szCs w:val="24"/>
        </w:rPr>
        <w:t>CHAPTER THREE</w:t>
      </w:r>
      <w:bookmarkEnd w:id="29"/>
    </w:p>
    <w:p w14:paraId="68068270" w14:textId="77777777" w:rsidR="00697133" w:rsidRPr="00B71C23" w:rsidRDefault="00697133" w:rsidP="00B71C23">
      <w:pPr>
        <w:pStyle w:val="Heading1"/>
        <w:jc w:val="center"/>
        <w:rPr>
          <w:rFonts w:eastAsia="Times New Roman"/>
          <w:b w:val="0"/>
          <w:kern w:val="0"/>
          <w14:ligatures w14:val="none"/>
        </w:rPr>
      </w:pPr>
      <w:bookmarkStart w:id="30" w:name="_Toc214285893"/>
      <w:r w:rsidRPr="00B71C23">
        <w:rPr>
          <w:rStyle w:val="Strong"/>
          <w:rFonts w:eastAsia="Times New Roman" w:cs="Times New Roman"/>
          <w:b/>
          <w:color w:val="000000" w:themeColor="text1"/>
          <w:szCs w:val="24"/>
        </w:rPr>
        <w:t>3.0 Materials And Methods</w:t>
      </w:r>
      <w:bookmarkEnd w:id="30"/>
    </w:p>
    <w:p w14:paraId="5CC70104" w14:textId="77777777" w:rsidR="00697133" w:rsidRPr="00B71C23" w:rsidRDefault="00697133" w:rsidP="00FF11FA">
      <w:pPr>
        <w:pStyle w:val="Heading1"/>
        <w:rPr>
          <w:rFonts w:eastAsia="Times New Roman"/>
          <w:b w:val="0"/>
        </w:rPr>
      </w:pPr>
      <w:bookmarkStart w:id="31" w:name="_Toc214285894"/>
      <w:r w:rsidRPr="00B71C23">
        <w:rPr>
          <w:rStyle w:val="Strong"/>
          <w:rFonts w:eastAsia="Times New Roman" w:cs="Times New Roman"/>
          <w:b/>
          <w:color w:val="000000" w:themeColor="text1"/>
          <w:szCs w:val="24"/>
        </w:rPr>
        <w:t>3.1 Study Area</w:t>
      </w:r>
      <w:bookmarkEnd w:id="31"/>
    </w:p>
    <w:p w14:paraId="597ED9BB" w14:textId="77777777" w:rsidR="00697133" w:rsidRPr="00FF11FA" w:rsidRDefault="00697133" w:rsidP="00FF11FA">
      <w:pPr>
        <w:spacing w:before="100" w:beforeAutospacing="1" w:after="100" w:afterAutospacing="1" w:line="480" w:lineRule="auto"/>
        <w:jc w:val="both"/>
        <w:rPr>
          <w:rFonts w:ascii="Times New Roman" w:hAnsi="Times New Roman" w:cs="Times New Roman"/>
        </w:rPr>
      </w:pPr>
      <w:r w:rsidRPr="00FF11FA">
        <w:rPr>
          <w:rFonts w:ascii="Times New Roman" w:hAnsi="Times New Roman" w:cs="Times New Roman"/>
        </w:rPr>
        <w:t>The study was conducted at the</w:t>
      </w:r>
      <w:r w:rsidRPr="00FF11FA">
        <w:rPr>
          <w:rFonts w:ascii="Times New Roman" w:hAnsi="Times New Roman" w:cs="Times New Roman"/>
          <w:bCs/>
        </w:rPr>
        <w:t xml:space="preserve"> </w:t>
      </w:r>
      <w:r w:rsidRPr="00B71C23">
        <w:rPr>
          <w:rStyle w:val="Strong"/>
          <w:rFonts w:ascii="Times New Roman" w:hAnsi="Times New Roman" w:cs="Times New Roman"/>
          <w:b w:val="0"/>
        </w:rPr>
        <w:t>Physiology Laboratory</w:t>
      </w:r>
      <w:r w:rsidRPr="00B71C23">
        <w:rPr>
          <w:rFonts w:ascii="Times New Roman" w:hAnsi="Times New Roman" w:cs="Times New Roman"/>
          <w:b/>
          <w:bCs/>
        </w:rPr>
        <w:t xml:space="preserve"> </w:t>
      </w:r>
      <w:r w:rsidRPr="00B71C23">
        <w:rPr>
          <w:rFonts w:ascii="Times New Roman" w:hAnsi="Times New Roman" w:cs="Times New Roman"/>
        </w:rPr>
        <w:t>and the</w:t>
      </w:r>
      <w:r w:rsidRPr="00B71C23">
        <w:rPr>
          <w:rFonts w:ascii="Times New Roman" w:hAnsi="Times New Roman" w:cs="Times New Roman"/>
          <w:b/>
        </w:rPr>
        <w:t xml:space="preserve"> </w:t>
      </w:r>
      <w:r w:rsidRPr="00B71C23">
        <w:rPr>
          <w:rStyle w:val="Strong"/>
          <w:rFonts w:ascii="Times New Roman" w:hAnsi="Times New Roman" w:cs="Times New Roman"/>
          <w:b w:val="0"/>
        </w:rPr>
        <w:t>Biological Garden</w:t>
      </w:r>
      <w:r w:rsidRPr="00B71C23">
        <w:rPr>
          <w:rFonts w:ascii="Times New Roman" w:hAnsi="Times New Roman" w:cs="Times New Roman"/>
          <w:b/>
          <w:bCs/>
        </w:rPr>
        <w:t>,</w:t>
      </w:r>
      <w:r w:rsidRPr="00FF11FA">
        <w:rPr>
          <w:rFonts w:ascii="Times New Roman" w:hAnsi="Times New Roman" w:cs="Times New Roman"/>
          <w:bCs/>
        </w:rPr>
        <w:t xml:space="preserve"> </w:t>
      </w:r>
      <w:r w:rsidRPr="00FF11FA">
        <w:rPr>
          <w:rFonts w:ascii="Times New Roman" w:hAnsi="Times New Roman" w:cs="Times New Roman"/>
        </w:rPr>
        <w:t xml:space="preserve">both located within the </w:t>
      </w:r>
      <w:r w:rsidRPr="00B71C23">
        <w:rPr>
          <w:rStyle w:val="Strong"/>
          <w:rFonts w:ascii="Times New Roman" w:hAnsi="Times New Roman" w:cs="Times New Roman"/>
          <w:b w:val="0"/>
        </w:rPr>
        <w:t>Department of Biological Sciences, Usmanu Danfodiyo University Sokoto</w:t>
      </w:r>
      <w:r w:rsidRPr="00FF11FA">
        <w:rPr>
          <w:rFonts w:ascii="Times New Roman" w:hAnsi="Times New Roman" w:cs="Times New Roman"/>
        </w:rPr>
        <w:t xml:space="preserve">, Nigeria. Sokoto lies in the Sudan Savannah zone of Northwestern Nigeria, characterized by a </w:t>
      </w:r>
      <w:r w:rsidRPr="00B71C23">
        <w:rPr>
          <w:rStyle w:val="Strong"/>
          <w:rFonts w:ascii="Times New Roman" w:hAnsi="Times New Roman" w:cs="Times New Roman"/>
          <w:b w:val="0"/>
        </w:rPr>
        <w:t>semi-arid</w:t>
      </w:r>
      <w:r w:rsidRPr="00FF11FA">
        <w:rPr>
          <w:rStyle w:val="Strong"/>
          <w:rFonts w:ascii="Times New Roman" w:hAnsi="Times New Roman" w:cs="Times New Roman"/>
        </w:rPr>
        <w:t xml:space="preserve"> </w:t>
      </w:r>
      <w:r w:rsidRPr="00B71C23">
        <w:rPr>
          <w:rStyle w:val="Strong"/>
          <w:rFonts w:ascii="Times New Roman" w:hAnsi="Times New Roman" w:cs="Times New Roman"/>
          <w:b w:val="0"/>
        </w:rPr>
        <w:t>climate</w:t>
      </w:r>
      <w:r w:rsidRPr="00FF11FA">
        <w:rPr>
          <w:rFonts w:ascii="Times New Roman" w:hAnsi="Times New Roman" w:cs="Times New Roman"/>
        </w:rPr>
        <w:t xml:space="preserve"> with </w:t>
      </w:r>
      <w:r w:rsidRPr="00B71C23">
        <w:rPr>
          <w:rStyle w:val="Strong"/>
          <w:rFonts w:ascii="Times New Roman" w:hAnsi="Times New Roman" w:cs="Times New Roman"/>
          <w:b w:val="0"/>
        </w:rPr>
        <w:t>long dry seasons and short wet seasons</w:t>
      </w:r>
      <w:r w:rsidRPr="00B71C23">
        <w:rPr>
          <w:rFonts w:ascii="Times New Roman" w:hAnsi="Times New Roman" w:cs="Times New Roman"/>
          <w:b/>
          <w:bCs/>
        </w:rPr>
        <w:t>.</w:t>
      </w:r>
      <w:r w:rsidRPr="00FF11FA">
        <w:rPr>
          <w:rFonts w:ascii="Times New Roman" w:hAnsi="Times New Roman" w:cs="Times New Roman"/>
          <w:bCs/>
        </w:rPr>
        <w:t xml:space="preserve"> </w:t>
      </w:r>
      <w:r w:rsidRPr="00FF11FA">
        <w:rPr>
          <w:rFonts w:ascii="Times New Roman" w:hAnsi="Times New Roman" w:cs="Times New Roman"/>
        </w:rPr>
        <w:t xml:space="preserve">The area experiences average annual rainfall of </w:t>
      </w:r>
      <w:r w:rsidRPr="00B71C23">
        <w:rPr>
          <w:rStyle w:val="Strong"/>
          <w:rFonts w:ascii="Times New Roman" w:hAnsi="Times New Roman" w:cs="Times New Roman"/>
          <w:b w:val="0"/>
        </w:rPr>
        <w:t>500–800 mm</w:t>
      </w:r>
      <w:r w:rsidRPr="00FF11FA">
        <w:rPr>
          <w:rFonts w:ascii="Times New Roman" w:hAnsi="Times New Roman" w:cs="Times New Roman"/>
        </w:rPr>
        <w:t xml:space="preserve">, a mean temperature range </w:t>
      </w:r>
      <w:r w:rsidRPr="00B71C23">
        <w:rPr>
          <w:rFonts w:ascii="Times New Roman" w:hAnsi="Times New Roman" w:cs="Times New Roman"/>
        </w:rPr>
        <w:t>of</w:t>
      </w:r>
      <w:r w:rsidRPr="00B71C23">
        <w:rPr>
          <w:rFonts w:ascii="Times New Roman" w:hAnsi="Times New Roman" w:cs="Times New Roman"/>
          <w:b/>
        </w:rPr>
        <w:t xml:space="preserve"> </w:t>
      </w:r>
      <w:r w:rsidRPr="00B71C23">
        <w:rPr>
          <w:rStyle w:val="Strong"/>
          <w:rFonts w:ascii="Times New Roman" w:hAnsi="Times New Roman" w:cs="Times New Roman"/>
          <w:b w:val="0"/>
        </w:rPr>
        <w:t>30°C–45°C</w:t>
      </w:r>
      <w:r w:rsidRPr="00B71C23">
        <w:rPr>
          <w:rFonts w:ascii="Times New Roman" w:hAnsi="Times New Roman" w:cs="Times New Roman"/>
          <w:b/>
        </w:rPr>
        <w:t>,</w:t>
      </w:r>
      <w:r w:rsidRPr="00FF11FA">
        <w:rPr>
          <w:rFonts w:ascii="Times New Roman" w:hAnsi="Times New Roman" w:cs="Times New Roman"/>
        </w:rPr>
        <w:t xml:space="preserve"> and a relative humidity of about</w:t>
      </w:r>
      <w:r w:rsidRPr="00FF11FA">
        <w:rPr>
          <w:rFonts w:ascii="Times New Roman" w:hAnsi="Times New Roman" w:cs="Times New Roman"/>
          <w:bCs/>
        </w:rPr>
        <w:t xml:space="preserve"> </w:t>
      </w:r>
      <w:r w:rsidRPr="00B71C23">
        <w:rPr>
          <w:rStyle w:val="Strong"/>
          <w:rFonts w:ascii="Times New Roman" w:hAnsi="Times New Roman" w:cs="Times New Roman"/>
          <w:b w:val="0"/>
        </w:rPr>
        <w:t>20–50%</w:t>
      </w:r>
      <w:r w:rsidRPr="00FF11FA">
        <w:rPr>
          <w:rFonts w:ascii="Times New Roman" w:hAnsi="Times New Roman" w:cs="Times New Roman"/>
        </w:rPr>
        <w:t xml:space="preserve"> during the dry season (NIMET, 2022).</w:t>
      </w:r>
    </w:p>
    <w:p w14:paraId="7273CE9F" w14:textId="77777777" w:rsidR="00697133" w:rsidRPr="00FF11FA" w:rsidRDefault="00697133" w:rsidP="00FF11FA">
      <w:pPr>
        <w:spacing w:before="100" w:beforeAutospacing="1" w:after="100" w:afterAutospacing="1" w:line="480" w:lineRule="auto"/>
        <w:jc w:val="both"/>
        <w:rPr>
          <w:rFonts w:ascii="Times New Roman" w:hAnsi="Times New Roman" w:cs="Times New Roman"/>
        </w:rPr>
      </w:pPr>
      <w:r w:rsidRPr="00FF11FA">
        <w:rPr>
          <w:rFonts w:ascii="Times New Roman" w:hAnsi="Times New Roman" w:cs="Times New Roman"/>
        </w:rPr>
        <w:t xml:space="preserve">The Physiology Laboratory provided a </w:t>
      </w:r>
      <w:r w:rsidRPr="00B71C23">
        <w:rPr>
          <w:rStyle w:val="Strong"/>
          <w:rFonts w:ascii="Times New Roman" w:hAnsi="Times New Roman" w:cs="Times New Roman"/>
          <w:b w:val="0"/>
        </w:rPr>
        <w:t>controlled environment</w:t>
      </w:r>
      <w:r w:rsidRPr="00FF11FA">
        <w:rPr>
          <w:rFonts w:ascii="Times New Roman" w:hAnsi="Times New Roman" w:cs="Times New Roman"/>
          <w:bCs/>
        </w:rPr>
        <w:t xml:space="preserve"> </w:t>
      </w:r>
      <w:r w:rsidRPr="00FF11FA">
        <w:rPr>
          <w:rFonts w:ascii="Times New Roman" w:hAnsi="Times New Roman" w:cs="Times New Roman"/>
        </w:rPr>
        <w:t xml:space="preserve">for germination studies, while the Biological Garden offered </w:t>
      </w:r>
      <w:r w:rsidRPr="00B71C23">
        <w:rPr>
          <w:rStyle w:val="Strong"/>
          <w:rFonts w:ascii="Times New Roman" w:hAnsi="Times New Roman" w:cs="Times New Roman"/>
          <w:b w:val="0"/>
        </w:rPr>
        <w:t>natural growth conditions</w:t>
      </w:r>
      <w:r w:rsidRPr="00FF11FA">
        <w:rPr>
          <w:rFonts w:ascii="Times New Roman" w:hAnsi="Times New Roman" w:cs="Times New Roman"/>
        </w:rPr>
        <w:t xml:space="preserve"> for evaluating early seedling performance under field-like conditions.</w:t>
      </w:r>
    </w:p>
    <w:p w14:paraId="5FCA94FC" w14:textId="77777777" w:rsidR="00697133" w:rsidRPr="00B71C23" w:rsidRDefault="00697133" w:rsidP="000E1989">
      <w:pPr>
        <w:pStyle w:val="Heading1"/>
        <w:rPr>
          <w:rFonts w:eastAsia="Times New Roman"/>
          <w:b w:val="0"/>
        </w:rPr>
      </w:pPr>
      <w:bookmarkStart w:id="32" w:name="_Toc214285895"/>
      <w:r w:rsidRPr="00B71C23">
        <w:rPr>
          <w:rStyle w:val="Strong"/>
          <w:rFonts w:eastAsia="Times New Roman" w:cs="Times New Roman"/>
          <w:b/>
          <w:color w:val="000000" w:themeColor="text1"/>
          <w:szCs w:val="24"/>
        </w:rPr>
        <w:t>3.2 Source of Plant Material and Fertilizers</w:t>
      </w:r>
      <w:bookmarkEnd w:id="32"/>
    </w:p>
    <w:p w14:paraId="79C25EAF" w14:textId="77777777" w:rsidR="00697133" w:rsidRPr="009150E7" w:rsidRDefault="00697133" w:rsidP="00FF11FA">
      <w:pPr>
        <w:spacing w:before="100" w:beforeAutospacing="1" w:after="100" w:afterAutospacing="1" w:line="480" w:lineRule="auto"/>
        <w:jc w:val="both"/>
        <w:rPr>
          <w:rFonts w:ascii="Times New Roman" w:hAnsi="Times New Roman" w:cs="Times New Roman"/>
        </w:rPr>
      </w:pPr>
      <w:r w:rsidRPr="009150E7">
        <w:rPr>
          <w:rFonts w:ascii="Times New Roman" w:hAnsi="Times New Roman" w:cs="Times New Roman"/>
        </w:rPr>
        <w:t xml:space="preserve">Healthy seeds of </w:t>
      </w:r>
      <w:r w:rsidRPr="00B71C23">
        <w:rPr>
          <w:rStyle w:val="Strong"/>
          <w:rFonts w:ascii="Times New Roman" w:hAnsi="Times New Roman" w:cs="Times New Roman"/>
          <w:b w:val="0"/>
          <w:i/>
          <w:iCs/>
        </w:rPr>
        <w:t>Sorghum bicolor</w:t>
      </w:r>
      <w:r w:rsidRPr="009150E7">
        <w:rPr>
          <w:rFonts w:ascii="Times New Roman" w:hAnsi="Times New Roman" w:cs="Times New Roman"/>
          <w:b/>
          <w:bCs/>
        </w:rPr>
        <w:t xml:space="preserve"> </w:t>
      </w:r>
      <w:r>
        <w:rPr>
          <w:rFonts w:ascii="Times New Roman" w:hAnsi="Times New Roman" w:cs="Times New Roman"/>
        </w:rPr>
        <w:t>and</w:t>
      </w:r>
      <w:r>
        <w:rPr>
          <w:rFonts w:ascii="Times New Roman" w:hAnsi="Times New Roman" w:cs="Times New Roman"/>
          <w:b/>
          <w:bCs/>
        </w:rPr>
        <w:t xml:space="preserve"> </w:t>
      </w:r>
      <w:r w:rsidRPr="005B022F">
        <w:rPr>
          <w:rFonts w:ascii="Times New Roman" w:hAnsi="Times New Roman" w:cs="Times New Roman"/>
          <w:i/>
          <w:iCs/>
        </w:rPr>
        <w:t>Triticum aestivum</w:t>
      </w:r>
      <w:r>
        <w:rPr>
          <w:rFonts w:ascii="Times New Roman" w:hAnsi="Times New Roman" w:cs="Times New Roman"/>
          <w:b/>
          <w:bCs/>
        </w:rPr>
        <w:t xml:space="preserve"> </w:t>
      </w:r>
      <w:r w:rsidRPr="009150E7">
        <w:rPr>
          <w:rFonts w:ascii="Times New Roman" w:hAnsi="Times New Roman" w:cs="Times New Roman"/>
        </w:rPr>
        <w:t>were obtained from the</w:t>
      </w:r>
      <w:r w:rsidRPr="009150E7">
        <w:rPr>
          <w:rFonts w:ascii="Times New Roman" w:hAnsi="Times New Roman" w:cs="Times New Roman"/>
          <w:b/>
          <w:bCs/>
        </w:rPr>
        <w:t xml:space="preserve"> </w:t>
      </w:r>
      <w:r w:rsidRPr="00B71C23">
        <w:rPr>
          <w:rStyle w:val="Strong"/>
          <w:rFonts w:ascii="Times New Roman" w:hAnsi="Times New Roman" w:cs="Times New Roman"/>
          <w:b w:val="0"/>
        </w:rPr>
        <w:t>Sokoto State</w:t>
      </w:r>
      <w:r w:rsidRPr="009150E7">
        <w:rPr>
          <w:rStyle w:val="Strong"/>
          <w:rFonts w:ascii="Times New Roman" w:hAnsi="Times New Roman" w:cs="Times New Roman"/>
        </w:rPr>
        <w:t xml:space="preserve"> </w:t>
      </w:r>
      <w:r w:rsidRPr="00B71C23">
        <w:rPr>
          <w:rStyle w:val="Strong"/>
          <w:rFonts w:ascii="Times New Roman" w:hAnsi="Times New Roman" w:cs="Times New Roman"/>
          <w:b w:val="0"/>
        </w:rPr>
        <w:t>Agricultural Development Project (SADP)</w:t>
      </w:r>
      <w:r w:rsidRPr="00B71C23">
        <w:rPr>
          <w:rFonts w:ascii="Times New Roman" w:hAnsi="Times New Roman" w:cs="Times New Roman"/>
          <w:b/>
        </w:rPr>
        <w:t>.</w:t>
      </w:r>
      <w:r w:rsidRPr="009150E7">
        <w:rPr>
          <w:rFonts w:ascii="Times New Roman" w:hAnsi="Times New Roman" w:cs="Times New Roman"/>
        </w:rPr>
        <w:t xml:space="preserve"> The seeds were selected based on uniformity, viability, and absence of mechanical damage.</w:t>
      </w:r>
    </w:p>
    <w:p w14:paraId="30B7694B" w14:textId="77777777" w:rsidR="00697133" w:rsidRPr="009150E7" w:rsidRDefault="00697133" w:rsidP="00FF11FA">
      <w:pPr>
        <w:spacing w:before="100" w:beforeAutospacing="1" w:after="100" w:afterAutospacing="1" w:line="480" w:lineRule="auto"/>
        <w:jc w:val="both"/>
        <w:rPr>
          <w:rStyle w:val="Strong"/>
          <w:rFonts w:ascii="Times New Roman" w:eastAsia="Times New Roman" w:hAnsi="Times New Roman" w:cs="Times New Roman"/>
          <w:color w:val="000000" w:themeColor="text1"/>
        </w:rPr>
      </w:pPr>
      <w:r w:rsidRPr="009150E7">
        <w:rPr>
          <w:rFonts w:ascii="Times New Roman" w:hAnsi="Times New Roman" w:cs="Times New Roman"/>
        </w:rPr>
        <w:t xml:space="preserve">The fertilizers used are </w:t>
      </w:r>
      <w:r w:rsidRPr="00B71C23">
        <w:rPr>
          <w:rStyle w:val="Strong"/>
          <w:rFonts w:ascii="Times New Roman" w:hAnsi="Times New Roman" w:cs="Times New Roman"/>
          <w:b w:val="0"/>
        </w:rPr>
        <w:t>NPK fertilizer</w:t>
      </w:r>
      <w:r w:rsidRPr="009150E7">
        <w:rPr>
          <w:rFonts w:ascii="Times New Roman" w:hAnsi="Times New Roman" w:cs="Times New Roman"/>
        </w:rPr>
        <w:t xml:space="preserve"> (</w:t>
      </w:r>
      <w:r>
        <w:rPr>
          <w:rFonts w:ascii="Times New Roman" w:hAnsi="Times New Roman" w:cs="Times New Roman"/>
        </w:rPr>
        <w:t>Nitrogen</w:t>
      </w:r>
      <w:r w:rsidRPr="009150E7">
        <w:rPr>
          <w:rFonts w:ascii="Times New Roman" w:hAnsi="Times New Roman" w:cs="Times New Roman"/>
        </w:rPr>
        <w:t xml:space="preserve">–Phosphorus–Potassium) </w:t>
      </w:r>
      <w:r w:rsidRPr="00B71C23">
        <w:rPr>
          <w:rStyle w:val="Strong"/>
          <w:rFonts w:ascii="Times New Roman" w:hAnsi="Times New Roman" w:cs="Times New Roman"/>
          <w:b w:val="0"/>
        </w:rPr>
        <w:t>fertilizer</w:t>
      </w:r>
      <w:r w:rsidRPr="00B71C23">
        <w:rPr>
          <w:rFonts w:ascii="Times New Roman" w:hAnsi="Times New Roman" w:cs="Times New Roman"/>
          <w:b/>
        </w:rPr>
        <w:t>,</w:t>
      </w:r>
      <w:r w:rsidRPr="009150E7">
        <w:rPr>
          <w:rFonts w:ascii="Times New Roman" w:hAnsi="Times New Roman" w:cs="Times New Roman"/>
        </w:rPr>
        <w:t xml:space="preserve"> sourced from an agrochemical store in Sokoto</w:t>
      </w:r>
      <w:r w:rsidRPr="009150E7">
        <w:rPr>
          <w:rStyle w:val="Strong"/>
          <w:rFonts w:ascii="Times New Roman" w:eastAsia="Times New Roman" w:hAnsi="Times New Roman" w:cs="Times New Roman"/>
          <w:color w:val="000000" w:themeColor="text1"/>
        </w:rPr>
        <w:t xml:space="preserve"> </w:t>
      </w:r>
    </w:p>
    <w:p w14:paraId="074F368B" w14:textId="1FF0B42A" w:rsidR="00697133" w:rsidRPr="009150E7" w:rsidRDefault="00697133" w:rsidP="000E1989">
      <w:pPr>
        <w:pStyle w:val="Heading1"/>
        <w:rPr>
          <w:rFonts w:eastAsia="Times New Roman"/>
        </w:rPr>
      </w:pPr>
      <w:bookmarkStart w:id="33" w:name="_Toc214285896"/>
      <w:r w:rsidRPr="009150E7">
        <w:rPr>
          <w:rStyle w:val="Strong"/>
          <w:rFonts w:eastAsia="Times New Roman" w:cs="Times New Roman"/>
          <w:color w:val="000000" w:themeColor="text1"/>
        </w:rPr>
        <w:t>3.3 Experimental Design</w:t>
      </w:r>
      <w:bookmarkEnd w:id="33"/>
    </w:p>
    <w:p w14:paraId="04EC333D" w14:textId="77777777" w:rsidR="00697133" w:rsidRPr="009150E7" w:rsidRDefault="00697133" w:rsidP="00FF11FA">
      <w:pPr>
        <w:spacing w:before="100" w:beforeAutospacing="1" w:after="100" w:afterAutospacing="1" w:line="480" w:lineRule="auto"/>
        <w:jc w:val="both"/>
        <w:rPr>
          <w:rFonts w:ascii="Times New Roman" w:hAnsi="Times New Roman" w:cs="Times New Roman"/>
        </w:rPr>
      </w:pPr>
      <w:r w:rsidRPr="009150E7">
        <w:rPr>
          <w:rFonts w:ascii="Times New Roman" w:hAnsi="Times New Roman" w:cs="Times New Roman"/>
        </w:rPr>
        <w:t xml:space="preserve">The experiment was laid out using a </w:t>
      </w:r>
      <w:r w:rsidRPr="00B71C23">
        <w:rPr>
          <w:rStyle w:val="Strong"/>
          <w:rFonts w:ascii="Times New Roman" w:hAnsi="Times New Roman" w:cs="Times New Roman"/>
          <w:b w:val="0"/>
        </w:rPr>
        <w:t>Completely Randomized Design (CRD)</w:t>
      </w:r>
      <w:r w:rsidRPr="009150E7">
        <w:rPr>
          <w:rFonts w:ascii="Times New Roman" w:hAnsi="Times New Roman" w:cs="Times New Roman"/>
          <w:b/>
          <w:bCs/>
        </w:rPr>
        <w:t xml:space="preserve"> </w:t>
      </w:r>
      <w:r w:rsidRPr="009150E7">
        <w:rPr>
          <w:rFonts w:ascii="Times New Roman" w:hAnsi="Times New Roman" w:cs="Times New Roman"/>
        </w:rPr>
        <w:t xml:space="preserve">for the laboratory study and a </w:t>
      </w:r>
      <w:r w:rsidRPr="00B71C23">
        <w:rPr>
          <w:rStyle w:val="Strong"/>
          <w:rFonts w:ascii="Times New Roman" w:hAnsi="Times New Roman" w:cs="Times New Roman"/>
          <w:b w:val="0"/>
        </w:rPr>
        <w:t>Randomized Complete Block Design (RCBD)</w:t>
      </w:r>
      <w:r w:rsidRPr="009150E7">
        <w:rPr>
          <w:rFonts w:ascii="Times New Roman" w:hAnsi="Times New Roman" w:cs="Times New Roman"/>
        </w:rPr>
        <w:t xml:space="preserve"> for the garden study. Each treatment was replicated </w:t>
      </w:r>
      <w:r w:rsidRPr="00B71C23">
        <w:rPr>
          <w:rStyle w:val="Strong"/>
          <w:rFonts w:ascii="Times New Roman" w:hAnsi="Times New Roman" w:cs="Times New Roman"/>
          <w:b w:val="0"/>
        </w:rPr>
        <w:t>three times</w:t>
      </w:r>
      <w:r w:rsidRPr="009150E7">
        <w:rPr>
          <w:rFonts w:ascii="Times New Roman" w:hAnsi="Times New Roman" w:cs="Times New Roman"/>
        </w:rPr>
        <w:t xml:space="preserve"> to ensure statistical reliability.</w:t>
      </w:r>
    </w:p>
    <w:p w14:paraId="74765C3C" w14:textId="77777777" w:rsidR="00697133" w:rsidRPr="009150E7" w:rsidRDefault="00697133" w:rsidP="00FF11FA">
      <w:pPr>
        <w:pStyle w:val="Heading4"/>
        <w:spacing w:line="480" w:lineRule="auto"/>
        <w:jc w:val="both"/>
        <w:rPr>
          <w:rFonts w:ascii="Times New Roman" w:eastAsia="Times New Roman" w:hAnsi="Times New Roman" w:cs="Times New Roman"/>
          <w:i w:val="0"/>
          <w:iCs w:val="0"/>
          <w:color w:val="000000" w:themeColor="text1"/>
        </w:rPr>
      </w:pPr>
      <w:r w:rsidRPr="009150E7">
        <w:rPr>
          <w:rStyle w:val="Strong"/>
          <w:rFonts w:ascii="Times New Roman" w:eastAsia="Times New Roman" w:hAnsi="Times New Roman" w:cs="Times New Roman"/>
          <w:i w:val="0"/>
          <w:iCs w:val="0"/>
          <w:color w:val="000000" w:themeColor="text1"/>
        </w:rPr>
        <w:t>Treatment Structure:</w:t>
      </w:r>
    </w:p>
    <w:p w14:paraId="7BBD6906" w14:textId="77777777" w:rsidR="00697133" w:rsidRPr="009150E7" w:rsidRDefault="00697133" w:rsidP="00697133">
      <w:pPr>
        <w:pStyle w:val="ListParagraph"/>
        <w:numPr>
          <w:ilvl w:val="0"/>
          <w:numId w:val="3"/>
        </w:numPr>
        <w:spacing w:before="100" w:beforeAutospacing="1" w:after="100" w:afterAutospacing="1" w:line="480" w:lineRule="auto"/>
        <w:jc w:val="both"/>
        <w:rPr>
          <w:rFonts w:ascii="Times New Roman" w:hAnsi="Times New Roman" w:cs="Times New Roman"/>
        </w:rPr>
      </w:pPr>
      <w:r w:rsidRPr="009150E7">
        <w:rPr>
          <w:rStyle w:val="Strong"/>
          <w:rFonts w:ascii="Times New Roman" w:hAnsi="Times New Roman" w:cs="Times New Roman"/>
        </w:rPr>
        <w:t>Control</w:t>
      </w:r>
      <w:r w:rsidRPr="009150E7">
        <w:rPr>
          <w:rFonts w:ascii="Times New Roman" w:hAnsi="Times New Roman" w:cs="Times New Roman"/>
        </w:rPr>
        <w:t xml:space="preserve"> (no fertilizer)</w:t>
      </w:r>
    </w:p>
    <w:p w14:paraId="2C72F55B" w14:textId="77777777" w:rsidR="00697133" w:rsidRPr="009150E7" w:rsidRDefault="00697133" w:rsidP="00697133">
      <w:pPr>
        <w:pStyle w:val="ListParagraph"/>
        <w:numPr>
          <w:ilvl w:val="0"/>
          <w:numId w:val="3"/>
        </w:numPr>
        <w:spacing w:before="100" w:beforeAutospacing="1" w:after="100" w:afterAutospacing="1" w:line="480" w:lineRule="auto"/>
        <w:jc w:val="both"/>
        <w:rPr>
          <w:rFonts w:ascii="Times New Roman" w:hAnsi="Times New Roman" w:cs="Times New Roman"/>
        </w:rPr>
      </w:pPr>
      <w:r>
        <w:rPr>
          <w:rStyle w:val="Strong"/>
          <w:rFonts w:ascii="Times New Roman" w:hAnsi="Times New Roman" w:cs="Times New Roman"/>
        </w:rPr>
        <w:t>N</w:t>
      </w:r>
      <w:r w:rsidRPr="009150E7">
        <w:rPr>
          <w:rStyle w:val="Strong"/>
          <w:rFonts w:ascii="Times New Roman" w:hAnsi="Times New Roman" w:cs="Times New Roman"/>
        </w:rPr>
        <w:t>PK</w:t>
      </w:r>
      <w:r w:rsidRPr="009150E7">
        <w:rPr>
          <w:rFonts w:ascii="Times New Roman" w:hAnsi="Times New Roman" w:cs="Times New Roman"/>
        </w:rPr>
        <w:t xml:space="preserve"> (at </w:t>
      </w:r>
      <w:r>
        <w:rPr>
          <w:rFonts w:ascii="Times New Roman" w:hAnsi="Times New Roman" w:cs="Times New Roman"/>
        </w:rPr>
        <w:t>5</w:t>
      </w:r>
      <w:r w:rsidRPr="009150E7">
        <w:rPr>
          <w:rFonts w:ascii="Times New Roman" w:hAnsi="Times New Roman" w:cs="Times New Roman"/>
        </w:rPr>
        <w:t>0 kg/ha equivalent)</w:t>
      </w:r>
    </w:p>
    <w:p w14:paraId="513B665F" w14:textId="77777777" w:rsidR="00697133" w:rsidRPr="009150E7" w:rsidRDefault="00697133" w:rsidP="00697133">
      <w:pPr>
        <w:pStyle w:val="ListParagraph"/>
        <w:numPr>
          <w:ilvl w:val="0"/>
          <w:numId w:val="3"/>
        </w:numPr>
        <w:spacing w:before="100" w:beforeAutospacing="1" w:after="100" w:afterAutospacing="1" w:line="480" w:lineRule="auto"/>
        <w:jc w:val="both"/>
        <w:rPr>
          <w:rFonts w:ascii="Times New Roman" w:hAnsi="Times New Roman" w:cs="Times New Roman"/>
        </w:rPr>
      </w:pPr>
      <w:r>
        <w:rPr>
          <w:rStyle w:val="Strong"/>
          <w:rFonts w:ascii="Times New Roman" w:hAnsi="Times New Roman" w:cs="Times New Roman"/>
        </w:rPr>
        <w:t>NPK</w:t>
      </w:r>
      <w:r w:rsidRPr="009150E7">
        <w:rPr>
          <w:rStyle w:val="Strong"/>
          <w:rFonts w:ascii="Times New Roman" w:hAnsi="Times New Roman" w:cs="Times New Roman"/>
        </w:rPr>
        <w:t xml:space="preserve"> </w:t>
      </w:r>
      <w:r w:rsidRPr="009150E7">
        <w:rPr>
          <w:rFonts w:ascii="Times New Roman" w:hAnsi="Times New Roman" w:cs="Times New Roman"/>
        </w:rPr>
        <w:t xml:space="preserve"> (at 100 kg/ha equivalent)</w:t>
      </w:r>
    </w:p>
    <w:p w14:paraId="6ED31AD5" w14:textId="77777777" w:rsidR="00697133" w:rsidRPr="00C12949" w:rsidRDefault="00697133" w:rsidP="00697133">
      <w:pPr>
        <w:pStyle w:val="ListParagraph"/>
        <w:numPr>
          <w:ilvl w:val="0"/>
          <w:numId w:val="3"/>
        </w:numPr>
        <w:spacing w:before="100" w:beforeAutospacing="1" w:after="100" w:afterAutospacing="1" w:line="480" w:lineRule="auto"/>
        <w:jc w:val="both"/>
        <w:rPr>
          <w:rFonts w:ascii="Times New Roman" w:hAnsi="Times New Roman" w:cs="Times New Roman"/>
        </w:rPr>
      </w:pPr>
      <w:r>
        <w:rPr>
          <w:rStyle w:val="Strong"/>
          <w:rFonts w:ascii="Times New Roman" w:hAnsi="Times New Roman" w:cs="Times New Roman"/>
        </w:rPr>
        <w:t>N</w:t>
      </w:r>
      <w:r w:rsidRPr="009150E7">
        <w:rPr>
          <w:rStyle w:val="Strong"/>
          <w:rFonts w:ascii="Times New Roman" w:hAnsi="Times New Roman" w:cs="Times New Roman"/>
        </w:rPr>
        <w:t>PK</w:t>
      </w:r>
      <w:r w:rsidRPr="009150E7">
        <w:rPr>
          <w:rFonts w:ascii="Times New Roman" w:hAnsi="Times New Roman" w:cs="Times New Roman"/>
        </w:rPr>
        <w:t xml:space="preserve"> (at </w:t>
      </w:r>
      <w:r>
        <w:rPr>
          <w:rFonts w:ascii="Times New Roman" w:hAnsi="Times New Roman" w:cs="Times New Roman"/>
        </w:rPr>
        <w:t>1</w:t>
      </w:r>
      <w:r w:rsidRPr="009150E7">
        <w:rPr>
          <w:rFonts w:ascii="Times New Roman" w:hAnsi="Times New Roman" w:cs="Times New Roman"/>
        </w:rPr>
        <w:t>50 kg/ha equivalent)</w:t>
      </w:r>
    </w:p>
    <w:p w14:paraId="33B952CB" w14:textId="77777777" w:rsidR="00697133" w:rsidRPr="009150E7" w:rsidRDefault="00697133" w:rsidP="000E1989">
      <w:pPr>
        <w:pStyle w:val="Heading1"/>
        <w:rPr>
          <w:rFonts w:eastAsia="Times New Roman"/>
        </w:rPr>
      </w:pPr>
      <w:bookmarkStart w:id="34" w:name="_Toc214285897"/>
      <w:r w:rsidRPr="009150E7">
        <w:rPr>
          <w:rStyle w:val="Strong"/>
          <w:rFonts w:eastAsia="Times New Roman" w:cs="Times New Roman"/>
          <w:color w:val="000000" w:themeColor="text1"/>
          <w:szCs w:val="24"/>
        </w:rPr>
        <w:t>3.4 Germination Test Procedure (Lab Study)</w:t>
      </w:r>
      <w:bookmarkEnd w:id="34"/>
    </w:p>
    <w:p w14:paraId="67AA017F" w14:textId="77777777" w:rsidR="00697133" w:rsidRPr="009150E7" w:rsidRDefault="00697133" w:rsidP="00FF11FA">
      <w:pPr>
        <w:spacing w:before="100" w:beforeAutospacing="1" w:after="100" w:afterAutospacing="1" w:line="480" w:lineRule="auto"/>
        <w:jc w:val="both"/>
        <w:rPr>
          <w:rFonts w:ascii="Times New Roman" w:hAnsi="Times New Roman" w:cs="Times New Roman"/>
          <w:b/>
          <w:bCs/>
        </w:rPr>
      </w:pPr>
      <w:r w:rsidRPr="009150E7">
        <w:rPr>
          <w:rFonts w:ascii="Times New Roman" w:hAnsi="Times New Roman" w:cs="Times New Roman"/>
        </w:rPr>
        <w:t>The germination test was conducted under laboratory conditions following</w:t>
      </w:r>
      <w:r w:rsidRPr="009150E7">
        <w:rPr>
          <w:rFonts w:ascii="Times New Roman" w:hAnsi="Times New Roman" w:cs="Times New Roman"/>
          <w:b/>
          <w:bCs/>
        </w:rPr>
        <w:t xml:space="preserve"> </w:t>
      </w:r>
      <w:r w:rsidRPr="00B71C23">
        <w:rPr>
          <w:rStyle w:val="Strong"/>
          <w:rFonts w:ascii="Times New Roman" w:hAnsi="Times New Roman" w:cs="Times New Roman"/>
          <w:b w:val="0"/>
        </w:rPr>
        <w:t>ISTA guidelines</w:t>
      </w:r>
      <w:r w:rsidRPr="009150E7">
        <w:rPr>
          <w:rStyle w:val="Strong"/>
          <w:rFonts w:ascii="Times New Roman" w:hAnsi="Times New Roman" w:cs="Times New Roman"/>
        </w:rPr>
        <w:t xml:space="preserve"> </w:t>
      </w:r>
      <w:r w:rsidRPr="00B71C23">
        <w:rPr>
          <w:rStyle w:val="Strong"/>
          <w:rFonts w:ascii="Times New Roman" w:hAnsi="Times New Roman" w:cs="Times New Roman"/>
          <w:b w:val="0"/>
        </w:rPr>
        <w:t>(2016)</w:t>
      </w:r>
      <w:r w:rsidRPr="00B71C23">
        <w:rPr>
          <w:rFonts w:ascii="Times New Roman" w:hAnsi="Times New Roman" w:cs="Times New Roman"/>
          <w:b/>
          <w:bCs/>
        </w:rPr>
        <w:t>.</w:t>
      </w:r>
      <w:r w:rsidRPr="009150E7">
        <w:rPr>
          <w:rFonts w:ascii="Times New Roman" w:hAnsi="Times New Roman" w:cs="Times New Roman"/>
          <w:b/>
          <w:bCs/>
        </w:rPr>
        <w:t xml:space="preserve"> </w:t>
      </w:r>
      <w:r w:rsidRPr="009150E7">
        <w:rPr>
          <w:rFonts w:ascii="Times New Roman" w:hAnsi="Times New Roman" w:cs="Times New Roman"/>
        </w:rPr>
        <w:t>Seeds were sterilized with</w:t>
      </w:r>
      <w:r w:rsidRPr="009150E7">
        <w:rPr>
          <w:rFonts w:ascii="Times New Roman" w:hAnsi="Times New Roman" w:cs="Times New Roman"/>
          <w:b/>
          <w:bCs/>
          <w:color w:val="000000" w:themeColor="text1"/>
        </w:rPr>
        <w:t xml:space="preserve"> </w:t>
      </w:r>
      <w:r w:rsidRPr="00B71C23">
        <w:rPr>
          <w:rStyle w:val="Strong"/>
          <w:rFonts w:ascii="Times New Roman" w:hAnsi="Times New Roman" w:cs="Times New Roman"/>
          <w:b w:val="0"/>
          <w:color w:val="000000" w:themeColor="text1"/>
        </w:rPr>
        <w:t>1% sodium hypochlorite</w:t>
      </w:r>
      <w:r w:rsidRPr="009150E7">
        <w:rPr>
          <w:rFonts w:ascii="Times New Roman" w:hAnsi="Times New Roman" w:cs="Times New Roman"/>
        </w:rPr>
        <w:t xml:space="preserve"> to prevent fungal contamination.</w:t>
      </w:r>
      <w:r w:rsidRPr="009150E7">
        <w:rPr>
          <w:rFonts w:ascii="Times New Roman" w:hAnsi="Times New Roman" w:cs="Times New Roman"/>
          <w:b/>
          <w:bCs/>
        </w:rPr>
        <w:t xml:space="preserve"> </w:t>
      </w:r>
      <w:r w:rsidRPr="009150E7">
        <w:rPr>
          <w:rFonts w:ascii="Times New Roman" w:hAnsi="Times New Roman" w:cs="Times New Roman"/>
        </w:rPr>
        <w:t xml:space="preserve">25 seeds per treatment were placed in </w:t>
      </w:r>
      <w:r w:rsidRPr="00B71C23">
        <w:rPr>
          <w:rStyle w:val="Strong"/>
          <w:rFonts w:ascii="Times New Roman" w:hAnsi="Times New Roman" w:cs="Times New Roman"/>
          <w:b w:val="0"/>
        </w:rPr>
        <w:t>Petri dishes lined with moistened filter paper</w:t>
      </w:r>
      <w:r w:rsidRPr="009150E7">
        <w:rPr>
          <w:rFonts w:ascii="Times New Roman" w:hAnsi="Times New Roman" w:cs="Times New Roman"/>
        </w:rPr>
        <w:t>.</w:t>
      </w:r>
      <w:r w:rsidRPr="009150E7">
        <w:rPr>
          <w:rFonts w:ascii="Times New Roman" w:hAnsi="Times New Roman" w:cs="Times New Roman"/>
          <w:b/>
          <w:bCs/>
        </w:rPr>
        <w:t xml:space="preserve"> </w:t>
      </w:r>
      <w:r w:rsidRPr="009150E7">
        <w:rPr>
          <w:rFonts w:ascii="Times New Roman" w:hAnsi="Times New Roman" w:cs="Times New Roman"/>
        </w:rPr>
        <w:t xml:space="preserve">Dishes were incubated at </w:t>
      </w:r>
      <w:r w:rsidRPr="009150E7">
        <w:rPr>
          <w:rStyle w:val="Strong"/>
          <w:rFonts w:ascii="Times New Roman" w:hAnsi="Times New Roman" w:cs="Times New Roman"/>
        </w:rPr>
        <w:t>25°C</w:t>
      </w:r>
      <w:r w:rsidRPr="009150E7">
        <w:rPr>
          <w:rFonts w:ascii="Times New Roman" w:hAnsi="Times New Roman" w:cs="Times New Roman"/>
        </w:rPr>
        <w:t xml:space="preserve"> with constant moisture and observed for </w:t>
      </w:r>
      <w:r w:rsidRPr="00B71C23">
        <w:rPr>
          <w:rStyle w:val="Strong"/>
          <w:rFonts w:ascii="Times New Roman" w:hAnsi="Times New Roman" w:cs="Times New Roman"/>
          <w:b w:val="0"/>
        </w:rPr>
        <w:t>7 days</w:t>
      </w:r>
      <w:r w:rsidRPr="00B71C23">
        <w:rPr>
          <w:rFonts w:ascii="Times New Roman" w:hAnsi="Times New Roman" w:cs="Times New Roman"/>
          <w:b/>
          <w:bCs/>
        </w:rPr>
        <w:t>.</w:t>
      </w:r>
    </w:p>
    <w:p w14:paraId="0008577B" w14:textId="77777777" w:rsidR="00697133" w:rsidRPr="009150E7" w:rsidRDefault="00697133" w:rsidP="00FF11FA">
      <w:pPr>
        <w:spacing w:before="100" w:beforeAutospacing="1" w:after="100" w:afterAutospacing="1" w:line="480" w:lineRule="auto"/>
        <w:jc w:val="both"/>
        <w:rPr>
          <w:rFonts w:ascii="Times New Roman" w:hAnsi="Times New Roman" w:cs="Times New Roman"/>
          <w:b/>
          <w:bCs/>
        </w:rPr>
      </w:pPr>
      <w:r w:rsidRPr="00B71C23">
        <w:rPr>
          <w:rStyle w:val="Strong"/>
          <w:rFonts w:ascii="Times New Roman" w:hAnsi="Times New Roman" w:cs="Times New Roman"/>
          <w:b w:val="0"/>
        </w:rPr>
        <w:t>Germination Percentage (GP) was</w:t>
      </w:r>
      <w:r w:rsidRPr="009150E7">
        <w:rPr>
          <w:rStyle w:val="Strong"/>
          <w:rFonts w:ascii="Times New Roman" w:hAnsi="Times New Roman" w:cs="Times New Roman"/>
        </w:rPr>
        <w:t xml:space="preserve"> </w:t>
      </w:r>
      <w:r w:rsidRPr="009150E7">
        <w:rPr>
          <w:rFonts w:ascii="Times New Roman" w:hAnsi="Times New Roman" w:cs="Times New Roman"/>
        </w:rPr>
        <w:t xml:space="preserve">calculated using the formula:  </w:t>
      </w:r>
    </w:p>
    <w:p w14:paraId="5B10C434" w14:textId="77777777" w:rsidR="00697133" w:rsidRPr="009150E7" w:rsidRDefault="00697133" w:rsidP="00FF11FA">
      <w:pPr>
        <w:spacing w:line="480" w:lineRule="auto"/>
        <w:ind w:left="3600"/>
        <w:jc w:val="both"/>
        <w:rPr>
          <w:rFonts w:ascii="Times New Roman" w:hAnsi="Times New Roman" w:cs="Times New Roman"/>
        </w:rPr>
      </w:pPr>
      <w:r w:rsidRPr="009150E7">
        <w:rPr>
          <w:rFonts w:ascii="Times New Roman" w:hAnsi="Times New Roman" w:cs="Times New Roman"/>
        </w:rPr>
        <w:t xml:space="preserve">Total number of seeds </w:t>
      </w:r>
    </w:p>
    <w:p w14:paraId="2D43D36A" w14:textId="77777777" w:rsidR="00697133" w:rsidRPr="009150E7" w:rsidRDefault="00697133" w:rsidP="00FF11FA">
      <w:pPr>
        <w:spacing w:line="480" w:lineRule="auto"/>
        <w:jc w:val="both"/>
        <w:rPr>
          <w:rFonts w:ascii="Times New Roman" w:hAnsi="Times New Roman" w:cs="Times New Roman"/>
        </w:rPr>
      </w:pPr>
      <w:r w:rsidRPr="009150E7">
        <w:rPr>
          <w:rFonts w:ascii="Times New Roman" w:hAnsi="Times New Roman" w:cs="Times New Roman"/>
        </w:rPr>
        <w:t xml:space="preserve">Germination Percentage (GP) % = -------------------------------------- X 100 </w:t>
      </w:r>
    </w:p>
    <w:p w14:paraId="1E12466D" w14:textId="77777777" w:rsidR="00697133" w:rsidRPr="009150E7" w:rsidRDefault="00697133" w:rsidP="00FF11FA">
      <w:pPr>
        <w:spacing w:line="480" w:lineRule="auto"/>
        <w:ind w:left="2880"/>
        <w:jc w:val="both"/>
        <w:rPr>
          <w:rFonts w:ascii="Times New Roman" w:hAnsi="Times New Roman" w:cs="Times New Roman"/>
        </w:rPr>
      </w:pPr>
      <w:r w:rsidRPr="009150E7">
        <w:rPr>
          <w:rFonts w:ascii="Times New Roman" w:hAnsi="Times New Roman" w:cs="Times New Roman"/>
        </w:rPr>
        <w:t xml:space="preserve">           Number of germinated seeds </w:t>
      </w:r>
    </w:p>
    <w:p w14:paraId="3E2490ED" w14:textId="77777777" w:rsidR="00697133" w:rsidRPr="009150E7" w:rsidRDefault="00697133" w:rsidP="000E1989">
      <w:pPr>
        <w:pStyle w:val="Heading1"/>
        <w:rPr>
          <w:rFonts w:eastAsia="Times New Roman"/>
        </w:rPr>
      </w:pPr>
      <w:bookmarkStart w:id="35" w:name="_Toc214285898"/>
      <w:r w:rsidRPr="009150E7">
        <w:rPr>
          <w:rStyle w:val="Strong"/>
          <w:rFonts w:eastAsia="Times New Roman" w:cs="Times New Roman"/>
          <w:color w:val="000000" w:themeColor="text1"/>
          <w:szCs w:val="24"/>
        </w:rPr>
        <w:t>3.5 Seedling Growth Evaluation (Field Study)</w:t>
      </w:r>
      <w:bookmarkEnd w:id="35"/>
    </w:p>
    <w:p w14:paraId="15D6E122" w14:textId="77777777" w:rsidR="000E1989" w:rsidRDefault="00697133" w:rsidP="000E1989">
      <w:pPr>
        <w:spacing w:before="100" w:beforeAutospacing="1" w:after="100" w:afterAutospacing="1" w:line="480" w:lineRule="auto"/>
        <w:jc w:val="both"/>
        <w:rPr>
          <w:rFonts w:ascii="Times New Roman" w:hAnsi="Times New Roman" w:cs="Times New Roman"/>
        </w:rPr>
      </w:pPr>
      <w:r w:rsidRPr="009150E7">
        <w:rPr>
          <w:rFonts w:ascii="Times New Roman" w:hAnsi="Times New Roman" w:cs="Times New Roman"/>
        </w:rPr>
        <w:t xml:space="preserve">Seedlings were raised in the Biological Garden using </w:t>
      </w:r>
      <w:r w:rsidRPr="00B71C23">
        <w:rPr>
          <w:rStyle w:val="Strong"/>
          <w:rFonts w:ascii="Times New Roman" w:hAnsi="Times New Roman" w:cs="Times New Roman"/>
          <w:b w:val="0"/>
        </w:rPr>
        <w:t>plastic pots filled with 5 kg of sterilized loamy soil</w:t>
      </w:r>
      <w:r w:rsidRPr="00B71C23">
        <w:rPr>
          <w:rFonts w:ascii="Times New Roman" w:hAnsi="Times New Roman" w:cs="Times New Roman"/>
          <w:b/>
          <w:bCs/>
        </w:rPr>
        <w:t xml:space="preserve">. </w:t>
      </w:r>
      <w:r w:rsidRPr="009150E7">
        <w:rPr>
          <w:rFonts w:ascii="Times New Roman" w:hAnsi="Times New Roman" w:cs="Times New Roman"/>
        </w:rPr>
        <w:t>Seeds were sown at a depth of 2–3 cm.</w:t>
      </w:r>
      <w:r w:rsidRPr="009150E7">
        <w:rPr>
          <w:rFonts w:ascii="Times New Roman" w:hAnsi="Times New Roman" w:cs="Times New Roman"/>
          <w:b/>
          <w:bCs/>
        </w:rPr>
        <w:t xml:space="preserve"> </w:t>
      </w:r>
      <w:r w:rsidRPr="009150E7">
        <w:rPr>
          <w:rFonts w:ascii="Times New Roman" w:hAnsi="Times New Roman" w:cs="Times New Roman"/>
        </w:rPr>
        <w:t xml:space="preserve">Fertilizers were applied </w:t>
      </w:r>
      <w:r w:rsidRPr="00B71C23">
        <w:rPr>
          <w:rStyle w:val="Strong"/>
          <w:rFonts w:ascii="Times New Roman" w:hAnsi="Times New Roman" w:cs="Times New Roman"/>
          <w:b w:val="0"/>
        </w:rPr>
        <w:t>one week after germination</w:t>
      </w:r>
      <w:r w:rsidRPr="009150E7">
        <w:rPr>
          <w:rFonts w:ascii="Times New Roman" w:hAnsi="Times New Roman" w:cs="Times New Roman"/>
          <w:b/>
          <w:bCs/>
        </w:rPr>
        <w:t xml:space="preserve"> (</w:t>
      </w:r>
      <w:r w:rsidRPr="009150E7">
        <w:rPr>
          <w:rFonts w:ascii="Times New Roman" w:hAnsi="Times New Roman" w:cs="Times New Roman"/>
        </w:rPr>
        <w:t>WAG).</w:t>
      </w:r>
      <w:r w:rsidRPr="009150E7">
        <w:rPr>
          <w:rFonts w:ascii="Times New Roman" w:hAnsi="Times New Roman" w:cs="Times New Roman"/>
          <w:b/>
          <w:bCs/>
        </w:rPr>
        <w:t xml:space="preserve"> </w:t>
      </w:r>
      <w:r w:rsidRPr="009150E7">
        <w:rPr>
          <w:rFonts w:ascii="Times New Roman" w:hAnsi="Times New Roman" w:cs="Times New Roman"/>
        </w:rPr>
        <w:t xml:space="preserve">Watering was done every morning to maintain optimum soil moisture. </w:t>
      </w:r>
      <w:r w:rsidRPr="00B71C23">
        <w:rPr>
          <w:rStyle w:val="Strong"/>
          <w:rFonts w:ascii="Times New Roman" w:eastAsia="Times New Roman" w:hAnsi="Times New Roman" w:cs="Times New Roman"/>
          <w:b w:val="0"/>
          <w:color w:val="000000" w:themeColor="text1"/>
        </w:rPr>
        <w:t>Growth parameters measured</w:t>
      </w:r>
      <w:r w:rsidRPr="009150E7">
        <w:rPr>
          <w:rFonts w:ascii="Times New Roman" w:eastAsia="Times New Roman" w:hAnsi="Times New Roman" w:cs="Times New Roman"/>
          <w:b/>
          <w:bCs/>
          <w:color w:val="000000" w:themeColor="text1"/>
        </w:rPr>
        <w:t xml:space="preserve"> </w:t>
      </w:r>
      <w:r w:rsidRPr="009150E7">
        <w:rPr>
          <w:rFonts w:ascii="Times New Roman" w:eastAsia="Times New Roman" w:hAnsi="Times New Roman" w:cs="Times New Roman"/>
          <w:color w:val="000000" w:themeColor="text1"/>
        </w:rPr>
        <w:t xml:space="preserve">include </w:t>
      </w:r>
      <w:r w:rsidRPr="00B71C23">
        <w:rPr>
          <w:rFonts w:ascii="Times New Roman" w:hAnsi="Times New Roman" w:cs="Times New Roman"/>
          <w:b/>
        </w:rPr>
        <w:t>s</w:t>
      </w:r>
      <w:r w:rsidRPr="00B71C23">
        <w:rPr>
          <w:rStyle w:val="Strong"/>
          <w:rFonts w:ascii="Times New Roman" w:hAnsi="Times New Roman" w:cs="Times New Roman"/>
          <w:b w:val="0"/>
        </w:rPr>
        <w:t>hoot height</w:t>
      </w:r>
      <w:r w:rsidRPr="009150E7">
        <w:rPr>
          <w:rFonts w:ascii="Times New Roman" w:hAnsi="Times New Roman" w:cs="Times New Roman"/>
        </w:rPr>
        <w:t xml:space="preserve"> (cm), </w:t>
      </w:r>
      <w:r w:rsidRPr="00B71C23">
        <w:rPr>
          <w:rStyle w:val="Strong"/>
          <w:rFonts w:ascii="Times New Roman" w:hAnsi="Times New Roman" w:cs="Times New Roman"/>
          <w:b w:val="0"/>
        </w:rPr>
        <w:t>root length</w:t>
      </w:r>
      <w:r w:rsidRPr="009150E7">
        <w:rPr>
          <w:rFonts w:ascii="Times New Roman" w:hAnsi="Times New Roman" w:cs="Times New Roman"/>
        </w:rPr>
        <w:t xml:space="preserve"> (cm), </w:t>
      </w:r>
      <w:r w:rsidRPr="00B71C23">
        <w:rPr>
          <w:rStyle w:val="Strong"/>
          <w:rFonts w:ascii="Times New Roman" w:hAnsi="Times New Roman" w:cs="Times New Roman"/>
          <w:b w:val="0"/>
        </w:rPr>
        <w:t>number of leaves</w:t>
      </w:r>
      <w:r w:rsidRPr="00B71C23">
        <w:rPr>
          <w:rFonts w:ascii="Times New Roman" w:hAnsi="Times New Roman" w:cs="Times New Roman"/>
          <w:b/>
        </w:rPr>
        <w:t>,</w:t>
      </w:r>
      <w:r w:rsidRPr="009150E7">
        <w:rPr>
          <w:rFonts w:ascii="Times New Roman" w:hAnsi="Times New Roman" w:cs="Times New Roman"/>
        </w:rPr>
        <w:t xml:space="preserve"> </w:t>
      </w:r>
      <w:r w:rsidRPr="00B71C23">
        <w:rPr>
          <w:rFonts w:ascii="Times New Roman" w:hAnsi="Times New Roman" w:cs="Times New Roman"/>
        </w:rPr>
        <w:t>l</w:t>
      </w:r>
      <w:r w:rsidRPr="00B71C23">
        <w:rPr>
          <w:rStyle w:val="Strong"/>
          <w:rFonts w:ascii="Times New Roman" w:hAnsi="Times New Roman" w:cs="Times New Roman"/>
          <w:b w:val="0"/>
        </w:rPr>
        <w:t>eaf area</w:t>
      </w:r>
      <w:r w:rsidRPr="009150E7">
        <w:rPr>
          <w:rFonts w:ascii="Times New Roman" w:hAnsi="Times New Roman" w:cs="Times New Roman"/>
          <w:b/>
          <w:bCs/>
        </w:rPr>
        <w:t xml:space="preserve"> </w:t>
      </w:r>
      <w:r w:rsidRPr="009150E7">
        <w:rPr>
          <w:rFonts w:ascii="Times New Roman" w:hAnsi="Times New Roman" w:cs="Times New Roman"/>
        </w:rPr>
        <w:t>(cm</w:t>
      </w:r>
      <w:r w:rsidRPr="00B71C23">
        <w:rPr>
          <w:rFonts w:ascii="Times New Roman" w:hAnsi="Times New Roman" w:cs="Times New Roman"/>
        </w:rPr>
        <w:t>²), f</w:t>
      </w:r>
      <w:r w:rsidRPr="00B71C23">
        <w:rPr>
          <w:rStyle w:val="Strong"/>
          <w:rFonts w:ascii="Times New Roman" w:hAnsi="Times New Roman" w:cs="Times New Roman"/>
          <w:b w:val="0"/>
        </w:rPr>
        <w:t>resh and dry weight</w:t>
      </w:r>
      <w:r w:rsidRPr="009150E7">
        <w:rPr>
          <w:rFonts w:ascii="Times New Roman" w:hAnsi="Times New Roman" w:cs="Times New Roman"/>
        </w:rPr>
        <w:t xml:space="preserve"> (g). At the end of the 4th week, seedlings were harvested and oven-dried at </w:t>
      </w:r>
      <w:r w:rsidRPr="00B71C23">
        <w:rPr>
          <w:rStyle w:val="Strong"/>
          <w:rFonts w:ascii="Times New Roman" w:hAnsi="Times New Roman" w:cs="Times New Roman"/>
          <w:b w:val="0"/>
        </w:rPr>
        <w:t>70°C for 48 hours</w:t>
      </w:r>
      <w:r w:rsidRPr="009150E7">
        <w:rPr>
          <w:rFonts w:ascii="Times New Roman" w:hAnsi="Times New Roman" w:cs="Times New Roman"/>
          <w:b/>
          <w:bCs/>
        </w:rPr>
        <w:t xml:space="preserve"> </w:t>
      </w:r>
      <w:r w:rsidRPr="009150E7">
        <w:rPr>
          <w:rFonts w:ascii="Times New Roman" w:hAnsi="Times New Roman" w:cs="Times New Roman"/>
        </w:rPr>
        <w:t>for dry weight determination.</w:t>
      </w:r>
    </w:p>
    <w:p w14:paraId="5F70C612" w14:textId="231CB6A0" w:rsidR="00697133" w:rsidRPr="00B71C23" w:rsidRDefault="000E1989" w:rsidP="000E1989">
      <w:pPr>
        <w:pStyle w:val="Heading1"/>
        <w:rPr>
          <w:rFonts w:eastAsia="Times New Roman"/>
          <w:b w:val="0"/>
        </w:rPr>
      </w:pPr>
      <w:bookmarkStart w:id="36" w:name="_Toc214285899"/>
      <w:r w:rsidRPr="00B71C23">
        <w:rPr>
          <w:b w:val="0"/>
        </w:rPr>
        <w:t xml:space="preserve">3.6 </w:t>
      </w:r>
      <w:r w:rsidR="00697133" w:rsidRPr="00B71C23">
        <w:rPr>
          <w:rStyle w:val="Strong"/>
          <w:rFonts w:eastAsia="Times New Roman" w:cs="Times New Roman"/>
          <w:b/>
          <w:color w:val="000000" w:themeColor="text1"/>
          <w:szCs w:val="24"/>
        </w:rPr>
        <w:t>Soil Analysis</w:t>
      </w:r>
      <w:bookmarkEnd w:id="36"/>
    </w:p>
    <w:p w14:paraId="046B7CEE" w14:textId="77777777" w:rsidR="00697133" w:rsidRPr="009150E7" w:rsidRDefault="00697133" w:rsidP="00FF11FA">
      <w:pPr>
        <w:spacing w:before="100" w:beforeAutospacing="1" w:after="100" w:afterAutospacing="1" w:line="480" w:lineRule="auto"/>
        <w:jc w:val="both"/>
        <w:rPr>
          <w:rFonts w:ascii="Times New Roman" w:hAnsi="Times New Roman" w:cs="Times New Roman"/>
        </w:rPr>
      </w:pPr>
      <w:r w:rsidRPr="009150E7">
        <w:rPr>
          <w:rFonts w:ascii="Times New Roman" w:hAnsi="Times New Roman" w:cs="Times New Roman"/>
        </w:rPr>
        <w:t xml:space="preserve">Soil samples were collected from the study site before planting and analyzed for </w:t>
      </w:r>
      <w:r w:rsidRPr="00B71C23">
        <w:rPr>
          <w:rFonts w:ascii="Times New Roman" w:hAnsi="Times New Roman" w:cs="Times New Roman"/>
          <w:b/>
        </w:rPr>
        <w:t>s</w:t>
      </w:r>
      <w:r w:rsidRPr="00B71C23">
        <w:rPr>
          <w:rStyle w:val="Strong"/>
          <w:rFonts w:ascii="Times New Roman" w:hAnsi="Times New Roman" w:cs="Times New Roman"/>
          <w:b w:val="0"/>
        </w:rPr>
        <w:t>oil pH</w:t>
      </w:r>
      <w:r w:rsidRPr="00B71C23">
        <w:rPr>
          <w:rFonts w:ascii="Times New Roman" w:hAnsi="Times New Roman" w:cs="Times New Roman"/>
          <w:b/>
          <w:bCs/>
        </w:rPr>
        <w:t>,</w:t>
      </w:r>
      <w:r w:rsidRPr="009150E7">
        <w:rPr>
          <w:rFonts w:ascii="Times New Roman" w:hAnsi="Times New Roman" w:cs="Times New Roman"/>
          <w:b/>
          <w:bCs/>
        </w:rPr>
        <w:t xml:space="preserve"> </w:t>
      </w:r>
      <w:r w:rsidRPr="00B71C23">
        <w:rPr>
          <w:rFonts w:ascii="Times New Roman" w:hAnsi="Times New Roman" w:cs="Times New Roman"/>
        </w:rPr>
        <w:t>te</w:t>
      </w:r>
      <w:r w:rsidRPr="00B71C23">
        <w:rPr>
          <w:rStyle w:val="Strong"/>
          <w:rFonts w:ascii="Times New Roman" w:hAnsi="Times New Roman" w:cs="Times New Roman"/>
          <w:b w:val="0"/>
        </w:rPr>
        <w:t>xture,</w:t>
      </w:r>
      <w:r w:rsidRPr="009150E7">
        <w:rPr>
          <w:rFonts w:ascii="Times New Roman" w:hAnsi="Times New Roman" w:cs="Times New Roman"/>
        </w:rPr>
        <w:t xml:space="preserve"> Organic matter content, nitrogen, phosphorus, and potassium content</w:t>
      </w:r>
      <w:r>
        <w:rPr>
          <w:rFonts w:ascii="Times New Roman" w:hAnsi="Times New Roman" w:cs="Times New Roman"/>
        </w:rPr>
        <w:t xml:space="preserve">. </w:t>
      </w:r>
      <w:r w:rsidRPr="009150E7">
        <w:rPr>
          <w:rFonts w:ascii="Times New Roman" w:hAnsi="Times New Roman" w:cs="Times New Roman"/>
        </w:rPr>
        <w:t xml:space="preserve">Analysis was conducted in the </w:t>
      </w:r>
      <w:r w:rsidRPr="00B71C23">
        <w:rPr>
          <w:rStyle w:val="Strong"/>
          <w:rFonts w:ascii="Times New Roman" w:hAnsi="Times New Roman" w:cs="Times New Roman"/>
          <w:b w:val="0"/>
        </w:rPr>
        <w:t>Soil Science Laboratory</w:t>
      </w:r>
      <w:r w:rsidRPr="009150E7">
        <w:rPr>
          <w:rFonts w:ascii="Times New Roman" w:hAnsi="Times New Roman" w:cs="Times New Roman"/>
        </w:rPr>
        <w:t>,</w:t>
      </w:r>
      <w:r>
        <w:rPr>
          <w:rFonts w:ascii="Times New Roman" w:hAnsi="Times New Roman" w:cs="Times New Roman"/>
        </w:rPr>
        <w:t xml:space="preserve"> Faculty of Agriculture,</w:t>
      </w:r>
      <w:r w:rsidRPr="009150E7">
        <w:rPr>
          <w:rFonts w:ascii="Times New Roman" w:hAnsi="Times New Roman" w:cs="Times New Roman"/>
        </w:rPr>
        <w:t xml:space="preserve"> UDUS.</w:t>
      </w:r>
    </w:p>
    <w:p w14:paraId="2AA46884" w14:textId="77777777" w:rsidR="00697133" w:rsidRPr="0009656C" w:rsidRDefault="00697133" w:rsidP="000E1989">
      <w:pPr>
        <w:pStyle w:val="Heading1"/>
        <w:rPr>
          <w:rFonts w:eastAsia="Times New Roman"/>
          <w:b w:val="0"/>
          <w:bCs/>
        </w:rPr>
      </w:pPr>
      <w:bookmarkStart w:id="37" w:name="_Toc214285900"/>
      <w:r w:rsidRPr="0009656C">
        <w:rPr>
          <w:rStyle w:val="Strong"/>
          <w:rFonts w:eastAsia="Times New Roman" w:cs="Times New Roman"/>
          <w:b/>
          <w:bCs w:val="0"/>
          <w:color w:val="000000" w:themeColor="text1"/>
          <w:szCs w:val="24"/>
        </w:rPr>
        <w:t>3.7 Statistical Analysis</w:t>
      </w:r>
      <w:bookmarkEnd w:id="37"/>
    </w:p>
    <w:p w14:paraId="004A5052" w14:textId="77777777" w:rsidR="00697133" w:rsidRPr="00B71C23" w:rsidRDefault="00697133" w:rsidP="00FF11FA">
      <w:pPr>
        <w:spacing w:before="100" w:beforeAutospacing="1" w:after="100" w:afterAutospacing="1" w:line="480" w:lineRule="auto"/>
        <w:jc w:val="both"/>
        <w:rPr>
          <w:rFonts w:ascii="Times New Roman" w:hAnsi="Times New Roman" w:cs="Times New Roman"/>
          <w:b/>
          <w:bCs/>
        </w:rPr>
      </w:pPr>
      <w:r w:rsidRPr="009150E7">
        <w:rPr>
          <w:rFonts w:ascii="Times New Roman" w:hAnsi="Times New Roman" w:cs="Times New Roman"/>
        </w:rPr>
        <w:t xml:space="preserve">Data were subjected to </w:t>
      </w:r>
      <w:r w:rsidRPr="00B71C23">
        <w:rPr>
          <w:rStyle w:val="Strong"/>
          <w:rFonts w:ascii="Times New Roman" w:hAnsi="Times New Roman" w:cs="Times New Roman"/>
          <w:b w:val="0"/>
        </w:rPr>
        <w:t>Analysis of Variance (ANOVA)</w:t>
      </w:r>
      <w:r w:rsidRPr="009150E7">
        <w:rPr>
          <w:rFonts w:ascii="Times New Roman" w:hAnsi="Times New Roman" w:cs="Times New Roman"/>
        </w:rPr>
        <w:t xml:space="preserve"> using </w:t>
      </w:r>
      <w:r w:rsidRPr="00B71C23">
        <w:rPr>
          <w:rStyle w:val="Strong"/>
          <w:rFonts w:ascii="Times New Roman" w:hAnsi="Times New Roman" w:cs="Times New Roman"/>
          <w:b w:val="0"/>
        </w:rPr>
        <w:t>SPSS Version 25</w:t>
      </w:r>
      <w:r w:rsidRPr="009150E7">
        <w:rPr>
          <w:rFonts w:ascii="Times New Roman" w:hAnsi="Times New Roman" w:cs="Times New Roman"/>
        </w:rPr>
        <w:t xml:space="preserve">. Treatment means were separated using </w:t>
      </w:r>
      <w:r w:rsidRPr="00B71C23">
        <w:rPr>
          <w:rStyle w:val="Strong"/>
          <w:rFonts w:ascii="Times New Roman" w:hAnsi="Times New Roman" w:cs="Times New Roman"/>
          <w:b w:val="0"/>
        </w:rPr>
        <w:t>Duncan’s Multiple Range Test (DMRT)</w:t>
      </w:r>
      <w:r w:rsidRPr="009150E7">
        <w:rPr>
          <w:rFonts w:ascii="Times New Roman" w:hAnsi="Times New Roman" w:cs="Times New Roman"/>
          <w:b/>
          <w:bCs/>
        </w:rPr>
        <w:t xml:space="preserve"> </w:t>
      </w:r>
      <w:r w:rsidRPr="009150E7">
        <w:rPr>
          <w:rFonts w:ascii="Times New Roman" w:hAnsi="Times New Roman" w:cs="Times New Roman"/>
        </w:rPr>
        <w:t xml:space="preserve">at a </w:t>
      </w:r>
      <w:r w:rsidRPr="00B71C23">
        <w:rPr>
          <w:rStyle w:val="Strong"/>
          <w:rFonts w:ascii="Times New Roman" w:hAnsi="Times New Roman" w:cs="Times New Roman"/>
          <w:b w:val="0"/>
        </w:rPr>
        <w:t>5% significance level (p &lt; 0.05)</w:t>
      </w:r>
      <w:r w:rsidRPr="00B71C23">
        <w:rPr>
          <w:rFonts w:ascii="Times New Roman" w:hAnsi="Times New Roman" w:cs="Times New Roman"/>
          <w:b/>
          <w:bCs/>
        </w:rPr>
        <w:t>.</w:t>
      </w:r>
    </w:p>
    <w:p w14:paraId="3DF80E64" w14:textId="77777777" w:rsidR="00697133" w:rsidRPr="009150E7" w:rsidRDefault="00697133" w:rsidP="00FF11FA">
      <w:pPr>
        <w:spacing w:line="480" w:lineRule="auto"/>
        <w:jc w:val="both"/>
        <w:rPr>
          <w:rFonts w:ascii="Times New Roman" w:hAnsi="Times New Roman" w:cs="Times New Roman"/>
        </w:rPr>
      </w:pPr>
    </w:p>
    <w:p w14:paraId="2778782F" w14:textId="77777777" w:rsidR="00697133" w:rsidRDefault="00697133" w:rsidP="00697133">
      <w:pPr>
        <w:divId w:val="1143158371"/>
      </w:pPr>
    </w:p>
    <w:p w14:paraId="56820774" w14:textId="77777777" w:rsidR="00697133" w:rsidRDefault="00697133" w:rsidP="00697133">
      <w:pPr>
        <w:divId w:val="1143158371"/>
      </w:pPr>
    </w:p>
    <w:p w14:paraId="1709F329" w14:textId="77777777" w:rsidR="00697133" w:rsidRPr="00697133" w:rsidRDefault="00697133" w:rsidP="00697133">
      <w:pPr>
        <w:divId w:val="1143158371"/>
      </w:pPr>
    </w:p>
    <w:p w14:paraId="1D56ED1A" w14:textId="274EF76A" w:rsidR="00E16F0C" w:rsidRPr="0042465D" w:rsidRDefault="0009656C" w:rsidP="0042465D">
      <w:pPr>
        <w:jc w:val="center"/>
        <w:divId w:val="1143158371"/>
        <w:rPr>
          <w:rFonts w:asciiTheme="majorBidi" w:eastAsia="Times New Roman" w:hAnsiTheme="majorBidi" w:cstheme="majorBidi"/>
          <w:b/>
          <w:kern w:val="0"/>
          <w14:ligatures w14:val="none"/>
        </w:rPr>
      </w:pPr>
      <w:bookmarkStart w:id="38" w:name="_Toc214285901"/>
      <w:r>
        <w:rPr>
          <w:rStyle w:val="Strong"/>
          <w:rFonts w:eastAsia="Times New Roman" w:cs="Times New Roman"/>
          <w:b w:val="0"/>
          <w:color w:val="000000" w:themeColor="text1"/>
        </w:rPr>
        <w:br w:type="page"/>
      </w:r>
      <w:r w:rsidR="00E16F0C" w:rsidRPr="0042465D">
        <w:rPr>
          <w:rStyle w:val="Strong"/>
          <w:rFonts w:asciiTheme="majorBidi" w:eastAsia="Times New Roman" w:hAnsiTheme="majorBidi" w:cstheme="majorBidi"/>
          <w:color w:val="000000" w:themeColor="text1"/>
        </w:rPr>
        <w:t>CHAPTER FOUR</w:t>
      </w:r>
      <w:bookmarkEnd w:id="38"/>
    </w:p>
    <w:p w14:paraId="2AD2C7F4" w14:textId="3E665958" w:rsidR="00E16F0C" w:rsidRPr="00B71C23" w:rsidRDefault="00E16F0C" w:rsidP="00B71C23">
      <w:pPr>
        <w:pStyle w:val="Heading1"/>
        <w:jc w:val="center"/>
        <w:divId w:val="1143158371"/>
        <w:rPr>
          <w:rFonts w:eastAsia="Times New Roman"/>
          <w:b w:val="0"/>
        </w:rPr>
      </w:pPr>
      <w:bookmarkStart w:id="39" w:name="_Toc214285902"/>
      <w:r w:rsidRPr="00B71C23">
        <w:rPr>
          <w:rStyle w:val="Strong"/>
          <w:rFonts w:eastAsia="Times New Roman" w:cs="Times New Roman"/>
          <w:b/>
          <w:color w:val="000000" w:themeColor="text1"/>
          <w:szCs w:val="24"/>
        </w:rPr>
        <w:t>RESULTS</w:t>
      </w:r>
      <w:bookmarkEnd w:id="39"/>
    </w:p>
    <w:p w14:paraId="734D9662" w14:textId="647705DB" w:rsidR="00E16F0C" w:rsidRPr="00B71C23" w:rsidRDefault="00E16F0C" w:rsidP="000E1989">
      <w:pPr>
        <w:pStyle w:val="Heading1"/>
        <w:rPr>
          <w:rFonts w:eastAsia="Times New Roman"/>
          <w:b w:val="0"/>
        </w:rPr>
      </w:pPr>
      <w:bookmarkStart w:id="40" w:name="_Toc214285903"/>
      <w:r w:rsidRPr="00B71C23">
        <w:rPr>
          <w:rStyle w:val="Strong"/>
          <w:rFonts w:eastAsia="Times New Roman" w:cs="Times New Roman"/>
          <w:b/>
          <w:color w:val="000000" w:themeColor="text1"/>
          <w:szCs w:val="24"/>
        </w:rPr>
        <w:t>4.1</w:t>
      </w:r>
      <w:r w:rsidR="003474C5" w:rsidRPr="00B71C23">
        <w:rPr>
          <w:rStyle w:val="Strong"/>
          <w:rFonts w:eastAsia="Times New Roman" w:cs="Times New Roman"/>
          <w:b/>
          <w:color w:val="000000" w:themeColor="text1"/>
          <w:szCs w:val="24"/>
        </w:rPr>
        <w:t xml:space="preserve"> Effect of NPK Fertilizer on Germination Percentage (%) of </w:t>
      </w:r>
      <w:r w:rsidR="003474C5" w:rsidRPr="00B71C23">
        <w:rPr>
          <w:rStyle w:val="Emphasis"/>
          <w:rFonts w:eastAsia="Times New Roman" w:cs="Times New Roman"/>
          <w:b w:val="0"/>
          <w:bCs/>
          <w:color w:val="000000" w:themeColor="text1"/>
          <w:szCs w:val="24"/>
        </w:rPr>
        <w:t>Sorghum bicolor</w:t>
      </w:r>
      <w:r w:rsidR="003474C5" w:rsidRPr="00B71C23">
        <w:rPr>
          <w:rStyle w:val="Strong"/>
          <w:rFonts w:eastAsia="Times New Roman" w:cs="Times New Roman"/>
          <w:b/>
          <w:bCs w:val="0"/>
          <w:color w:val="000000" w:themeColor="text1"/>
          <w:szCs w:val="24"/>
        </w:rPr>
        <w:t xml:space="preserve"> </w:t>
      </w:r>
      <w:r w:rsidR="003474C5" w:rsidRPr="00B71C23">
        <w:rPr>
          <w:rStyle w:val="Strong"/>
          <w:rFonts w:eastAsia="Times New Roman" w:cs="Times New Roman"/>
          <w:b/>
          <w:color w:val="000000" w:themeColor="text1"/>
          <w:szCs w:val="24"/>
        </w:rPr>
        <w:t>and</w:t>
      </w:r>
      <w:r w:rsidR="003474C5" w:rsidRPr="00B71C23">
        <w:rPr>
          <w:rStyle w:val="Strong"/>
          <w:rFonts w:eastAsia="Times New Roman" w:cs="Times New Roman"/>
          <w:b/>
          <w:bCs w:val="0"/>
          <w:color w:val="000000" w:themeColor="text1"/>
          <w:szCs w:val="24"/>
        </w:rPr>
        <w:t xml:space="preserve"> </w:t>
      </w:r>
      <w:r w:rsidR="003474C5" w:rsidRPr="00B71C23">
        <w:rPr>
          <w:rStyle w:val="Emphasis"/>
          <w:rFonts w:eastAsia="Times New Roman" w:cs="Times New Roman"/>
          <w:b w:val="0"/>
          <w:bCs/>
          <w:color w:val="000000" w:themeColor="text1"/>
          <w:szCs w:val="24"/>
        </w:rPr>
        <w:t>Triticum aestivum</w:t>
      </w:r>
      <w:bookmarkEnd w:id="40"/>
    </w:p>
    <w:p w14:paraId="1F161E37" w14:textId="77777777" w:rsidR="009F17E5" w:rsidRPr="007C2C8B" w:rsidRDefault="006B5473" w:rsidP="00B06D09">
      <w:pPr>
        <w:pStyle w:val="NormalWeb"/>
        <w:spacing w:line="480" w:lineRule="auto"/>
        <w:jc w:val="both"/>
      </w:pPr>
      <w:r w:rsidRPr="007C2C8B">
        <w:t xml:space="preserve">The results indicate that NPK application significantly enhanced germination percentage in both </w:t>
      </w:r>
      <w:r w:rsidRPr="007C2C8B">
        <w:rPr>
          <w:rStyle w:val="Emphasis"/>
        </w:rPr>
        <w:t>Sorghum bicolor</w:t>
      </w:r>
      <w:r w:rsidRPr="007C2C8B">
        <w:t xml:space="preserve"> and </w:t>
      </w:r>
      <w:r w:rsidRPr="007C2C8B">
        <w:rPr>
          <w:rStyle w:val="Emphasis"/>
        </w:rPr>
        <w:t>Triticum aestivum</w:t>
      </w:r>
      <w:r w:rsidRPr="007C2C8B">
        <w:t xml:space="preserve">. Germination improved steadily from 0 g to 4 g NPK but declined slightly at 6 g, indicating that moderate fertilizer concentration favors metabolic activity during germination, while excessive salt concentration may hinder water imbibition (Bewley </w:t>
      </w:r>
      <w:r w:rsidRPr="007C2C8B">
        <w:rPr>
          <w:i/>
          <w:iCs/>
        </w:rPr>
        <w:t>et al.</w:t>
      </w:r>
      <w:r w:rsidRPr="007C2C8B">
        <w:t xml:space="preserve">, 2013; Finch-Savage </w:t>
      </w:r>
      <w:r w:rsidR="00A013D0" w:rsidRPr="007C2C8B">
        <w:t>and</w:t>
      </w:r>
      <w:r w:rsidRPr="007C2C8B">
        <w:t xml:space="preserve"> Bassel, 2016).</w:t>
      </w:r>
    </w:p>
    <w:p w14:paraId="1CDE9482" w14:textId="0B70348F" w:rsidR="006B5473" w:rsidRPr="007C2C8B" w:rsidRDefault="009F17E5" w:rsidP="00B06D09">
      <w:pPr>
        <w:pStyle w:val="NormalWeb"/>
        <w:spacing w:line="480" w:lineRule="auto"/>
        <w:jc w:val="both"/>
      </w:pPr>
      <w:r w:rsidRPr="007C2C8B">
        <w:t xml:space="preserve">At the 4 g NPK treatment, the highest final germination percentages were observed for both Sorghum bicolor (96.30 ± 2.61%) and Triticum aestivum (95.00 ± 2.70%), while the lowest germination was observed in the control (85.50 ± 3.30% for sorghum and 82.60 ± 3.00% for wheat). This indicates that moderate NPK fertilization significantly enhanced seed germination rate and uniformity (p &lt; 0.05). </w:t>
      </w:r>
      <w:r w:rsidR="00BC19C3" w:rsidRPr="007C2C8B">
        <w:t xml:space="preserve">The slight decline in germination at 6 g NPK likely results from osmotic stress and excess salt accumulation around the seed, hindering water imbibition (Marschner, 2012). </w:t>
      </w:r>
    </w:p>
    <w:p w14:paraId="160C9623" w14:textId="77777777" w:rsidR="00826123" w:rsidRDefault="0033605B" w:rsidP="00826123">
      <w:pPr>
        <w:pStyle w:val="NormalWeb"/>
        <w:spacing w:line="480" w:lineRule="auto"/>
        <w:jc w:val="both"/>
        <w:rPr>
          <w:rFonts w:eastAsia="Times New Roman"/>
        </w:rPr>
      </w:pPr>
      <w:r w:rsidRPr="007C2C8B">
        <w:rPr>
          <w:rFonts w:eastAsia="Times New Roman"/>
        </w:rPr>
        <w:t xml:space="preserve">Overall, </w:t>
      </w:r>
      <w:r w:rsidRPr="007C2C8B">
        <w:rPr>
          <w:rStyle w:val="Emphasis"/>
          <w:rFonts w:eastAsia="Times New Roman"/>
        </w:rPr>
        <w:t>Sorghum bicolor</w:t>
      </w:r>
      <w:r w:rsidRPr="007C2C8B">
        <w:rPr>
          <w:rFonts w:eastAsia="Times New Roman"/>
        </w:rPr>
        <w:t xml:space="preserve"> exhibited slightly higher germination percentages than </w:t>
      </w:r>
      <w:r w:rsidRPr="007C2C8B">
        <w:rPr>
          <w:rStyle w:val="Emphasis"/>
          <w:rFonts w:eastAsia="Times New Roman"/>
        </w:rPr>
        <w:t>Triticum aestivum</w:t>
      </w:r>
      <w:r w:rsidRPr="007C2C8B">
        <w:rPr>
          <w:rFonts w:eastAsia="Times New Roman"/>
        </w:rPr>
        <w:t>, reflecting its natural adaptation to low-nutrient and semi-arid environments typical of Sokoto St</w:t>
      </w:r>
      <w:r w:rsidR="00826123">
        <w:rPr>
          <w:rFonts w:eastAsia="Times New Roman"/>
        </w:rPr>
        <w:t>ate (ICRISAT, 2019; IITA, 2021)</w:t>
      </w:r>
    </w:p>
    <w:p w14:paraId="4D22AFF1" w14:textId="77777777" w:rsidR="000C7B99" w:rsidRDefault="000C7B99" w:rsidP="00826123">
      <w:pPr>
        <w:pStyle w:val="NormalWeb"/>
        <w:spacing w:line="480" w:lineRule="auto"/>
        <w:jc w:val="both"/>
        <w:rPr>
          <w:rFonts w:eastAsia="Times New Roman"/>
        </w:rPr>
        <w:sectPr w:rsidR="000C7B99" w:rsidSect="00A3605D">
          <w:pgSz w:w="11906" w:h="16838"/>
          <w:pgMar w:top="1440" w:right="1440" w:bottom="3600" w:left="1440" w:header="706" w:footer="3060" w:gutter="0"/>
          <w:pgNumType w:start="1"/>
          <w:cols w:space="708"/>
          <w:docGrid w:linePitch="360"/>
        </w:sectPr>
      </w:pPr>
    </w:p>
    <w:p w14:paraId="648FD5BF" w14:textId="4F6F7740" w:rsidR="003474C5" w:rsidRPr="00B71C23" w:rsidRDefault="003474C5" w:rsidP="000E1989">
      <w:pPr>
        <w:pStyle w:val="Heading1"/>
        <w:rPr>
          <w:b w:val="0"/>
        </w:rPr>
      </w:pPr>
      <w:bookmarkStart w:id="41" w:name="_Toc214285904"/>
      <w:r w:rsidRPr="00B71C23">
        <w:rPr>
          <w:rStyle w:val="Strong"/>
          <w:rFonts w:eastAsia="Times New Roman"/>
          <w:b/>
          <w:color w:val="000000" w:themeColor="text1"/>
        </w:rPr>
        <w:t xml:space="preserve">Table </w:t>
      </w:r>
      <w:r w:rsidR="0009656C">
        <w:rPr>
          <w:rStyle w:val="Strong"/>
          <w:rFonts w:eastAsia="Times New Roman"/>
          <w:b/>
          <w:color w:val="000000" w:themeColor="text1"/>
        </w:rPr>
        <w:t>4.</w:t>
      </w:r>
      <w:r w:rsidRPr="00B71C23">
        <w:rPr>
          <w:rStyle w:val="Strong"/>
          <w:rFonts w:eastAsia="Times New Roman"/>
          <w:b/>
          <w:color w:val="000000" w:themeColor="text1"/>
        </w:rPr>
        <w:t xml:space="preserve">1: Effect of NPK Fertilizer on Germination Percentage (%) of </w:t>
      </w:r>
      <w:r w:rsidRPr="00B71C23">
        <w:rPr>
          <w:rStyle w:val="Emphasis"/>
          <w:rFonts w:eastAsia="Times New Roman"/>
          <w:b w:val="0"/>
          <w:bCs/>
          <w:color w:val="000000" w:themeColor="text1"/>
        </w:rPr>
        <w:t>Sorghum bicolor</w:t>
      </w:r>
      <w:r w:rsidRPr="00B71C23">
        <w:rPr>
          <w:rStyle w:val="Strong"/>
          <w:rFonts w:eastAsia="Times New Roman"/>
          <w:b/>
          <w:bCs w:val="0"/>
          <w:color w:val="000000" w:themeColor="text1"/>
        </w:rPr>
        <w:t xml:space="preserve"> </w:t>
      </w:r>
      <w:r w:rsidRPr="00B71C23">
        <w:rPr>
          <w:rStyle w:val="Strong"/>
          <w:rFonts w:eastAsia="Times New Roman"/>
          <w:b/>
          <w:color w:val="000000" w:themeColor="text1"/>
        </w:rPr>
        <w:t>and</w:t>
      </w:r>
      <w:r w:rsidRPr="00B71C23">
        <w:rPr>
          <w:rStyle w:val="Strong"/>
          <w:rFonts w:eastAsia="Times New Roman"/>
          <w:b/>
          <w:i/>
          <w:iCs/>
          <w:color w:val="000000" w:themeColor="text1"/>
        </w:rPr>
        <w:t xml:space="preserve"> </w:t>
      </w:r>
      <w:r w:rsidRPr="00B71C23">
        <w:rPr>
          <w:rStyle w:val="Emphasis"/>
          <w:rFonts w:eastAsia="Times New Roman"/>
          <w:b w:val="0"/>
          <w:bCs/>
          <w:color w:val="000000" w:themeColor="text1"/>
        </w:rPr>
        <w:t>Triticum</w:t>
      </w:r>
      <w:r w:rsidRPr="00B71C23">
        <w:rPr>
          <w:rStyle w:val="Emphasis"/>
          <w:rFonts w:eastAsia="Times New Roman"/>
          <w:b w:val="0"/>
          <w:i w:val="0"/>
          <w:iCs w:val="0"/>
          <w:color w:val="000000" w:themeColor="text1"/>
        </w:rPr>
        <w:t xml:space="preserve"> </w:t>
      </w:r>
      <w:r w:rsidRPr="00B71C23">
        <w:rPr>
          <w:rStyle w:val="Emphasis"/>
          <w:rFonts w:eastAsia="Times New Roman"/>
          <w:b w:val="0"/>
          <w:bCs/>
          <w:color w:val="000000" w:themeColor="text1"/>
        </w:rPr>
        <w:t>aestivum</w:t>
      </w:r>
      <w:bookmarkEnd w:id="41"/>
    </w:p>
    <w:tbl>
      <w:tblPr>
        <w:tblW w:w="13183" w:type="dxa"/>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1701"/>
        <w:gridCol w:w="1843"/>
        <w:gridCol w:w="1559"/>
        <w:gridCol w:w="1560"/>
        <w:gridCol w:w="1559"/>
        <w:gridCol w:w="1701"/>
        <w:gridCol w:w="3260"/>
      </w:tblGrid>
      <w:tr w:rsidR="00826123" w:rsidRPr="00B80AEF" w14:paraId="261C7F18" w14:textId="77777777" w:rsidTr="00826123">
        <w:trPr>
          <w:trHeight w:val="624"/>
          <w:tblHeader/>
          <w:tblCellSpacing w:w="15" w:type="dxa"/>
        </w:trPr>
        <w:tc>
          <w:tcPr>
            <w:tcW w:w="1656" w:type="dxa"/>
            <w:tcBorders>
              <w:top w:val="single" w:sz="4" w:space="0" w:color="auto"/>
              <w:bottom w:val="single" w:sz="4" w:space="0" w:color="auto"/>
            </w:tcBorders>
            <w:vAlign w:val="center"/>
            <w:hideMark/>
          </w:tcPr>
          <w:p w14:paraId="7D07ECCE" w14:textId="77777777" w:rsidR="003474C5" w:rsidRPr="00B80AEF" w:rsidRDefault="003474C5" w:rsidP="00826123">
            <w:pPr>
              <w:spacing w:line="480" w:lineRule="auto"/>
              <w:rPr>
                <w:rFonts w:ascii="Times New Roman" w:eastAsia="Times New Roman" w:hAnsi="Times New Roman" w:cs="Times New Roman"/>
                <w:b/>
                <w:bCs/>
              </w:rPr>
            </w:pPr>
            <w:r w:rsidRPr="00B80AEF">
              <w:rPr>
                <w:rFonts w:ascii="Times New Roman" w:eastAsia="Times New Roman" w:hAnsi="Times New Roman" w:cs="Times New Roman"/>
                <w:b/>
                <w:bCs/>
              </w:rPr>
              <w:t>Treatment</w:t>
            </w:r>
          </w:p>
        </w:tc>
        <w:tc>
          <w:tcPr>
            <w:tcW w:w="1813" w:type="dxa"/>
            <w:tcBorders>
              <w:top w:val="single" w:sz="4" w:space="0" w:color="auto"/>
              <w:bottom w:val="single" w:sz="4" w:space="0" w:color="auto"/>
            </w:tcBorders>
            <w:vAlign w:val="center"/>
            <w:hideMark/>
          </w:tcPr>
          <w:p w14:paraId="341494AC" w14:textId="47165ECD" w:rsidR="003474C5" w:rsidRPr="00B80AEF" w:rsidRDefault="00826123" w:rsidP="00826123">
            <w:pPr>
              <w:spacing w:line="480" w:lineRule="auto"/>
              <w:rPr>
                <w:rFonts w:ascii="Times New Roman" w:eastAsia="Times New Roman" w:hAnsi="Times New Roman" w:cs="Times New Roman"/>
                <w:b/>
                <w:bCs/>
              </w:rPr>
            </w:pPr>
            <w:r>
              <w:rPr>
                <w:rFonts w:ascii="Times New Roman" w:eastAsia="Times New Roman" w:hAnsi="Times New Roman" w:cs="Times New Roman"/>
                <w:b/>
                <w:bCs/>
              </w:rPr>
              <w:t>1 DAS</w:t>
            </w:r>
          </w:p>
        </w:tc>
        <w:tc>
          <w:tcPr>
            <w:tcW w:w="1529" w:type="dxa"/>
            <w:tcBorders>
              <w:top w:val="single" w:sz="4" w:space="0" w:color="auto"/>
              <w:bottom w:val="single" w:sz="4" w:space="0" w:color="auto"/>
            </w:tcBorders>
            <w:vAlign w:val="center"/>
            <w:hideMark/>
          </w:tcPr>
          <w:p w14:paraId="14984B4D" w14:textId="7709F112" w:rsidR="003474C5" w:rsidRPr="00B80AEF" w:rsidRDefault="000041C1" w:rsidP="00826123">
            <w:pPr>
              <w:spacing w:line="480" w:lineRule="auto"/>
              <w:rPr>
                <w:rFonts w:ascii="Times New Roman" w:eastAsia="Times New Roman" w:hAnsi="Times New Roman" w:cs="Times New Roman"/>
                <w:b/>
                <w:bCs/>
              </w:rPr>
            </w:pPr>
            <w:r w:rsidRPr="00B80AEF">
              <w:rPr>
                <w:rFonts w:ascii="Times New Roman" w:eastAsia="Times New Roman" w:hAnsi="Times New Roman" w:cs="Times New Roman"/>
                <w:b/>
                <w:bCs/>
              </w:rPr>
              <w:t xml:space="preserve">2 </w:t>
            </w:r>
            <w:r w:rsidR="003474C5" w:rsidRPr="00B80AEF">
              <w:rPr>
                <w:rFonts w:ascii="Times New Roman" w:eastAsia="Times New Roman" w:hAnsi="Times New Roman" w:cs="Times New Roman"/>
                <w:b/>
                <w:bCs/>
              </w:rPr>
              <w:t>DAS</w:t>
            </w:r>
          </w:p>
        </w:tc>
        <w:tc>
          <w:tcPr>
            <w:tcW w:w="1530" w:type="dxa"/>
            <w:tcBorders>
              <w:top w:val="single" w:sz="4" w:space="0" w:color="auto"/>
              <w:bottom w:val="single" w:sz="4" w:space="0" w:color="auto"/>
            </w:tcBorders>
            <w:vAlign w:val="center"/>
            <w:hideMark/>
          </w:tcPr>
          <w:p w14:paraId="318D8105" w14:textId="11EBBE82" w:rsidR="003474C5" w:rsidRPr="00B80AEF" w:rsidRDefault="000041C1" w:rsidP="00826123">
            <w:pPr>
              <w:spacing w:line="480" w:lineRule="auto"/>
              <w:rPr>
                <w:rFonts w:ascii="Times New Roman" w:eastAsia="Times New Roman" w:hAnsi="Times New Roman" w:cs="Times New Roman"/>
                <w:b/>
                <w:bCs/>
              </w:rPr>
            </w:pPr>
            <w:r w:rsidRPr="00B80AEF">
              <w:rPr>
                <w:rFonts w:ascii="Times New Roman" w:eastAsia="Times New Roman" w:hAnsi="Times New Roman" w:cs="Times New Roman"/>
                <w:b/>
                <w:bCs/>
              </w:rPr>
              <w:t xml:space="preserve">3 </w:t>
            </w:r>
            <w:r w:rsidR="003474C5" w:rsidRPr="00B80AEF">
              <w:rPr>
                <w:rFonts w:ascii="Times New Roman" w:eastAsia="Times New Roman" w:hAnsi="Times New Roman" w:cs="Times New Roman"/>
                <w:b/>
                <w:bCs/>
              </w:rPr>
              <w:t>DAS</w:t>
            </w:r>
          </w:p>
        </w:tc>
        <w:tc>
          <w:tcPr>
            <w:tcW w:w="1529" w:type="dxa"/>
            <w:tcBorders>
              <w:top w:val="single" w:sz="4" w:space="0" w:color="auto"/>
              <w:bottom w:val="single" w:sz="4" w:space="0" w:color="auto"/>
            </w:tcBorders>
            <w:vAlign w:val="center"/>
            <w:hideMark/>
          </w:tcPr>
          <w:p w14:paraId="1C9B7190" w14:textId="68A439B7" w:rsidR="003474C5" w:rsidRPr="00B80AEF" w:rsidRDefault="000041C1" w:rsidP="00826123">
            <w:pPr>
              <w:spacing w:line="480" w:lineRule="auto"/>
              <w:rPr>
                <w:rFonts w:ascii="Times New Roman" w:eastAsia="Times New Roman" w:hAnsi="Times New Roman" w:cs="Times New Roman"/>
                <w:b/>
                <w:bCs/>
              </w:rPr>
            </w:pPr>
            <w:r w:rsidRPr="00B80AEF">
              <w:rPr>
                <w:rFonts w:ascii="Times New Roman" w:eastAsia="Times New Roman" w:hAnsi="Times New Roman" w:cs="Times New Roman"/>
                <w:b/>
                <w:bCs/>
              </w:rPr>
              <w:t xml:space="preserve">4 </w:t>
            </w:r>
            <w:r w:rsidR="003474C5" w:rsidRPr="00B80AEF">
              <w:rPr>
                <w:rFonts w:ascii="Times New Roman" w:eastAsia="Times New Roman" w:hAnsi="Times New Roman" w:cs="Times New Roman"/>
                <w:b/>
                <w:bCs/>
              </w:rPr>
              <w:t>DAS</w:t>
            </w:r>
          </w:p>
        </w:tc>
        <w:tc>
          <w:tcPr>
            <w:tcW w:w="1671" w:type="dxa"/>
            <w:tcBorders>
              <w:top w:val="single" w:sz="4" w:space="0" w:color="auto"/>
              <w:bottom w:val="single" w:sz="4" w:space="0" w:color="auto"/>
            </w:tcBorders>
            <w:vAlign w:val="center"/>
            <w:hideMark/>
          </w:tcPr>
          <w:p w14:paraId="12606580" w14:textId="571767E9" w:rsidR="003474C5" w:rsidRPr="00B80AEF" w:rsidRDefault="0067035C" w:rsidP="00826123">
            <w:pPr>
              <w:spacing w:line="480" w:lineRule="auto"/>
              <w:rPr>
                <w:rFonts w:ascii="Times New Roman" w:eastAsia="Times New Roman" w:hAnsi="Times New Roman" w:cs="Times New Roman"/>
                <w:b/>
                <w:bCs/>
              </w:rPr>
            </w:pPr>
            <w:r w:rsidRPr="00B80AEF">
              <w:rPr>
                <w:rFonts w:ascii="Times New Roman" w:eastAsia="Times New Roman" w:hAnsi="Times New Roman" w:cs="Times New Roman"/>
                <w:b/>
                <w:bCs/>
              </w:rPr>
              <w:t xml:space="preserve">5 </w:t>
            </w:r>
            <w:r w:rsidR="003474C5" w:rsidRPr="00B80AEF">
              <w:rPr>
                <w:rFonts w:ascii="Times New Roman" w:eastAsia="Times New Roman" w:hAnsi="Times New Roman" w:cs="Times New Roman"/>
                <w:b/>
                <w:bCs/>
              </w:rPr>
              <w:t>DAS</w:t>
            </w:r>
          </w:p>
        </w:tc>
        <w:tc>
          <w:tcPr>
            <w:tcW w:w="3215" w:type="dxa"/>
            <w:tcBorders>
              <w:top w:val="single" w:sz="4" w:space="0" w:color="auto"/>
              <w:bottom w:val="single" w:sz="4" w:space="0" w:color="auto"/>
            </w:tcBorders>
            <w:vAlign w:val="center"/>
            <w:hideMark/>
          </w:tcPr>
          <w:p w14:paraId="17229E38" w14:textId="77777777" w:rsidR="003474C5" w:rsidRPr="00B80AEF" w:rsidRDefault="003474C5" w:rsidP="00826123">
            <w:pPr>
              <w:spacing w:line="480" w:lineRule="auto"/>
              <w:rPr>
                <w:rFonts w:ascii="Times New Roman" w:eastAsia="Times New Roman" w:hAnsi="Times New Roman" w:cs="Times New Roman"/>
                <w:b/>
                <w:bCs/>
              </w:rPr>
            </w:pPr>
            <w:r w:rsidRPr="00B80AEF">
              <w:rPr>
                <w:rFonts w:ascii="Times New Roman" w:eastAsia="Times New Roman" w:hAnsi="Times New Roman" w:cs="Times New Roman"/>
                <w:b/>
                <w:bCs/>
              </w:rPr>
              <w:t>Final Germination (%)</w:t>
            </w:r>
          </w:p>
        </w:tc>
      </w:tr>
      <w:tr w:rsidR="00826123" w:rsidRPr="00B80AEF" w14:paraId="2892C1F3" w14:textId="77777777" w:rsidTr="00826123">
        <w:trPr>
          <w:tblCellSpacing w:w="15" w:type="dxa"/>
        </w:trPr>
        <w:tc>
          <w:tcPr>
            <w:tcW w:w="1656" w:type="dxa"/>
            <w:vAlign w:val="center"/>
            <w:hideMark/>
          </w:tcPr>
          <w:p w14:paraId="2E4490C4"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Sorghum (0 g)</w:t>
            </w:r>
          </w:p>
        </w:tc>
        <w:tc>
          <w:tcPr>
            <w:tcW w:w="1813" w:type="dxa"/>
            <w:vAlign w:val="center"/>
            <w:hideMark/>
          </w:tcPr>
          <w:p w14:paraId="177268E7" w14:textId="3F99C37A"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45.60 ± 2.51</w:t>
            </w:r>
            <w:r w:rsidR="00B43596">
              <w:rPr>
                <w:rFonts w:ascii="Times New Roman" w:eastAsia="Times New Roman" w:hAnsi="Times New Roman" w:cs="Times New Roman"/>
                <w:vertAlign w:val="superscript"/>
              </w:rPr>
              <w:t>c</w:t>
            </w:r>
          </w:p>
        </w:tc>
        <w:tc>
          <w:tcPr>
            <w:tcW w:w="1529" w:type="dxa"/>
            <w:vAlign w:val="center"/>
            <w:hideMark/>
          </w:tcPr>
          <w:p w14:paraId="1B2F1427" w14:textId="77777777" w:rsidR="003474C5" w:rsidRPr="00B80AEF" w:rsidRDefault="003474C5" w:rsidP="00B80AEF">
            <w:pPr>
              <w:spacing w:line="480" w:lineRule="auto"/>
              <w:rPr>
                <w:rFonts w:ascii="Times New Roman" w:eastAsia="Times New Roman" w:hAnsi="Times New Roman" w:cs="Times New Roman"/>
              </w:rPr>
            </w:pPr>
            <w:r w:rsidRPr="00B80AEF">
              <w:rPr>
                <w:rFonts w:ascii="Times New Roman" w:eastAsia="Times New Roman" w:hAnsi="Times New Roman" w:cs="Times New Roman"/>
              </w:rPr>
              <w:t>63.30 ± 2.88c</w:t>
            </w:r>
          </w:p>
        </w:tc>
        <w:tc>
          <w:tcPr>
            <w:tcW w:w="1530" w:type="dxa"/>
            <w:vAlign w:val="center"/>
            <w:hideMark/>
          </w:tcPr>
          <w:p w14:paraId="7824D26A" w14:textId="77777777" w:rsidR="003474C5" w:rsidRPr="00B80AEF" w:rsidRDefault="003474C5" w:rsidP="00B80AEF">
            <w:pPr>
              <w:spacing w:line="480" w:lineRule="auto"/>
              <w:rPr>
                <w:rFonts w:ascii="Times New Roman" w:eastAsia="Times New Roman" w:hAnsi="Times New Roman" w:cs="Times New Roman"/>
              </w:rPr>
            </w:pPr>
            <w:r w:rsidRPr="00B80AEF">
              <w:rPr>
                <w:rFonts w:ascii="Times New Roman" w:eastAsia="Times New Roman" w:hAnsi="Times New Roman" w:cs="Times New Roman"/>
              </w:rPr>
              <w:t>75.20 ± 3.00c</w:t>
            </w:r>
          </w:p>
        </w:tc>
        <w:tc>
          <w:tcPr>
            <w:tcW w:w="1529" w:type="dxa"/>
            <w:vAlign w:val="center"/>
            <w:hideMark/>
          </w:tcPr>
          <w:p w14:paraId="37A919D4" w14:textId="77777777" w:rsidR="003474C5" w:rsidRPr="00B80AEF" w:rsidRDefault="003474C5" w:rsidP="00B80AEF">
            <w:pPr>
              <w:spacing w:line="480" w:lineRule="auto"/>
              <w:rPr>
                <w:rFonts w:ascii="Times New Roman" w:eastAsia="Times New Roman" w:hAnsi="Times New Roman" w:cs="Times New Roman"/>
              </w:rPr>
            </w:pPr>
            <w:r w:rsidRPr="00B80AEF">
              <w:rPr>
                <w:rFonts w:ascii="Times New Roman" w:eastAsia="Times New Roman" w:hAnsi="Times New Roman" w:cs="Times New Roman"/>
              </w:rPr>
              <w:t>80.10 ± 2.96c</w:t>
            </w:r>
          </w:p>
        </w:tc>
        <w:tc>
          <w:tcPr>
            <w:tcW w:w="1671" w:type="dxa"/>
            <w:vAlign w:val="center"/>
            <w:hideMark/>
          </w:tcPr>
          <w:p w14:paraId="6D50B474" w14:textId="77777777" w:rsidR="003474C5" w:rsidRPr="00B80AEF" w:rsidRDefault="003474C5" w:rsidP="00B80AEF">
            <w:pPr>
              <w:spacing w:line="480" w:lineRule="auto"/>
              <w:rPr>
                <w:rFonts w:ascii="Times New Roman" w:eastAsia="Times New Roman" w:hAnsi="Times New Roman" w:cs="Times New Roman"/>
              </w:rPr>
            </w:pPr>
            <w:r w:rsidRPr="00B80AEF">
              <w:rPr>
                <w:rFonts w:ascii="Times New Roman" w:eastAsia="Times New Roman" w:hAnsi="Times New Roman" w:cs="Times New Roman"/>
              </w:rPr>
              <w:t>84.00 ± 3.11c</w:t>
            </w:r>
          </w:p>
        </w:tc>
        <w:tc>
          <w:tcPr>
            <w:tcW w:w="3215" w:type="dxa"/>
            <w:vAlign w:val="center"/>
            <w:hideMark/>
          </w:tcPr>
          <w:p w14:paraId="4C27A932" w14:textId="77777777" w:rsidR="003474C5" w:rsidRPr="00B80AEF" w:rsidRDefault="003474C5" w:rsidP="00B80AEF">
            <w:pPr>
              <w:spacing w:line="480" w:lineRule="auto"/>
              <w:rPr>
                <w:rFonts w:ascii="Times New Roman" w:eastAsia="Times New Roman" w:hAnsi="Times New Roman" w:cs="Times New Roman"/>
              </w:rPr>
            </w:pPr>
            <w:r w:rsidRPr="00B80AEF">
              <w:rPr>
                <w:rFonts w:ascii="Times New Roman" w:eastAsia="Times New Roman" w:hAnsi="Times New Roman" w:cs="Times New Roman"/>
              </w:rPr>
              <w:t>85.50 ± 3.30c</w:t>
            </w:r>
          </w:p>
        </w:tc>
      </w:tr>
      <w:tr w:rsidR="00826123" w:rsidRPr="00B80AEF" w14:paraId="616508E9" w14:textId="77777777" w:rsidTr="00826123">
        <w:trPr>
          <w:tblCellSpacing w:w="15" w:type="dxa"/>
        </w:trPr>
        <w:tc>
          <w:tcPr>
            <w:tcW w:w="1656" w:type="dxa"/>
            <w:vAlign w:val="center"/>
            <w:hideMark/>
          </w:tcPr>
          <w:p w14:paraId="21275880"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Sorghum (2 g)</w:t>
            </w:r>
          </w:p>
        </w:tc>
        <w:tc>
          <w:tcPr>
            <w:tcW w:w="1813" w:type="dxa"/>
            <w:vAlign w:val="center"/>
            <w:hideMark/>
          </w:tcPr>
          <w:p w14:paraId="7D7AFC70" w14:textId="1C1AD548"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55.40 ± 2.88</w:t>
            </w:r>
            <w:r w:rsidR="00B43596">
              <w:rPr>
                <w:rFonts w:ascii="Times New Roman" w:eastAsia="Times New Roman" w:hAnsi="Times New Roman" w:cs="Times New Roman"/>
                <w:vertAlign w:val="superscript"/>
              </w:rPr>
              <w:t>b</w:t>
            </w:r>
          </w:p>
        </w:tc>
        <w:tc>
          <w:tcPr>
            <w:tcW w:w="1529" w:type="dxa"/>
            <w:vAlign w:val="center"/>
            <w:hideMark/>
          </w:tcPr>
          <w:p w14:paraId="72336200" w14:textId="51B02B82" w:rsidR="003474C5" w:rsidRPr="00B43596" w:rsidRDefault="003474C5" w:rsidP="00B80AEF">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7</w:t>
            </w:r>
            <w:r w:rsidR="00B43596">
              <w:rPr>
                <w:rFonts w:ascii="Times New Roman" w:eastAsia="Times New Roman" w:hAnsi="Times New Roman" w:cs="Times New Roman"/>
              </w:rPr>
              <w:t>2.80 ± 3.00</w:t>
            </w:r>
            <w:r w:rsidR="00B43596">
              <w:rPr>
                <w:rFonts w:ascii="Times New Roman" w:eastAsia="Times New Roman" w:hAnsi="Times New Roman" w:cs="Times New Roman"/>
                <w:vertAlign w:val="superscript"/>
              </w:rPr>
              <w:t>b</w:t>
            </w:r>
          </w:p>
        </w:tc>
        <w:tc>
          <w:tcPr>
            <w:tcW w:w="1530" w:type="dxa"/>
            <w:vAlign w:val="center"/>
            <w:hideMark/>
          </w:tcPr>
          <w:p w14:paraId="384389DE" w14:textId="0181048D"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86.60 ± 2.94</w:t>
            </w:r>
            <w:r w:rsidR="00B43596">
              <w:rPr>
                <w:rFonts w:ascii="Times New Roman" w:eastAsia="Times New Roman" w:hAnsi="Times New Roman" w:cs="Times New Roman"/>
                <w:vertAlign w:val="superscript"/>
              </w:rPr>
              <w:t>b</w:t>
            </w:r>
          </w:p>
        </w:tc>
        <w:tc>
          <w:tcPr>
            <w:tcW w:w="1529" w:type="dxa"/>
            <w:vAlign w:val="center"/>
            <w:hideMark/>
          </w:tcPr>
          <w:p w14:paraId="120CEAD5" w14:textId="50241AC2"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91.20 ± 3.00</w:t>
            </w:r>
            <w:r w:rsidR="00B43596">
              <w:rPr>
                <w:rFonts w:ascii="Times New Roman" w:eastAsia="Times New Roman" w:hAnsi="Times New Roman" w:cs="Times New Roman"/>
                <w:vertAlign w:val="superscript"/>
              </w:rPr>
              <w:t>b</w:t>
            </w:r>
          </w:p>
        </w:tc>
        <w:tc>
          <w:tcPr>
            <w:tcW w:w="1671" w:type="dxa"/>
            <w:vAlign w:val="center"/>
            <w:hideMark/>
          </w:tcPr>
          <w:p w14:paraId="1499B769" w14:textId="43D6751B"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94.00 ± 2.88</w:t>
            </w:r>
            <w:r w:rsidR="00B43596">
              <w:rPr>
                <w:rFonts w:ascii="Times New Roman" w:eastAsia="Times New Roman" w:hAnsi="Times New Roman" w:cs="Times New Roman"/>
                <w:vertAlign w:val="superscript"/>
              </w:rPr>
              <w:t>b</w:t>
            </w:r>
          </w:p>
        </w:tc>
        <w:tc>
          <w:tcPr>
            <w:tcW w:w="3215" w:type="dxa"/>
            <w:vAlign w:val="center"/>
            <w:hideMark/>
          </w:tcPr>
          <w:p w14:paraId="681DFC4D" w14:textId="49CE57D6"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95.30 ± 3.00</w:t>
            </w:r>
            <w:r w:rsidR="00E40E58">
              <w:rPr>
                <w:rFonts w:ascii="Times New Roman" w:eastAsia="Times New Roman" w:hAnsi="Times New Roman" w:cs="Times New Roman"/>
                <w:vertAlign w:val="superscript"/>
              </w:rPr>
              <w:t>b</w:t>
            </w:r>
          </w:p>
        </w:tc>
      </w:tr>
      <w:tr w:rsidR="00826123" w:rsidRPr="00B80AEF" w14:paraId="49BDCC82" w14:textId="77777777" w:rsidTr="00826123">
        <w:trPr>
          <w:tblCellSpacing w:w="15" w:type="dxa"/>
        </w:trPr>
        <w:tc>
          <w:tcPr>
            <w:tcW w:w="1656" w:type="dxa"/>
            <w:vAlign w:val="center"/>
            <w:hideMark/>
          </w:tcPr>
          <w:p w14:paraId="7C13C4E8"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Sorghum (4 g)</w:t>
            </w:r>
          </w:p>
        </w:tc>
        <w:tc>
          <w:tcPr>
            <w:tcW w:w="1813" w:type="dxa"/>
            <w:vAlign w:val="center"/>
            <w:hideMark/>
          </w:tcPr>
          <w:p w14:paraId="1D75F890" w14:textId="3BF72F10"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62.30 ± 2.92</w:t>
            </w:r>
            <w:r w:rsidR="00B43596">
              <w:rPr>
                <w:rFonts w:ascii="Times New Roman" w:eastAsia="Times New Roman" w:hAnsi="Times New Roman" w:cs="Times New Roman"/>
                <w:vertAlign w:val="superscript"/>
              </w:rPr>
              <w:t>a</w:t>
            </w:r>
          </w:p>
        </w:tc>
        <w:tc>
          <w:tcPr>
            <w:tcW w:w="1529" w:type="dxa"/>
            <w:vAlign w:val="center"/>
            <w:hideMark/>
          </w:tcPr>
          <w:p w14:paraId="51CD5E97" w14:textId="5BF371FE"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79.60 ± 3.05</w:t>
            </w:r>
            <w:r w:rsidR="00B43596">
              <w:rPr>
                <w:rFonts w:ascii="Times New Roman" w:eastAsia="Times New Roman" w:hAnsi="Times New Roman" w:cs="Times New Roman"/>
                <w:vertAlign w:val="superscript"/>
              </w:rPr>
              <w:t>a</w:t>
            </w:r>
          </w:p>
        </w:tc>
        <w:tc>
          <w:tcPr>
            <w:tcW w:w="1530" w:type="dxa"/>
            <w:vAlign w:val="center"/>
            <w:hideMark/>
          </w:tcPr>
          <w:p w14:paraId="4EB29C20" w14:textId="0990C71A"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92.70 ± 3.22</w:t>
            </w:r>
            <w:r w:rsidR="00E40E58">
              <w:rPr>
                <w:rFonts w:ascii="Times New Roman" w:eastAsia="Times New Roman" w:hAnsi="Times New Roman" w:cs="Times New Roman"/>
                <w:vertAlign w:val="superscript"/>
              </w:rPr>
              <w:t>a</w:t>
            </w:r>
          </w:p>
        </w:tc>
        <w:tc>
          <w:tcPr>
            <w:tcW w:w="1529" w:type="dxa"/>
            <w:vAlign w:val="center"/>
            <w:hideMark/>
          </w:tcPr>
          <w:p w14:paraId="351C463A" w14:textId="77BED191"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95.60 ± 2.85</w:t>
            </w:r>
            <w:r w:rsidR="00E40E58">
              <w:rPr>
                <w:rFonts w:ascii="Times New Roman" w:eastAsia="Times New Roman" w:hAnsi="Times New Roman" w:cs="Times New Roman"/>
                <w:vertAlign w:val="superscript"/>
              </w:rPr>
              <w:t>a</w:t>
            </w:r>
          </w:p>
        </w:tc>
        <w:tc>
          <w:tcPr>
            <w:tcW w:w="1671" w:type="dxa"/>
            <w:vAlign w:val="center"/>
            <w:hideMark/>
          </w:tcPr>
          <w:p w14:paraId="18BEE74E" w14:textId="6EBF26BE"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96.10 ± 2.70</w:t>
            </w:r>
            <w:r w:rsidR="00B43596">
              <w:rPr>
                <w:rFonts w:ascii="Times New Roman" w:eastAsia="Times New Roman" w:hAnsi="Times New Roman" w:cs="Times New Roman"/>
                <w:vertAlign w:val="superscript"/>
              </w:rPr>
              <w:t>a</w:t>
            </w:r>
          </w:p>
        </w:tc>
        <w:tc>
          <w:tcPr>
            <w:tcW w:w="3215" w:type="dxa"/>
            <w:vAlign w:val="center"/>
            <w:hideMark/>
          </w:tcPr>
          <w:p w14:paraId="6EBC52B5" w14:textId="35ACF923"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96.30 ± 2.61</w:t>
            </w:r>
            <w:r w:rsidR="00B43596">
              <w:rPr>
                <w:rFonts w:ascii="Times New Roman" w:eastAsia="Times New Roman" w:hAnsi="Times New Roman" w:cs="Times New Roman"/>
                <w:vertAlign w:val="superscript"/>
              </w:rPr>
              <w:t>a</w:t>
            </w:r>
          </w:p>
        </w:tc>
      </w:tr>
      <w:tr w:rsidR="00826123" w:rsidRPr="00B80AEF" w14:paraId="2D12B055" w14:textId="77777777" w:rsidTr="00826123">
        <w:trPr>
          <w:tblCellSpacing w:w="15" w:type="dxa"/>
        </w:trPr>
        <w:tc>
          <w:tcPr>
            <w:tcW w:w="1656" w:type="dxa"/>
            <w:vAlign w:val="center"/>
            <w:hideMark/>
          </w:tcPr>
          <w:p w14:paraId="115B8081"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Sorghum (6 g)</w:t>
            </w:r>
          </w:p>
        </w:tc>
        <w:tc>
          <w:tcPr>
            <w:tcW w:w="1813" w:type="dxa"/>
            <w:vAlign w:val="center"/>
            <w:hideMark/>
          </w:tcPr>
          <w:p w14:paraId="7E5D9034" w14:textId="52D51546"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48.10 ± 2.64</w:t>
            </w:r>
            <w:r w:rsidR="00B43596">
              <w:rPr>
                <w:rFonts w:ascii="Times New Roman" w:eastAsia="Times New Roman" w:hAnsi="Times New Roman" w:cs="Times New Roman"/>
                <w:vertAlign w:val="superscript"/>
              </w:rPr>
              <w:t>bc</w:t>
            </w:r>
          </w:p>
        </w:tc>
        <w:tc>
          <w:tcPr>
            <w:tcW w:w="1529" w:type="dxa"/>
            <w:vAlign w:val="center"/>
            <w:hideMark/>
          </w:tcPr>
          <w:p w14:paraId="667215B2" w14:textId="7F7A4360"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68.50 ± 2.90</w:t>
            </w:r>
            <w:r w:rsidR="00B43596">
              <w:rPr>
                <w:rFonts w:ascii="Times New Roman" w:eastAsia="Times New Roman" w:hAnsi="Times New Roman" w:cs="Times New Roman"/>
                <w:vertAlign w:val="superscript"/>
              </w:rPr>
              <w:t>bc</w:t>
            </w:r>
          </w:p>
        </w:tc>
        <w:tc>
          <w:tcPr>
            <w:tcW w:w="1530" w:type="dxa"/>
            <w:vAlign w:val="center"/>
            <w:hideMark/>
          </w:tcPr>
          <w:p w14:paraId="41B742C7" w14:textId="77E97297"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80.20 ± 2.88</w:t>
            </w:r>
            <w:r w:rsidR="00E40E58">
              <w:rPr>
                <w:rFonts w:ascii="Times New Roman" w:eastAsia="Times New Roman" w:hAnsi="Times New Roman" w:cs="Times New Roman"/>
                <w:vertAlign w:val="superscript"/>
              </w:rPr>
              <w:t>bc</w:t>
            </w:r>
          </w:p>
        </w:tc>
        <w:tc>
          <w:tcPr>
            <w:tcW w:w="1529" w:type="dxa"/>
            <w:vAlign w:val="center"/>
            <w:hideMark/>
          </w:tcPr>
          <w:p w14:paraId="2E89A276" w14:textId="4EB798EF"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84.40 ± 3.05</w:t>
            </w:r>
            <w:r w:rsidR="00E40E58">
              <w:rPr>
                <w:rFonts w:ascii="Times New Roman" w:eastAsia="Times New Roman" w:hAnsi="Times New Roman" w:cs="Times New Roman"/>
                <w:vertAlign w:val="superscript"/>
              </w:rPr>
              <w:t>bc</w:t>
            </w:r>
          </w:p>
        </w:tc>
        <w:tc>
          <w:tcPr>
            <w:tcW w:w="1671" w:type="dxa"/>
            <w:vAlign w:val="center"/>
            <w:hideMark/>
          </w:tcPr>
          <w:p w14:paraId="712A5E5C" w14:textId="42F178C5"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85.00 ± 2.95</w:t>
            </w:r>
            <w:r w:rsidR="00E40E58">
              <w:rPr>
                <w:rFonts w:ascii="Times New Roman" w:eastAsia="Times New Roman" w:hAnsi="Times New Roman" w:cs="Times New Roman"/>
                <w:vertAlign w:val="superscript"/>
              </w:rPr>
              <w:t>bc</w:t>
            </w:r>
          </w:p>
        </w:tc>
        <w:tc>
          <w:tcPr>
            <w:tcW w:w="3215" w:type="dxa"/>
            <w:vAlign w:val="center"/>
            <w:hideMark/>
          </w:tcPr>
          <w:p w14:paraId="0172D2EE" w14:textId="31950DFC"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85.70 ± 2.85</w:t>
            </w:r>
            <w:r w:rsidR="00E40E58">
              <w:rPr>
                <w:rFonts w:ascii="Times New Roman" w:eastAsia="Times New Roman" w:hAnsi="Times New Roman" w:cs="Times New Roman"/>
                <w:vertAlign w:val="superscript"/>
              </w:rPr>
              <w:t>bc</w:t>
            </w:r>
          </w:p>
        </w:tc>
      </w:tr>
      <w:tr w:rsidR="00826123" w:rsidRPr="00B80AEF" w14:paraId="10B4A4C1" w14:textId="77777777" w:rsidTr="00826123">
        <w:trPr>
          <w:tblCellSpacing w:w="15" w:type="dxa"/>
        </w:trPr>
        <w:tc>
          <w:tcPr>
            <w:tcW w:w="1656" w:type="dxa"/>
            <w:vAlign w:val="center"/>
            <w:hideMark/>
          </w:tcPr>
          <w:p w14:paraId="41036560"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Wheat (0 g)</w:t>
            </w:r>
          </w:p>
        </w:tc>
        <w:tc>
          <w:tcPr>
            <w:tcW w:w="1813" w:type="dxa"/>
            <w:vAlign w:val="center"/>
            <w:hideMark/>
          </w:tcPr>
          <w:p w14:paraId="3A54F791" w14:textId="6B9E61FD"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43.20 ± 2.45</w:t>
            </w:r>
            <w:r w:rsidR="00B43596">
              <w:rPr>
                <w:rFonts w:ascii="Times New Roman" w:eastAsia="Times New Roman" w:hAnsi="Times New Roman" w:cs="Times New Roman"/>
                <w:vertAlign w:val="superscript"/>
              </w:rPr>
              <w:t>c</w:t>
            </w:r>
          </w:p>
        </w:tc>
        <w:tc>
          <w:tcPr>
            <w:tcW w:w="1529" w:type="dxa"/>
            <w:vAlign w:val="center"/>
            <w:hideMark/>
          </w:tcPr>
          <w:p w14:paraId="68AA562E" w14:textId="224ED4FA"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59.80 ± 2.85</w:t>
            </w:r>
            <w:r w:rsidR="00B43596">
              <w:rPr>
                <w:rFonts w:ascii="Times New Roman" w:eastAsia="Times New Roman" w:hAnsi="Times New Roman" w:cs="Times New Roman"/>
                <w:vertAlign w:val="superscript"/>
              </w:rPr>
              <w:t>c</w:t>
            </w:r>
          </w:p>
        </w:tc>
        <w:tc>
          <w:tcPr>
            <w:tcW w:w="1530" w:type="dxa"/>
            <w:vAlign w:val="center"/>
            <w:hideMark/>
          </w:tcPr>
          <w:p w14:paraId="69B9211D" w14:textId="68E4E61F"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73.10 ± 3.00</w:t>
            </w:r>
            <w:r w:rsidR="00E40E58">
              <w:rPr>
                <w:rFonts w:ascii="Times New Roman" w:eastAsia="Times New Roman" w:hAnsi="Times New Roman" w:cs="Times New Roman"/>
                <w:vertAlign w:val="superscript"/>
              </w:rPr>
              <w:t>c</w:t>
            </w:r>
          </w:p>
        </w:tc>
        <w:tc>
          <w:tcPr>
            <w:tcW w:w="1529" w:type="dxa"/>
            <w:vAlign w:val="center"/>
            <w:hideMark/>
          </w:tcPr>
          <w:p w14:paraId="7E383FC8" w14:textId="66B1C607"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77.30 ± 2.90</w:t>
            </w:r>
            <w:r w:rsidR="00E40E58">
              <w:rPr>
                <w:rFonts w:ascii="Times New Roman" w:eastAsia="Times New Roman" w:hAnsi="Times New Roman" w:cs="Times New Roman"/>
                <w:vertAlign w:val="superscript"/>
              </w:rPr>
              <w:t>c</w:t>
            </w:r>
          </w:p>
        </w:tc>
        <w:tc>
          <w:tcPr>
            <w:tcW w:w="1671" w:type="dxa"/>
            <w:vAlign w:val="center"/>
            <w:hideMark/>
          </w:tcPr>
          <w:p w14:paraId="4EF3CB39" w14:textId="466AB0C1"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80.00 ± 3.10</w:t>
            </w:r>
            <w:r w:rsidR="00E40E58">
              <w:rPr>
                <w:rFonts w:ascii="Times New Roman" w:eastAsia="Times New Roman" w:hAnsi="Times New Roman" w:cs="Times New Roman"/>
                <w:vertAlign w:val="superscript"/>
              </w:rPr>
              <w:t>c</w:t>
            </w:r>
          </w:p>
        </w:tc>
        <w:tc>
          <w:tcPr>
            <w:tcW w:w="3215" w:type="dxa"/>
            <w:vAlign w:val="center"/>
            <w:hideMark/>
          </w:tcPr>
          <w:p w14:paraId="79C83560" w14:textId="2F0B2ACC"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82.60 ± 3.00</w:t>
            </w:r>
            <w:r w:rsidR="00E40E58">
              <w:rPr>
                <w:rFonts w:ascii="Times New Roman" w:eastAsia="Times New Roman" w:hAnsi="Times New Roman" w:cs="Times New Roman"/>
                <w:vertAlign w:val="superscript"/>
              </w:rPr>
              <w:t>c</w:t>
            </w:r>
          </w:p>
        </w:tc>
      </w:tr>
      <w:tr w:rsidR="00826123" w:rsidRPr="00B80AEF" w14:paraId="04B8B409" w14:textId="77777777" w:rsidTr="00826123">
        <w:trPr>
          <w:tblCellSpacing w:w="15" w:type="dxa"/>
        </w:trPr>
        <w:tc>
          <w:tcPr>
            <w:tcW w:w="1656" w:type="dxa"/>
            <w:vAlign w:val="center"/>
            <w:hideMark/>
          </w:tcPr>
          <w:p w14:paraId="7D2143C5"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Wheat (2 g)</w:t>
            </w:r>
          </w:p>
        </w:tc>
        <w:tc>
          <w:tcPr>
            <w:tcW w:w="1813" w:type="dxa"/>
            <w:vAlign w:val="center"/>
            <w:hideMark/>
          </w:tcPr>
          <w:p w14:paraId="0031DD99" w14:textId="5DE58443"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51.40 ± 2.80</w:t>
            </w:r>
            <w:r w:rsidR="00B43596">
              <w:rPr>
                <w:rFonts w:ascii="Times New Roman" w:eastAsia="Times New Roman" w:hAnsi="Times New Roman" w:cs="Times New Roman"/>
                <w:vertAlign w:val="superscript"/>
              </w:rPr>
              <w:t>b</w:t>
            </w:r>
          </w:p>
        </w:tc>
        <w:tc>
          <w:tcPr>
            <w:tcW w:w="1529" w:type="dxa"/>
            <w:vAlign w:val="center"/>
            <w:hideMark/>
          </w:tcPr>
          <w:p w14:paraId="140EE1D2" w14:textId="00FC9177"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68.70 ± 3.10</w:t>
            </w:r>
            <w:r w:rsidR="00B43596">
              <w:rPr>
                <w:rFonts w:ascii="Times New Roman" w:eastAsia="Times New Roman" w:hAnsi="Times New Roman" w:cs="Times New Roman"/>
                <w:vertAlign w:val="superscript"/>
              </w:rPr>
              <w:t>b</w:t>
            </w:r>
          </w:p>
        </w:tc>
        <w:tc>
          <w:tcPr>
            <w:tcW w:w="1530" w:type="dxa"/>
            <w:vAlign w:val="center"/>
            <w:hideMark/>
          </w:tcPr>
          <w:p w14:paraId="19F9E15A" w14:textId="5130D434"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84.00 ± 3.12</w:t>
            </w:r>
            <w:r w:rsidR="00E40E58">
              <w:rPr>
                <w:rFonts w:ascii="Times New Roman" w:eastAsia="Times New Roman" w:hAnsi="Times New Roman" w:cs="Times New Roman"/>
                <w:vertAlign w:val="superscript"/>
              </w:rPr>
              <w:t>b</w:t>
            </w:r>
          </w:p>
        </w:tc>
        <w:tc>
          <w:tcPr>
            <w:tcW w:w="1529" w:type="dxa"/>
            <w:vAlign w:val="center"/>
            <w:hideMark/>
          </w:tcPr>
          <w:p w14:paraId="2246F40C" w14:textId="364A30FF"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89.40 ± 3.00</w:t>
            </w:r>
            <w:r w:rsidR="00E40E58">
              <w:rPr>
                <w:rFonts w:ascii="Times New Roman" w:eastAsia="Times New Roman" w:hAnsi="Times New Roman" w:cs="Times New Roman"/>
                <w:vertAlign w:val="superscript"/>
              </w:rPr>
              <w:t>b</w:t>
            </w:r>
          </w:p>
        </w:tc>
        <w:tc>
          <w:tcPr>
            <w:tcW w:w="1671" w:type="dxa"/>
            <w:vAlign w:val="center"/>
            <w:hideMark/>
          </w:tcPr>
          <w:p w14:paraId="170D3ECB" w14:textId="25E305AE"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92.30 ± 2.70</w:t>
            </w:r>
            <w:r w:rsidR="00E40E58">
              <w:rPr>
                <w:rFonts w:ascii="Times New Roman" w:eastAsia="Times New Roman" w:hAnsi="Times New Roman" w:cs="Times New Roman"/>
                <w:vertAlign w:val="superscript"/>
              </w:rPr>
              <w:t>b</w:t>
            </w:r>
          </w:p>
        </w:tc>
        <w:tc>
          <w:tcPr>
            <w:tcW w:w="3215" w:type="dxa"/>
            <w:vAlign w:val="center"/>
            <w:hideMark/>
          </w:tcPr>
          <w:p w14:paraId="722EB3E8" w14:textId="75381A93"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93.80 ± 2.88</w:t>
            </w:r>
            <w:r w:rsidR="00E40E58">
              <w:rPr>
                <w:rFonts w:ascii="Times New Roman" w:eastAsia="Times New Roman" w:hAnsi="Times New Roman" w:cs="Times New Roman"/>
                <w:vertAlign w:val="superscript"/>
              </w:rPr>
              <w:t>b</w:t>
            </w:r>
          </w:p>
        </w:tc>
      </w:tr>
      <w:tr w:rsidR="00826123" w:rsidRPr="00B80AEF" w14:paraId="4A7A66B0" w14:textId="77777777" w:rsidTr="00826123">
        <w:trPr>
          <w:tblCellSpacing w:w="15" w:type="dxa"/>
        </w:trPr>
        <w:tc>
          <w:tcPr>
            <w:tcW w:w="1656" w:type="dxa"/>
            <w:vAlign w:val="center"/>
            <w:hideMark/>
          </w:tcPr>
          <w:p w14:paraId="3CDF6E33"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Wheat (4 g)</w:t>
            </w:r>
          </w:p>
        </w:tc>
        <w:tc>
          <w:tcPr>
            <w:tcW w:w="1813" w:type="dxa"/>
            <w:vAlign w:val="center"/>
            <w:hideMark/>
          </w:tcPr>
          <w:p w14:paraId="62936574" w14:textId="1C51429C"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59.70 ± 2.95</w:t>
            </w:r>
            <w:r w:rsidR="00B43596">
              <w:rPr>
                <w:rFonts w:ascii="Times New Roman" w:eastAsia="Times New Roman" w:hAnsi="Times New Roman" w:cs="Times New Roman"/>
                <w:vertAlign w:val="superscript"/>
              </w:rPr>
              <w:t>a</w:t>
            </w:r>
          </w:p>
        </w:tc>
        <w:tc>
          <w:tcPr>
            <w:tcW w:w="1529" w:type="dxa"/>
            <w:vAlign w:val="center"/>
            <w:hideMark/>
          </w:tcPr>
          <w:p w14:paraId="4BA8058E" w14:textId="648B6E16"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75.80 ± 3.22</w:t>
            </w:r>
            <w:r w:rsidR="00B43596">
              <w:rPr>
                <w:rFonts w:ascii="Times New Roman" w:eastAsia="Times New Roman" w:hAnsi="Times New Roman" w:cs="Times New Roman"/>
                <w:vertAlign w:val="superscript"/>
              </w:rPr>
              <w:t>a</w:t>
            </w:r>
          </w:p>
        </w:tc>
        <w:tc>
          <w:tcPr>
            <w:tcW w:w="1530" w:type="dxa"/>
            <w:vAlign w:val="center"/>
            <w:hideMark/>
          </w:tcPr>
          <w:p w14:paraId="07EA0071" w14:textId="12B96237"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89.30 ± 3.15</w:t>
            </w:r>
            <w:r w:rsidR="00E40E58">
              <w:rPr>
                <w:rFonts w:ascii="Times New Roman" w:eastAsia="Times New Roman" w:hAnsi="Times New Roman" w:cs="Times New Roman"/>
                <w:vertAlign w:val="superscript"/>
              </w:rPr>
              <w:t>a</w:t>
            </w:r>
          </w:p>
        </w:tc>
        <w:tc>
          <w:tcPr>
            <w:tcW w:w="1529" w:type="dxa"/>
            <w:vAlign w:val="center"/>
            <w:hideMark/>
          </w:tcPr>
          <w:p w14:paraId="371F9916" w14:textId="142F8284"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93.00 ± 2.80</w:t>
            </w:r>
            <w:r w:rsidR="00E40E58">
              <w:rPr>
                <w:rFonts w:ascii="Times New Roman" w:eastAsia="Times New Roman" w:hAnsi="Times New Roman" w:cs="Times New Roman"/>
                <w:vertAlign w:val="superscript"/>
              </w:rPr>
              <w:t>a</w:t>
            </w:r>
          </w:p>
        </w:tc>
        <w:tc>
          <w:tcPr>
            <w:tcW w:w="1671" w:type="dxa"/>
            <w:vAlign w:val="center"/>
            <w:hideMark/>
          </w:tcPr>
          <w:p w14:paraId="5240B702" w14:textId="734890D6"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94.70 ± 2.60</w:t>
            </w:r>
            <w:r w:rsidR="00E40E58">
              <w:rPr>
                <w:rFonts w:ascii="Times New Roman" w:eastAsia="Times New Roman" w:hAnsi="Times New Roman" w:cs="Times New Roman"/>
                <w:vertAlign w:val="superscript"/>
              </w:rPr>
              <w:t>a</w:t>
            </w:r>
          </w:p>
        </w:tc>
        <w:tc>
          <w:tcPr>
            <w:tcW w:w="3215" w:type="dxa"/>
            <w:vAlign w:val="center"/>
            <w:hideMark/>
          </w:tcPr>
          <w:p w14:paraId="17B9B5A6" w14:textId="586D6FC8"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95.00 ± 2.70</w:t>
            </w:r>
            <w:r w:rsidR="00E40E58">
              <w:rPr>
                <w:rFonts w:ascii="Times New Roman" w:eastAsia="Times New Roman" w:hAnsi="Times New Roman" w:cs="Times New Roman"/>
                <w:vertAlign w:val="superscript"/>
              </w:rPr>
              <w:t>a</w:t>
            </w:r>
          </w:p>
        </w:tc>
      </w:tr>
      <w:tr w:rsidR="00826123" w:rsidRPr="00B80AEF" w14:paraId="6CC55FE2" w14:textId="77777777" w:rsidTr="00826123">
        <w:trPr>
          <w:tblCellSpacing w:w="15" w:type="dxa"/>
        </w:trPr>
        <w:tc>
          <w:tcPr>
            <w:tcW w:w="1656" w:type="dxa"/>
            <w:vAlign w:val="center"/>
            <w:hideMark/>
          </w:tcPr>
          <w:p w14:paraId="54C24F6B" w14:textId="77777777" w:rsidR="003474C5" w:rsidRPr="00B80AEF" w:rsidRDefault="003474C5" w:rsidP="00B80AEF">
            <w:pPr>
              <w:spacing w:line="480" w:lineRule="auto"/>
              <w:rPr>
                <w:rFonts w:ascii="Times New Roman" w:eastAsia="Times New Roman" w:hAnsi="Times New Roman" w:cs="Times New Roman"/>
              </w:rPr>
            </w:pPr>
            <w:r w:rsidRPr="00B80AEF">
              <w:rPr>
                <w:rStyle w:val="Strong"/>
                <w:rFonts w:ascii="Times New Roman" w:eastAsia="Times New Roman" w:hAnsi="Times New Roman" w:cs="Times New Roman"/>
              </w:rPr>
              <w:t>Wheat (6 g)</w:t>
            </w:r>
          </w:p>
        </w:tc>
        <w:tc>
          <w:tcPr>
            <w:tcW w:w="1813" w:type="dxa"/>
            <w:vAlign w:val="center"/>
            <w:hideMark/>
          </w:tcPr>
          <w:p w14:paraId="3D6DA1C6" w14:textId="2F14098C"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47.60 ± 2.70</w:t>
            </w:r>
            <w:r w:rsidR="00B43596">
              <w:rPr>
                <w:rFonts w:ascii="Times New Roman" w:eastAsia="Times New Roman" w:hAnsi="Times New Roman" w:cs="Times New Roman"/>
                <w:vertAlign w:val="superscript"/>
              </w:rPr>
              <w:t>bc</w:t>
            </w:r>
          </w:p>
        </w:tc>
        <w:tc>
          <w:tcPr>
            <w:tcW w:w="1529" w:type="dxa"/>
            <w:vAlign w:val="center"/>
            <w:hideMark/>
          </w:tcPr>
          <w:p w14:paraId="31E403F8" w14:textId="48066773" w:rsidR="003474C5" w:rsidRPr="00B43596" w:rsidRDefault="003474C5" w:rsidP="00B43596">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64.10 ± 2.90</w:t>
            </w:r>
            <w:r w:rsidR="00B43596">
              <w:rPr>
                <w:rFonts w:ascii="Times New Roman" w:eastAsia="Times New Roman" w:hAnsi="Times New Roman" w:cs="Times New Roman"/>
                <w:vertAlign w:val="superscript"/>
              </w:rPr>
              <w:t>b</w:t>
            </w:r>
            <w:r w:rsidR="00E40E58">
              <w:rPr>
                <w:rFonts w:ascii="Times New Roman" w:eastAsia="Times New Roman" w:hAnsi="Times New Roman" w:cs="Times New Roman"/>
                <w:vertAlign w:val="superscript"/>
              </w:rPr>
              <w:t>c</w:t>
            </w:r>
          </w:p>
        </w:tc>
        <w:tc>
          <w:tcPr>
            <w:tcW w:w="1530" w:type="dxa"/>
            <w:vAlign w:val="center"/>
            <w:hideMark/>
          </w:tcPr>
          <w:p w14:paraId="13790F2C" w14:textId="5E6661DA"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78.20 ± 3.00</w:t>
            </w:r>
            <w:r w:rsidR="00E40E58">
              <w:rPr>
                <w:rFonts w:ascii="Times New Roman" w:eastAsia="Times New Roman" w:hAnsi="Times New Roman" w:cs="Times New Roman"/>
                <w:vertAlign w:val="superscript"/>
              </w:rPr>
              <w:t>bc</w:t>
            </w:r>
          </w:p>
        </w:tc>
        <w:tc>
          <w:tcPr>
            <w:tcW w:w="1529" w:type="dxa"/>
            <w:vAlign w:val="center"/>
            <w:hideMark/>
          </w:tcPr>
          <w:p w14:paraId="2647C8CD" w14:textId="4DA3F5A8"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82.00 ± 2.85</w:t>
            </w:r>
            <w:r w:rsidR="00E40E58">
              <w:rPr>
                <w:rFonts w:ascii="Times New Roman" w:eastAsia="Times New Roman" w:hAnsi="Times New Roman" w:cs="Times New Roman"/>
                <w:vertAlign w:val="superscript"/>
              </w:rPr>
              <w:t>bc</w:t>
            </w:r>
          </w:p>
        </w:tc>
        <w:tc>
          <w:tcPr>
            <w:tcW w:w="1671" w:type="dxa"/>
            <w:vAlign w:val="center"/>
            <w:hideMark/>
          </w:tcPr>
          <w:p w14:paraId="2AEF34B2" w14:textId="333C22E6"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83.40 ± 2.75</w:t>
            </w:r>
            <w:r w:rsidR="00E40E58">
              <w:rPr>
                <w:rFonts w:ascii="Times New Roman" w:eastAsia="Times New Roman" w:hAnsi="Times New Roman" w:cs="Times New Roman"/>
                <w:vertAlign w:val="superscript"/>
              </w:rPr>
              <w:t>bc</w:t>
            </w:r>
          </w:p>
        </w:tc>
        <w:tc>
          <w:tcPr>
            <w:tcW w:w="3215" w:type="dxa"/>
            <w:vAlign w:val="center"/>
            <w:hideMark/>
          </w:tcPr>
          <w:p w14:paraId="35C54A6F" w14:textId="44CB5673" w:rsidR="003474C5" w:rsidRPr="00E40E58" w:rsidRDefault="003474C5" w:rsidP="00E40E58">
            <w:pPr>
              <w:spacing w:line="480" w:lineRule="auto"/>
              <w:rPr>
                <w:rFonts w:ascii="Times New Roman" w:eastAsia="Times New Roman" w:hAnsi="Times New Roman" w:cs="Times New Roman"/>
                <w:vertAlign w:val="superscript"/>
              </w:rPr>
            </w:pPr>
            <w:r w:rsidRPr="00B80AEF">
              <w:rPr>
                <w:rFonts w:ascii="Times New Roman" w:eastAsia="Times New Roman" w:hAnsi="Times New Roman" w:cs="Times New Roman"/>
              </w:rPr>
              <w:t>84.20 ± 2.80</w:t>
            </w:r>
            <w:r w:rsidR="00E40E58">
              <w:rPr>
                <w:rFonts w:ascii="Times New Roman" w:eastAsia="Times New Roman" w:hAnsi="Times New Roman" w:cs="Times New Roman"/>
                <w:vertAlign w:val="superscript"/>
              </w:rPr>
              <w:t>bc</w:t>
            </w:r>
          </w:p>
        </w:tc>
      </w:tr>
    </w:tbl>
    <w:p w14:paraId="27A5406E" w14:textId="1657E109" w:rsidR="00826123" w:rsidRPr="00020F85" w:rsidRDefault="00826123" w:rsidP="00826123">
      <w:pPr>
        <w:pStyle w:val="NormalWeb"/>
        <w:spacing w:line="480" w:lineRule="auto"/>
        <w:rPr>
          <w:rStyle w:val="Emphasis"/>
          <w:i w:val="0"/>
        </w:rPr>
        <w:sectPr w:rsidR="00826123" w:rsidRPr="00020F85" w:rsidSect="00826123">
          <w:pgSz w:w="16838" w:h="11906" w:orient="landscape"/>
          <w:pgMar w:top="1440" w:right="1440" w:bottom="1440" w:left="1440" w:header="708" w:footer="708" w:gutter="0"/>
          <w:cols w:space="708"/>
          <w:docGrid w:linePitch="360"/>
        </w:sectPr>
      </w:pPr>
      <w:r w:rsidRPr="00020F85">
        <w:rPr>
          <w:rStyle w:val="Emphasis"/>
          <w:i w:val="0"/>
        </w:rPr>
        <w:t>Keys:</w:t>
      </w:r>
      <w:r w:rsidR="00914CE2" w:rsidRPr="00020F85">
        <w:rPr>
          <w:rStyle w:val="Emphasis"/>
          <w:i w:val="0"/>
        </w:rPr>
        <w:t xml:space="preserve">DAS means Days after sowing. Values that do not share same superscript were significantly different (p≤0.05) </w:t>
      </w:r>
    </w:p>
    <w:p w14:paraId="4C27BABA" w14:textId="02057D51" w:rsidR="00E16F0C" w:rsidRPr="00826123" w:rsidRDefault="00E16F0C" w:rsidP="000E1989">
      <w:pPr>
        <w:pStyle w:val="Heading1"/>
        <w:rPr>
          <w:rStyle w:val="Strong"/>
          <w:b/>
          <w:bCs w:val="0"/>
        </w:rPr>
      </w:pPr>
      <w:bookmarkStart w:id="42" w:name="_Toc214285905"/>
      <w:r w:rsidRPr="003A6A97">
        <w:rPr>
          <w:rStyle w:val="Strong"/>
          <w:rFonts w:eastAsia="Times New Roman"/>
          <w:color w:val="000000" w:themeColor="text1"/>
        </w:rPr>
        <w:t>4.2 Effects of NPK Fertilizer on Early Seedling Growth Parameters</w:t>
      </w:r>
      <w:bookmarkEnd w:id="42"/>
    </w:p>
    <w:p w14:paraId="570A0650" w14:textId="4DE12199" w:rsidR="00EB6815" w:rsidRPr="003A6A97" w:rsidRDefault="00EB6815" w:rsidP="004C5411">
      <w:pPr>
        <w:pStyle w:val="NormalWeb"/>
        <w:spacing w:line="480" w:lineRule="auto"/>
        <w:jc w:val="both"/>
      </w:pPr>
      <w:r w:rsidRPr="003A6A97">
        <w:t xml:space="preserve">Plant height increased steadily across the six-week growth period in both crops. The highest seedling heights were observed under 4 g NPK treatment, reaching 52.30 ± 4.50 cm in sorghum and 41.60 ± 3.60 cm in wheat at </w:t>
      </w:r>
      <w:r w:rsidR="00C15E61" w:rsidRPr="003A6A97">
        <w:t xml:space="preserve">6 </w:t>
      </w:r>
      <w:r w:rsidRPr="003A6A97">
        <w:t>weeks after planting (WAP). The control plants exhibited the shortest heights (29.00 ± 3.25 cm and 27.00 ± 3.00 cm, respectively).</w:t>
      </w:r>
    </w:p>
    <w:p w14:paraId="598995FF" w14:textId="01A4EE23" w:rsidR="00915B15" w:rsidRPr="003A6A97" w:rsidRDefault="00EB6815" w:rsidP="004C5411">
      <w:pPr>
        <w:pStyle w:val="NormalWeb"/>
        <w:spacing w:line="480" w:lineRule="auto"/>
        <w:jc w:val="both"/>
      </w:pPr>
      <w:r w:rsidRPr="003A6A97">
        <w:t xml:space="preserve">This trend indicates that NPK fertilizer significantly promoted vegetative growth, particularly between </w:t>
      </w:r>
      <w:r w:rsidR="009966EB" w:rsidRPr="003A6A97">
        <w:t>2</w:t>
      </w:r>
      <w:r w:rsidRPr="003A6A97">
        <w:t>–</w:t>
      </w:r>
      <w:r w:rsidR="009966EB" w:rsidRPr="003A6A97">
        <w:t>5</w:t>
      </w:r>
      <w:r w:rsidRPr="003A6A97">
        <w:t xml:space="preserve"> WAP, which corresponds to the period of rapid stem elongation. </w:t>
      </w:r>
      <w:r w:rsidR="00447296" w:rsidRPr="003A6A97">
        <w:t xml:space="preserve">At higher fertilizer concentration (6 g), a slight reduction in height was observed, implying that nutrient imbalance or excess salt concentration might have inhibited root function or reduced water absorption (Marschner, 2012). </w:t>
      </w:r>
    </w:p>
    <w:p w14:paraId="11BB6A3D" w14:textId="69616C6E" w:rsidR="0099693B" w:rsidRPr="003A6A97" w:rsidRDefault="00915B15" w:rsidP="004C5411">
      <w:pPr>
        <w:pStyle w:val="NormalWeb"/>
        <w:spacing w:line="480" w:lineRule="auto"/>
        <w:jc w:val="both"/>
      </w:pPr>
      <w:r w:rsidRPr="003A6A97">
        <w:t>Furthermore,</w:t>
      </w:r>
      <w:r w:rsidRPr="003A6A97">
        <w:rPr>
          <w:i/>
          <w:iCs/>
        </w:rPr>
        <w:t xml:space="preserve"> Sorghum bicolor</w:t>
      </w:r>
      <w:r w:rsidRPr="003A6A97">
        <w:t xml:space="preserve"> showed higher overall height values than </w:t>
      </w:r>
      <w:r w:rsidRPr="003A6A97">
        <w:rPr>
          <w:i/>
          <w:iCs/>
        </w:rPr>
        <w:t xml:space="preserve">Triticum aestivum, </w:t>
      </w:r>
      <w:r w:rsidRPr="003A6A97">
        <w:t xml:space="preserve">suggesting that sorghum utilizes soil nutrients more efficiently and possesses greater physiological plasticity under semi-arid conditions (Upadhyaya </w:t>
      </w:r>
      <w:r w:rsidRPr="003A6A97">
        <w:rPr>
          <w:i/>
          <w:iCs/>
        </w:rPr>
        <w:t>et al</w:t>
      </w:r>
      <w:r w:rsidRPr="003A6A97">
        <w:t xml:space="preserve">., 2016). </w:t>
      </w:r>
    </w:p>
    <w:p w14:paraId="4A562A04" w14:textId="77777777" w:rsidR="005C589D" w:rsidRDefault="005C589D" w:rsidP="0099693B">
      <w:pPr>
        <w:divId w:val="1143158371"/>
      </w:pPr>
    </w:p>
    <w:p w14:paraId="11327F33" w14:textId="77777777" w:rsidR="0099693B" w:rsidRDefault="0099693B" w:rsidP="0099693B">
      <w:pPr>
        <w:divId w:val="1143158371"/>
      </w:pPr>
    </w:p>
    <w:p w14:paraId="7EC47439" w14:textId="77777777" w:rsidR="0099693B" w:rsidRDefault="0099693B" w:rsidP="0099693B">
      <w:pPr>
        <w:divId w:val="1143158371"/>
      </w:pPr>
    </w:p>
    <w:p w14:paraId="42117603" w14:textId="77777777" w:rsidR="0099693B" w:rsidRDefault="0099693B" w:rsidP="0099693B">
      <w:pPr>
        <w:divId w:val="1143158371"/>
      </w:pPr>
    </w:p>
    <w:p w14:paraId="3726525D" w14:textId="77777777" w:rsidR="0099693B" w:rsidRDefault="0099693B" w:rsidP="0099693B">
      <w:pPr>
        <w:divId w:val="1143158371"/>
      </w:pPr>
    </w:p>
    <w:p w14:paraId="23DF96C6" w14:textId="77777777" w:rsidR="00914CE2" w:rsidRDefault="00914CE2" w:rsidP="009C4F41">
      <w:pPr>
        <w:pStyle w:val="Heading4"/>
        <w:spacing w:line="480" w:lineRule="auto"/>
        <w:divId w:val="1143158371"/>
        <w:rPr>
          <w:rStyle w:val="Strong"/>
          <w:rFonts w:ascii="Times New Roman" w:eastAsia="Times New Roman" w:hAnsi="Times New Roman" w:cs="Times New Roman"/>
          <w:i w:val="0"/>
          <w:iCs w:val="0"/>
          <w:color w:val="000000" w:themeColor="text1"/>
        </w:rPr>
        <w:sectPr w:rsidR="00914CE2" w:rsidSect="0009656C">
          <w:pgSz w:w="11906" w:h="16838"/>
          <w:pgMar w:top="1440" w:right="1440" w:bottom="3600" w:left="1440" w:header="706" w:footer="3150" w:gutter="0"/>
          <w:cols w:space="708"/>
          <w:docGrid w:linePitch="360"/>
        </w:sectPr>
      </w:pPr>
    </w:p>
    <w:p w14:paraId="2B3353E1" w14:textId="0EA15A45" w:rsidR="00E16F0C" w:rsidRPr="00B43596" w:rsidRDefault="00E16F0C" w:rsidP="000E1989">
      <w:pPr>
        <w:pStyle w:val="Heading1"/>
        <w:divId w:val="1143158371"/>
        <w:rPr>
          <w:rFonts w:eastAsia="Times New Roman"/>
          <w:b w:val="0"/>
        </w:rPr>
      </w:pPr>
      <w:bookmarkStart w:id="43" w:name="_Toc214285906"/>
      <w:r w:rsidRPr="00B43596">
        <w:rPr>
          <w:rStyle w:val="Strong"/>
          <w:rFonts w:eastAsia="Times New Roman" w:cs="Times New Roman"/>
          <w:b/>
          <w:i/>
          <w:iCs/>
          <w:color w:val="000000" w:themeColor="text1"/>
        </w:rPr>
        <w:t>Table</w:t>
      </w:r>
      <w:r w:rsidR="0009656C">
        <w:rPr>
          <w:rStyle w:val="Strong"/>
          <w:rFonts w:eastAsia="Times New Roman" w:cs="Times New Roman"/>
          <w:b/>
          <w:i/>
          <w:iCs/>
          <w:color w:val="000000" w:themeColor="text1"/>
        </w:rPr>
        <w:t xml:space="preserve"> 4.</w:t>
      </w:r>
      <w:r w:rsidRPr="00B43596">
        <w:rPr>
          <w:rStyle w:val="Strong"/>
          <w:rFonts w:eastAsia="Times New Roman" w:cs="Times New Roman"/>
          <w:b/>
          <w:i/>
          <w:iCs/>
          <w:color w:val="000000" w:themeColor="text1"/>
        </w:rPr>
        <w:t xml:space="preserve"> </w:t>
      </w:r>
      <w:r w:rsidR="00960ABD" w:rsidRPr="00B43596">
        <w:rPr>
          <w:rStyle w:val="Strong"/>
          <w:rFonts w:eastAsia="Times New Roman" w:cs="Times New Roman"/>
          <w:b/>
          <w:i/>
          <w:iCs/>
          <w:color w:val="000000" w:themeColor="text1"/>
        </w:rPr>
        <w:t>2</w:t>
      </w:r>
      <w:r w:rsidRPr="00B43596">
        <w:rPr>
          <w:rStyle w:val="Strong"/>
          <w:rFonts w:eastAsia="Times New Roman" w:cs="Times New Roman"/>
          <w:b/>
          <w:i/>
          <w:iCs/>
          <w:color w:val="000000" w:themeColor="text1"/>
        </w:rPr>
        <w:t xml:space="preserve">: Effect of NPK Fertilizer on Seedling Height (cm) of </w:t>
      </w:r>
      <w:r w:rsidRPr="00B43596">
        <w:rPr>
          <w:rStyle w:val="Emphasis"/>
          <w:rFonts w:eastAsia="Times New Roman" w:cs="Times New Roman"/>
          <w:b w:val="0"/>
          <w:bCs/>
          <w:i w:val="0"/>
          <w:iCs w:val="0"/>
          <w:color w:val="000000" w:themeColor="text1"/>
        </w:rPr>
        <w:t>Sorghum bicolor</w:t>
      </w:r>
      <w:r w:rsidRPr="00B43596">
        <w:rPr>
          <w:rStyle w:val="Strong"/>
          <w:rFonts w:eastAsia="Times New Roman" w:cs="Times New Roman"/>
          <w:b/>
          <w:i/>
          <w:iCs/>
          <w:color w:val="000000" w:themeColor="text1"/>
        </w:rPr>
        <w:t xml:space="preserve"> and </w:t>
      </w:r>
      <w:r w:rsidRPr="00B43596">
        <w:rPr>
          <w:rStyle w:val="Emphasis"/>
          <w:rFonts w:eastAsia="Times New Roman" w:cs="Times New Roman"/>
          <w:b w:val="0"/>
          <w:bCs/>
          <w:i w:val="0"/>
          <w:iCs w:val="0"/>
          <w:color w:val="000000" w:themeColor="text1"/>
        </w:rPr>
        <w:t>Triticum aestivum</w:t>
      </w:r>
      <w:bookmarkEnd w:id="43"/>
    </w:p>
    <w:tbl>
      <w:tblPr>
        <w:tblW w:w="13608" w:type="dxa"/>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2268"/>
        <w:gridCol w:w="1985"/>
        <w:gridCol w:w="1984"/>
        <w:gridCol w:w="1843"/>
        <w:gridCol w:w="1559"/>
        <w:gridCol w:w="1560"/>
        <w:gridCol w:w="2409"/>
      </w:tblGrid>
      <w:tr w:rsidR="00914CE2" w:rsidRPr="009C4F41" w14:paraId="7EB6A280" w14:textId="77777777" w:rsidTr="00914CE2">
        <w:trPr>
          <w:trHeight w:val="451"/>
          <w:tblHeader/>
          <w:tblCellSpacing w:w="15" w:type="dxa"/>
        </w:trPr>
        <w:tc>
          <w:tcPr>
            <w:tcW w:w="2223" w:type="dxa"/>
            <w:tcBorders>
              <w:top w:val="single" w:sz="4" w:space="0" w:color="auto"/>
              <w:bottom w:val="single" w:sz="4" w:space="0" w:color="auto"/>
            </w:tcBorders>
            <w:vAlign w:val="center"/>
            <w:hideMark/>
          </w:tcPr>
          <w:p w14:paraId="6B259E33" w14:textId="77777777" w:rsidR="00E16F0C" w:rsidRPr="009C4F41" w:rsidRDefault="00E16F0C" w:rsidP="00914CE2">
            <w:pPr>
              <w:spacing w:line="480" w:lineRule="auto"/>
              <w:rPr>
                <w:rFonts w:ascii="Times New Roman" w:eastAsia="Times New Roman" w:hAnsi="Times New Roman" w:cs="Times New Roman"/>
                <w:b/>
                <w:bCs/>
              </w:rPr>
            </w:pPr>
            <w:r w:rsidRPr="009C4F41">
              <w:rPr>
                <w:rFonts w:ascii="Times New Roman" w:eastAsia="Times New Roman" w:hAnsi="Times New Roman" w:cs="Times New Roman"/>
                <w:b/>
                <w:bCs/>
              </w:rPr>
              <w:t>Treatment</w:t>
            </w:r>
          </w:p>
        </w:tc>
        <w:tc>
          <w:tcPr>
            <w:tcW w:w="1955" w:type="dxa"/>
            <w:tcBorders>
              <w:top w:val="single" w:sz="4" w:space="0" w:color="auto"/>
              <w:bottom w:val="single" w:sz="4" w:space="0" w:color="auto"/>
            </w:tcBorders>
            <w:vAlign w:val="center"/>
            <w:hideMark/>
          </w:tcPr>
          <w:p w14:paraId="1D3304F6" w14:textId="57852F40" w:rsidR="00E16F0C" w:rsidRPr="009C4F41" w:rsidRDefault="00523041" w:rsidP="00914CE2">
            <w:pPr>
              <w:spacing w:line="480" w:lineRule="auto"/>
              <w:rPr>
                <w:rFonts w:ascii="Times New Roman" w:eastAsia="Times New Roman" w:hAnsi="Times New Roman" w:cs="Times New Roman"/>
                <w:b/>
                <w:bCs/>
              </w:rPr>
            </w:pPr>
            <w:r>
              <w:rPr>
                <w:rFonts w:ascii="Times New Roman" w:eastAsia="Times New Roman" w:hAnsi="Times New Roman" w:cs="Times New Roman"/>
                <w:b/>
                <w:bCs/>
              </w:rPr>
              <w:t>1</w:t>
            </w:r>
            <w:r w:rsidR="00E16F0C" w:rsidRPr="009C4F41">
              <w:rPr>
                <w:rFonts w:ascii="Times New Roman" w:eastAsia="Times New Roman" w:hAnsi="Times New Roman" w:cs="Times New Roman"/>
                <w:b/>
                <w:bCs/>
              </w:rPr>
              <w:t>WAP</w:t>
            </w:r>
          </w:p>
        </w:tc>
        <w:tc>
          <w:tcPr>
            <w:tcW w:w="1954" w:type="dxa"/>
            <w:tcBorders>
              <w:top w:val="single" w:sz="4" w:space="0" w:color="auto"/>
              <w:bottom w:val="single" w:sz="4" w:space="0" w:color="auto"/>
            </w:tcBorders>
            <w:vAlign w:val="center"/>
            <w:hideMark/>
          </w:tcPr>
          <w:p w14:paraId="49522390" w14:textId="65394165" w:rsidR="00E16F0C" w:rsidRPr="009C4F41" w:rsidRDefault="00523041" w:rsidP="00914CE2">
            <w:pPr>
              <w:spacing w:line="480" w:lineRule="auto"/>
              <w:rPr>
                <w:rFonts w:ascii="Times New Roman" w:eastAsia="Times New Roman" w:hAnsi="Times New Roman" w:cs="Times New Roman"/>
                <w:b/>
                <w:bCs/>
              </w:rPr>
            </w:pPr>
            <w:r>
              <w:rPr>
                <w:rFonts w:ascii="Times New Roman" w:eastAsia="Times New Roman" w:hAnsi="Times New Roman" w:cs="Times New Roman"/>
                <w:b/>
                <w:bCs/>
              </w:rPr>
              <w:t>2</w:t>
            </w:r>
            <w:r w:rsidR="00E16F0C" w:rsidRPr="009C4F41">
              <w:rPr>
                <w:rFonts w:ascii="Times New Roman" w:eastAsia="Times New Roman" w:hAnsi="Times New Roman" w:cs="Times New Roman"/>
                <w:b/>
                <w:bCs/>
              </w:rPr>
              <w:t>WAP</w:t>
            </w:r>
          </w:p>
        </w:tc>
        <w:tc>
          <w:tcPr>
            <w:tcW w:w="1813" w:type="dxa"/>
            <w:tcBorders>
              <w:top w:val="single" w:sz="4" w:space="0" w:color="auto"/>
              <w:bottom w:val="single" w:sz="4" w:space="0" w:color="auto"/>
            </w:tcBorders>
            <w:vAlign w:val="center"/>
            <w:hideMark/>
          </w:tcPr>
          <w:p w14:paraId="6F2B2F1D" w14:textId="5ABB9B88" w:rsidR="00E16F0C" w:rsidRPr="009C4F41" w:rsidRDefault="00523041" w:rsidP="00914CE2">
            <w:pPr>
              <w:spacing w:line="480" w:lineRule="auto"/>
              <w:rPr>
                <w:rFonts w:ascii="Times New Roman" w:eastAsia="Times New Roman" w:hAnsi="Times New Roman" w:cs="Times New Roman"/>
                <w:b/>
                <w:bCs/>
              </w:rPr>
            </w:pPr>
            <w:r>
              <w:rPr>
                <w:rFonts w:ascii="Times New Roman" w:eastAsia="Times New Roman" w:hAnsi="Times New Roman" w:cs="Times New Roman"/>
                <w:b/>
                <w:bCs/>
              </w:rPr>
              <w:t>3</w:t>
            </w:r>
            <w:r w:rsidR="00E16F0C" w:rsidRPr="009C4F41">
              <w:rPr>
                <w:rFonts w:ascii="Times New Roman" w:eastAsia="Times New Roman" w:hAnsi="Times New Roman" w:cs="Times New Roman"/>
                <w:b/>
                <w:bCs/>
              </w:rPr>
              <w:t>WAP</w:t>
            </w:r>
          </w:p>
        </w:tc>
        <w:tc>
          <w:tcPr>
            <w:tcW w:w="1529" w:type="dxa"/>
            <w:tcBorders>
              <w:top w:val="single" w:sz="4" w:space="0" w:color="auto"/>
              <w:bottom w:val="single" w:sz="4" w:space="0" w:color="auto"/>
            </w:tcBorders>
            <w:vAlign w:val="center"/>
            <w:hideMark/>
          </w:tcPr>
          <w:p w14:paraId="66BB69A3" w14:textId="4BEADEED" w:rsidR="00E16F0C" w:rsidRPr="009C4F41" w:rsidRDefault="00523041" w:rsidP="00914CE2">
            <w:pPr>
              <w:spacing w:line="480" w:lineRule="auto"/>
              <w:rPr>
                <w:rFonts w:ascii="Times New Roman" w:eastAsia="Times New Roman" w:hAnsi="Times New Roman" w:cs="Times New Roman"/>
                <w:b/>
                <w:bCs/>
              </w:rPr>
            </w:pPr>
            <w:r>
              <w:rPr>
                <w:rFonts w:ascii="Times New Roman" w:eastAsia="Times New Roman" w:hAnsi="Times New Roman" w:cs="Times New Roman"/>
                <w:b/>
                <w:bCs/>
              </w:rPr>
              <w:t>4</w:t>
            </w:r>
            <w:r w:rsidR="00E16F0C" w:rsidRPr="009C4F41">
              <w:rPr>
                <w:rFonts w:ascii="Times New Roman" w:eastAsia="Times New Roman" w:hAnsi="Times New Roman" w:cs="Times New Roman"/>
                <w:b/>
                <w:bCs/>
              </w:rPr>
              <w:t>WAP</w:t>
            </w:r>
          </w:p>
        </w:tc>
        <w:tc>
          <w:tcPr>
            <w:tcW w:w="1530" w:type="dxa"/>
            <w:tcBorders>
              <w:top w:val="single" w:sz="4" w:space="0" w:color="auto"/>
              <w:bottom w:val="single" w:sz="4" w:space="0" w:color="auto"/>
            </w:tcBorders>
            <w:vAlign w:val="center"/>
            <w:hideMark/>
          </w:tcPr>
          <w:p w14:paraId="3ED08707" w14:textId="3D035582" w:rsidR="00E16F0C" w:rsidRPr="009C4F41" w:rsidRDefault="00523041" w:rsidP="00914CE2">
            <w:pPr>
              <w:spacing w:line="480" w:lineRule="auto"/>
              <w:rPr>
                <w:rFonts w:ascii="Times New Roman" w:eastAsia="Times New Roman" w:hAnsi="Times New Roman" w:cs="Times New Roman"/>
                <w:b/>
                <w:bCs/>
              </w:rPr>
            </w:pPr>
            <w:r>
              <w:rPr>
                <w:rFonts w:ascii="Times New Roman" w:eastAsia="Times New Roman" w:hAnsi="Times New Roman" w:cs="Times New Roman"/>
                <w:b/>
                <w:bCs/>
              </w:rPr>
              <w:t>5</w:t>
            </w:r>
            <w:r w:rsidR="00E16F0C" w:rsidRPr="009C4F41">
              <w:rPr>
                <w:rFonts w:ascii="Times New Roman" w:eastAsia="Times New Roman" w:hAnsi="Times New Roman" w:cs="Times New Roman"/>
                <w:b/>
                <w:bCs/>
              </w:rPr>
              <w:t>WAP</w:t>
            </w:r>
          </w:p>
        </w:tc>
        <w:tc>
          <w:tcPr>
            <w:tcW w:w="2364" w:type="dxa"/>
            <w:tcBorders>
              <w:top w:val="single" w:sz="4" w:space="0" w:color="auto"/>
              <w:bottom w:val="single" w:sz="4" w:space="0" w:color="auto"/>
            </w:tcBorders>
            <w:vAlign w:val="center"/>
            <w:hideMark/>
          </w:tcPr>
          <w:p w14:paraId="60D8F833" w14:textId="1C088633" w:rsidR="00E16F0C" w:rsidRPr="009C4F41" w:rsidRDefault="00523041" w:rsidP="00914CE2">
            <w:pPr>
              <w:spacing w:line="480" w:lineRule="auto"/>
              <w:rPr>
                <w:rFonts w:ascii="Times New Roman" w:eastAsia="Times New Roman" w:hAnsi="Times New Roman" w:cs="Times New Roman"/>
                <w:b/>
                <w:bCs/>
              </w:rPr>
            </w:pPr>
            <w:r>
              <w:rPr>
                <w:rFonts w:ascii="Times New Roman" w:eastAsia="Times New Roman" w:hAnsi="Times New Roman" w:cs="Times New Roman"/>
                <w:b/>
                <w:bCs/>
              </w:rPr>
              <w:t>6</w:t>
            </w:r>
            <w:r w:rsidR="00E16F0C" w:rsidRPr="009C4F41">
              <w:rPr>
                <w:rFonts w:ascii="Times New Roman" w:eastAsia="Times New Roman" w:hAnsi="Times New Roman" w:cs="Times New Roman"/>
                <w:b/>
                <w:bCs/>
              </w:rPr>
              <w:t>WAP</w:t>
            </w:r>
          </w:p>
        </w:tc>
      </w:tr>
      <w:tr w:rsidR="00E16F0C" w:rsidRPr="009C4F41" w14:paraId="413610CA" w14:textId="77777777" w:rsidTr="00914CE2">
        <w:trPr>
          <w:trHeight w:val="373"/>
          <w:tblCellSpacing w:w="15" w:type="dxa"/>
        </w:trPr>
        <w:tc>
          <w:tcPr>
            <w:tcW w:w="2223" w:type="dxa"/>
            <w:vAlign w:val="center"/>
            <w:hideMark/>
          </w:tcPr>
          <w:p w14:paraId="3F8510DF"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Sorghum (0 g)</w:t>
            </w:r>
          </w:p>
        </w:tc>
        <w:tc>
          <w:tcPr>
            <w:tcW w:w="1955" w:type="dxa"/>
            <w:vAlign w:val="center"/>
            <w:hideMark/>
          </w:tcPr>
          <w:p w14:paraId="6EE504F7" w14:textId="27FAE791"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11.40 ± 1.35</w:t>
            </w:r>
            <w:r w:rsidR="00B43596">
              <w:rPr>
                <w:rFonts w:ascii="Times New Roman" w:eastAsia="Times New Roman" w:hAnsi="Times New Roman" w:cs="Times New Roman"/>
                <w:vertAlign w:val="superscript"/>
              </w:rPr>
              <w:t>c</w:t>
            </w:r>
          </w:p>
        </w:tc>
        <w:tc>
          <w:tcPr>
            <w:tcW w:w="1954" w:type="dxa"/>
            <w:vAlign w:val="center"/>
            <w:hideMark/>
          </w:tcPr>
          <w:p w14:paraId="62FC5C48" w14:textId="6C2131AC"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17.23 ± 2.40</w:t>
            </w:r>
            <w:r w:rsidR="00E40E58">
              <w:rPr>
                <w:rFonts w:ascii="Times New Roman" w:eastAsia="Times New Roman" w:hAnsi="Times New Roman" w:cs="Times New Roman"/>
                <w:vertAlign w:val="superscript"/>
              </w:rPr>
              <w:t>c</w:t>
            </w:r>
          </w:p>
        </w:tc>
        <w:tc>
          <w:tcPr>
            <w:tcW w:w="1813" w:type="dxa"/>
            <w:vAlign w:val="center"/>
            <w:hideMark/>
          </w:tcPr>
          <w:p w14:paraId="066D2D39" w14:textId="3E1059EB"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21.50 ± 3.12</w:t>
            </w:r>
            <w:r w:rsidR="00E40E58">
              <w:rPr>
                <w:rFonts w:ascii="Times New Roman" w:eastAsia="Times New Roman" w:hAnsi="Times New Roman" w:cs="Times New Roman"/>
                <w:vertAlign w:val="superscript"/>
              </w:rPr>
              <w:t>c</w:t>
            </w:r>
          </w:p>
        </w:tc>
        <w:tc>
          <w:tcPr>
            <w:tcW w:w="1529" w:type="dxa"/>
            <w:vAlign w:val="center"/>
            <w:hideMark/>
          </w:tcPr>
          <w:p w14:paraId="256C88E0" w14:textId="3A76C84B"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25.40 ± 2.61</w:t>
            </w:r>
            <w:r w:rsidR="00E40E58">
              <w:rPr>
                <w:rFonts w:ascii="Times New Roman" w:eastAsia="Times New Roman" w:hAnsi="Times New Roman" w:cs="Times New Roman"/>
                <w:vertAlign w:val="superscript"/>
              </w:rPr>
              <w:t>c</w:t>
            </w:r>
          </w:p>
        </w:tc>
        <w:tc>
          <w:tcPr>
            <w:tcW w:w="1530" w:type="dxa"/>
            <w:vAlign w:val="center"/>
            <w:hideMark/>
          </w:tcPr>
          <w:p w14:paraId="4FCBB072" w14:textId="02EB24F4" w:rsidR="00E16F0C" w:rsidRPr="00E40E58" w:rsidRDefault="00E16F0C" w:rsidP="009C4F41">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w:t>
            </w:r>
            <w:r w:rsidR="00E40E58">
              <w:rPr>
                <w:rFonts w:ascii="Times New Roman" w:eastAsia="Times New Roman" w:hAnsi="Times New Roman" w:cs="Times New Roman"/>
              </w:rPr>
              <w:t>7.10 ± 3.11</w:t>
            </w:r>
            <w:r w:rsidR="00E40E58">
              <w:rPr>
                <w:rFonts w:ascii="Times New Roman" w:eastAsia="Times New Roman" w:hAnsi="Times New Roman" w:cs="Times New Roman"/>
                <w:vertAlign w:val="superscript"/>
              </w:rPr>
              <w:t>c</w:t>
            </w:r>
          </w:p>
        </w:tc>
        <w:tc>
          <w:tcPr>
            <w:tcW w:w="2364" w:type="dxa"/>
            <w:vAlign w:val="center"/>
            <w:hideMark/>
          </w:tcPr>
          <w:p w14:paraId="543CF2A9" w14:textId="30233EF8" w:rsidR="00E16F0C" w:rsidRPr="00E40E58" w:rsidRDefault="00E40E58" w:rsidP="009C4F4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29.00 ± 3.25</w:t>
            </w:r>
            <w:r>
              <w:rPr>
                <w:rFonts w:ascii="Times New Roman" w:eastAsia="Times New Roman" w:hAnsi="Times New Roman" w:cs="Times New Roman"/>
                <w:vertAlign w:val="superscript"/>
              </w:rPr>
              <w:t>c</w:t>
            </w:r>
          </w:p>
        </w:tc>
      </w:tr>
      <w:tr w:rsidR="00E16F0C" w:rsidRPr="009C4F41" w14:paraId="3D50CE8C" w14:textId="77777777" w:rsidTr="00914CE2">
        <w:trPr>
          <w:trHeight w:val="597"/>
          <w:tblCellSpacing w:w="15" w:type="dxa"/>
        </w:trPr>
        <w:tc>
          <w:tcPr>
            <w:tcW w:w="2223" w:type="dxa"/>
            <w:vAlign w:val="center"/>
            <w:hideMark/>
          </w:tcPr>
          <w:p w14:paraId="522EF597"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Sorghum (2 g)</w:t>
            </w:r>
          </w:p>
        </w:tc>
        <w:tc>
          <w:tcPr>
            <w:tcW w:w="1955" w:type="dxa"/>
            <w:vAlign w:val="center"/>
            <w:hideMark/>
          </w:tcPr>
          <w:p w14:paraId="6E908462" w14:textId="6A4A3EC1"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13.60 ± 1.54</w:t>
            </w:r>
            <w:r w:rsidR="00B43596">
              <w:rPr>
                <w:rFonts w:ascii="Times New Roman" w:eastAsia="Times New Roman" w:hAnsi="Times New Roman" w:cs="Times New Roman"/>
                <w:vertAlign w:val="superscript"/>
              </w:rPr>
              <w:t>b</w:t>
            </w:r>
          </w:p>
        </w:tc>
        <w:tc>
          <w:tcPr>
            <w:tcW w:w="1954" w:type="dxa"/>
            <w:vAlign w:val="center"/>
            <w:hideMark/>
          </w:tcPr>
          <w:p w14:paraId="39339E56" w14:textId="3167B2A3"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21.40 ± 2.89</w:t>
            </w:r>
            <w:r w:rsidR="00E40E58">
              <w:rPr>
                <w:rFonts w:ascii="Times New Roman" w:eastAsia="Times New Roman" w:hAnsi="Times New Roman" w:cs="Times New Roman"/>
                <w:vertAlign w:val="superscript"/>
              </w:rPr>
              <w:t>b</w:t>
            </w:r>
          </w:p>
        </w:tc>
        <w:tc>
          <w:tcPr>
            <w:tcW w:w="1813" w:type="dxa"/>
            <w:vAlign w:val="center"/>
            <w:hideMark/>
          </w:tcPr>
          <w:p w14:paraId="0C4E10F4" w14:textId="1681A067"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27.30 ± 2.96</w:t>
            </w:r>
            <w:r w:rsidR="00E40E58">
              <w:rPr>
                <w:rFonts w:ascii="Times New Roman" w:eastAsia="Times New Roman" w:hAnsi="Times New Roman" w:cs="Times New Roman"/>
                <w:vertAlign w:val="superscript"/>
              </w:rPr>
              <w:t>b</w:t>
            </w:r>
          </w:p>
        </w:tc>
        <w:tc>
          <w:tcPr>
            <w:tcW w:w="1529" w:type="dxa"/>
            <w:vAlign w:val="center"/>
            <w:hideMark/>
          </w:tcPr>
          <w:p w14:paraId="29ED0D99" w14:textId="4F5C9592"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33.20 ± 2.88</w:t>
            </w:r>
            <w:r w:rsidR="00E40E58">
              <w:rPr>
                <w:rFonts w:ascii="Times New Roman" w:eastAsia="Times New Roman" w:hAnsi="Times New Roman" w:cs="Times New Roman"/>
                <w:vertAlign w:val="superscript"/>
              </w:rPr>
              <w:t>b</w:t>
            </w:r>
          </w:p>
        </w:tc>
        <w:tc>
          <w:tcPr>
            <w:tcW w:w="1530" w:type="dxa"/>
            <w:vAlign w:val="center"/>
            <w:hideMark/>
          </w:tcPr>
          <w:p w14:paraId="062F7FD3" w14:textId="567763F3" w:rsidR="00E16F0C" w:rsidRPr="00E40E58" w:rsidRDefault="00E16F0C" w:rsidP="009C4F41">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w:t>
            </w:r>
            <w:r w:rsidR="00E40E58">
              <w:rPr>
                <w:rFonts w:ascii="Times New Roman" w:eastAsia="Times New Roman" w:hAnsi="Times New Roman" w:cs="Times New Roman"/>
              </w:rPr>
              <w:t>8.10 ± 3.22</w:t>
            </w:r>
            <w:r w:rsidR="00E40E58">
              <w:rPr>
                <w:rFonts w:ascii="Times New Roman" w:eastAsia="Times New Roman" w:hAnsi="Times New Roman" w:cs="Times New Roman"/>
                <w:vertAlign w:val="superscript"/>
              </w:rPr>
              <w:t>b</w:t>
            </w:r>
          </w:p>
        </w:tc>
        <w:tc>
          <w:tcPr>
            <w:tcW w:w="2364" w:type="dxa"/>
            <w:vAlign w:val="center"/>
            <w:hideMark/>
          </w:tcPr>
          <w:p w14:paraId="674781F0" w14:textId="5B15F8DA" w:rsidR="00E16F0C" w:rsidRPr="00E40E58" w:rsidRDefault="00E40E58" w:rsidP="009C4F4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42.80 ± 3.55</w:t>
            </w:r>
            <w:r>
              <w:rPr>
                <w:rFonts w:ascii="Times New Roman" w:eastAsia="Times New Roman" w:hAnsi="Times New Roman" w:cs="Times New Roman"/>
                <w:vertAlign w:val="superscript"/>
              </w:rPr>
              <w:t>b</w:t>
            </w:r>
          </w:p>
        </w:tc>
      </w:tr>
      <w:tr w:rsidR="00E16F0C" w:rsidRPr="009C4F41" w14:paraId="3AD7034A" w14:textId="77777777" w:rsidTr="00914CE2">
        <w:trPr>
          <w:trHeight w:val="536"/>
          <w:tblCellSpacing w:w="15" w:type="dxa"/>
        </w:trPr>
        <w:tc>
          <w:tcPr>
            <w:tcW w:w="2223" w:type="dxa"/>
            <w:vAlign w:val="center"/>
            <w:hideMark/>
          </w:tcPr>
          <w:p w14:paraId="60109C16"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Sorghum (4 g)</w:t>
            </w:r>
          </w:p>
        </w:tc>
        <w:tc>
          <w:tcPr>
            <w:tcW w:w="1955" w:type="dxa"/>
            <w:vAlign w:val="center"/>
            <w:hideMark/>
          </w:tcPr>
          <w:p w14:paraId="7840DFEA" w14:textId="3E86F683"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15.70 ± 1.60</w:t>
            </w:r>
            <w:r w:rsidR="00B43596">
              <w:rPr>
                <w:rFonts w:ascii="Times New Roman" w:eastAsia="Times New Roman" w:hAnsi="Times New Roman" w:cs="Times New Roman"/>
                <w:vertAlign w:val="superscript"/>
              </w:rPr>
              <w:t>a</w:t>
            </w:r>
          </w:p>
        </w:tc>
        <w:tc>
          <w:tcPr>
            <w:tcW w:w="1954" w:type="dxa"/>
            <w:vAlign w:val="center"/>
            <w:hideMark/>
          </w:tcPr>
          <w:p w14:paraId="6BDB11BC" w14:textId="54A53949"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25.90 ± 3.05</w:t>
            </w:r>
            <w:r w:rsidR="00E40E58">
              <w:rPr>
                <w:rFonts w:ascii="Times New Roman" w:eastAsia="Times New Roman" w:hAnsi="Times New Roman" w:cs="Times New Roman"/>
                <w:vertAlign w:val="superscript"/>
              </w:rPr>
              <w:t>a</w:t>
            </w:r>
          </w:p>
        </w:tc>
        <w:tc>
          <w:tcPr>
            <w:tcW w:w="1813" w:type="dxa"/>
            <w:vAlign w:val="center"/>
            <w:hideMark/>
          </w:tcPr>
          <w:p w14:paraId="4E44518E" w14:textId="78CB5569"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33.40 ± 3.54</w:t>
            </w:r>
            <w:r w:rsidR="00E40E58">
              <w:rPr>
                <w:rFonts w:ascii="Times New Roman" w:eastAsia="Times New Roman" w:hAnsi="Times New Roman" w:cs="Times New Roman"/>
                <w:vertAlign w:val="superscript"/>
              </w:rPr>
              <w:t>a</w:t>
            </w:r>
          </w:p>
        </w:tc>
        <w:tc>
          <w:tcPr>
            <w:tcW w:w="1529" w:type="dxa"/>
            <w:vAlign w:val="center"/>
            <w:hideMark/>
          </w:tcPr>
          <w:p w14:paraId="2DF9A2F5" w14:textId="524CE3A7"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41.50 ± 3.60</w:t>
            </w:r>
            <w:r w:rsidR="00E40E58">
              <w:rPr>
                <w:rFonts w:ascii="Times New Roman" w:eastAsia="Times New Roman" w:hAnsi="Times New Roman" w:cs="Times New Roman"/>
                <w:vertAlign w:val="superscript"/>
              </w:rPr>
              <w:t>a</w:t>
            </w:r>
          </w:p>
        </w:tc>
        <w:tc>
          <w:tcPr>
            <w:tcW w:w="1530" w:type="dxa"/>
            <w:vAlign w:val="center"/>
            <w:hideMark/>
          </w:tcPr>
          <w:p w14:paraId="5CED59D5" w14:textId="33AE540A" w:rsidR="00E16F0C" w:rsidRPr="00E40E58" w:rsidRDefault="00E16F0C" w:rsidP="009C4F41">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4</w:t>
            </w:r>
            <w:r w:rsidR="00E40E58">
              <w:rPr>
                <w:rFonts w:ascii="Times New Roman" w:eastAsia="Times New Roman" w:hAnsi="Times New Roman" w:cs="Times New Roman"/>
              </w:rPr>
              <w:t>7.20 ± 4.12</w:t>
            </w:r>
            <w:r w:rsidR="00E40E58">
              <w:rPr>
                <w:rFonts w:ascii="Times New Roman" w:eastAsia="Times New Roman" w:hAnsi="Times New Roman" w:cs="Times New Roman"/>
                <w:vertAlign w:val="superscript"/>
              </w:rPr>
              <w:t>a</w:t>
            </w:r>
          </w:p>
        </w:tc>
        <w:tc>
          <w:tcPr>
            <w:tcW w:w="2364" w:type="dxa"/>
            <w:vAlign w:val="center"/>
            <w:hideMark/>
          </w:tcPr>
          <w:p w14:paraId="189C2F80" w14:textId="02ED2924" w:rsidR="00E16F0C" w:rsidRPr="00E40E58" w:rsidRDefault="00E40E58" w:rsidP="009C4F41">
            <w:pPr>
              <w:spacing w:line="480" w:lineRule="auto"/>
              <w:rPr>
                <w:rFonts w:ascii="Times New Roman" w:eastAsia="Times New Roman" w:hAnsi="Times New Roman" w:cs="Times New Roman"/>
              </w:rPr>
            </w:pPr>
            <w:r>
              <w:rPr>
                <w:rFonts w:ascii="Times New Roman" w:eastAsia="Times New Roman" w:hAnsi="Times New Roman" w:cs="Times New Roman"/>
              </w:rPr>
              <w:t>52.30 ± 4.50</w:t>
            </w:r>
            <w:r>
              <w:rPr>
                <w:rFonts w:ascii="Times New Roman" w:eastAsia="Times New Roman" w:hAnsi="Times New Roman" w:cs="Times New Roman"/>
                <w:vertAlign w:val="superscript"/>
              </w:rPr>
              <w:t>a</w:t>
            </w:r>
          </w:p>
        </w:tc>
      </w:tr>
      <w:tr w:rsidR="00E16F0C" w:rsidRPr="009C4F41" w14:paraId="6C273909" w14:textId="77777777" w:rsidTr="00914CE2">
        <w:trPr>
          <w:trHeight w:val="605"/>
          <w:tblCellSpacing w:w="15" w:type="dxa"/>
        </w:trPr>
        <w:tc>
          <w:tcPr>
            <w:tcW w:w="2223" w:type="dxa"/>
            <w:vAlign w:val="center"/>
            <w:hideMark/>
          </w:tcPr>
          <w:p w14:paraId="65A5F3CA"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Sorghum (6 g)</w:t>
            </w:r>
          </w:p>
        </w:tc>
        <w:tc>
          <w:tcPr>
            <w:tcW w:w="1955" w:type="dxa"/>
            <w:vAlign w:val="center"/>
            <w:hideMark/>
          </w:tcPr>
          <w:p w14:paraId="2A867848" w14:textId="19F057FB"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12.00 ± 1.24</w:t>
            </w:r>
            <w:r w:rsidR="00B43596">
              <w:rPr>
                <w:rFonts w:ascii="Times New Roman" w:eastAsia="Times New Roman" w:hAnsi="Times New Roman" w:cs="Times New Roman"/>
                <w:vertAlign w:val="superscript"/>
              </w:rPr>
              <w:t>bc</w:t>
            </w:r>
          </w:p>
        </w:tc>
        <w:tc>
          <w:tcPr>
            <w:tcW w:w="1954" w:type="dxa"/>
            <w:vAlign w:val="center"/>
            <w:hideMark/>
          </w:tcPr>
          <w:p w14:paraId="03C12B37" w14:textId="005EC6F2"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18.40 ± 2.15</w:t>
            </w:r>
            <w:r w:rsidR="00E40E58">
              <w:rPr>
                <w:rFonts w:ascii="Times New Roman" w:eastAsia="Times New Roman" w:hAnsi="Times New Roman" w:cs="Times New Roman"/>
                <w:vertAlign w:val="superscript"/>
              </w:rPr>
              <w:t>bc</w:t>
            </w:r>
          </w:p>
        </w:tc>
        <w:tc>
          <w:tcPr>
            <w:tcW w:w="1813" w:type="dxa"/>
            <w:vAlign w:val="center"/>
            <w:hideMark/>
          </w:tcPr>
          <w:p w14:paraId="24A39448" w14:textId="0EA03BFB"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23.50 ± 2.88</w:t>
            </w:r>
            <w:r w:rsidR="00E40E58">
              <w:rPr>
                <w:rFonts w:ascii="Times New Roman" w:eastAsia="Times New Roman" w:hAnsi="Times New Roman" w:cs="Times New Roman"/>
                <w:vertAlign w:val="superscript"/>
              </w:rPr>
              <w:t>bc</w:t>
            </w:r>
          </w:p>
        </w:tc>
        <w:tc>
          <w:tcPr>
            <w:tcW w:w="1529" w:type="dxa"/>
            <w:vAlign w:val="center"/>
            <w:hideMark/>
          </w:tcPr>
          <w:p w14:paraId="327C4395" w14:textId="5140E7BE"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29.00 ± 3.00</w:t>
            </w:r>
            <w:r w:rsidR="00E40E58">
              <w:rPr>
                <w:rFonts w:ascii="Times New Roman" w:eastAsia="Times New Roman" w:hAnsi="Times New Roman" w:cs="Times New Roman"/>
                <w:vertAlign w:val="superscript"/>
              </w:rPr>
              <w:t>bc</w:t>
            </w:r>
          </w:p>
        </w:tc>
        <w:tc>
          <w:tcPr>
            <w:tcW w:w="1530" w:type="dxa"/>
            <w:vAlign w:val="center"/>
            <w:hideMark/>
          </w:tcPr>
          <w:p w14:paraId="64397229" w14:textId="796635F4"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w:t>
            </w:r>
            <w:r w:rsidR="00E40E58">
              <w:rPr>
                <w:rFonts w:ascii="Times New Roman" w:eastAsia="Times New Roman" w:hAnsi="Times New Roman" w:cs="Times New Roman"/>
              </w:rPr>
              <w:t>1.40 ± 3.10</w:t>
            </w:r>
            <w:r w:rsidR="00E40E58">
              <w:rPr>
                <w:rFonts w:ascii="Times New Roman" w:eastAsia="Times New Roman" w:hAnsi="Times New Roman" w:cs="Times New Roman"/>
                <w:vertAlign w:val="superscript"/>
              </w:rPr>
              <w:t>bc</w:t>
            </w:r>
          </w:p>
        </w:tc>
        <w:tc>
          <w:tcPr>
            <w:tcW w:w="2364" w:type="dxa"/>
            <w:vAlign w:val="center"/>
            <w:hideMark/>
          </w:tcPr>
          <w:p w14:paraId="0ADD703B" w14:textId="7C245392"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w:t>
            </w:r>
            <w:r w:rsidR="00E40E58">
              <w:rPr>
                <w:rFonts w:ascii="Times New Roman" w:eastAsia="Times New Roman" w:hAnsi="Times New Roman" w:cs="Times New Roman"/>
              </w:rPr>
              <w:t>3.10 ± 3.25</w:t>
            </w:r>
            <w:r w:rsidR="00E40E58">
              <w:rPr>
                <w:rFonts w:ascii="Times New Roman" w:eastAsia="Times New Roman" w:hAnsi="Times New Roman" w:cs="Times New Roman"/>
                <w:vertAlign w:val="superscript"/>
              </w:rPr>
              <w:t>bc</w:t>
            </w:r>
          </w:p>
        </w:tc>
      </w:tr>
      <w:tr w:rsidR="00E16F0C" w:rsidRPr="009C4F41" w14:paraId="5871980A" w14:textId="77777777" w:rsidTr="00020F85">
        <w:trPr>
          <w:trHeight w:val="559"/>
          <w:tblCellSpacing w:w="15" w:type="dxa"/>
        </w:trPr>
        <w:tc>
          <w:tcPr>
            <w:tcW w:w="2223" w:type="dxa"/>
            <w:vAlign w:val="center"/>
            <w:hideMark/>
          </w:tcPr>
          <w:p w14:paraId="37C3F18D"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Wheat (0 g)</w:t>
            </w:r>
          </w:p>
        </w:tc>
        <w:tc>
          <w:tcPr>
            <w:tcW w:w="1955" w:type="dxa"/>
            <w:vAlign w:val="center"/>
            <w:hideMark/>
          </w:tcPr>
          <w:p w14:paraId="73167B9F" w14:textId="6007C907"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9.80 ± 1.12</w:t>
            </w:r>
            <w:r w:rsidR="00B43596">
              <w:rPr>
                <w:rFonts w:ascii="Times New Roman" w:eastAsia="Times New Roman" w:hAnsi="Times New Roman" w:cs="Times New Roman"/>
                <w:vertAlign w:val="superscript"/>
              </w:rPr>
              <w:t>c</w:t>
            </w:r>
          </w:p>
        </w:tc>
        <w:tc>
          <w:tcPr>
            <w:tcW w:w="1954" w:type="dxa"/>
            <w:vAlign w:val="center"/>
            <w:hideMark/>
          </w:tcPr>
          <w:p w14:paraId="409174F4" w14:textId="312FD72C"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13.50 ± 1.78</w:t>
            </w:r>
            <w:r w:rsidR="00E40E58">
              <w:rPr>
                <w:rFonts w:ascii="Times New Roman" w:eastAsia="Times New Roman" w:hAnsi="Times New Roman" w:cs="Times New Roman"/>
                <w:vertAlign w:val="superscript"/>
              </w:rPr>
              <w:t>c</w:t>
            </w:r>
          </w:p>
        </w:tc>
        <w:tc>
          <w:tcPr>
            <w:tcW w:w="1813" w:type="dxa"/>
            <w:vAlign w:val="center"/>
            <w:hideMark/>
          </w:tcPr>
          <w:p w14:paraId="27408797" w14:textId="3F15D498"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18.40 ± 2.23</w:t>
            </w:r>
            <w:r w:rsidR="00E40E58">
              <w:rPr>
                <w:rFonts w:ascii="Times New Roman" w:eastAsia="Times New Roman" w:hAnsi="Times New Roman" w:cs="Times New Roman"/>
                <w:vertAlign w:val="superscript"/>
              </w:rPr>
              <w:t>c</w:t>
            </w:r>
          </w:p>
        </w:tc>
        <w:tc>
          <w:tcPr>
            <w:tcW w:w="1529" w:type="dxa"/>
            <w:vAlign w:val="center"/>
            <w:hideMark/>
          </w:tcPr>
          <w:p w14:paraId="719E6240" w14:textId="2048C428"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22.00 ± 2.34</w:t>
            </w:r>
            <w:r w:rsidR="00E40E58">
              <w:rPr>
                <w:rFonts w:ascii="Times New Roman" w:eastAsia="Times New Roman" w:hAnsi="Times New Roman" w:cs="Times New Roman"/>
                <w:vertAlign w:val="superscript"/>
              </w:rPr>
              <w:t>c</w:t>
            </w:r>
          </w:p>
        </w:tc>
        <w:tc>
          <w:tcPr>
            <w:tcW w:w="1530" w:type="dxa"/>
            <w:vAlign w:val="center"/>
            <w:hideMark/>
          </w:tcPr>
          <w:p w14:paraId="642C2C81" w14:textId="0710D80E" w:rsidR="00E16F0C" w:rsidRPr="00E40E58" w:rsidRDefault="00E16F0C" w:rsidP="009C4F41">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w:t>
            </w:r>
            <w:r w:rsidR="00E40E58">
              <w:rPr>
                <w:rFonts w:ascii="Times New Roman" w:eastAsia="Times New Roman" w:hAnsi="Times New Roman" w:cs="Times New Roman"/>
              </w:rPr>
              <w:t>5.20 ± 2.89</w:t>
            </w:r>
            <w:r w:rsidR="00E40E58">
              <w:rPr>
                <w:rFonts w:ascii="Times New Roman" w:eastAsia="Times New Roman" w:hAnsi="Times New Roman" w:cs="Times New Roman"/>
                <w:vertAlign w:val="superscript"/>
              </w:rPr>
              <w:t>c</w:t>
            </w:r>
          </w:p>
        </w:tc>
        <w:tc>
          <w:tcPr>
            <w:tcW w:w="2364" w:type="dxa"/>
            <w:vAlign w:val="center"/>
            <w:hideMark/>
          </w:tcPr>
          <w:p w14:paraId="0DB4496D" w14:textId="45A6F391" w:rsidR="00E16F0C" w:rsidRPr="00E40E58" w:rsidRDefault="00E40E58" w:rsidP="009C4F4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27.00 ± 3.00</w:t>
            </w:r>
            <w:r>
              <w:rPr>
                <w:rFonts w:ascii="Times New Roman" w:eastAsia="Times New Roman" w:hAnsi="Times New Roman" w:cs="Times New Roman"/>
                <w:vertAlign w:val="superscript"/>
              </w:rPr>
              <w:t>c</w:t>
            </w:r>
          </w:p>
        </w:tc>
      </w:tr>
      <w:tr w:rsidR="00E16F0C" w:rsidRPr="009C4F41" w14:paraId="3733898F" w14:textId="77777777" w:rsidTr="00020F85">
        <w:trPr>
          <w:trHeight w:val="342"/>
          <w:tblCellSpacing w:w="15" w:type="dxa"/>
        </w:trPr>
        <w:tc>
          <w:tcPr>
            <w:tcW w:w="2223" w:type="dxa"/>
            <w:vAlign w:val="center"/>
            <w:hideMark/>
          </w:tcPr>
          <w:p w14:paraId="18E28F60"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Wheat (2 g)</w:t>
            </w:r>
          </w:p>
        </w:tc>
        <w:tc>
          <w:tcPr>
            <w:tcW w:w="1955" w:type="dxa"/>
            <w:vAlign w:val="center"/>
            <w:hideMark/>
          </w:tcPr>
          <w:p w14:paraId="46A32440" w14:textId="4396D6CD"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11.90 ± 1.35</w:t>
            </w:r>
            <w:r w:rsidR="00B43596">
              <w:rPr>
                <w:rFonts w:ascii="Times New Roman" w:eastAsia="Times New Roman" w:hAnsi="Times New Roman" w:cs="Times New Roman"/>
                <w:vertAlign w:val="superscript"/>
              </w:rPr>
              <w:t>b</w:t>
            </w:r>
          </w:p>
        </w:tc>
        <w:tc>
          <w:tcPr>
            <w:tcW w:w="1954" w:type="dxa"/>
            <w:vAlign w:val="center"/>
            <w:hideMark/>
          </w:tcPr>
          <w:p w14:paraId="7BB284F0" w14:textId="5D502487"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17.10 ± 1.96</w:t>
            </w:r>
            <w:r w:rsidR="00E40E58">
              <w:rPr>
                <w:rFonts w:ascii="Times New Roman" w:eastAsia="Times New Roman" w:hAnsi="Times New Roman" w:cs="Times New Roman"/>
                <w:vertAlign w:val="superscript"/>
              </w:rPr>
              <w:t>b</w:t>
            </w:r>
          </w:p>
        </w:tc>
        <w:tc>
          <w:tcPr>
            <w:tcW w:w="1813" w:type="dxa"/>
            <w:vAlign w:val="center"/>
            <w:hideMark/>
          </w:tcPr>
          <w:p w14:paraId="0AA2D54A" w14:textId="5E20A018"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22.80 ± 2.54</w:t>
            </w:r>
            <w:r w:rsidR="00E40E58">
              <w:rPr>
                <w:rFonts w:ascii="Times New Roman" w:eastAsia="Times New Roman" w:hAnsi="Times New Roman" w:cs="Times New Roman"/>
                <w:vertAlign w:val="superscript"/>
              </w:rPr>
              <w:t>b</w:t>
            </w:r>
          </w:p>
        </w:tc>
        <w:tc>
          <w:tcPr>
            <w:tcW w:w="1529" w:type="dxa"/>
            <w:vAlign w:val="center"/>
            <w:hideMark/>
          </w:tcPr>
          <w:p w14:paraId="23DD3327" w14:textId="10B842DE"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27.30 ± 2.72</w:t>
            </w:r>
            <w:r w:rsidR="00E40E58">
              <w:rPr>
                <w:rFonts w:ascii="Times New Roman" w:eastAsia="Times New Roman" w:hAnsi="Times New Roman" w:cs="Times New Roman"/>
                <w:vertAlign w:val="superscript"/>
              </w:rPr>
              <w:t>b</w:t>
            </w:r>
          </w:p>
        </w:tc>
        <w:tc>
          <w:tcPr>
            <w:tcW w:w="1530" w:type="dxa"/>
            <w:vAlign w:val="center"/>
            <w:hideMark/>
          </w:tcPr>
          <w:p w14:paraId="78002CA4" w14:textId="31BE0D2F"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30.80 ± 3.12</w:t>
            </w:r>
            <w:r w:rsidR="00E40E58">
              <w:rPr>
                <w:rFonts w:ascii="Times New Roman" w:eastAsia="Times New Roman" w:hAnsi="Times New Roman" w:cs="Times New Roman"/>
                <w:vertAlign w:val="superscript"/>
              </w:rPr>
              <w:t>b</w:t>
            </w:r>
          </w:p>
        </w:tc>
        <w:tc>
          <w:tcPr>
            <w:tcW w:w="2364" w:type="dxa"/>
            <w:vAlign w:val="center"/>
            <w:hideMark/>
          </w:tcPr>
          <w:p w14:paraId="39BD88BD" w14:textId="3E854A2F" w:rsidR="00E16F0C" w:rsidRPr="00E40E58" w:rsidRDefault="00E16F0C" w:rsidP="009C4F41">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w:t>
            </w:r>
            <w:r w:rsidR="00E40E58">
              <w:rPr>
                <w:rFonts w:ascii="Times New Roman" w:eastAsia="Times New Roman" w:hAnsi="Times New Roman" w:cs="Times New Roman"/>
              </w:rPr>
              <w:t>3.20 ± 3.36</w:t>
            </w:r>
            <w:r w:rsidR="00E40E58">
              <w:rPr>
                <w:rFonts w:ascii="Times New Roman" w:eastAsia="Times New Roman" w:hAnsi="Times New Roman" w:cs="Times New Roman"/>
                <w:vertAlign w:val="superscript"/>
              </w:rPr>
              <w:t>b</w:t>
            </w:r>
          </w:p>
        </w:tc>
      </w:tr>
      <w:tr w:rsidR="00E16F0C" w:rsidRPr="009C4F41" w14:paraId="664EFA63" w14:textId="77777777" w:rsidTr="00914CE2">
        <w:trPr>
          <w:trHeight w:val="323"/>
          <w:tblCellSpacing w:w="15" w:type="dxa"/>
        </w:trPr>
        <w:tc>
          <w:tcPr>
            <w:tcW w:w="2223" w:type="dxa"/>
            <w:vAlign w:val="center"/>
            <w:hideMark/>
          </w:tcPr>
          <w:p w14:paraId="4F31170E"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Wheat (4 g)</w:t>
            </w:r>
          </w:p>
        </w:tc>
        <w:tc>
          <w:tcPr>
            <w:tcW w:w="1955" w:type="dxa"/>
            <w:vAlign w:val="center"/>
            <w:hideMark/>
          </w:tcPr>
          <w:p w14:paraId="294E4157" w14:textId="323BE6D9"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13.50 ± 1.50</w:t>
            </w:r>
            <w:r w:rsidR="00B43596">
              <w:rPr>
                <w:rFonts w:ascii="Times New Roman" w:eastAsia="Times New Roman" w:hAnsi="Times New Roman" w:cs="Times New Roman"/>
                <w:vertAlign w:val="superscript"/>
              </w:rPr>
              <w:t>a</w:t>
            </w:r>
          </w:p>
        </w:tc>
        <w:tc>
          <w:tcPr>
            <w:tcW w:w="1954" w:type="dxa"/>
            <w:vAlign w:val="center"/>
            <w:hideMark/>
          </w:tcPr>
          <w:p w14:paraId="3A2D647F" w14:textId="7A67F744"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21.60 ± 2.30</w:t>
            </w:r>
            <w:r w:rsidR="00E40E58">
              <w:rPr>
                <w:rFonts w:ascii="Times New Roman" w:eastAsia="Times New Roman" w:hAnsi="Times New Roman" w:cs="Times New Roman"/>
                <w:vertAlign w:val="superscript"/>
              </w:rPr>
              <w:t>a</w:t>
            </w:r>
          </w:p>
        </w:tc>
        <w:tc>
          <w:tcPr>
            <w:tcW w:w="1813" w:type="dxa"/>
            <w:vAlign w:val="center"/>
            <w:hideMark/>
          </w:tcPr>
          <w:p w14:paraId="7A753752" w14:textId="220987EF"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29.10 ± 2.92</w:t>
            </w:r>
            <w:r w:rsidR="00E40E58">
              <w:rPr>
                <w:rFonts w:ascii="Times New Roman" w:eastAsia="Times New Roman" w:hAnsi="Times New Roman" w:cs="Times New Roman"/>
                <w:vertAlign w:val="superscript"/>
              </w:rPr>
              <w:t>a</w:t>
            </w:r>
          </w:p>
        </w:tc>
        <w:tc>
          <w:tcPr>
            <w:tcW w:w="1529" w:type="dxa"/>
            <w:vAlign w:val="center"/>
            <w:hideMark/>
          </w:tcPr>
          <w:p w14:paraId="7DD84729" w14:textId="3CEA0BA6"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33.80 ± 3.00</w:t>
            </w:r>
            <w:r w:rsidR="00E40E58">
              <w:rPr>
                <w:rFonts w:ascii="Times New Roman" w:eastAsia="Times New Roman" w:hAnsi="Times New Roman" w:cs="Times New Roman"/>
                <w:vertAlign w:val="superscript"/>
              </w:rPr>
              <w:t>a</w:t>
            </w:r>
          </w:p>
        </w:tc>
        <w:tc>
          <w:tcPr>
            <w:tcW w:w="1530" w:type="dxa"/>
            <w:vAlign w:val="center"/>
            <w:hideMark/>
          </w:tcPr>
          <w:p w14:paraId="6D2EF231" w14:textId="124E864D" w:rsidR="00E16F0C" w:rsidRPr="00E40E58" w:rsidRDefault="00E16F0C" w:rsidP="00E40E58">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37.90 ± 3.40</w:t>
            </w:r>
            <w:r w:rsidR="00E40E58">
              <w:rPr>
                <w:rFonts w:ascii="Times New Roman" w:eastAsia="Times New Roman" w:hAnsi="Times New Roman" w:cs="Times New Roman"/>
                <w:vertAlign w:val="superscript"/>
              </w:rPr>
              <w:t>a</w:t>
            </w:r>
          </w:p>
        </w:tc>
        <w:tc>
          <w:tcPr>
            <w:tcW w:w="2364" w:type="dxa"/>
            <w:vAlign w:val="center"/>
            <w:hideMark/>
          </w:tcPr>
          <w:p w14:paraId="3D0E3D35" w14:textId="657A9CE4" w:rsidR="00E16F0C" w:rsidRPr="00E40E58" w:rsidRDefault="00E16F0C" w:rsidP="009C4F41">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4</w:t>
            </w:r>
            <w:r w:rsidR="00E40E58">
              <w:rPr>
                <w:rFonts w:ascii="Times New Roman" w:eastAsia="Times New Roman" w:hAnsi="Times New Roman" w:cs="Times New Roman"/>
              </w:rPr>
              <w:t>1.60 ± 3.60</w:t>
            </w:r>
            <w:r w:rsidR="00E40E58">
              <w:rPr>
                <w:rFonts w:ascii="Times New Roman" w:eastAsia="Times New Roman" w:hAnsi="Times New Roman" w:cs="Times New Roman"/>
                <w:vertAlign w:val="superscript"/>
              </w:rPr>
              <w:t>a</w:t>
            </w:r>
          </w:p>
        </w:tc>
      </w:tr>
      <w:tr w:rsidR="00E16F0C" w:rsidRPr="009C4F41" w14:paraId="6EE03171" w14:textId="77777777" w:rsidTr="00914CE2">
        <w:trPr>
          <w:trHeight w:val="880"/>
          <w:tblCellSpacing w:w="15" w:type="dxa"/>
        </w:trPr>
        <w:tc>
          <w:tcPr>
            <w:tcW w:w="2223" w:type="dxa"/>
            <w:vAlign w:val="center"/>
            <w:hideMark/>
          </w:tcPr>
          <w:p w14:paraId="7EE88386" w14:textId="77777777" w:rsidR="00E16F0C" w:rsidRPr="009C4F41" w:rsidRDefault="00E16F0C" w:rsidP="009C4F41">
            <w:pPr>
              <w:spacing w:line="480" w:lineRule="auto"/>
              <w:rPr>
                <w:rFonts w:ascii="Times New Roman" w:eastAsia="Times New Roman" w:hAnsi="Times New Roman" w:cs="Times New Roman"/>
              </w:rPr>
            </w:pPr>
            <w:r w:rsidRPr="009C4F41">
              <w:rPr>
                <w:rStyle w:val="Strong"/>
                <w:rFonts w:ascii="Times New Roman" w:eastAsia="Times New Roman" w:hAnsi="Times New Roman" w:cs="Times New Roman"/>
              </w:rPr>
              <w:t>Wheat (6 g)</w:t>
            </w:r>
          </w:p>
        </w:tc>
        <w:tc>
          <w:tcPr>
            <w:tcW w:w="1955" w:type="dxa"/>
            <w:vAlign w:val="center"/>
            <w:hideMark/>
          </w:tcPr>
          <w:p w14:paraId="390AAA89" w14:textId="52D26E59" w:rsidR="00E16F0C" w:rsidRPr="00B43596" w:rsidRDefault="00E16F0C" w:rsidP="00B43596">
            <w:pPr>
              <w:spacing w:line="480" w:lineRule="auto"/>
              <w:rPr>
                <w:rFonts w:ascii="Times New Roman" w:eastAsia="Times New Roman" w:hAnsi="Times New Roman" w:cs="Times New Roman"/>
                <w:vertAlign w:val="superscript"/>
              </w:rPr>
            </w:pPr>
            <w:r w:rsidRPr="009C4F41">
              <w:rPr>
                <w:rFonts w:ascii="Times New Roman" w:eastAsia="Times New Roman" w:hAnsi="Times New Roman" w:cs="Times New Roman"/>
              </w:rPr>
              <w:t>10.80 ± 1.28</w:t>
            </w:r>
            <w:r w:rsidR="00B43596">
              <w:rPr>
                <w:rFonts w:ascii="Times New Roman" w:eastAsia="Times New Roman" w:hAnsi="Times New Roman" w:cs="Times New Roman"/>
                <w:vertAlign w:val="superscript"/>
              </w:rPr>
              <w:t>bc</w:t>
            </w:r>
          </w:p>
        </w:tc>
        <w:tc>
          <w:tcPr>
            <w:tcW w:w="1954" w:type="dxa"/>
            <w:vAlign w:val="center"/>
            <w:hideMark/>
          </w:tcPr>
          <w:p w14:paraId="693D112D" w14:textId="77777777" w:rsidR="00E16F0C" w:rsidRPr="009C4F41" w:rsidRDefault="00E16F0C" w:rsidP="009C4F41">
            <w:pPr>
              <w:spacing w:line="480" w:lineRule="auto"/>
              <w:rPr>
                <w:rFonts w:ascii="Times New Roman" w:eastAsia="Times New Roman" w:hAnsi="Times New Roman" w:cs="Times New Roman"/>
              </w:rPr>
            </w:pPr>
            <w:r w:rsidRPr="009C4F41">
              <w:rPr>
                <w:rFonts w:ascii="Times New Roman" w:eastAsia="Times New Roman" w:hAnsi="Times New Roman" w:cs="Times New Roman"/>
              </w:rPr>
              <w:t>14.80 ± 1.90bc</w:t>
            </w:r>
          </w:p>
        </w:tc>
        <w:tc>
          <w:tcPr>
            <w:tcW w:w="1813" w:type="dxa"/>
            <w:vAlign w:val="center"/>
            <w:hideMark/>
          </w:tcPr>
          <w:p w14:paraId="66C8C928" w14:textId="77777777" w:rsidR="00E16F0C" w:rsidRPr="009C4F41" w:rsidRDefault="00E16F0C" w:rsidP="009C4F41">
            <w:pPr>
              <w:spacing w:line="480" w:lineRule="auto"/>
              <w:rPr>
                <w:rFonts w:ascii="Times New Roman" w:eastAsia="Times New Roman" w:hAnsi="Times New Roman" w:cs="Times New Roman"/>
              </w:rPr>
            </w:pPr>
            <w:r w:rsidRPr="009C4F41">
              <w:rPr>
                <w:rFonts w:ascii="Times New Roman" w:eastAsia="Times New Roman" w:hAnsi="Times New Roman" w:cs="Times New Roman"/>
              </w:rPr>
              <w:t>19.40 ± 2.42bc</w:t>
            </w:r>
          </w:p>
        </w:tc>
        <w:tc>
          <w:tcPr>
            <w:tcW w:w="1529" w:type="dxa"/>
            <w:vAlign w:val="center"/>
            <w:hideMark/>
          </w:tcPr>
          <w:p w14:paraId="3FD9ED41" w14:textId="77777777" w:rsidR="00E16F0C" w:rsidRPr="009C4F41" w:rsidRDefault="00E16F0C" w:rsidP="009C4F41">
            <w:pPr>
              <w:spacing w:line="480" w:lineRule="auto"/>
              <w:rPr>
                <w:rFonts w:ascii="Times New Roman" w:eastAsia="Times New Roman" w:hAnsi="Times New Roman" w:cs="Times New Roman"/>
              </w:rPr>
            </w:pPr>
            <w:r w:rsidRPr="009C4F41">
              <w:rPr>
                <w:rFonts w:ascii="Times New Roman" w:eastAsia="Times New Roman" w:hAnsi="Times New Roman" w:cs="Times New Roman"/>
              </w:rPr>
              <w:t>24.10 ± 2.65bc</w:t>
            </w:r>
          </w:p>
        </w:tc>
        <w:tc>
          <w:tcPr>
            <w:tcW w:w="1530" w:type="dxa"/>
            <w:vAlign w:val="center"/>
            <w:hideMark/>
          </w:tcPr>
          <w:p w14:paraId="266FBBC5" w14:textId="77777777" w:rsidR="00E16F0C" w:rsidRPr="009C4F41" w:rsidRDefault="00E16F0C" w:rsidP="009C4F41">
            <w:pPr>
              <w:spacing w:line="480" w:lineRule="auto"/>
              <w:rPr>
                <w:rFonts w:ascii="Times New Roman" w:eastAsia="Times New Roman" w:hAnsi="Times New Roman" w:cs="Times New Roman"/>
              </w:rPr>
            </w:pPr>
            <w:r w:rsidRPr="009C4F41">
              <w:rPr>
                <w:rFonts w:ascii="Times New Roman" w:eastAsia="Times New Roman" w:hAnsi="Times New Roman" w:cs="Times New Roman"/>
              </w:rPr>
              <w:t>27.50 ± 2.88bc</w:t>
            </w:r>
          </w:p>
        </w:tc>
        <w:tc>
          <w:tcPr>
            <w:tcW w:w="2364" w:type="dxa"/>
            <w:vAlign w:val="center"/>
            <w:hideMark/>
          </w:tcPr>
          <w:p w14:paraId="27833049" w14:textId="77777777" w:rsidR="00E16F0C" w:rsidRPr="009C4F41" w:rsidRDefault="00E16F0C" w:rsidP="009C4F41">
            <w:pPr>
              <w:spacing w:line="480" w:lineRule="auto"/>
              <w:rPr>
                <w:rFonts w:ascii="Times New Roman" w:eastAsia="Times New Roman" w:hAnsi="Times New Roman" w:cs="Times New Roman"/>
              </w:rPr>
            </w:pPr>
            <w:r w:rsidRPr="009C4F41">
              <w:rPr>
                <w:rFonts w:ascii="Times New Roman" w:eastAsia="Times New Roman" w:hAnsi="Times New Roman" w:cs="Times New Roman"/>
              </w:rPr>
              <w:t>29.80 ± 3.00bc</w:t>
            </w:r>
          </w:p>
        </w:tc>
      </w:tr>
    </w:tbl>
    <w:p w14:paraId="6D947BA1" w14:textId="77777777" w:rsidR="00020F85" w:rsidRPr="00020F85" w:rsidRDefault="00020F85" w:rsidP="00020F85">
      <w:pPr>
        <w:pStyle w:val="NormalWeb"/>
        <w:spacing w:line="480" w:lineRule="auto"/>
        <w:divId w:val="1143158371"/>
        <w:rPr>
          <w:rStyle w:val="Emphasis"/>
          <w:i w:val="0"/>
        </w:rPr>
        <w:sectPr w:rsidR="00020F85" w:rsidRPr="00020F85" w:rsidSect="00914CE2">
          <w:pgSz w:w="16838" w:h="11906" w:orient="landscape"/>
          <w:pgMar w:top="1440" w:right="1440" w:bottom="1440" w:left="1440" w:header="708" w:footer="708" w:gutter="0"/>
          <w:cols w:space="708"/>
          <w:docGrid w:linePitch="360"/>
        </w:sectPr>
      </w:pPr>
      <w:r w:rsidRPr="00020F85">
        <w:rPr>
          <w:rStyle w:val="Emphasis"/>
          <w:i w:val="0"/>
        </w:rPr>
        <w:t>Keys:WAP means Weeks after Planting. Values that do not share same superscript were significantly different (p≤0.05)</w:t>
      </w:r>
    </w:p>
    <w:p w14:paraId="245D7884" w14:textId="34A1A2DB" w:rsidR="00E16F0C" w:rsidRPr="00B43596" w:rsidRDefault="00E16F0C" w:rsidP="000E1989">
      <w:pPr>
        <w:pStyle w:val="Heading1"/>
        <w:divId w:val="1143158371"/>
        <w:rPr>
          <w:rStyle w:val="Strong"/>
          <w:b/>
          <w:bCs w:val="0"/>
        </w:rPr>
      </w:pPr>
      <w:bookmarkStart w:id="44" w:name="_Toc214285907"/>
      <w:r w:rsidRPr="00B43596">
        <w:rPr>
          <w:rStyle w:val="Strong"/>
          <w:rFonts w:eastAsia="Times New Roman"/>
          <w:b/>
          <w:color w:val="000000" w:themeColor="text1"/>
        </w:rPr>
        <w:t>4.3 Effects on Number of Leaves</w:t>
      </w:r>
      <w:bookmarkEnd w:id="44"/>
    </w:p>
    <w:p w14:paraId="21780132" w14:textId="0AAF38CE" w:rsidR="00232D86" w:rsidRPr="00AB3D21" w:rsidRDefault="004B39FC" w:rsidP="00AB3D21">
      <w:pPr>
        <w:pStyle w:val="NormalWeb"/>
        <w:spacing w:line="480" w:lineRule="auto"/>
        <w:jc w:val="both"/>
        <w:rPr>
          <w:rFonts w:eastAsia="Times New Roman"/>
        </w:rPr>
      </w:pPr>
      <w:r w:rsidRPr="00AB3D21">
        <w:t xml:space="preserve">Leaf number serves as a vital indicator of plant vigor and photosynthetic potential. In this study, both </w:t>
      </w:r>
      <w:r w:rsidRPr="00AB3D21">
        <w:rPr>
          <w:i/>
          <w:iCs/>
        </w:rPr>
        <w:t>Sorghum bicolor</w:t>
      </w:r>
      <w:r w:rsidRPr="00AB3D21">
        <w:t xml:space="preserve"> and </w:t>
      </w:r>
      <w:r w:rsidRPr="00AB3D21">
        <w:rPr>
          <w:i/>
          <w:iCs/>
        </w:rPr>
        <w:t>Triticum aestivum</w:t>
      </w:r>
      <w:r w:rsidRPr="00AB3D21">
        <w:t xml:space="preserve"> exhibited significant increases in leaf number with increasing NPK levels up to 4 g. At  WAP, sorghum recorded 11.67 ± 0.58 leaves, while wheat produced 11.00 ± 0.58 leaves at the same treatment. </w:t>
      </w:r>
      <w:r w:rsidR="0021544C" w:rsidRPr="00AB3D21">
        <w:rPr>
          <w:rFonts w:eastAsia="Times New Roman"/>
        </w:rPr>
        <w:t xml:space="preserve">However, a reduction in leaf number at 6 g was observed for both species, suggesting nutrient imbalance or ionic stress that may have reduced meristematic activity (Ojo </w:t>
      </w:r>
      <w:r w:rsidR="0021544C" w:rsidRPr="00AB3D21">
        <w:rPr>
          <w:rFonts w:eastAsia="Times New Roman"/>
          <w:i/>
          <w:iCs/>
        </w:rPr>
        <w:t>et al</w:t>
      </w:r>
      <w:r w:rsidR="0021544C" w:rsidRPr="00AB3D21">
        <w:rPr>
          <w:rFonts w:eastAsia="Times New Roman"/>
        </w:rPr>
        <w:t>., 2021).</w:t>
      </w:r>
    </w:p>
    <w:p w14:paraId="013C91F7" w14:textId="03D51AF6" w:rsidR="0067265D" w:rsidRPr="00AB3D21" w:rsidRDefault="00232D86" w:rsidP="00AB3D21">
      <w:pPr>
        <w:pStyle w:val="NormalWeb"/>
        <w:spacing w:line="480" w:lineRule="auto"/>
        <w:jc w:val="both"/>
        <w:rPr>
          <w:rFonts w:eastAsia="Times New Roman"/>
        </w:rPr>
      </w:pPr>
      <w:r w:rsidRPr="00AB3D21">
        <w:rPr>
          <w:rFonts w:eastAsia="Times New Roman"/>
        </w:rPr>
        <w:t>Comparatively, sorghum produced more leaves than wheat at every growth stage, reaffirming its higher nutrient-use efficiency and adaptation to nutrient-poor soils (ICRISAT, 2019; FAO, 2021).</w:t>
      </w:r>
    </w:p>
    <w:p w14:paraId="4061594F" w14:textId="77777777" w:rsidR="00A9751B" w:rsidRDefault="00A9751B" w:rsidP="00A9751B">
      <w:pPr>
        <w:divId w:val="1143158371"/>
      </w:pPr>
    </w:p>
    <w:p w14:paraId="6FEA2A77" w14:textId="77777777" w:rsidR="00A9751B" w:rsidRDefault="00A9751B" w:rsidP="00A9751B">
      <w:pPr>
        <w:divId w:val="1143158371"/>
      </w:pPr>
    </w:p>
    <w:p w14:paraId="1D39612E" w14:textId="77777777" w:rsidR="00A9751B" w:rsidRDefault="00A9751B" w:rsidP="00A9751B">
      <w:pPr>
        <w:divId w:val="1143158371"/>
      </w:pPr>
    </w:p>
    <w:p w14:paraId="089FF646" w14:textId="77777777" w:rsidR="00A9751B" w:rsidRDefault="00A9751B" w:rsidP="00A9751B">
      <w:pPr>
        <w:divId w:val="1143158371"/>
      </w:pPr>
    </w:p>
    <w:p w14:paraId="4EC96B3C" w14:textId="77777777" w:rsidR="00A9751B" w:rsidRDefault="00A9751B" w:rsidP="00A9751B">
      <w:pPr>
        <w:divId w:val="1143158371"/>
      </w:pPr>
    </w:p>
    <w:p w14:paraId="140E694E" w14:textId="77777777" w:rsidR="00A9751B" w:rsidRDefault="00A9751B" w:rsidP="00A9751B">
      <w:pPr>
        <w:divId w:val="1143158371"/>
      </w:pPr>
    </w:p>
    <w:p w14:paraId="4D4A1151" w14:textId="77777777" w:rsidR="00A9751B" w:rsidRDefault="00A9751B" w:rsidP="00A9751B">
      <w:pPr>
        <w:divId w:val="1143158371"/>
      </w:pPr>
    </w:p>
    <w:p w14:paraId="37FCA6E4" w14:textId="77777777" w:rsidR="00A9751B" w:rsidRDefault="00A9751B" w:rsidP="00A9751B">
      <w:pPr>
        <w:divId w:val="1143158371"/>
      </w:pPr>
    </w:p>
    <w:p w14:paraId="48D99D29" w14:textId="77777777" w:rsidR="00A9751B" w:rsidRDefault="00A9751B" w:rsidP="00A9751B">
      <w:pPr>
        <w:divId w:val="1143158371"/>
      </w:pPr>
    </w:p>
    <w:p w14:paraId="3FD39CA0" w14:textId="77777777" w:rsidR="00A9751B" w:rsidRDefault="00A9751B" w:rsidP="00A9751B">
      <w:pPr>
        <w:divId w:val="1143158371"/>
      </w:pPr>
    </w:p>
    <w:p w14:paraId="2C07A374" w14:textId="77777777" w:rsidR="00A9751B" w:rsidRDefault="00A9751B" w:rsidP="00A9751B">
      <w:pPr>
        <w:divId w:val="1143158371"/>
      </w:pPr>
    </w:p>
    <w:p w14:paraId="41E47446" w14:textId="77777777" w:rsidR="00A9751B" w:rsidRDefault="00A9751B" w:rsidP="00A9751B">
      <w:pPr>
        <w:divId w:val="1143158371"/>
      </w:pPr>
    </w:p>
    <w:p w14:paraId="30E53872" w14:textId="2317AFE6" w:rsidR="00E16F0C" w:rsidRPr="00B43596" w:rsidRDefault="00E16F0C" w:rsidP="000E1989">
      <w:pPr>
        <w:pStyle w:val="Heading1"/>
        <w:divId w:val="1143158371"/>
        <w:rPr>
          <w:rFonts w:eastAsia="Times New Roman"/>
          <w:b w:val="0"/>
        </w:rPr>
      </w:pPr>
      <w:bookmarkStart w:id="45" w:name="_Toc214285908"/>
      <w:r w:rsidRPr="00B43596">
        <w:rPr>
          <w:rStyle w:val="Strong"/>
          <w:rFonts w:eastAsia="Times New Roman" w:cs="Times New Roman"/>
          <w:b/>
          <w:i/>
          <w:iCs/>
          <w:color w:val="000000" w:themeColor="text1"/>
        </w:rPr>
        <w:t xml:space="preserve">Table </w:t>
      </w:r>
      <w:r w:rsidR="0009656C">
        <w:rPr>
          <w:rStyle w:val="Strong"/>
          <w:rFonts w:eastAsia="Times New Roman" w:cs="Times New Roman"/>
          <w:b/>
          <w:i/>
          <w:iCs/>
          <w:color w:val="000000" w:themeColor="text1"/>
        </w:rPr>
        <w:t>4.</w:t>
      </w:r>
      <w:r w:rsidR="00B35E88" w:rsidRPr="00B43596">
        <w:rPr>
          <w:rStyle w:val="Strong"/>
          <w:rFonts w:eastAsia="Times New Roman" w:cs="Times New Roman"/>
          <w:b/>
          <w:i/>
          <w:iCs/>
          <w:color w:val="000000" w:themeColor="text1"/>
        </w:rPr>
        <w:t>3</w:t>
      </w:r>
      <w:r w:rsidRPr="00B43596">
        <w:rPr>
          <w:rStyle w:val="Strong"/>
          <w:rFonts w:eastAsia="Times New Roman" w:cs="Times New Roman"/>
          <w:b/>
          <w:i/>
          <w:iCs/>
          <w:color w:val="000000" w:themeColor="text1"/>
        </w:rPr>
        <w:t xml:space="preserve">: Effect of NPK Fertilizer on Number of Leaves of </w:t>
      </w:r>
      <w:r w:rsidRPr="00B43596">
        <w:rPr>
          <w:rStyle w:val="Emphasis"/>
          <w:rFonts w:eastAsia="Times New Roman" w:cs="Times New Roman"/>
          <w:b w:val="0"/>
          <w:bCs/>
          <w:i w:val="0"/>
          <w:iCs w:val="0"/>
          <w:color w:val="000000" w:themeColor="text1"/>
        </w:rPr>
        <w:t>Sorghum bicolor</w:t>
      </w:r>
      <w:r w:rsidRPr="00B43596">
        <w:rPr>
          <w:rStyle w:val="Strong"/>
          <w:rFonts w:eastAsia="Times New Roman" w:cs="Times New Roman"/>
          <w:b/>
          <w:i/>
          <w:iCs/>
          <w:color w:val="000000" w:themeColor="text1"/>
        </w:rPr>
        <w:t xml:space="preserve"> and </w:t>
      </w:r>
      <w:r w:rsidRPr="00B43596">
        <w:rPr>
          <w:rStyle w:val="Emphasis"/>
          <w:rFonts w:eastAsia="Times New Roman" w:cs="Times New Roman"/>
          <w:b w:val="0"/>
          <w:bCs/>
          <w:i w:val="0"/>
          <w:iCs w:val="0"/>
          <w:color w:val="000000" w:themeColor="text1"/>
        </w:rPr>
        <w:t>Triticum aestivum</w:t>
      </w:r>
      <w:bookmarkEnd w:id="45"/>
    </w:p>
    <w:tbl>
      <w:tblPr>
        <w:tblW w:w="9646" w:type="dxa"/>
        <w:tblCellSpacing w:w="15" w:type="dxa"/>
        <w:tblCellMar>
          <w:top w:w="15" w:type="dxa"/>
          <w:left w:w="15" w:type="dxa"/>
          <w:bottom w:w="15" w:type="dxa"/>
          <w:right w:w="15" w:type="dxa"/>
        </w:tblCellMar>
        <w:tblLook w:val="04A0" w:firstRow="1" w:lastRow="0" w:firstColumn="1" w:lastColumn="0" w:noHBand="0" w:noVBand="1"/>
      </w:tblPr>
      <w:tblGrid>
        <w:gridCol w:w="1559"/>
        <w:gridCol w:w="1306"/>
        <w:gridCol w:w="1306"/>
        <w:gridCol w:w="1306"/>
        <w:gridCol w:w="1306"/>
        <w:gridCol w:w="1424"/>
        <w:gridCol w:w="1439"/>
      </w:tblGrid>
      <w:tr w:rsidR="00E16F0C" w:rsidRPr="00102E91" w14:paraId="0D023CBC" w14:textId="77777777" w:rsidTr="00020F85">
        <w:trPr>
          <w:trHeight w:val="579"/>
          <w:tblHeader/>
          <w:tblCellSpacing w:w="15" w:type="dxa"/>
        </w:trPr>
        <w:tc>
          <w:tcPr>
            <w:tcW w:w="0" w:type="auto"/>
            <w:tcBorders>
              <w:top w:val="single" w:sz="4" w:space="0" w:color="auto"/>
              <w:bottom w:val="single" w:sz="4" w:space="0" w:color="auto"/>
            </w:tcBorders>
            <w:vAlign w:val="center"/>
            <w:hideMark/>
          </w:tcPr>
          <w:p w14:paraId="64B334BE" w14:textId="77777777" w:rsidR="00E16F0C" w:rsidRPr="00102E91" w:rsidRDefault="00E16F0C" w:rsidP="00020F85">
            <w:pPr>
              <w:spacing w:line="480" w:lineRule="auto"/>
              <w:rPr>
                <w:rFonts w:ascii="Times New Roman" w:eastAsia="Times New Roman" w:hAnsi="Times New Roman" w:cs="Times New Roman"/>
                <w:b/>
                <w:bCs/>
              </w:rPr>
            </w:pPr>
            <w:r w:rsidRPr="00102E91">
              <w:rPr>
                <w:rFonts w:ascii="Times New Roman" w:eastAsia="Times New Roman" w:hAnsi="Times New Roman" w:cs="Times New Roman"/>
                <w:b/>
                <w:bCs/>
              </w:rPr>
              <w:t>Treatment</w:t>
            </w:r>
          </w:p>
        </w:tc>
        <w:tc>
          <w:tcPr>
            <w:tcW w:w="0" w:type="auto"/>
            <w:tcBorders>
              <w:top w:val="single" w:sz="4" w:space="0" w:color="auto"/>
              <w:bottom w:val="single" w:sz="4" w:space="0" w:color="auto"/>
            </w:tcBorders>
            <w:vAlign w:val="center"/>
            <w:hideMark/>
          </w:tcPr>
          <w:p w14:paraId="49FB5A3A" w14:textId="43FF3D68" w:rsidR="00E16F0C" w:rsidRPr="00102E91" w:rsidRDefault="00636E0F" w:rsidP="00020F85">
            <w:pPr>
              <w:spacing w:line="480" w:lineRule="auto"/>
              <w:rPr>
                <w:rFonts w:ascii="Times New Roman" w:eastAsia="Times New Roman" w:hAnsi="Times New Roman" w:cs="Times New Roman"/>
                <w:b/>
                <w:bCs/>
              </w:rPr>
            </w:pPr>
            <w:r>
              <w:rPr>
                <w:rFonts w:ascii="Times New Roman" w:eastAsia="Times New Roman" w:hAnsi="Times New Roman" w:cs="Times New Roman"/>
                <w:b/>
                <w:bCs/>
              </w:rPr>
              <w:t>1</w:t>
            </w:r>
            <w:r w:rsidR="00E16F0C" w:rsidRPr="00102E91">
              <w:rPr>
                <w:rFonts w:ascii="Times New Roman" w:eastAsia="Times New Roman" w:hAnsi="Times New Roman" w:cs="Times New Roman"/>
                <w:b/>
                <w:bCs/>
              </w:rPr>
              <w:t>WAP</w:t>
            </w:r>
          </w:p>
        </w:tc>
        <w:tc>
          <w:tcPr>
            <w:tcW w:w="0" w:type="auto"/>
            <w:tcBorders>
              <w:top w:val="single" w:sz="4" w:space="0" w:color="auto"/>
              <w:bottom w:val="single" w:sz="4" w:space="0" w:color="auto"/>
            </w:tcBorders>
            <w:vAlign w:val="center"/>
            <w:hideMark/>
          </w:tcPr>
          <w:p w14:paraId="4AC150EA" w14:textId="0185B2E8" w:rsidR="00E16F0C" w:rsidRPr="00102E91" w:rsidRDefault="00636E0F" w:rsidP="00020F85">
            <w:pPr>
              <w:spacing w:line="480" w:lineRule="auto"/>
              <w:rPr>
                <w:rFonts w:ascii="Times New Roman" w:eastAsia="Times New Roman" w:hAnsi="Times New Roman" w:cs="Times New Roman"/>
                <w:b/>
                <w:bCs/>
              </w:rPr>
            </w:pPr>
            <w:r>
              <w:rPr>
                <w:rFonts w:ascii="Times New Roman" w:eastAsia="Times New Roman" w:hAnsi="Times New Roman" w:cs="Times New Roman"/>
                <w:b/>
                <w:bCs/>
              </w:rPr>
              <w:t>2</w:t>
            </w:r>
            <w:r w:rsidR="00E16F0C" w:rsidRPr="00102E91">
              <w:rPr>
                <w:rFonts w:ascii="Times New Roman" w:eastAsia="Times New Roman" w:hAnsi="Times New Roman" w:cs="Times New Roman"/>
                <w:b/>
                <w:bCs/>
              </w:rPr>
              <w:t>WAP</w:t>
            </w:r>
          </w:p>
        </w:tc>
        <w:tc>
          <w:tcPr>
            <w:tcW w:w="0" w:type="auto"/>
            <w:tcBorders>
              <w:top w:val="single" w:sz="4" w:space="0" w:color="auto"/>
              <w:bottom w:val="single" w:sz="4" w:space="0" w:color="auto"/>
            </w:tcBorders>
            <w:vAlign w:val="center"/>
            <w:hideMark/>
          </w:tcPr>
          <w:p w14:paraId="754A05C9" w14:textId="3D4651D1" w:rsidR="00E16F0C" w:rsidRPr="00102E91" w:rsidRDefault="00775E1D" w:rsidP="00020F85">
            <w:pPr>
              <w:spacing w:line="480" w:lineRule="auto"/>
              <w:rPr>
                <w:rFonts w:ascii="Times New Roman" w:eastAsia="Times New Roman" w:hAnsi="Times New Roman" w:cs="Times New Roman"/>
                <w:b/>
                <w:bCs/>
              </w:rPr>
            </w:pPr>
            <w:r>
              <w:rPr>
                <w:rFonts w:ascii="Times New Roman" w:eastAsia="Times New Roman" w:hAnsi="Times New Roman" w:cs="Times New Roman"/>
                <w:b/>
                <w:bCs/>
              </w:rPr>
              <w:t>3</w:t>
            </w:r>
            <w:r w:rsidR="00E16F0C" w:rsidRPr="00102E91">
              <w:rPr>
                <w:rFonts w:ascii="Times New Roman" w:eastAsia="Times New Roman" w:hAnsi="Times New Roman" w:cs="Times New Roman"/>
                <w:b/>
                <w:bCs/>
              </w:rPr>
              <w:t>WAP</w:t>
            </w:r>
          </w:p>
        </w:tc>
        <w:tc>
          <w:tcPr>
            <w:tcW w:w="0" w:type="auto"/>
            <w:tcBorders>
              <w:top w:val="single" w:sz="4" w:space="0" w:color="auto"/>
              <w:bottom w:val="single" w:sz="4" w:space="0" w:color="auto"/>
            </w:tcBorders>
            <w:vAlign w:val="center"/>
            <w:hideMark/>
          </w:tcPr>
          <w:p w14:paraId="33CCD5A0" w14:textId="7E6C3F6E" w:rsidR="00E16F0C" w:rsidRPr="00102E91" w:rsidRDefault="00775E1D" w:rsidP="00020F85">
            <w:pPr>
              <w:spacing w:line="480" w:lineRule="auto"/>
              <w:rPr>
                <w:rFonts w:ascii="Times New Roman" w:eastAsia="Times New Roman" w:hAnsi="Times New Roman" w:cs="Times New Roman"/>
                <w:b/>
                <w:bCs/>
              </w:rPr>
            </w:pPr>
            <w:r>
              <w:rPr>
                <w:rFonts w:ascii="Times New Roman" w:eastAsia="Times New Roman" w:hAnsi="Times New Roman" w:cs="Times New Roman"/>
                <w:b/>
                <w:bCs/>
              </w:rPr>
              <w:t>4</w:t>
            </w:r>
            <w:r w:rsidR="00E16F0C" w:rsidRPr="00102E91">
              <w:rPr>
                <w:rFonts w:ascii="Times New Roman" w:eastAsia="Times New Roman" w:hAnsi="Times New Roman" w:cs="Times New Roman"/>
                <w:b/>
                <w:bCs/>
              </w:rPr>
              <w:t>WAP</w:t>
            </w:r>
          </w:p>
        </w:tc>
        <w:tc>
          <w:tcPr>
            <w:tcW w:w="0" w:type="auto"/>
            <w:tcBorders>
              <w:top w:val="single" w:sz="4" w:space="0" w:color="auto"/>
              <w:bottom w:val="single" w:sz="4" w:space="0" w:color="auto"/>
            </w:tcBorders>
            <w:vAlign w:val="center"/>
            <w:hideMark/>
          </w:tcPr>
          <w:p w14:paraId="542C1A4A" w14:textId="7634FEA9" w:rsidR="00E16F0C" w:rsidRPr="00102E91" w:rsidRDefault="00775E1D" w:rsidP="00020F85">
            <w:pPr>
              <w:spacing w:line="480" w:lineRule="auto"/>
              <w:rPr>
                <w:rFonts w:ascii="Times New Roman" w:eastAsia="Times New Roman" w:hAnsi="Times New Roman" w:cs="Times New Roman"/>
                <w:b/>
                <w:bCs/>
              </w:rPr>
            </w:pPr>
            <w:r>
              <w:rPr>
                <w:rFonts w:ascii="Times New Roman" w:eastAsia="Times New Roman" w:hAnsi="Times New Roman" w:cs="Times New Roman"/>
                <w:b/>
                <w:bCs/>
              </w:rPr>
              <w:t>5</w:t>
            </w:r>
            <w:r w:rsidR="00E16F0C" w:rsidRPr="00102E91">
              <w:rPr>
                <w:rFonts w:ascii="Times New Roman" w:eastAsia="Times New Roman" w:hAnsi="Times New Roman" w:cs="Times New Roman"/>
                <w:b/>
                <w:bCs/>
              </w:rPr>
              <w:t>WAP</w:t>
            </w:r>
          </w:p>
        </w:tc>
        <w:tc>
          <w:tcPr>
            <w:tcW w:w="0" w:type="auto"/>
            <w:tcBorders>
              <w:top w:val="single" w:sz="4" w:space="0" w:color="auto"/>
              <w:bottom w:val="single" w:sz="4" w:space="0" w:color="auto"/>
            </w:tcBorders>
            <w:vAlign w:val="center"/>
            <w:hideMark/>
          </w:tcPr>
          <w:p w14:paraId="3AF96771" w14:textId="37827AF5" w:rsidR="00E16F0C" w:rsidRPr="00102E91" w:rsidRDefault="00775E1D" w:rsidP="00020F85">
            <w:pPr>
              <w:spacing w:line="480" w:lineRule="auto"/>
              <w:rPr>
                <w:rFonts w:ascii="Times New Roman" w:eastAsia="Times New Roman" w:hAnsi="Times New Roman" w:cs="Times New Roman"/>
                <w:b/>
                <w:bCs/>
              </w:rPr>
            </w:pPr>
            <w:r>
              <w:rPr>
                <w:rFonts w:ascii="Times New Roman" w:eastAsia="Times New Roman" w:hAnsi="Times New Roman" w:cs="Times New Roman"/>
                <w:b/>
                <w:bCs/>
              </w:rPr>
              <w:t>6</w:t>
            </w:r>
            <w:r w:rsidR="00E16F0C" w:rsidRPr="00102E91">
              <w:rPr>
                <w:rFonts w:ascii="Times New Roman" w:eastAsia="Times New Roman" w:hAnsi="Times New Roman" w:cs="Times New Roman"/>
                <w:b/>
                <w:bCs/>
              </w:rPr>
              <w:t>WAP</w:t>
            </w:r>
          </w:p>
        </w:tc>
      </w:tr>
      <w:tr w:rsidR="00E16F0C" w:rsidRPr="00102E91" w14:paraId="594BB2F5" w14:textId="77777777" w:rsidTr="00212529">
        <w:trPr>
          <w:trHeight w:val="977"/>
          <w:tblCellSpacing w:w="15" w:type="dxa"/>
        </w:trPr>
        <w:tc>
          <w:tcPr>
            <w:tcW w:w="0" w:type="auto"/>
            <w:vAlign w:val="center"/>
            <w:hideMark/>
          </w:tcPr>
          <w:p w14:paraId="29E0B43E"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Sorghum (0 g)</w:t>
            </w:r>
          </w:p>
        </w:tc>
        <w:tc>
          <w:tcPr>
            <w:tcW w:w="0" w:type="auto"/>
            <w:vAlign w:val="center"/>
            <w:hideMark/>
          </w:tcPr>
          <w:p w14:paraId="2C6F6DFD" w14:textId="40BADB64"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3.00 ± 0.58</w:t>
            </w:r>
            <w:r w:rsidR="00AE3CC4">
              <w:rPr>
                <w:rFonts w:ascii="Times New Roman" w:eastAsia="Times New Roman" w:hAnsi="Times New Roman" w:cs="Times New Roman"/>
                <w:vertAlign w:val="superscript"/>
              </w:rPr>
              <w:t>b</w:t>
            </w:r>
          </w:p>
        </w:tc>
        <w:tc>
          <w:tcPr>
            <w:tcW w:w="0" w:type="auto"/>
            <w:vAlign w:val="center"/>
            <w:hideMark/>
          </w:tcPr>
          <w:p w14:paraId="49DB56FB" w14:textId="24CD79CF"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4</w:t>
            </w:r>
            <w:r w:rsidR="00AE3CC4">
              <w:rPr>
                <w:rFonts w:ascii="Times New Roman" w:eastAsia="Times New Roman" w:hAnsi="Times New Roman" w:cs="Times New Roman"/>
              </w:rPr>
              <w:t>.33 ± 0.58</w:t>
            </w:r>
            <w:r w:rsidR="00AE3CC4">
              <w:rPr>
                <w:rFonts w:ascii="Times New Roman" w:eastAsia="Times New Roman" w:hAnsi="Times New Roman" w:cs="Times New Roman"/>
                <w:vertAlign w:val="superscript"/>
              </w:rPr>
              <w:t>b</w:t>
            </w:r>
          </w:p>
        </w:tc>
        <w:tc>
          <w:tcPr>
            <w:tcW w:w="0" w:type="auto"/>
            <w:vAlign w:val="center"/>
            <w:hideMark/>
          </w:tcPr>
          <w:p w14:paraId="7EA4AD60" w14:textId="63C85E32"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6.33 ± 0.58</w:t>
            </w:r>
            <w:r>
              <w:rPr>
                <w:rFonts w:ascii="Times New Roman" w:eastAsia="Times New Roman" w:hAnsi="Times New Roman" w:cs="Times New Roman"/>
                <w:vertAlign w:val="superscript"/>
              </w:rPr>
              <w:t>b</w:t>
            </w:r>
          </w:p>
        </w:tc>
        <w:tc>
          <w:tcPr>
            <w:tcW w:w="0" w:type="auto"/>
            <w:vAlign w:val="center"/>
            <w:hideMark/>
          </w:tcPr>
          <w:p w14:paraId="0E9C460C" w14:textId="4A3B398D"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7.00 ± 1.00</w:t>
            </w:r>
            <w:r>
              <w:rPr>
                <w:rFonts w:ascii="Times New Roman" w:eastAsia="Times New Roman" w:hAnsi="Times New Roman" w:cs="Times New Roman"/>
                <w:vertAlign w:val="superscript"/>
              </w:rPr>
              <w:t>b</w:t>
            </w:r>
          </w:p>
        </w:tc>
        <w:tc>
          <w:tcPr>
            <w:tcW w:w="0" w:type="auto"/>
            <w:vAlign w:val="center"/>
            <w:hideMark/>
          </w:tcPr>
          <w:p w14:paraId="1C37EBBD" w14:textId="3E5F7021"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8.00 ± 1.00</w:t>
            </w:r>
            <w:r>
              <w:rPr>
                <w:rFonts w:ascii="Times New Roman" w:eastAsia="Times New Roman" w:hAnsi="Times New Roman" w:cs="Times New Roman"/>
                <w:vertAlign w:val="superscript"/>
              </w:rPr>
              <w:t>b</w:t>
            </w:r>
          </w:p>
        </w:tc>
        <w:tc>
          <w:tcPr>
            <w:tcW w:w="0" w:type="auto"/>
            <w:vAlign w:val="center"/>
            <w:hideMark/>
          </w:tcPr>
          <w:p w14:paraId="285B8009" w14:textId="15742990"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9.00 ± 1.00</w:t>
            </w:r>
            <w:r>
              <w:rPr>
                <w:rFonts w:ascii="Times New Roman" w:eastAsia="Times New Roman" w:hAnsi="Times New Roman" w:cs="Times New Roman"/>
                <w:vertAlign w:val="superscript"/>
              </w:rPr>
              <w:t>b</w:t>
            </w:r>
          </w:p>
        </w:tc>
      </w:tr>
      <w:tr w:rsidR="00E16F0C" w:rsidRPr="00102E91" w14:paraId="6F8009A6" w14:textId="77777777" w:rsidTr="00212529">
        <w:trPr>
          <w:trHeight w:val="977"/>
          <w:tblCellSpacing w:w="15" w:type="dxa"/>
        </w:trPr>
        <w:tc>
          <w:tcPr>
            <w:tcW w:w="0" w:type="auto"/>
            <w:vAlign w:val="center"/>
            <w:hideMark/>
          </w:tcPr>
          <w:p w14:paraId="481D4B1A"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Sorghum (2 g)</w:t>
            </w:r>
          </w:p>
        </w:tc>
        <w:tc>
          <w:tcPr>
            <w:tcW w:w="0" w:type="auto"/>
            <w:vAlign w:val="center"/>
            <w:hideMark/>
          </w:tcPr>
          <w:p w14:paraId="26D70614" w14:textId="0FD3D96C"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4.00 ± 0.58</w:t>
            </w:r>
            <w:r w:rsidR="00AE3CC4">
              <w:rPr>
                <w:rFonts w:ascii="Times New Roman" w:eastAsia="Times New Roman" w:hAnsi="Times New Roman" w:cs="Times New Roman"/>
                <w:vertAlign w:val="superscript"/>
              </w:rPr>
              <w:t>a</w:t>
            </w:r>
          </w:p>
        </w:tc>
        <w:tc>
          <w:tcPr>
            <w:tcW w:w="0" w:type="auto"/>
            <w:vAlign w:val="center"/>
            <w:hideMark/>
          </w:tcPr>
          <w:p w14:paraId="2210FABE" w14:textId="77206ED8"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5</w:t>
            </w:r>
            <w:r w:rsidR="00AE3CC4">
              <w:rPr>
                <w:rFonts w:ascii="Times New Roman" w:eastAsia="Times New Roman" w:hAnsi="Times New Roman" w:cs="Times New Roman"/>
              </w:rPr>
              <w:t>.67 ± 0.58</w:t>
            </w:r>
            <w:r w:rsidR="00AE3CC4">
              <w:rPr>
                <w:rFonts w:ascii="Times New Roman" w:eastAsia="Times New Roman" w:hAnsi="Times New Roman" w:cs="Times New Roman"/>
                <w:vertAlign w:val="superscript"/>
              </w:rPr>
              <w:t>a</w:t>
            </w:r>
          </w:p>
        </w:tc>
        <w:tc>
          <w:tcPr>
            <w:tcW w:w="0" w:type="auto"/>
            <w:vAlign w:val="center"/>
            <w:hideMark/>
          </w:tcPr>
          <w:p w14:paraId="00701DD3" w14:textId="2ECFB918"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7.67 ± 0.58</w:t>
            </w:r>
            <w:r>
              <w:rPr>
                <w:rFonts w:ascii="Times New Roman" w:eastAsia="Times New Roman" w:hAnsi="Times New Roman" w:cs="Times New Roman"/>
                <w:vertAlign w:val="superscript"/>
              </w:rPr>
              <w:t>a</w:t>
            </w:r>
          </w:p>
        </w:tc>
        <w:tc>
          <w:tcPr>
            <w:tcW w:w="0" w:type="auto"/>
            <w:vAlign w:val="center"/>
            <w:hideMark/>
          </w:tcPr>
          <w:p w14:paraId="6834D01D" w14:textId="5782A7DC"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8.33 ± 0.58</w:t>
            </w:r>
            <w:r>
              <w:rPr>
                <w:rFonts w:ascii="Times New Roman" w:eastAsia="Times New Roman" w:hAnsi="Times New Roman" w:cs="Times New Roman"/>
                <w:vertAlign w:val="superscript"/>
              </w:rPr>
              <w:t>a</w:t>
            </w:r>
          </w:p>
        </w:tc>
        <w:tc>
          <w:tcPr>
            <w:tcW w:w="0" w:type="auto"/>
            <w:vAlign w:val="center"/>
            <w:hideMark/>
          </w:tcPr>
          <w:p w14:paraId="4D20C5AC" w14:textId="262AF1F5"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9.33 ± 0.58</w:t>
            </w:r>
            <w:r>
              <w:rPr>
                <w:rFonts w:ascii="Times New Roman" w:eastAsia="Times New Roman" w:hAnsi="Times New Roman" w:cs="Times New Roman"/>
                <w:vertAlign w:val="superscript"/>
              </w:rPr>
              <w:t>a</w:t>
            </w:r>
          </w:p>
        </w:tc>
        <w:tc>
          <w:tcPr>
            <w:tcW w:w="0" w:type="auto"/>
            <w:vAlign w:val="center"/>
            <w:hideMark/>
          </w:tcPr>
          <w:p w14:paraId="7D4C3451" w14:textId="0843291F"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10.33 ± 0.58</w:t>
            </w:r>
            <w:r>
              <w:rPr>
                <w:rFonts w:ascii="Times New Roman" w:eastAsia="Times New Roman" w:hAnsi="Times New Roman" w:cs="Times New Roman"/>
                <w:vertAlign w:val="superscript"/>
              </w:rPr>
              <w:t>a</w:t>
            </w:r>
          </w:p>
        </w:tc>
      </w:tr>
      <w:tr w:rsidR="00E16F0C" w:rsidRPr="00102E91" w14:paraId="46D96560" w14:textId="77777777" w:rsidTr="00212529">
        <w:trPr>
          <w:trHeight w:val="977"/>
          <w:tblCellSpacing w:w="15" w:type="dxa"/>
        </w:trPr>
        <w:tc>
          <w:tcPr>
            <w:tcW w:w="0" w:type="auto"/>
            <w:vAlign w:val="center"/>
            <w:hideMark/>
          </w:tcPr>
          <w:p w14:paraId="1DFF19AC"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Sorghum (4 g)</w:t>
            </w:r>
          </w:p>
        </w:tc>
        <w:tc>
          <w:tcPr>
            <w:tcW w:w="0" w:type="auto"/>
            <w:vAlign w:val="center"/>
            <w:hideMark/>
          </w:tcPr>
          <w:p w14:paraId="5E889268" w14:textId="6D4319AB"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4.67 ± 0.58</w:t>
            </w:r>
            <w:r w:rsidR="00AE3CC4">
              <w:rPr>
                <w:rFonts w:ascii="Times New Roman" w:eastAsia="Times New Roman" w:hAnsi="Times New Roman" w:cs="Times New Roman"/>
                <w:vertAlign w:val="superscript"/>
              </w:rPr>
              <w:t>a</w:t>
            </w:r>
          </w:p>
        </w:tc>
        <w:tc>
          <w:tcPr>
            <w:tcW w:w="0" w:type="auto"/>
            <w:vAlign w:val="center"/>
            <w:hideMark/>
          </w:tcPr>
          <w:p w14:paraId="38657F17" w14:textId="1C6B4D5F"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6</w:t>
            </w:r>
            <w:r w:rsidR="00AE3CC4">
              <w:rPr>
                <w:rFonts w:ascii="Times New Roman" w:eastAsia="Times New Roman" w:hAnsi="Times New Roman" w:cs="Times New Roman"/>
              </w:rPr>
              <w:t>.67 ± 0.58</w:t>
            </w:r>
            <w:r w:rsidR="00AE3CC4">
              <w:rPr>
                <w:rFonts w:ascii="Times New Roman" w:eastAsia="Times New Roman" w:hAnsi="Times New Roman" w:cs="Times New Roman"/>
                <w:vertAlign w:val="superscript"/>
              </w:rPr>
              <w:t>a</w:t>
            </w:r>
          </w:p>
        </w:tc>
        <w:tc>
          <w:tcPr>
            <w:tcW w:w="0" w:type="auto"/>
            <w:vAlign w:val="center"/>
            <w:hideMark/>
          </w:tcPr>
          <w:p w14:paraId="28C970FF" w14:textId="4B613633"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8.67 ± 0.58</w:t>
            </w:r>
            <w:r>
              <w:rPr>
                <w:rFonts w:ascii="Times New Roman" w:eastAsia="Times New Roman" w:hAnsi="Times New Roman" w:cs="Times New Roman"/>
                <w:vertAlign w:val="superscript"/>
              </w:rPr>
              <w:t>a</w:t>
            </w:r>
          </w:p>
        </w:tc>
        <w:tc>
          <w:tcPr>
            <w:tcW w:w="0" w:type="auto"/>
            <w:vAlign w:val="center"/>
            <w:hideMark/>
          </w:tcPr>
          <w:p w14:paraId="53009FBB" w14:textId="1FBC9CD0"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9.67 ± 0.58</w:t>
            </w:r>
            <w:r>
              <w:rPr>
                <w:rFonts w:ascii="Times New Roman" w:eastAsia="Times New Roman" w:hAnsi="Times New Roman" w:cs="Times New Roman"/>
                <w:vertAlign w:val="superscript"/>
              </w:rPr>
              <w:t>a</w:t>
            </w:r>
          </w:p>
        </w:tc>
        <w:tc>
          <w:tcPr>
            <w:tcW w:w="0" w:type="auto"/>
            <w:vAlign w:val="center"/>
            <w:hideMark/>
          </w:tcPr>
          <w:p w14:paraId="59FCB282" w14:textId="61747500"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10.67 ± 0.58</w:t>
            </w:r>
            <w:r>
              <w:rPr>
                <w:rFonts w:ascii="Times New Roman" w:eastAsia="Times New Roman" w:hAnsi="Times New Roman" w:cs="Times New Roman"/>
                <w:vertAlign w:val="superscript"/>
              </w:rPr>
              <w:t>a</w:t>
            </w:r>
          </w:p>
        </w:tc>
        <w:tc>
          <w:tcPr>
            <w:tcW w:w="0" w:type="auto"/>
            <w:vAlign w:val="center"/>
            <w:hideMark/>
          </w:tcPr>
          <w:p w14:paraId="4E58FC71" w14:textId="61364F64"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11.67 ± 0.58</w:t>
            </w:r>
            <w:r>
              <w:rPr>
                <w:rFonts w:ascii="Times New Roman" w:eastAsia="Times New Roman" w:hAnsi="Times New Roman" w:cs="Times New Roman"/>
                <w:vertAlign w:val="superscript"/>
              </w:rPr>
              <w:t>a</w:t>
            </w:r>
          </w:p>
        </w:tc>
      </w:tr>
      <w:tr w:rsidR="00E16F0C" w:rsidRPr="00102E91" w14:paraId="12788D29" w14:textId="77777777" w:rsidTr="00212529">
        <w:trPr>
          <w:trHeight w:val="965"/>
          <w:tblCellSpacing w:w="15" w:type="dxa"/>
        </w:trPr>
        <w:tc>
          <w:tcPr>
            <w:tcW w:w="0" w:type="auto"/>
            <w:vAlign w:val="center"/>
            <w:hideMark/>
          </w:tcPr>
          <w:p w14:paraId="1D12E40D"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Sorghum (6 g)</w:t>
            </w:r>
          </w:p>
        </w:tc>
        <w:tc>
          <w:tcPr>
            <w:tcW w:w="0" w:type="auto"/>
            <w:vAlign w:val="center"/>
            <w:hideMark/>
          </w:tcPr>
          <w:p w14:paraId="78C387D5" w14:textId="0EE6BFBC"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3.33 ± 0.58</w:t>
            </w:r>
            <w:r w:rsidR="00AE3CC4">
              <w:rPr>
                <w:rFonts w:ascii="Times New Roman" w:eastAsia="Times New Roman" w:hAnsi="Times New Roman" w:cs="Times New Roman"/>
                <w:vertAlign w:val="superscript"/>
              </w:rPr>
              <w:t>b</w:t>
            </w:r>
          </w:p>
        </w:tc>
        <w:tc>
          <w:tcPr>
            <w:tcW w:w="0" w:type="auto"/>
            <w:vAlign w:val="center"/>
            <w:hideMark/>
          </w:tcPr>
          <w:p w14:paraId="003EF0AB" w14:textId="70C906B0"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4</w:t>
            </w:r>
            <w:r w:rsidR="00AE3CC4">
              <w:rPr>
                <w:rFonts w:ascii="Times New Roman" w:eastAsia="Times New Roman" w:hAnsi="Times New Roman" w:cs="Times New Roman"/>
              </w:rPr>
              <w:t>.67 ± 0.58</w:t>
            </w:r>
            <w:r w:rsidR="00AE3CC4">
              <w:rPr>
                <w:rFonts w:ascii="Times New Roman" w:eastAsia="Times New Roman" w:hAnsi="Times New Roman" w:cs="Times New Roman"/>
                <w:vertAlign w:val="superscript"/>
              </w:rPr>
              <w:t>b</w:t>
            </w:r>
          </w:p>
        </w:tc>
        <w:tc>
          <w:tcPr>
            <w:tcW w:w="0" w:type="auto"/>
            <w:vAlign w:val="center"/>
            <w:hideMark/>
          </w:tcPr>
          <w:p w14:paraId="09A36E05" w14:textId="692DCC2B"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6.67 ± 0.58</w:t>
            </w:r>
            <w:r>
              <w:rPr>
                <w:rFonts w:ascii="Times New Roman" w:eastAsia="Times New Roman" w:hAnsi="Times New Roman" w:cs="Times New Roman"/>
                <w:vertAlign w:val="superscript"/>
              </w:rPr>
              <w:t>b</w:t>
            </w:r>
          </w:p>
        </w:tc>
        <w:tc>
          <w:tcPr>
            <w:tcW w:w="0" w:type="auto"/>
            <w:vAlign w:val="center"/>
            <w:hideMark/>
          </w:tcPr>
          <w:p w14:paraId="5DC07B80" w14:textId="5D70CD4C"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7.33 ± 0.58</w:t>
            </w:r>
            <w:r>
              <w:rPr>
                <w:rFonts w:ascii="Times New Roman" w:eastAsia="Times New Roman" w:hAnsi="Times New Roman" w:cs="Times New Roman"/>
                <w:vertAlign w:val="superscript"/>
              </w:rPr>
              <w:t>b</w:t>
            </w:r>
          </w:p>
        </w:tc>
        <w:tc>
          <w:tcPr>
            <w:tcW w:w="0" w:type="auto"/>
            <w:vAlign w:val="center"/>
            <w:hideMark/>
          </w:tcPr>
          <w:p w14:paraId="3C4EC2DF" w14:textId="3C62926C"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8.33 ± 0.58</w:t>
            </w:r>
            <w:r>
              <w:rPr>
                <w:rFonts w:ascii="Times New Roman" w:eastAsia="Times New Roman" w:hAnsi="Times New Roman" w:cs="Times New Roman"/>
                <w:vertAlign w:val="superscript"/>
              </w:rPr>
              <w:t>b</w:t>
            </w:r>
          </w:p>
        </w:tc>
        <w:tc>
          <w:tcPr>
            <w:tcW w:w="0" w:type="auto"/>
            <w:vAlign w:val="center"/>
            <w:hideMark/>
          </w:tcPr>
          <w:p w14:paraId="3496A65A" w14:textId="5329C3C6"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9.33 ± 0.58</w:t>
            </w:r>
            <w:r>
              <w:rPr>
                <w:rFonts w:ascii="Times New Roman" w:eastAsia="Times New Roman" w:hAnsi="Times New Roman" w:cs="Times New Roman"/>
                <w:vertAlign w:val="superscript"/>
              </w:rPr>
              <w:t>b</w:t>
            </w:r>
          </w:p>
        </w:tc>
      </w:tr>
      <w:tr w:rsidR="00E16F0C" w:rsidRPr="00102E91" w14:paraId="737315DD" w14:textId="77777777" w:rsidTr="00212529">
        <w:trPr>
          <w:trHeight w:val="977"/>
          <w:tblCellSpacing w:w="15" w:type="dxa"/>
        </w:trPr>
        <w:tc>
          <w:tcPr>
            <w:tcW w:w="0" w:type="auto"/>
            <w:vAlign w:val="center"/>
            <w:hideMark/>
          </w:tcPr>
          <w:p w14:paraId="35CC15CB"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Wheat (0 g)</w:t>
            </w:r>
          </w:p>
        </w:tc>
        <w:tc>
          <w:tcPr>
            <w:tcW w:w="0" w:type="auto"/>
            <w:vAlign w:val="center"/>
            <w:hideMark/>
          </w:tcPr>
          <w:p w14:paraId="716CD38D" w14:textId="38A86547"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2.67 ± 0.58</w:t>
            </w:r>
            <w:r w:rsidR="00AE3CC4">
              <w:rPr>
                <w:rFonts w:ascii="Times New Roman" w:eastAsia="Times New Roman" w:hAnsi="Times New Roman" w:cs="Times New Roman"/>
                <w:vertAlign w:val="superscript"/>
              </w:rPr>
              <w:t>b</w:t>
            </w:r>
          </w:p>
        </w:tc>
        <w:tc>
          <w:tcPr>
            <w:tcW w:w="0" w:type="auto"/>
            <w:vAlign w:val="center"/>
            <w:hideMark/>
          </w:tcPr>
          <w:p w14:paraId="76FCBB03" w14:textId="7FFF07A1"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4</w:t>
            </w:r>
            <w:r w:rsidR="00AE3CC4">
              <w:rPr>
                <w:rFonts w:ascii="Times New Roman" w:eastAsia="Times New Roman" w:hAnsi="Times New Roman" w:cs="Times New Roman"/>
              </w:rPr>
              <w:t>.00 ± 0.58</w:t>
            </w:r>
            <w:r w:rsidR="00AE3CC4">
              <w:rPr>
                <w:rFonts w:ascii="Times New Roman" w:eastAsia="Times New Roman" w:hAnsi="Times New Roman" w:cs="Times New Roman"/>
                <w:vertAlign w:val="superscript"/>
              </w:rPr>
              <w:t>b</w:t>
            </w:r>
          </w:p>
        </w:tc>
        <w:tc>
          <w:tcPr>
            <w:tcW w:w="0" w:type="auto"/>
            <w:vAlign w:val="center"/>
            <w:hideMark/>
          </w:tcPr>
          <w:p w14:paraId="589F466B" w14:textId="15236A8C"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5.67 ± 0.58</w:t>
            </w:r>
            <w:r>
              <w:rPr>
                <w:rFonts w:ascii="Times New Roman" w:eastAsia="Times New Roman" w:hAnsi="Times New Roman" w:cs="Times New Roman"/>
                <w:vertAlign w:val="superscript"/>
              </w:rPr>
              <w:t>b</w:t>
            </w:r>
          </w:p>
        </w:tc>
        <w:tc>
          <w:tcPr>
            <w:tcW w:w="0" w:type="auto"/>
            <w:vAlign w:val="center"/>
            <w:hideMark/>
          </w:tcPr>
          <w:p w14:paraId="715D5919" w14:textId="448AB049"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6.67 ± 0.58</w:t>
            </w:r>
            <w:r>
              <w:rPr>
                <w:rFonts w:ascii="Times New Roman" w:eastAsia="Times New Roman" w:hAnsi="Times New Roman" w:cs="Times New Roman"/>
                <w:vertAlign w:val="superscript"/>
              </w:rPr>
              <w:t>b</w:t>
            </w:r>
          </w:p>
        </w:tc>
        <w:tc>
          <w:tcPr>
            <w:tcW w:w="0" w:type="auto"/>
            <w:vAlign w:val="center"/>
            <w:hideMark/>
          </w:tcPr>
          <w:p w14:paraId="2530194E" w14:textId="76481E76"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7.00 ± 0.58</w:t>
            </w:r>
            <w:r>
              <w:rPr>
                <w:rFonts w:ascii="Times New Roman" w:eastAsia="Times New Roman" w:hAnsi="Times New Roman" w:cs="Times New Roman"/>
                <w:vertAlign w:val="superscript"/>
              </w:rPr>
              <w:t>b</w:t>
            </w:r>
          </w:p>
        </w:tc>
        <w:tc>
          <w:tcPr>
            <w:tcW w:w="0" w:type="auto"/>
            <w:vAlign w:val="center"/>
            <w:hideMark/>
          </w:tcPr>
          <w:p w14:paraId="41479D87" w14:textId="0F5D8BDE"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8.00 ± 0.58</w:t>
            </w:r>
            <w:r>
              <w:rPr>
                <w:rFonts w:ascii="Times New Roman" w:eastAsia="Times New Roman" w:hAnsi="Times New Roman" w:cs="Times New Roman"/>
                <w:vertAlign w:val="superscript"/>
              </w:rPr>
              <w:t>b</w:t>
            </w:r>
          </w:p>
        </w:tc>
      </w:tr>
      <w:tr w:rsidR="00E16F0C" w:rsidRPr="00102E91" w14:paraId="3879F358" w14:textId="77777777" w:rsidTr="00212529">
        <w:trPr>
          <w:trHeight w:val="977"/>
          <w:tblCellSpacing w:w="15" w:type="dxa"/>
        </w:trPr>
        <w:tc>
          <w:tcPr>
            <w:tcW w:w="0" w:type="auto"/>
            <w:vAlign w:val="center"/>
            <w:hideMark/>
          </w:tcPr>
          <w:p w14:paraId="211AA69D"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Wheat (2 g)</w:t>
            </w:r>
          </w:p>
        </w:tc>
        <w:tc>
          <w:tcPr>
            <w:tcW w:w="0" w:type="auto"/>
            <w:vAlign w:val="center"/>
            <w:hideMark/>
          </w:tcPr>
          <w:p w14:paraId="16769B19" w14:textId="79165639"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3.67 ± 0.58</w:t>
            </w:r>
            <w:r w:rsidR="00AE3CC4">
              <w:rPr>
                <w:rFonts w:ascii="Times New Roman" w:eastAsia="Times New Roman" w:hAnsi="Times New Roman" w:cs="Times New Roman"/>
                <w:vertAlign w:val="superscript"/>
              </w:rPr>
              <w:t>a</w:t>
            </w:r>
          </w:p>
        </w:tc>
        <w:tc>
          <w:tcPr>
            <w:tcW w:w="0" w:type="auto"/>
            <w:vAlign w:val="center"/>
            <w:hideMark/>
          </w:tcPr>
          <w:p w14:paraId="5F28BB30" w14:textId="40ECB9E2"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5</w:t>
            </w:r>
            <w:r w:rsidR="00AE3CC4">
              <w:rPr>
                <w:rFonts w:ascii="Times New Roman" w:eastAsia="Times New Roman" w:hAnsi="Times New Roman" w:cs="Times New Roman"/>
              </w:rPr>
              <w:t>.33 ± 0.58</w:t>
            </w:r>
            <w:r w:rsidR="00AE3CC4">
              <w:rPr>
                <w:rFonts w:ascii="Times New Roman" w:eastAsia="Times New Roman" w:hAnsi="Times New Roman" w:cs="Times New Roman"/>
                <w:vertAlign w:val="superscript"/>
              </w:rPr>
              <w:t>a</w:t>
            </w:r>
          </w:p>
        </w:tc>
        <w:tc>
          <w:tcPr>
            <w:tcW w:w="0" w:type="auto"/>
            <w:vAlign w:val="center"/>
            <w:hideMark/>
          </w:tcPr>
          <w:p w14:paraId="38A2079D" w14:textId="09B2199B"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6.67 ± 0.58</w:t>
            </w:r>
            <w:r>
              <w:rPr>
                <w:rFonts w:ascii="Times New Roman" w:eastAsia="Times New Roman" w:hAnsi="Times New Roman" w:cs="Times New Roman"/>
                <w:vertAlign w:val="superscript"/>
              </w:rPr>
              <w:t>a</w:t>
            </w:r>
          </w:p>
        </w:tc>
        <w:tc>
          <w:tcPr>
            <w:tcW w:w="0" w:type="auto"/>
            <w:vAlign w:val="center"/>
            <w:hideMark/>
          </w:tcPr>
          <w:p w14:paraId="3B0AF072" w14:textId="2C8030EA"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8.00 ± 0.58</w:t>
            </w:r>
            <w:r>
              <w:rPr>
                <w:rFonts w:ascii="Times New Roman" w:eastAsia="Times New Roman" w:hAnsi="Times New Roman" w:cs="Times New Roman"/>
                <w:vertAlign w:val="superscript"/>
              </w:rPr>
              <w:t>a</w:t>
            </w:r>
          </w:p>
        </w:tc>
        <w:tc>
          <w:tcPr>
            <w:tcW w:w="0" w:type="auto"/>
            <w:vAlign w:val="center"/>
            <w:hideMark/>
          </w:tcPr>
          <w:p w14:paraId="2DB71A29" w14:textId="192E8BE1"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9.00 ±</w:t>
            </w:r>
            <w:r w:rsidR="00AE3CC4">
              <w:rPr>
                <w:rFonts w:ascii="Times New Roman" w:eastAsia="Times New Roman" w:hAnsi="Times New Roman" w:cs="Times New Roman"/>
              </w:rPr>
              <w:t xml:space="preserve"> 0.58</w:t>
            </w:r>
            <w:r w:rsidR="00AE3CC4">
              <w:rPr>
                <w:rFonts w:ascii="Times New Roman" w:eastAsia="Times New Roman" w:hAnsi="Times New Roman" w:cs="Times New Roman"/>
                <w:vertAlign w:val="superscript"/>
              </w:rPr>
              <w:t>a</w:t>
            </w:r>
          </w:p>
        </w:tc>
        <w:tc>
          <w:tcPr>
            <w:tcW w:w="0" w:type="auto"/>
            <w:vAlign w:val="center"/>
            <w:hideMark/>
          </w:tcPr>
          <w:p w14:paraId="64735B14" w14:textId="39D404F4"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9.67 ± 0.58</w:t>
            </w:r>
            <w:r>
              <w:rPr>
                <w:rFonts w:ascii="Times New Roman" w:eastAsia="Times New Roman" w:hAnsi="Times New Roman" w:cs="Times New Roman"/>
                <w:vertAlign w:val="superscript"/>
              </w:rPr>
              <w:t>a</w:t>
            </w:r>
          </w:p>
        </w:tc>
      </w:tr>
      <w:tr w:rsidR="00E16F0C" w:rsidRPr="00102E91" w14:paraId="0B5E2B15" w14:textId="77777777" w:rsidTr="00212529">
        <w:trPr>
          <w:trHeight w:val="977"/>
          <w:tblCellSpacing w:w="15" w:type="dxa"/>
        </w:trPr>
        <w:tc>
          <w:tcPr>
            <w:tcW w:w="0" w:type="auto"/>
            <w:vAlign w:val="center"/>
            <w:hideMark/>
          </w:tcPr>
          <w:p w14:paraId="39795215"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Wheat (4 g)</w:t>
            </w:r>
          </w:p>
        </w:tc>
        <w:tc>
          <w:tcPr>
            <w:tcW w:w="0" w:type="auto"/>
            <w:vAlign w:val="center"/>
            <w:hideMark/>
          </w:tcPr>
          <w:p w14:paraId="7E4EC4AB" w14:textId="0DB5C65A"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4.33 ± 0.58</w:t>
            </w:r>
            <w:r w:rsidR="00AE3CC4">
              <w:rPr>
                <w:rFonts w:ascii="Times New Roman" w:eastAsia="Times New Roman" w:hAnsi="Times New Roman" w:cs="Times New Roman"/>
                <w:vertAlign w:val="superscript"/>
              </w:rPr>
              <w:t>a</w:t>
            </w:r>
          </w:p>
        </w:tc>
        <w:tc>
          <w:tcPr>
            <w:tcW w:w="0" w:type="auto"/>
            <w:vAlign w:val="center"/>
            <w:hideMark/>
          </w:tcPr>
          <w:p w14:paraId="2EDBDA8B" w14:textId="6608A9C6"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6</w:t>
            </w:r>
            <w:r w:rsidR="00AE3CC4">
              <w:rPr>
                <w:rFonts w:ascii="Times New Roman" w:eastAsia="Times New Roman" w:hAnsi="Times New Roman" w:cs="Times New Roman"/>
              </w:rPr>
              <w:t>.33 ± 0.58</w:t>
            </w:r>
            <w:r w:rsidR="00AE3CC4">
              <w:rPr>
                <w:rFonts w:ascii="Times New Roman" w:eastAsia="Times New Roman" w:hAnsi="Times New Roman" w:cs="Times New Roman"/>
                <w:vertAlign w:val="superscript"/>
              </w:rPr>
              <w:t>a</w:t>
            </w:r>
          </w:p>
        </w:tc>
        <w:tc>
          <w:tcPr>
            <w:tcW w:w="0" w:type="auto"/>
            <w:vAlign w:val="center"/>
            <w:hideMark/>
          </w:tcPr>
          <w:p w14:paraId="435BDB17" w14:textId="5D6D08C9"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8.00 ± 0.58</w:t>
            </w:r>
            <w:r>
              <w:rPr>
                <w:rFonts w:ascii="Times New Roman" w:eastAsia="Times New Roman" w:hAnsi="Times New Roman" w:cs="Times New Roman"/>
                <w:vertAlign w:val="superscript"/>
              </w:rPr>
              <w:t>a</w:t>
            </w:r>
          </w:p>
        </w:tc>
        <w:tc>
          <w:tcPr>
            <w:tcW w:w="0" w:type="auto"/>
            <w:vAlign w:val="center"/>
            <w:hideMark/>
          </w:tcPr>
          <w:p w14:paraId="35F0DDF8" w14:textId="17E87E86"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9.33 ± 0.58</w:t>
            </w:r>
            <w:r>
              <w:rPr>
                <w:rFonts w:ascii="Times New Roman" w:eastAsia="Times New Roman" w:hAnsi="Times New Roman" w:cs="Times New Roman"/>
                <w:vertAlign w:val="superscript"/>
              </w:rPr>
              <w:t>a</w:t>
            </w:r>
          </w:p>
        </w:tc>
        <w:tc>
          <w:tcPr>
            <w:tcW w:w="0" w:type="auto"/>
            <w:vAlign w:val="center"/>
            <w:hideMark/>
          </w:tcPr>
          <w:p w14:paraId="74803A0C" w14:textId="5D76B2CC"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10.00 ± 0.58</w:t>
            </w:r>
            <w:r>
              <w:rPr>
                <w:rFonts w:ascii="Times New Roman" w:eastAsia="Times New Roman" w:hAnsi="Times New Roman" w:cs="Times New Roman"/>
                <w:vertAlign w:val="superscript"/>
              </w:rPr>
              <w:t>a</w:t>
            </w:r>
          </w:p>
        </w:tc>
        <w:tc>
          <w:tcPr>
            <w:tcW w:w="0" w:type="auto"/>
            <w:vAlign w:val="center"/>
            <w:hideMark/>
          </w:tcPr>
          <w:p w14:paraId="763FDF15" w14:textId="7AA3AD5E"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11.00 ± 0.58</w:t>
            </w:r>
            <w:r>
              <w:rPr>
                <w:rFonts w:ascii="Times New Roman" w:eastAsia="Times New Roman" w:hAnsi="Times New Roman" w:cs="Times New Roman"/>
                <w:vertAlign w:val="superscript"/>
              </w:rPr>
              <w:t>a</w:t>
            </w:r>
          </w:p>
        </w:tc>
      </w:tr>
      <w:tr w:rsidR="00E16F0C" w:rsidRPr="00102E91" w14:paraId="29B5C551" w14:textId="77777777" w:rsidTr="00020F85">
        <w:trPr>
          <w:trHeight w:val="977"/>
          <w:tblCellSpacing w:w="15" w:type="dxa"/>
        </w:trPr>
        <w:tc>
          <w:tcPr>
            <w:tcW w:w="0" w:type="auto"/>
            <w:tcBorders>
              <w:bottom w:val="single" w:sz="4" w:space="0" w:color="auto"/>
            </w:tcBorders>
            <w:vAlign w:val="center"/>
            <w:hideMark/>
          </w:tcPr>
          <w:p w14:paraId="36A7813F" w14:textId="77777777" w:rsidR="00E16F0C" w:rsidRPr="00102E91" w:rsidRDefault="00E16F0C" w:rsidP="00102E91">
            <w:pPr>
              <w:spacing w:line="480" w:lineRule="auto"/>
              <w:rPr>
                <w:rFonts w:ascii="Times New Roman" w:eastAsia="Times New Roman" w:hAnsi="Times New Roman" w:cs="Times New Roman"/>
              </w:rPr>
            </w:pPr>
            <w:r w:rsidRPr="00102E91">
              <w:rPr>
                <w:rFonts w:ascii="Times New Roman" w:eastAsia="Times New Roman" w:hAnsi="Times New Roman" w:cs="Times New Roman"/>
              </w:rPr>
              <w:t>Wheat (6 g)</w:t>
            </w:r>
          </w:p>
        </w:tc>
        <w:tc>
          <w:tcPr>
            <w:tcW w:w="0" w:type="auto"/>
            <w:tcBorders>
              <w:bottom w:val="single" w:sz="4" w:space="0" w:color="auto"/>
            </w:tcBorders>
            <w:vAlign w:val="center"/>
            <w:hideMark/>
          </w:tcPr>
          <w:p w14:paraId="531625B4" w14:textId="2A4D26BD" w:rsidR="00E16F0C" w:rsidRPr="00AE3CC4" w:rsidRDefault="00E16F0C" w:rsidP="00AE3CC4">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3.00 ± 0.58</w:t>
            </w:r>
            <w:r w:rsidR="00AE3CC4">
              <w:rPr>
                <w:rFonts w:ascii="Times New Roman" w:eastAsia="Times New Roman" w:hAnsi="Times New Roman" w:cs="Times New Roman"/>
                <w:vertAlign w:val="superscript"/>
              </w:rPr>
              <w:t>b</w:t>
            </w:r>
          </w:p>
        </w:tc>
        <w:tc>
          <w:tcPr>
            <w:tcW w:w="0" w:type="auto"/>
            <w:tcBorders>
              <w:bottom w:val="single" w:sz="4" w:space="0" w:color="auto"/>
            </w:tcBorders>
            <w:vAlign w:val="center"/>
            <w:hideMark/>
          </w:tcPr>
          <w:p w14:paraId="13B13FBD" w14:textId="06B6F31C" w:rsidR="00E16F0C" w:rsidRPr="00AE3CC4" w:rsidRDefault="00E16F0C" w:rsidP="00102E91">
            <w:pPr>
              <w:spacing w:line="480" w:lineRule="auto"/>
              <w:rPr>
                <w:rFonts w:ascii="Times New Roman" w:eastAsia="Times New Roman" w:hAnsi="Times New Roman" w:cs="Times New Roman"/>
                <w:vertAlign w:val="superscript"/>
              </w:rPr>
            </w:pPr>
            <w:r w:rsidRPr="00102E91">
              <w:rPr>
                <w:rFonts w:ascii="Times New Roman" w:eastAsia="Times New Roman" w:hAnsi="Times New Roman" w:cs="Times New Roman"/>
              </w:rPr>
              <w:t>4</w:t>
            </w:r>
            <w:r w:rsidR="00AE3CC4">
              <w:rPr>
                <w:rFonts w:ascii="Times New Roman" w:eastAsia="Times New Roman" w:hAnsi="Times New Roman" w:cs="Times New Roman"/>
              </w:rPr>
              <w:t>.33 ± 0.58</w:t>
            </w:r>
            <w:r w:rsidR="00AE3CC4">
              <w:rPr>
                <w:rFonts w:ascii="Times New Roman" w:eastAsia="Times New Roman" w:hAnsi="Times New Roman" w:cs="Times New Roman"/>
                <w:vertAlign w:val="superscript"/>
              </w:rPr>
              <w:t>b</w:t>
            </w:r>
          </w:p>
        </w:tc>
        <w:tc>
          <w:tcPr>
            <w:tcW w:w="0" w:type="auto"/>
            <w:tcBorders>
              <w:bottom w:val="single" w:sz="4" w:space="0" w:color="auto"/>
            </w:tcBorders>
            <w:vAlign w:val="center"/>
            <w:hideMark/>
          </w:tcPr>
          <w:p w14:paraId="11E6E4DE" w14:textId="2A998C8F"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6.00 ± 0.58</w:t>
            </w:r>
            <w:r>
              <w:rPr>
                <w:rFonts w:ascii="Times New Roman" w:eastAsia="Times New Roman" w:hAnsi="Times New Roman" w:cs="Times New Roman"/>
                <w:vertAlign w:val="superscript"/>
              </w:rPr>
              <w:t>b</w:t>
            </w:r>
          </w:p>
        </w:tc>
        <w:tc>
          <w:tcPr>
            <w:tcW w:w="0" w:type="auto"/>
            <w:tcBorders>
              <w:bottom w:val="single" w:sz="4" w:space="0" w:color="auto"/>
            </w:tcBorders>
            <w:vAlign w:val="center"/>
            <w:hideMark/>
          </w:tcPr>
          <w:p w14:paraId="61E6DCC2" w14:textId="349E2D73"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7.00 ± 0.58</w:t>
            </w:r>
            <w:r>
              <w:rPr>
                <w:rFonts w:ascii="Times New Roman" w:eastAsia="Times New Roman" w:hAnsi="Times New Roman" w:cs="Times New Roman"/>
                <w:vertAlign w:val="superscript"/>
              </w:rPr>
              <w:t>b</w:t>
            </w:r>
          </w:p>
        </w:tc>
        <w:tc>
          <w:tcPr>
            <w:tcW w:w="0" w:type="auto"/>
            <w:tcBorders>
              <w:bottom w:val="single" w:sz="4" w:space="0" w:color="auto"/>
            </w:tcBorders>
            <w:vAlign w:val="center"/>
            <w:hideMark/>
          </w:tcPr>
          <w:p w14:paraId="70AFDC95" w14:textId="1E9F046B"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7.67 ± 0.58</w:t>
            </w:r>
            <w:r>
              <w:rPr>
                <w:rFonts w:ascii="Times New Roman" w:eastAsia="Times New Roman" w:hAnsi="Times New Roman" w:cs="Times New Roman"/>
                <w:vertAlign w:val="superscript"/>
              </w:rPr>
              <w:t>b</w:t>
            </w:r>
          </w:p>
        </w:tc>
        <w:tc>
          <w:tcPr>
            <w:tcW w:w="0" w:type="auto"/>
            <w:tcBorders>
              <w:bottom w:val="single" w:sz="4" w:space="0" w:color="auto"/>
            </w:tcBorders>
            <w:vAlign w:val="center"/>
            <w:hideMark/>
          </w:tcPr>
          <w:p w14:paraId="25AE45BA" w14:textId="06FDC882" w:rsidR="00E16F0C" w:rsidRPr="00AE3CC4" w:rsidRDefault="00AE3CC4" w:rsidP="00102E91">
            <w:pPr>
              <w:spacing w:line="480" w:lineRule="auto"/>
              <w:rPr>
                <w:rFonts w:ascii="Times New Roman" w:eastAsia="Times New Roman" w:hAnsi="Times New Roman" w:cs="Times New Roman"/>
                <w:vertAlign w:val="superscript"/>
              </w:rPr>
            </w:pPr>
            <w:r>
              <w:rPr>
                <w:rFonts w:ascii="Times New Roman" w:eastAsia="Times New Roman" w:hAnsi="Times New Roman" w:cs="Times New Roman"/>
              </w:rPr>
              <w:t>8.67 ± 0.58</w:t>
            </w:r>
            <w:r>
              <w:rPr>
                <w:rFonts w:ascii="Times New Roman" w:eastAsia="Times New Roman" w:hAnsi="Times New Roman" w:cs="Times New Roman"/>
                <w:vertAlign w:val="superscript"/>
              </w:rPr>
              <w:t>b</w:t>
            </w:r>
          </w:p>
        </w:tc>
      </w:tr>
    </w:tbl>
    <w:p w14:paraId="43347270" w14:textId="77777777" w:rsidR="00020F85" w:rsidRPr="00020F85" w:rsidRDefault="00020F85" w:rsidP="00020F85">
      <w:pPr>
        <w:pStyle w:val="NormalWeb"/>
        <w:spacing w:line="480" w:lineRule="auto"/>
        <w:divId w:val="1143158371"/>
        <w:rPr>
          <w:i/>
        </w:rPr>
      </w:pPr>
      <w:r w:rsidRPr="00020F85">
        <w:rPr>
          <w:rStyle w:val="Emphasis"/>
          <w:i w:val="0"/>
        </w:rPr>
        <w:t>Keys: Values that do not have same superscript were significantly different (p≤0.05)</w:t>
      </w:r>
    </w:p>
    <w:p w14:paraId="354B4955" w14:textId="528D7249" w:rsidR="00AA4521" w:rsidRPr="00B43596" w:rsidRDefault="00AA4521" w:rsidP="000E1989">
      <w:pPr>
        <w:pStyle w:val="Heading1"/>
        <w:divId w:val="1143158371"/>
        <w:rPr>
          <w:rFonts w:eastAsia="Times New Roman"/>
          <w:b w:val="0"/>
        </w:rPr>
      </w:pPr>
      <w:bookmarkStart w:id="46" w:name="_Toc214285909"/>
      <w:r w:rsidRPr="00B43596">
        <w:rPr>
          <w:rStyle w:val="Strong"/>
          <w:rFonts w:eastAsia="Times New Roman" w:cs="Times New Roman"/>
          <w:b/>
          <w:color w:val="000000" w:themeColor="text1"/>
          <w:szCs w:val="24"/>
        </w:rPr>
        <w:t>4</w:t>
      </w:r>
      <w:r w:rsidR="00E16F0C" w:rsidRPr="00B43596">
        <w:rPr>
          <w:rStyle w:val="Strong"/>
          <w:rFonts w:eastAsia="Times New Roman" w:cs="Times New Roman"/>
          <w:b/>
          <w:color w:val="000000" w:themeColor="text1"/>
        </w:rPr>
        <w:t>.4 Effect of NPK Fertilizer on Fresh and Dry Weight</w:t>
      </w:r>
      <w:bookmarkEnd w:id="46"/>
    </w:p>
    <w:p w14:paraId="548D1046" w14:textId="77777777" w:rsidR="00DB6A88" w:rsidRPr="00DA4855" w:rsidRDefault="005E18B6" w:rsidP="00DA4855">
      <w:pPr>
        <w:pStyle w:val="NormalWeb"/>
        <w:spacing w:line="480" w:lineRule="auto"/>
        <w:jc w:val="both"/>
      </w:pPr>
      <w:r w:rsidRPr="00DA4855">
        <w:t>F</w:t>
      </w:r>
      <w:r w:rsidR="00964D52" w:rsidRPr="00DA4855">
        <w:rPr>
          <w:color w:val="000000" w:themeColor="text1"/>
        </w:rPr>
        <w:t>resh and dry biomass accumulation followed a pattern similar to that of plant height and leaf number. The highest fresh and dry weights were observed at 4 g NPK, where</w:t>
      </w:r>
      <w:r w:rsidR="00964D52" w:rsidRPr="00DA4855">
        <w:rPr>
          <w:i/>
          <w:iCs/>
          <w:color w:val="000000" w:themeColor="text1"/>
        </w:rPr>
        <w:t xml:space="preserve"> Sorghum bicolor</w:t>
      </w:r>
      <w:r w:rsidR="00964D52" w:rsidRPr="00DA4855">
        <w:rPr>
          <w:color w:val="000000" w:themeColor="text1"/>
        </w:rPr>
        <w:t xml:space="preserve"> recorded 13.80 ± 1.32 g (fresh) and 6.90 ± 0.60 g (dry), while </w:t>
      </w:r>
      <w:r w:rsidR="00964D52" w:rsidRPr="00DA4855">
        <w:rPr>
          <w:i/>
          <w:iCs/>
          <w:color w:val="000000" w:themeColor="text1"/>
        </w:rPr>
        <w:t>Triticum aestivum</w:t>
      </w:r>
      <w:r w:rsidR="00964D52" w:rsidRPr="00DA4855">
        <w:rPr>
          <w:color w:val="000000" w:themeColor="text1"/>
        </w:rPr>
        <w:t xml:space="preserve"> had 12.60 ± 1.25 g (fresh) and 6.20 ± 0.60 g (dry). </w:t>
      </w:r>
    </w:p>
    <w:p w14:paraId="1DBA7615" w14:textId="2CF88182" w:rsidR="00C2082F" w:rsidRPr="00DA4855" w:rsidRDefault="00C2082F" w:rsidP="00DA4855">
      <w:pPr>
        <w:pStyle w:val="NormalWeb"/>
        <w:spacing w:line="480" w:lineRule="auto"/>
        <w:jc w:val="both"/>
      </w:pPr>
      <w:r w:rsidRPr="00DA4855">
        <w:t xml:space="preserve">Conversely, at the 6 g treatment, both fresh and dry weights declined, possibly due to osmotic inhibition and salt accumulation in the root zone (Zhao et al., 2017). The trend agrees with </w:t>
      </w:r>
      <w:r w:rsidRPr="00DA4855">
        <w:rPr>
          <w:rStyle w:val="Strong"/>
          <w:b w:val="0"/>
          <w:bCs w:val="0"/>
        </w:rPr>
        <w:t xml:space="preserve">Usman </w:t>
      </w:r>
      <w:r w:rsidRPr="00DA4855">
        <w:rPr>
          <w:rStyle w:val="Strong"/>
          <w:b w:val="0"/>
          <w:bCs w:val="0"/>
          <w:i/>
          <w:iCs/>
        </w:rPr>
        <w:t>et al.</w:t>
      </w:r>
      <w:r w:rsidRPr="00DA4855">
        <w:rPr>
          <w:rStyle w:val="Strong"/>
          <w:b w:val="0"/>
          <w:bCs w:val="0"/>
        </w:rPr>
        <w:t xml:space="preserve"> (2021)</w:t>
      </w:r>
      <w:r w:rsidRPr="00DA4855">
        <w:rPr>
          <w:b/>
          <w:bCs/>
        </w:rPr>
        <w:t xml:space="preserve">, </w:t>
      </w:r>
      <w:r w:rsidRPr="00DA4855">
        <w:t>who found that moderate NPK application increases shoot biomass and yield, but excessive levels cause metabolic stress and reduced tissue hydration.</w:t>
      </w:r>
    </w:p>
    <w:p w14:paraId="1550D108" w14:textId="77777777" w:rsidR="00C2082F" w:rsidRPr="00DA4855" w:rsidRDefault="00C2082F" w:rsidP="00DA4855">
      <w:pPr>
        <w:pStyle w:val="NormalWeb"/>
        <w:spacing w:line="480" w:lineRule="auto"/>
        <w:jc w:val="both"/>
      </w:pPr>
      <w:r w:rsidRPr="00DA4855">
        <w:rPr>
          <w:rStyle w:val="Emphasis"/>
        </w:rPr>
        <w:t>Sorghum bicolor</w:t>
      </w:r>
      <w:r w:rsidRPr="00DA4855">
        <w:t xml:space="preserve"> consistently recorded higher biomass values than </w:t>
      </w:r>
      <w:r w:rsidRPr="00DA4855">
        <w:rPr>
          <w:rStyle w:val="Emphasis"/>
        </w:rPr>
        <w:t>Triticum aestivum</w:t>
      </w:r>
      <w:r w:rsidRPr="00DA4855">
        <w:t xml:space="preserve">, implying that sorghum is more efficient at nutrient assimilation and water utilization under the semi-arid conditions of Sokoto State (Ajeigbe </w:t>
      </w:r>
      <w:r w:rsidRPr="00DA4855">
        <w:rPr>
          <w:i/>
          <w:iCs/>
        </w:rPr>
        <w:t>et</w:t>
      </w:r>
      <w:r w:rsidRPr="00DA4855">
        <w:t xml:space="preserve"> </w:t>
      </w:r>
      <w:r w:rsidRPr="00DA4855">
        <w:rPr>
          <w:i/>
          <w:iCs/>
        </w:rPr>
        <w:t>al</w:t>
      </w:r>
      <w:r w:rsidRPr="00DA4855">
        <w:t>., 2021; IITA, 2021).</w:t>
      </w:r>
    </w:p>
    <w:p w14:paraId="08FCA4E7" w14:textId="77777777" w:rsidR="00154525" w:rsidRDefault="00154525" w:rsidP="00AA4521">
      <w:pPr>
        <w:divId w:val="1143158371"/>
        <w:rPr>
          <w:b/>
          <w:bCs/>
          <w:color w:val="000000" w:themeColor="text1"/>
        </w:rPr>
      </w:pPr>
    </w:p>
    <w:p w14:paraId="7072A8FB" w14:textId="77777777" w:rsidR="00154525" w:rsidRDefault="00154525" w:rsidP="00AA4521">
      <w:pPr>
        <w:divId w:val="1143158371"/>
        <w:rPr>
          <w:b/>
          <w:bCs/>
          <w:color w:val="000000" w:themeColor="text1"/>
        </w:rPr>
      </w:pPr>
    </w:p>
    <w:p w14:paraId="47D4D8F8" w14:textId="77777777" w:rsidR="00154525" w:rsidRDefault="00154525" w:rsidP="00AA4521">
      <w:pPr>
        <w:divId w:val="1143158371"/>
        <w:rPr>
          <w:b/>
          <w:bCs/>
          <w:color w:val="000000" w:themeColor="text1"/>
        </w:rPr>
      </w:pPr>
    </w:p>
    <w:p w14:paraId="1C9C77E4" w14:textId="77777777" w:rsidR="00154525" w:rsidRDefault="00154525" w:rsidP="00AA4521">
      <w:pPr>
        <w:divId w:val="1143158371"/>
        <w:rPr>
          <w:b/>
          <w:bCs/>
          <w:color w:val="000000" w:themeColor="text1"/>
        </w:rPr>
      </w:pPr>
    </w:p>
    <w:p w14:paraId="37E9676B" w14:textId="77777777" w:rsidR="00154525" w:rsidRDefault="00154525" w:rsidP="00AA4521">
      <w:pPr>
        <w:divId w:val="1143158371"/>
        <w:rPr>
          <w:b/>
          <w:bCs/>
          <w:color w:val="000000" w:themeColor="text1"/>
        </w:rPr>
      </w:pPr>
    </w:p>
    <w:p w14:paraId="4B5FF4BE" w14:textId="77777777" w:rsidR="00154525" w:rsidRDefault="00154525" w:rsidP="00AA4521">
      <w:pPr>
        <w:divId w:val="1143158371"/>
        <w:rPr>
          <w:b/>
          <w:bCs/>
          <w:color w:val="000000" w:themeColor="text1"/>
        </w:rPr>
      </w:pPr>
    </w:p>
    <w:p w14:paraId="2BFCD7CA" w14:textId="77777777" w:rsidR="00154525" w:rsidRDefault="00154525" w:rsidP="00AA4521">
      <w:pPr>
        <w:divId w:val="1143158371"/>
        <w:rPr>
          <w:b/>
          <w:bCs/>
          <w:color w:val="000000" w:themeColor="text1"/>
        </w:rPr>
      </w:pPr>
    </w:p>
    <w:p w14:paraId="30834DD6" w14:textId="77777777" w:rsidR="00EA0AEA" w:rsidRDefault="00EA0AEA" w:rsidP="00AA4521">
      <w:pPr>
        <w:divId w:val="1143158371"/>
        <w:rPr>
          <w:b/>
          <w:bCs/>
          <w:color w:val="000000" w:themeColor="text1"/>
        </w:rPr>
      </w:pPr>
    </w:p>
    <w:p w14:paraId="1B44C7F9" w14:textId="77777777" w:rsidR="00EA0AEA" w:rsidRDefault="00EA0AEA" w:rsidP="00AA4521">
      <w:pPr>
        <w:divId w:val="1143158371"/>
        <w:rPr>
          <w:b/>
          <w:bCs/>
          <w:color w:val="000000" w:themeColor="text1"/>
        </w:rPr>
      </w:pPr>
    </w:p>
    <w:p w14:paraId="16131200" w14:textId="195D880D" w:rsidR="00E16F0C" w:rsidRPr="00B43596" w:rsidRDefault="00E16F0C" w:rsidP="000E1989">
      <w:pPr>
        <w:pStyle w:val="Heading1"/>
        <w:divId w:val="1143158371"/>
        <w:rPr>
          <w:rFonts w:eastAsia="Times New Roman"/>
          <w:b w:val="0"/>
        </w:rPr>
      </w:pPr>
      <w:bookmarkStart w:id="47" w:name="_Toc214285910"/>
      <w:r w:rsidRPr="00B43596">
        <w:rPr>
          <w:rStyle w:val="Strong"/>
          <w:rFonts w:eastAsia="Times New Roman" w:cs="Times New Roman"/>
          <w:b/>
          <w:i/>
          <w:iCs/>
          <w:color w:val="000000" w:themeColor="text1"/>
        </w:rPr>
        <w:t xml:space="preserve">Table </w:t>
      </w:r>
      <w:r w:rsidR="0009656C">
        <w:rPr>
          <w:rStyle w:val="Strong"/>
          <w:rFonts w:eastAsia="Times New Roman" w:cs="Times New Roman"/>
          <w:b/>
          <w:i/>
          <w:iCs/>
          <w:color w:val="000000" w:themeColor="text1"/>
        </w:rPr>
        <w:t>4.</w:t>
      </w:r>
      <w:r w:rsidR="00154525" w:rsidRPr="00B43596">
        <w:rPr>
          <w:rStyle w:val="Strong"/>
          <w:rFonts w:eastAsia="Times New Roman" w:cs="Times New Roman"/>
          <w:b/>
          <w:i/>
          <w:iCs/>
          <w:color w:val="000000" w:themeColor="text1"/>
        </w:rPr>
        <w:t>4</w:t>
      </w:r>
      <w:r w:rsidRPr="00B43596">
        <w:rPr>
          <w:rStyle w:val="Strong"/>
          <w:rFonts w:eastAsia="Times New Roman" w:cs="Times New Roman"/>
          <w:b/>
          <w:i/>
          <w:iCs/>
          <w:color w:val="000000" w:themeColor="text1"/>
        </w:rPr>
        <w:t xml:space="preserve">: Effect of NPK Fertilizer on Fresh and Dry Weight (g) of </w:t>
      </w:r>
      <w:r w:rsidRPr="00B43596">
        <w:rPr>
          <w:rStyle w:val="Emphasis"/>
          <w:rFonts w:eastAsia="Times New Roman" w:cs="Times New Roman"/>
          <w:b w:val="0"/>
          <w:bCs/>
          <w:i w:val="0"/>
          <w:iCs w:val="0"/>
          <w:color w:val="000000" w:themeColor="text1"/>
        </w:rPr>
        <w:t>Sorghum bicolor</w:t>
      </w:r>
      <w:r w:rsidRPr="00B43596">
        <w:rPr>
          <w:rStyle w:val="Strong"/>
          <w:rFonts w:eastAsia="Times New Roman" w:cs="Times New Roman"/>
          <w:b/>
          <w:i/>
          <w:iCs/>
          <w:color w:val="000000" w:themeColor="text1"/>
        </w:rPr>
        <w:t xml:space="preserve"> and </w:t>
      </w:r>
      <w:r w:rsidRPr="00B43596">
        <w:rPr>
          <w:rStyle w:val="Emphasis"/>
          <w:rFonts w:eastAsia="Times New Roman" w:cs="Times New Roman"/>
          <w:b w:val="0"/>
          <w:bCs/>
          <w:i w:val="0"/>
          <w:iCs w:val="0"/>
          <w:color w:val="000000" w:themeColor="text1"/>
        </w:rPr>
        <w:t>Triticum aestivum</w:t>
      </w:r>
      <w:bookmarkEnd w:id="47"/>
    </w:p>
    <w:tbl>
      <w:tblPr>
        <w:tblW w:w="7839" w:type="dxa"/>
        <w:tblCellSpacing w:w="15" w:type="dxa"/>
        <w:tblCellMar>
          <w:top w:w="15" w:type="dxa"/>
          <w:left w:w="15" w:type="dxa"/>
          <w:bottom w:w="15" w:type="dxa"/>
          <w:right w:w="15" w:type="dxa"/>
        </w:tblCellMar>
        <w:tblLook w:val="04A0" w:firstRow="1" w:lastRow="0" w:firstColumn="1" w:lastColumn="0" w:noHBand="0" w:noVBand="1"/>
      </w:tblPr>
      <w:tblGrid>
        <w:gridCol w:w="2769"/>
        <w:gridCol w:w="2666"/>
        <w:gridCol w:w="2404"/>
      </w:tblGrid>
      <w:tr w:rsidR="00E16F0C" w:rsidRPr="006A2EC9" w14:paraId="5E55A6B0" w14:textId="77777777" w:rsidTr="00020F85">
        <w:trPr>
          <w:trHeight w:val="547"/>
          <w:tblHeader/>
          <w:tblCellSpacing w:w="15" w:type="dxa"/>
        </w:trPr>
        <w:tc>
          <w:tcPr>
            <w:tcW w:w="0" w:type="auto"/>
            <w:tcBorders>
              <w:top w:val="single" w:sz="4" w:space="0" w:color="auto"/>
              <w:bottom w:val="single" w:sz="4" w:space="0" w:color="auto"/>
            </w:tcBorders>
            <w:vAlign w:val="center"/>
            <w:hideMark/>
          </w:tcPr>
          <w:p w14:paraId="74A64052" w14:textId="77777777" w:rsidR="00E16F0C" w:rsidRPr="006A2EC9" w:rsidRDefault="00E16F0C" w:rsidP="006A2EC9">
            <w:pPr>
              <w:spacing w:line="480" w:lineRule="auto"/>
              <w:jc w:val="center"/>
              <w:rPr>
                <w:rFonts w:ascii="Times New Roman" w:eastAsia="Times New Roman" w:hAnsi="Times New Roman" w:cs="Times New Roman"/>
                <w:b/>
                <w:bCs/>
              </w:rPr>
            </w:pPr>
            <w:r w:rsidRPr="006A2EC9">
              <w:rPr>
                <w:rFonts w:ascii="Times New Roman" w:eastAsia="Times New Roman" w:hAnsi="Times New Roman" w:cs="Times New Roman"/>
                <w:b/>
                <w:bCs/>
              </w:rPr>
              <w:t>Treatment</w:t>
            </w:r>
          </w:p>
        </w:tc>
        <w:tc>
          <w:tcPr>
            <w:tcW w:w="0" w:type="auto"/>
            <w:tcBorders>
              <w:top w:val="single" w:sz="4" w:space="0" w:color="auto"/>
              <w:bottom w:val="single" w:sz="4" w:space="0" w:color="auto"/>
            </w:tcBorders>
            <w:vAlign w:val="center"/>
            <w:hideMark/>
          </w:tcPr>
          <w:p w14:paraId="28FE7E14" w14:textId="77777777" w:rsidR="00E16F0C" w:rsidRPr="006A2EC9" w:rsidRDefault="00E16F0C" w:rsidP="006A2EC9">
            <w:pPr>
              <w:spacing w:line="480" w:lineRule="auto"/>
              <w:jc w:val="center"/>
              <w:rPr>
                <w:rFonts w:ascii="Times New Roman" w:eastAsia="Times New Roman" w:hAnsi="Times New Roman" w:cs="Times New Roman"/>
                <w:b/>
                <w:bCs/>
              </w:rPr>
            </w:pPr>
            <w:r w:rsidRPr="006A2EC9">
              <w:rPr>
                <w:rFonts w:ascii="Times New Roman" w:eastAsia="Times New Roman" w:hAnsi="Times New Roman" w:cs="Times New Roman"/>
                <w:b/>
                <w:bCs/>
              </w:rPr>
              <w:t>Fresh Weight (g)</w:t>
            </w:r>
          </w:p>
        </w:tc>
        <w:tc>
          <w:tcPr>
            <w:tcW w:w="0" w:type="auto"/>
            <w:tcBorders>
              <w:top w:val="single" w:sz="4" w:space="0" w:color="auto"/>
              <w:bottom w:val="single" w:sz="4" w:space="0" w:color="auto"/>
            </w:tcBorders>
            <w:vAlign w:val="center"/>
            <w:hideMark/>
          </w:tcPr>
          <w:p w14:paraId="46379B82" w14:textId="77777777" w:rsidR="00E16F0C" w:rsidRPr="006A2EC9" w:rsidRDefault="00E16F0C" w:rsidP="006A2EC9">
            <w:pPr>
              <w:spacing w:line="480" w:lineRule="auto"/>
              <w:jc w:val="center"/>
              <w:rPr>
                <w:rFonts w:ascii="Times New Roman" w:eastAsia="Times New Roman" w:hAnsi="Times New Roman" w:cs="Times New Roman"/>
                <w:b/>
                <w:bCs/>
              </w:rPr>
            </w:pPr>
            <w:r w:rsidRPr="006A2EC9">
              <w:rPr>
                <w:rFonts w:ascii="Times New Roman" w:eastAsia="Times New Roman" w:hAnsi="Times New Roman" w:cs="Times New Roman"/>
                <w:b/>
                <w:bCs/>
              </w:rPr>
              <w:t>Dry Weight (g)</w:t>
            </w:r>
          </w:p>
        </w:tc>
      </w:tr>
      <w:tr w:rsidR="00E16F0C" w:rsidRPr="006A2EC9" w14:paraId="23DF8992" w14:textId="77777777" w:rsidTr="00273E61">
        <w:trPr>
          <w:trHeight w:val="547"/>
          <w:tblCellSpacing w:w="15" w:type="dxa"/>
        </w:trPr>
        <w:tc>
          <w:tcPr>
            <w:tcW w:w="0" w:type="auto"/>
            <w:vAlign w:val="center"/>
            <w:hideMark/>
          </w:tcPr>
          <w:p w14:paraId="16E88D53" w14:textId="77777777" w:rsidR="00E16F0C" w:rsidRPr="006A2EC9" w:rsidRDefault="00E16F0C" w:rsidP="006A2EC9">
            <w:pPr>
              <w:spacing w:line="480" w:lineRule="auto"/>
              <w:jc w:val="center"/>
              <w:rPr>
                <w:rFonts w:ascii="Times New Roman" w:eastAsia="Times New Roman" w:hAnsi="Times New Roman" w:cs="Times New Roman"/>
              </w:rPr>
            </w:pPr>
            <w:r w:rsidRPr="006A2EC9">
              <w:rPr>
                <w:rFonts w:ascii="Times New Roman" w:eastAsia="Times New Roman" w:hAnsi="Times New Roman" w:cs="Times New Roman"/>
              </w:rPr>
              <w:t>Sorghum (0 g)</w:t>
            </w:r>
            <w:bookmarkStart w:id="48" w:name="_GoBack"/>
            <w:bookmarkEnd w:id="48"/>
          </w:p>
        </w:tc>
        <w:tc>
          <w:tcPr>
            <w:tcW w:w="0" w:type="auto"/>
            <w:vAlign w:val="center"/>
            <w:hideMark/>
          </w:tcPr>
          <w:p w14:paraId="72826564" w14:textId="3692E714" w:rsidR="00E16F0C" w:rsidRPr="00AE3CC4" w:rsidRDefault="00AE3CC4"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8.22 ± 1.01</w:t>
            </w:r>
            <w:r>
              <w:rPr>
                <w:rFonts w:ascii="Times New Roman" w:eastAsia="Times New Roman" w:hAnsi="Times New Roman" w:cs="Times New Roman"/>
                <w:vertAlign w:val="superscript"/>
              </w:rPr>
              <w:t>c</w:t>
            </w:r>
          </w:p>
        </w:tc>
        <w:tc>
          <w:tcPr>
            <w:tcW w:w="0" w:type="auto"/>
            <w:vAlign w:val="center"/>
            <w:hideMark/>
          </w:tcPr>
          <w:p w14:paraId="0F78AF08" w14:textId="7C2E19AA" w:rsidR="00E16F0C" w:rsidRPr="00AE3CC4" w:rsidRDefault="00AE3CC4"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3.65 ± 0.42</w:t>
            </w:r>
            <w:r>
              <w:rPr>
                <w:rFonts w:ascii="Times New Roman" w:eastAsia="Times New Roman" w:hAnsi="Times New Roman" w:cs="Times New Roman"/>
                <w:vertAlign w:val="superscript"/>
              </w:rPr>
              <w:t>c</w:t>
            </w:r>
          </w:p>
        </w:tc>
      </w:tr>
      <w:tr w:rsidR="00E16F0C" w:rsidRPr="006A2EC9" w14:paraId="78928D68" w14:textId="77777777" w:rsidTr="00273E61">
        <w:trPr>
          <w:trHeight w:val="547"/>
          <w:tblCellSpacing w:w="15" w:type="dxa"/>
        </w:trPr>
        <w:tc>
          <w:tcPr>
            <w:tcW w:w="0" w:type="auto"/>
            <w:vAlign w:val="center"/>
            <w:hideMark/>
          </w:tcPr>
          <w:p w14:paraId="51AD5A57" w14:textId="3F844E22" w:rsidR="00E16F0C" w:rsidRPr="006A2EC9" w:rsidRDefault="008F55C4" w:rsidP="006A2EC9">
            <w:pPr>
              <w:spacing w:line="480" w:lineRule="auto"/>
              <w:jc w:val="center"/>
              <w:rPr>
                <w:rFonts w:ascii="Times New Roman" w:eastAsia="Times New Roman" w:hAnsi="Times New Roman" w:cs="Times New Roman"/>
              </w:rPr>
            </w:pPr>
            <w:r>
              <w:rPr>
                <w:rFonts w:ascii="Times New Roman" w:eastAsia="Times New Roman" w:hAnsi="Times New Roman" w:cs="Times New Roman"/>
              </w:rPr>
              <w:t>ssss</w:t>
            </w:r>
            <w:r w:rsidR="00E16F0C" w:rsidRPr="006A2EC9">
              <w:rPr>
                <w:rFonts w:ascii="Times New Roman" w:eastAsia="Times New Roman" w:hAnsi="Times New Roman" w:cs="Times New Roman"/>
              </w:rPr>
              <w:t>Sorghum (2 g)</w:t>
            </w:r>
          </w:p>
        </w:tc>
        <w:tc>
          <w:tcPr>
            <w:tcW w:w="0" w:type="auto"/>
            <w:vAlign w:val="center"/>
            <w:hideMark/>
          </w:tcPr>
          <w:p w14:paraId="026F8D35" w14:textId="115A37ED" w:rsidR="00E16F0C" w:rsidRPr="00AE3CC4" w:rsidRDefault="00AE3CC4"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11.40 ± 1.20</w:t>
            </w:r>
            <w:r>
              <w:rPr>
                <w:rFonts w:ascii="Times New Roman" w:eastAsia="Times New Roman" w:hAnsi="Times New Roman" w:cs="Times New Roman"/>
                <w:vertAlign w:val="superscript"/>
              </w:rPr>
              <w:t>b</w:t>
            </w:r>
          </w:p>
        </w:tc>
        <w:tc>
          <w:tcPr>
            <w:tcW w:w="0" w:type="auto"/>
            <w:vAlign w:val="center"/>
            <w:hideMark/>
          </w:tcPr>
          <w:p w14:paraId="0C88D651" w14:textId="0DDA194E" w:rsidR="00E16F0C" w:rsidRPr="00AE3CC4" w:rsidRDefault="00AE3CC4"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5.45 ± 0.55</w:t>
            </w:r>
            <w:r>
              <w:rPr>
                <w:rFonts w:ascii="Times New Roman" w:eastAsia="Times New Roman" w:hAnsi="Times New Roman" w:cs="Times New Roman"/>
                <w:vertAlign w:val="superscript"/>
              </w:rPr>
              <w:t>b</w:t>
            </w:r>
          </w:p>
        </w:tc>
      </w:tr>
      <w:tr w:rsidR="00E16F0C" w:rsidRPr="006A2EC9" w14:paraId="147B55CC" w14:textId="77777777" w:rsidTr="00273E61">
        <w:trPr>
          <w:trHeight w:val="547"/>
          <w:tblCellSpacing w:w="15" w:type="dxa"/>
        </w:trPr>
        <w:tc>
          <w:tcPr>
            <w:tcW w:w="0" w:type="auto"/>
            <w:vAlign w:val="center"/>
            <w:hideMark/>
          </w:tcPr>
          <w:p w14:paraId="2947D785" w14:textId="77777777" w:rsidR="00E16F0C" w:rsidRPr="006A2EC9" w:rsidRDefault="00E16F0C" w:rsidP="006A2EC9">
            <w:pPr>
              <w:spacing w:line="480" w:lineRule="auto"/>
              <w:jc w:val="center"/>
              <w:rPr>
                <w:rFonts w:ascii="Times New Roman" w:eastAsia="Times New Roman" w:hAnsi="Times New Roman" w:cs="Times New Roman"/>
              </w:rPr>
            </w:pPr>
            <w:r w:rsidRPr="006A2EC9">
              <w:rPr>
                <w:rFonts w:ascii="Times New Roman" w:eastAsia="Times New Roman" w:hAnsi="Times New Roman" w:cs="Times New Roman"/>
              </w:rPr>
              <w:t>Sorghum (4 g)</w:t>
            </w:r>
          </w:p>
        </w:tc>
        <w:tc>
          <w:tcPr>
            <w:tcW w:w="0" w:type="auto"/>
            <w:vAlign w:val="center"/>
            <w:hideMark/>
          </w:tcPr>
          <w:p w14:paraId="4423C08A" w14:textId="77F2E786" w:rsidR="00E16F0C" w:rsidRPr="00E40E58" w:rsidRDefault="00E16F0C" w:rsidP="006A2EC9">
            <w:pPr>
              <w:spacing w:line="480" w:lineRule="auto"/>
              <w:jc w:val="center"/>
              <w:rPr>
                <w:rFonts w:ascii="Times New Roman" w:eastAsia="Times New Roman" w:hAnsi="Times New Roman" w:cs="Times New Roman"/>
                <w:vertAlign w:val="superscript"/>
              </w:rPr>
            </w:pPr>
            <w:r w:rsidRPr="006A2EC9">
              <w:rPr>
                <w:rFonts w:ascii="Times New Roman" w:eastAsia="Times New Roman" w:hAnsi="Times New Roman" w:cs="Times New Roman"/>
              </w:rPr>
              <w:t>1</w:t>
            </w:r>
            <w:r w:rsidR="00E40E58">
              <w:rPr>
                <w:rFonts w:ascii="Times New Roman" w:eastAsia="Times New Roman" w:hAnsi="Times New Roman" w:cs="Times New Roman"/>
              </w:rPr>
              <w:t>3.80 ± 1.32</w:t>
            </w:r>
            <w:r w:rsidR="00E40E58">
              <w:rPr>
                <w:rFonts w:ascii="Times New Roman" w:eastAsia="Times New Roman" w:hAnsi="Times New Roman" w:cs="Times New Roman"/>
                <w:vertAlign w:val="superscript"/>
              </w:rPr>
              <w:t>a</w:t>
            </w:r>
          </w:p>
        </w:tc>
        <w:tc>
          <w:tcPr>
            <w:tcW w:w="0" w:type="auto"/>
            <w:vAlign w:val="center"/>
            <w:hideMark/>
          </w:tcPr>
          <w:p w14:paraId="2A9E42F4" w14:textId="29559430"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6.90 ± 0.60</w:t>
            </w:r>
            <w:r>
              <w:rPr>
                <w:rFonts w:ascii="Times New Roman" w:eastAsia="Times New Roman" w:hAnsi="Times New Roman" w:cs="Times New Roman"/>
                <w:vertAlign w:val="superscript"/>
              </w:rPr>
              <w:t>a</w:t>
            </w:r>
          </w:p>
        </w:tc>
      </w:tr>
      <w:tr w:rsidR="00E16F0C" w:rsidRPr="006A2EC9" w14:paraId="4039EFCB" w14:textId="77777777" w:rsidTr="00273E61">
        <w:trPr>
          <w:trHeight w:val="547"/>
          <w:tblCellSpacing w:w="15" w:type="dxa"/>
        </w:trPr>
        <w:tc>
          <w:tcPr>
            <w:tcW w:w="0" w:type="auto"/>
            <w:vAlign w:val="center"/>
            <w:hideMark/>
          </w:tcPr>
          <w:p w14:paraId="5A972DB4" w14:textId="77777777" w:rsidR="00E16F0C" w:rsidRPr="006A2EC9" w:rsidRDefault="00E16F0C" w:rsidP="006A2EC9">
            <w:pPr>
              <w:spacing w:line="480" w:lineRule="auto"/>
              <w:jc w:val="center"/>
              <w:rPr>
                <w:rFonts w:ascii="Times New Roman" w:eastAsia="Times New Roman" w:hAnsi="Times New Roman" w:cs="Times New Roman"/>
              </w:rPr>
            </w:pPr>
            <w:r w:rsidRPr="006A2EC9">
              <w:rPr>
                <w:rFonts w:ascii="Times New Roman" w:eastAsia="Times New Roman" w:hAnsi="Times New Roman" w:cs="Times New Roman"/>
              </w:rPr>
              <w:t>Sorghum (6 g)</w:t>
            </w:r>
          </w:p>
        </w:tc>
        <w:tc>
          <w:tcPr>
            <w:tcW w:w="0" w:type="auto"/>
            <w:vAlign w:val="center"/>
            <w:hideMark/>
          </w:tcPr>
          <w:p w14:paraId="74C12DE0" w14:textId="54827A72"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9.70 ± 1.15</w:t>
            </w:r>
            <w:r>
              <w:rPr>
                <w:rFonts w:ascii="Times New Roman" w:eastAsia="Times New Roman" w:hAnsi="Times New Roman" w:cs="Times New Roman"/>
                <w:vertAlign w:val="superscript"/>
              </w:rPr>
              <w:t>bc</w:t>
            </w:r>
          </w:p>
        </w:tc>
        <w:tc>
          <w:tcPr>
            <w:tcW w:w="0" w:type="auto"/>
            <w:vAlign w:val="center"/>
            <w:hideMark/>
          </w:tcPr>
          <w:p w14:paraId="3209E243" w14:textId="23619788"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4.12 ± 0.52</w:t>
            </w:r>
            <w:r>
              <w:rPr>
                <w:rFonts w:ascii="Times New Roman" w:eastAsia="Times New Roman" w:hAnsi="Times New Roman" w:cs="Times New Roman"/>
                <w:vertAlign w:val="superscript"/>
              </w:rPr>
              <w:t>bc</w:t>
            </w:r>
          </w:p>
        </w:tc>
      </w:tr>
      <w:tr w:rsidR="00E16F0C" w:rsidRPr="006A2EC9" w14:paraId="190FCD68" w14:textId="77777777" w:rsidTr="00273E61">
        <w:trPr>
          <w:trHeight w:val="547"/>
          <w:tblCellSpacing w:w="15" w:type="dxa"/>
        </w:trPr>
        <w:tc>
          <w:tcPr>
            <w:tcW w:w="0" w:type="auto"/>
            <w:vAlign w:val="center"/>
            <w:hideMark/>
          </w:tcPr>
          <w:p w14:paraId="09B11538" w14:textId="77777777" w:rsidR="00E16F0C" w:rsidRPr="006A2EC9" w:rsidRDefault="00E16F0C" w:rsidP="006A2EC9">
            <w:pPr>
              <w:spacing w:line="480" w:lineRule="auto"/>
              <w:jc w:val="center"/>
              <w:rPr>
                <w:rFonts w:ascii="Times New Roman" w:eastAsia="Times New Roman" w:hAnsi="Times New Roman" w:cs="Times New Roman"/>
              </w:rPr>
            </w:pPr>
            <w:r w:rsidRPr="006A2EC9">
              <w:rPr>
                <w:rFonts w:ascii="Times New Roman" w:eastAsia="Times New Roman" w:hAnsi="Times New Roman" w:cs="Times New Roman"/>
              </w:rPr>
              <w:t>Wheat (0 g)</w:t>
            </w:r>
          </w:p>
        </w:tc>
        <w:tc>
          <w:tcPr>
            <w:tcW w:w="0" w:type="auto"/>
            <w:vAlign w:val="center"/>
            <w:hideMark/>
          </w:tcPr>
          <w:p w14:paraId="6987A9FB" w14:textId="734CCC74"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7.80 ± 0.90</w:t>
            </w:r>
            <w:r>
              <w:rPr>
                <w:rFonts w:ascii="Times New Roman" w:eastAsia="Times New Roman" w:hAnsi="Times New Roman" w:cs="Times New Roman"/>
                <w:vertAlign w:val="superscript"/>
              </w:rPr>
              <w:t>c</w:t>
            </w:r>
          </w:p>
        </w:tc>
        <w:tc>
          <w:tcPr>
            <w:tcW w:w="0" w:type="auto"/>
            <w:vAlign w:val="center"/>
            <w:hideMark/>
          </w:tcPr>
          <w:p w14:paraId="1490FB92" w14:textId="65772161"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3.20 ± 0.35</w:t>
            </w:r>
            <w:r>
              <w:rPr>
                <w:rFonts w:ascii="Times New Roman" w:eastAsia="Times New Roman" w:hAnsi="Times New Roman" w:cs="Times New Roman"/>
                <w:vertAlign w:val="superscript"/>
              </w:rPr>
              <w:t>c</w:t>
            </w:r>
          </w:p>
        </w:tc>
      </w:tr>
      <w:tr w:rsidR="00E16F0C" w:rsidRPr="006A2EC9" w14:paraId="6B4C162B" w14:textId="77777777" w:rsidTr="00273E61">
        <w:trPr>
          <w:trHeight w:val="547"/>
          <w:tblCellSpacing w:w="15" w:type="dxa"/>
        </w:trPr>
        <w:tc>
          <w:tcPr>
            <w:tcW w:w="0" w:type="auto"/>
            <w:vAlign w:val="center"/>
            <w:hideMark/>
          </w:tcPr>
          <w:p w14:paraId="0E47DF8F" w14:textId="77777777" w:rsidR="00E16F0C" w:rsidRPr="006A2EC9" w:rsidRDefault="00E16F0C" w:rsidP="006A2EC9">
            <w:pPr>
              <w:spacing w:line="480" w:lineRule="auto"/>
              <w:jc w:val="center"/>
              <w:rPr>
                <w:rFonts w:ascii="Times New Roman" w:eastAsia="Times New Roman" w:hAnsi="Times New Roman" w:cs="Times New Roman"/>
              </w:rPr>
            </w:pPr>
            <w:r w:rsidRPr="006A2EC9">
              <w:rPr>
                <w:rFonts w:ascii="Times New Roman" w:eastAsia="Times New Roman" w:hAnsi="Times New Roman" w:cs="Times New Roman"/>
              </w:rPr>
              <w:t>Wheat (2 g)</w:t>
            </w:r>
          </w:p>
        </w:tc>
        <w:tc>
          <w:tcPr>
            <w:tcW w:w="0" w:type="auto"/>
            <w:vAlign w:val="center"/>
            <w:hideMark/>
          </w:tcPr>
          <w:p w14:paraId="76581D14" w14:textId="6EE5442C"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10.10 ± 1.10</w:t>
            </w:r>
            <w:r>
              <w:rPr>
                <w:rFonts w:ascii="Times New Roman" w:eastAsia="Times New Roman" w:hAnsi="Times New Roman" w:cs="Times New Roman"/>
                <w:vertAlign w:val="superscript"/>
              </w:rPr>
              <w:t>a</w:t>
            </w:r>
          </w:p>
        </w:tc>
        <w:tc>
          <w:tcPr>
            <w:tcW w:w="0" w:type="auto"/>
            <w:vAlign w:val="center"/>
            <w:hideMark/>
          </w:tcPr>
          <w:p w14:paraId="2D6087F2" w14:textId="6A53A694"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4.80 ± 0.50</w:t>
            </w:r>
            <w:r>
              <w:rPr>
                <w:rFonts w:ascii="Times New Roman" w:eastAsia="Times New Roman" w:hAnsi="Times New Roman" w:cs="Times New Roman"/>
                <w:vertAlign w:val="superscript"/>
              </w:rPr>
              <w:t>b</w:t>
            </w:r>
          </w:p>
        </w:tc>
      </w:tr>
      <w:tr w:rsidR="00E16F0C" w:rsidRPr="006A2EC9" w14:paraId="02B697C2" w14:textId="77777777" w:rsidTr="00273E61">
        <w:trPr>
          <w:trHeight w:val="535"/>
          <w:tblCellSpacing w:w="15" w:type="dxa"/>
        </w:trPr>
        <w:tc>
          <w:tcPr>
            <w:tcW w:w="0" w:type="auto"/>
            <w:vAlign w:val="center"/>
            <w:hideMark/>
          </w:tcPr>
          <w:p w14:paraId="60FB65DB" w14:textId="77777777" w:rsidR="00E16F0C" w:rsidRPr="006A2EC9" w:rsidRDefault="00E16F0C" w:rsidP="006A2EC9">
            <w:pPr>
              <w:spacing w:line="480" w:lineRule="auto"/>
              <w:jc w:val="center"/>
              <w:rPr>
                <w:rFonts w:ascii="Times New Roman" w:eastAsia="Times New Roman" w:hAnsi="Times New Roman" w:cs="Times New Roman"/>
              </w:rPr>
            </w:pPr>
            <w:r w:rsidRPr="006A2EC9">
              <w:rPr>
                <w:rFonts w:ascii="Times New Roman" w:eastAsia="Times New Roman" w:hAnsi="Times New Roman" w:cs="Times New Roman"/>
              </w:rPr>
              <w:t>Wheat (4 g)</w:t>
            </w:r>
          </w:p>
        </w:tc>
        <w:tc>
          <w:tcPr>
            <w:tcW w:w="0" w:type="auto"/>
            <w:vAlign w:val="center"/>
            <w:hideMark/>
          </w:tcPr>
          <w:p w14:paraId="277F7487" w14:textId="3AE90309"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12.60 ± 1.25</w:t>
            </w:r>
            <w:r>
              <w:rPr>
                <w:rFonts w:ascii="Times New Roman" w:eastAsia="Times New Roman" w:hAnsi="Times New Roman" w:cs="Times New Roman"/>
                <w:vertAlign w:val="superscript"/>
              </w:rPr>
              <w:t>a</w:t>
            </w:r>
          </w:p>
        </w:tc>
        <w:tc>
          <w:tcPr>
            <w:tcW w:w="0" w:type="auto"/>
            <w:vAlign w:val="center"/>
            <w:hideMark/>
          </w:tcPr>
          <w:p w14:paraId="5FA61D15" w14:textId="364436EF" w:rsidR="00E16F0C" w:rsidRPr="00E40E58" w:rsidRDefault="00E40E58" w:rsidP="006A2EC9">
            <w:pPr>
              <w:spacing w:line="480" w:lineRule="auto"/>
              <w:jc w:val="center"/>
              <w:rPr>
                <w:rFonts w:ascii="Times New Roman" w:eastAsia="Times New Roman" w:hAnsi="Times New Roman" w:cs="Times New Roman"/>
                <w:vertAlign w:val="superscript"/>
              </w:rPr>
            </w:pPr>
            <w:r>
              <w:rPr>
                <w:rFonts w:ascii="Times New Roman" w:eastAsia="Times New Roman" w:hAnsi="Times New Roman" w:cs="Times New Roman"/>
              </w:rPr>
              <w:t>6.20 ± 0.60</w:t>
            </w:r>
            <w:r>
              <w:rPr>
                <w:rFonts w:ascii="Times New Roman" w:eastAsia="Times New Roman" w:hAnsi="Times New Roman" w:cs="Times New Roman"/>
                <w:vertAlign w:val="superscript"/>
              </w:rPr>
              <w:t>a</w:t>
            </w:r>
          </w:p>
        </w:tc>
      </w:tr>
      <w:tr w:rsidR="00E16F0C" w:rsidRPr="006A2EC9" w14:paraId="1EE0183E" w14:textId="77777777" w:rsidTr="00020F85">
        <w:trPr>
          <w:trHeight w:val="559"/>
          <w:tblCellSpacing w:w="15" w:type="dxa"/>
        </w:trPr>
        <w:tc>
          <w:tcPr>
            <w:tcW w:w="0" w:type="auto"/>
            <w:tcBorders>
              <w:bottom w:val="single" w:sz="4" w:space="0" w:color="auto"/>
            </w:tcBorders>
            <w:vAlign w:val="center"/>
            <w:hideMark/>
          </w:tcPr>
          <w:p w14:paraId="31E89AE2" w14:textId="77777777" w:rsidR="00E16F0C" w:rsidRPr="006A2EC9" w:rsidRDefault="00E16F0C" w:rsidP="006A2EC9">
            <w:pPr>
              <w:spacing w:line="480" w:lineRule="auto"/>
              <w:jc w:val="center"/>
              <w:rPr>
                <w:rFonts w:ascii="Times New Roman" w:eastAsia="Times New Roman" w:hAnsi="Times New Roman" w:cs="Times New Roman"/>
              </w:rPr>
            </w:pPr>
            <w:r w:rsidRPr="006A2EC9">
              <w:rPr>
                <w:rFonts w:ascii="Times New Roman" w:eastAsia="Times New Roman" w:hAnsi="Times New Roman" w:cs="Times New Roman"/>
              </w:rPr>
              <w:t>Wheat (6 g)</w:t>
            </w:r>
          </w:p>
        </w:tc>
        <w:tc>
          <w:tcPr>
            <w:tcW w:w="0" w:type="auto"/>
            <w:tcBorders>
              <w:bottom w:val="single" w:sz="4" w:space="0" w:color="auto"/>
            </w:tcBorders>
            <w:vAlign w:val="center"/>
            <w:hideMark/>
          </w:tcPr>
          <w:p w14:paraId="438AACCA" w14:textId="511FB8A9" w:rsidR="00E16F0C" w:rsidRPr="00E40E58" w:rsidRDefault="00E16F0C" w:rsidP="00E40E58">
            <w:pPr>
              <w:spacing w:line="480" w:lineRule="auto"/>
              <w:jc w:val="center"/>
              <w:rPr>
                <w:rFonts w:ascii="Times New Roman" w:eastAsia="Times New Roman" w:hAnsi="Times New Roman" w:cs="Times New Roman"/>
                <w:vertAlign w:val="superscript"/>
              </w:rPr>
            </w:pPr>
            <w:r w:rsidRPr="006A2EC9">
              <w:rPr>
                <w:rFonts w:ascii="Times New Roman" w:eastAsia="Times New Roman" w:hAnsi="Times New Roman" w:cs="Times New Roman"/>
              </w:rPr>
              <w:t>8.80 ± 1.00</w:t>
            </w:r>
            <w:r w:rsidR="00E40E58">
              <w:rPr>
                <w:rFonts w:ascii="Times New Roman" w:eastAsia="Times New Roman" w:hAnsi="Times New Roman" w:cs="Times New Roman"/>
                <w:vertAlign w:val="superscript"/>
              </w:rPr>
              <w:t>bc</w:t>
            </w:r>
          </w:p>
        </w:tc>
        <w:tc>
          <w:tcPr>
            <w:tcW w:w="0" w:type="auto"/>
            <w:tcBorders>
              <w:bottom w:val="single" w:sz="4" w:space="0" w:color="auto"/>
            </w:tcBorders>
            <w:vAlign w:val="center"/>
            <w:hideMark/>
          </w:tcPr>
          <w:p w14:paraId="3A13A650" w14:textId="6322EE47" w:rsidR="00E16F0C" w:rsidRPr="00E40E58" w:rsidRDefault="00E16F0C" w:rsidP="006A2EC9">
            <w:pPr>
              <w:spacing w:line="480" w:lineRule="auto"/>
              <w:jc w:val="center"/>
              <w:rPr>
                <w:rFonts w:ascii="Times New Roman" w:eastAsia="Times New Roman" w:hAnsi="Times New Roman" w:cs="Times New Roman"/>
                <w:vertAlign w:val="superscript"/>
              </w:rPr>
            </w:pPr>
            <w:r w:rsidRPr="006A2EC9">
              <w:rPr>
                <w:rFonts w:ascii="Times New Roman" w:eastAsia="Times New Roman" w:hAnsi="Times New Roman" w:cs="Times New Roman"/>
              </w:rPr>
              <w:t>3</w:t>
            </w:r>
            <w:r w:rsidR="00E40E58">
              <w:rPr>
                <w:rFonts w:ascii="Times New Roman" w:eastAsia="Times New Roman" w:hAnsi="Times New Roman" w:cs="Times New Roman"/>
              </w:rPr>
              <w:t>.90 ± 0.45</w:t>
            </w:r>
            <w:r w:rsidR="00E40E58">
              <w:rPr>
                <w:rFonts w:ascii="Times New Roman" w:eastAsia="Times New Roman" w:hAnsi="Times New Roman" w:cs="Times New Roman"/>
                <w:vertAlign w:val="superscript"/>
              </w:rPr>
              <w:t>bc</w:t>
            </w:r>
          </w:p>
        </w:tc>
      </w:tr>
    </w:tbl>
    <w:p w14:paraId="5E710D36" w14:textId="6D5DA5E0" w:rsidR="00E16F0C" w:rsidRDefault="00020F85" w:rsidP="00B06D09">
      <w:pPr>
        <w:pStyle w:val="NormalWeb"/>
        <w:spacing w:line="480" w:lineRule="auto"/>
        <w:divId w:val="1143158371"/>
        <w:rPr>
          <w:rStyle w:val="Emphasis"/>
          <w:i w:val="0"/>
        </w:rPr>
      </w:pPr>
      <w:r w:rsidRPr="00020F85">
        <w:rPr>
          <w:rStyle w:val="Emphasis"/>
          <w:i w:val="0"/>
        </w:rPr>
        <w:t>Keys: Values that do not have same superscript were significantly different (p≤0.05)</w:t>
      </w:r>
    </w:p>
    <w:p w14:paraId="4005CD6C" w14:textId="77777777" w:rsidR="00746D4E" w:rsidRDefault="00746D4E" w:rsidP="00B06D09">
      <w:pPr>
        <w:pStyle w:val="NormalWeb"/>
        <w:spacing w:line="480" w:lineRule="auto"/>
        <w:divId w:val="1143158371"/>
        <w:rPr>
          <w:rStyle w:val="Emphasis"/>
          <w:i w:val="0"/>
        </w:rPr>
      </w:pPr>
    </w:p>
    <w:p w14:paraId="415221AC" w14:textId="77777777" w:rsidR="00746D4E" w:rsidRDefault="00746D4E" w:rsidP="00B06D09">
      <w:pPr>
        <w:pStyle w:val="NormalWeb"/>
        <w:spacing w:line="480" w:lineRule="auto"/>
        <w:divId w:val="1143158371"/>
        <w:rPr>
          <w:rStyle w:val="Emphasis"/>
          <w:i w:val="0"/>
        </w:rPr>
      </w:pPr>
    </w:p>
    <w:p w14:paraId="3FA32059" w14:textId="77777777" w:rsidR="00746D4E" w:rsidRDefault="00746D4E" w:rsidP="00B06D09">
      <w:pPr>
        <w:pStyle w:val="NormalWeb"/>
        <w:spacing w:line="480" w:lineRule="auto"/>
        <w:divId w:val="1143158371"/>
        <w:rPr>
          <w:rStyle w:val="Emphasis"/>
          <w:i w:val="0"/>
        </w:rPr>
      </w:pPr>
    </w:p>
    <w:p w14:paraId="1E1186A6" w14:textId="77777777" w:rsidR="00746D4E" w:rsidRDefault="00746D4E" w:rsidP="00B06D09">
      <w:pPr>
        <w:pStyle w:val="NormalWeb"/>
        <w:spacing w:line="480" w:lineRule="auto"/>
        <w:divId w:val="1143158371"/>
        <w:rPr>
          <w:rStyle w:val="Emphasis"/>
          <w:i w:val="0"/>
        </w:rPr>
      </w:pPr>
    </w:p>
    <w:p w14:paraId="6B878487" w14:textId="77777777" w:rsidR="00746D4E" w:rsidRPr="00B43596" w:rsidRDefault="00746D4E" w:rsidP="00B43596">
      <w:pPr>
        <w:pStyle w:val="Heading1"/>
        <w:jc w:val="center"/>
        <w:rPr>
          <w:rFonts w:eastAsia="Times New Roman"/>
          <w:b w:val="0"/>
          <w:kern w:val="0"/>
          <w14:ligatures w14:val="none"/>
        </w:rPr>
      </w:pPr>
      <w:bookmarkStart w:id="49" w:name="_Toc214285911"/>
      <w:r w:rsidRPr="00B43596">
        <w:rPr>
          <w:rStyle w:val="Strong"/>
          <w:rFonts w:eastAsia="Times New Roman" w:cs="Times New Roman"/>
          <w:b/>
          <w:color w:val="000000" w:themeColor="text1"/>
          <w:szCs w:val="24"/>
        </w:rPr>
        <w:t>CHAPTER FIVE</w:t>
      </w:r>
      <w:bookmarkEnd w:id="49"/>
    </w:p>
    <w:p w14:paraId="48F4310B" w14:textId="77777777" w:rsidR="00746D4E" w:rsidRPr="00B43596" w:rsidRDefault="00746D4E" w:rsidP="000E1989">
      <w:pPr>
        <w:pStyle w:val="Heading1"/>
        <w:rPr>
          <w:rFonts w:eastAsia="Times New Roman"/>
          <w:b w:val="0"/>
        </w:rPr>
      </w:pPr>
      <w:bookmarkStart w:id="50" w:name="_Toc214285912"/>
      <w:r w:rsidRPr="00B43596">
        <w:rPr>
          <w:rStyle w:val="Strong"/>
          <w:rFonts w:eastAsia="Times New Roman" w:cs="Times New Roman"/>
          <w:b/>
          <w:color w:val="000000" w:themeColor="text1"/>
          <w:szCs w:val="24"/>
        </w:rPr>
        <w:t>5.1 Discussion</w:t>
      </w:r>
      <w:bookmarkEnd w:id="50"/>
    </w:p>
    <w:p w14:paraId="5B0A5287" w14:textId="77777777" w:rsidR="00746D4E" w:rsidRPr="00820183" w:rsidRDefault="00746D4E" w:rsidP="00FF11FA">
      <w:pPr>
        <w:pStyle w:val="NormalWeb"/>
        <w:spacing w:line="480" w:lineRule="auto"/>
        <w:jc w:val="both"/>
      </w:pPr>
      <w:r w:rsidRPr="00820183">
        <w:t xml:space="preserve">The results of this study demonstrated that the application of NPK fertilizer significantly influenced seed germination and early seedling growth of </w:t>
      </w:r>
      <w:r w:rsidRPr="00820183">
        <w:rPr>
          <w:rStyle w:val="Emphasis"/>
        </w:rPr>
        <w:t>Sorghum bicolor</w:t>
      </w:r>
      <w:r w:rsidRPr="00820183">
        <w:t xml:space="preserve"> (sorghum) and </w:t>
      </w:r>
      <w:r w:rsidRPr="00820183">
        <w:rPr>
          <w:rStyle w:val="Emphasis"/>
        </w:rPr>
        <w:t>Triticum aestivum</w:t>
      </w:r>
      <w:r w:rsidRPr="00820183">
        <w:t xml:space="preserve"> (wheat). Across all measured parameters—germination percentage, seedling height, number of leaves, and biomass accumulation—plants treated with moderate concentrations (particularly 4 g of NPK) exhibited superior performance compared to the control and higher fertilizer levels. These results are in agreement with earlier studies that reported improved physiological performance of cereals under optimal fertilizer regimes (Adetunji </w:t>
      </w:r>
      <w:r w:rsidRPr="002E2B0C">
        <w:rPr>
          <w:i/>
          <w:iCs/>
        </w:rPr>
        <w:t>et al.</w:t>
      </w:r>
      <w:r w:rsidRPr="00820183">
        <w:t>, 2019; Ojo</w:t>
      </w:r>
      <w:r w:rsidRPr="002E2B0C">
        <w:rPr>
          <w:i/>
          <w:iCs/>
        </w:rPr>
        <w:t xml:space="preserve"> et al</w:t>
      </w:r>
      <w:r w:rsidRPr="00820183">
        <w:t>., 2021).</w:t>
      </w:r>
    </w:p>
    <w:p w14:paraId="360CF596" w14:textId="77777777" w:rsidR="00746D4E" w:rsidRPr="00820183" w:rsidRDefault="00746D4E" w:rsidP="00FF11FA">
      <w:pPr>
        <w:pStyle w:val="NormalWeb"/>
        <w:spacing w:line="480" w:lineRule="auto"/>
        <w:jc w:val="both"/>
      </w:pPr>
      <w:r w:rsidRPr="00820183">
        <w:t xml:space="preserve">From Table 1, germination percentage increased with NPK concentration up to 4 g, after which a decline was observed at 6 g treatment. This pattern suggests that while NPK enhances germination by improving nutrient availability for embryo activation, excessive doses may increase soil osmotic pressure, thus impairing water uptake necessary for seed imbibition (Marschner, 2012). The findings corroborate those of Ayeni (2011) and Sabo </w:t>
      </w:r>
      <w:r w:rsidRPr="00F46909">
        <w:rPr>
          <w:i/>
          <w:iCs/>
        </w:rPr>
        <w:t>et al.</w:t>
      </w:r>
      <w:r w:rsidRPr="00820183">
        <w:t xml:space="preserve"> (2020), who found that moderate fertilizer applications enhance seed germination through improved nutrient bioavailability. Conversely, excessive fertilization may lead to ion toxicity and reduce germination efficiency (Nduka </w:t>
      </w:r>
      <w:r w:rsidRPr="002E2B0C">
        <w:rPr>
          <w:i/>
          <w:iCs/>
        </w:rPr>
        <w:t>et al.,</w:t>
      </w:r>
      <w:r w:rsidRPr="00820183">
        <w:t xml:space="preserve"> 2020). Notably, </w:t>
      </w:r>
      <w:r w:rsidRPr="00820183">
        <w:rPr>
          <w:rStyle w:val="Emphasis"/>
        </w:rPr>
        <w:t>Sorghum bicolor</w:t>
      </w:r>
      <w:r w:rsidRPr="00820183">
        <w:t xml:space="preserve"> responded slightly better than </w:t>
      </w:r>
      <w:r w:rsidRPr="00820183">
        <w:rPr>
          <w:rStyle w:val="Emphasis"/>
        </w:rPr>
        <w:t>Triticum aestivum</w:t>
      </w:r>
      <w:r w:rsidRPr="00820183">
        <w:t xml:space="preserve"> under similar conditions, reflecting species-specific tolerance to nutrient concentration and soil chemistry (Aliyu</w:t>
      </w:r>
      <w:r w:rsidRPr="002E2B0C">
        <w:rPr>
          <w:i/>
          <w:iCs/>
        </w:rPr>
        <w:t xml:space="preserve"> et al</w:t>
      </w:r>
      <w:r w:rsidRPr="00820183">
        <w:t>., 2018).</w:t>
      </w:r>
    </w:p>
    <w:p w14:paraId="2A364E97" w14:textId="77777777" w:rsidR="00746D4E" w:rsidRPr="00820183" w:rsidRDefault="00746D4E" w:rsidP="00FF11FA">
      <w:pPr>
        <w:pStyle w:val="NormalWeb"/>
        <w:spacing w:line="480" w:lineRule="auto"/>
        <w:jc w:val="both"/>
      </w:pPr>
      <w:r w:rsidRPr="00820183">
        <w:t xml:space="preserve">As indicated in Table 2, seedling height of both </w:t>
      </w:r>
      <w:r w:rsidRPr="00820183">
        <w:rPr>
          <w:rStyle w:val="Emphasis"/>
        </w:rPr>
        <w:t>Sorghum bicolor</w:t>
      </w:r>
      <w:r w:rsidRPr="00820183">
        <w:t xml:space="preserve"> and </w:t>
      </w:r>
      <w:r w:rsidRPr="00820183">
        <w:rPr>
          <w:rStyle w:val="Emphasis"/>
        </w:rPr>
        <w:t>Triticum aestivum</w:t>
      </w:r>
      <w:r w:rsidRPr="00820183">
        <w:t xml:space="preserve"> increased significantly with NPK levels up to 4 g, with </w:t>
      </w:r>
      <w:r w:rsidRPr="00820183">
        <w:rPr>
          <w:rStyle w:val="Emphasis"/>
        </w:rPr>
        <w:t>Sorghum bicolor</w:t>
      </w:r>
      <w:r w:rsidRPr="00820183">
        <w:t xml:space="preserve"> attaining a maximum mean height of 52.30 cm at </w:t>
      </w:r>
      <w:r>
        <w:t>6</w:t>
      </w:r>
      <w:r w:rsidRPr="00820183">
        <w:t xml:space="preserve"> WAP. This result confirms that nitrogen and phosphorus from NPK play vital roles in cell division, elongation, and chlorophyll synthesis (Brady </w:t>
      </w:r>
      <w:r>
        <w:t>and</w:t>
      </w:r>
      <w:r w:rsidRPr="00820183">
        <w:t xml:space="preserve"> Weil, 2017). The reduced height observed at 6 g could be attributed to excessive nitrogen, which promotes vegetative growth at the expense of root balance and increases susceptibility to nutrient stress (Ojo </w:t>
      </w:r>
      <w:r w:rsidRPr="00F46909">
        <w:rPr>
          <w:i/>
          <w:iCs/>
        </w:rPr>
        <w:t>et al</w:t>
      </w:r>
      <w:r w:rsidRPr="00820183">
        <w:t>., 2021). These findings align with Usman</w:t>
      </w:r>
      <w:r w:rsidRPr="00F46909">
        <w:rPr>
          <w:i/>
          <w:iCs/>
        </w:rPr>
        <w:t xml:space="preserve"> et al</w:t>
      </w:r>
      <w:r w:rsidRPr="00820183">
        <w:t>. (2021), who reported that optimal NPK levels enhance plant vigor, whereas overfertilization disrupts metabolic homeostasis. Similar trends were reported in wheat by Singh and Sharma (2020), who found that NPK significantly enhanced tiller formation and internode elongation under moderate doses.</w:t>
      </w:r>
    </w:p>
    <w:p w14:paraId="0071BB32" w14:textId="77777777" w:rsidR="00746D4E" w:rsidRPr="00820183" w:rsidRDefault="00746D4E" w:rsidP="00FF11FA">
      <w:pPr>
        <w:pStyle w:val="NormalWeb"/>
        <w:spacing w:line="480" w:lineRule="auto"/>
        <w:jc w:val="both"/>
      </w:pPr>
      <w:r w:rsidRPr="00820183">
        <w:t xml:space="preserve">The number of leaves (Table 3) followed a similar trend, increasing progressively up to 4 g NPK treatment. This increase in leaf production reflects improved nitrogen supply, essential for chlorophyll and protein synthesis (Ayoola </w:t>
      </w:r>
      <w:r w:rsidRPr="00F46909">
        <w:rPr>
          <w:i/>
          <w:iCs/>
        </w:rPr>
        <w:t>et al.,</w:t>
      </w:r>
      <w:r w:rsidRPr="00820183">
        <w:t xml:space="preserve"> 2018). The reduction at 6 g treatment may be due to osmotic inhibition and nutrient imbalance, consistent with the findings of Ukaegbu and Obasi (2019). The higher leaf count in </w:t>
      </w:r>
      <w:r w:rsidRPr="00820183">
        <w:rPr>
          <w:rStyle w:val="Emphasis"/>
        </w:rPr>
        <w:t>Sorghum bicolor</w:t>
      </w:r>
      <w:r w:rsidRPr="00820183">
        <w:t xml:space="preserve"> compared to </w:t>
      </w:r>
      <w:r w:rsidRPr="00820183">
        <w:rPr>
          <w:rStyle w:val="Emphasis"/>
        </w:rPr>
        <w:t>Triticum aestivum</w:t>
      </w:r>
      <w:r w:rsidRPr="00820183">
        <w:t xml:space="preserve"> could also suggest greater adaptability to nutrient fluctuation in tropical soils. Furthermore, as observed by Oyeleke </w:t>
      </w:r>
      <w:r w:rsidRPr="009F74A1">
        <w:rPr>
          <w:i/>
          <w:iCs/>
        </w:rPr>
        <w:t>et al</w:t>
      </w:r>
      <w:r w:rsidRPr="00820183">
        <w:t>. (2022), optimal NPK levels enhance leaf area expansion and stomatal conductance, facilitating efficient photosynthetic carbon assimilation.</w:t>
      </w:r>
    </w:p>
    <w:p w14:paraId="26271374" w14:textId="77777777" w:rsidR="00746D4E" w:rsidRPr="00820183" w:rsidRDefault="00746D4E" w:rsidP="00FF11FA">
      <w:pPr>
        <w:pStyle w:val="NormalWeb"/>
        <w:spacing w:line="480" w:lineRule="auto"/>
        <w:jc w:val="both"/>
      </w:pPr>
      <w:r w:rsidRPr="00820183">
        <w:t xml:space="preserve">The fresh and dry weights (Table 4) increased significantly at 2 g and peaked at 4 g of NPK, declining thereafter at 6 g. This pattern indicates that moderate NPK application optimizes carbohydrate synthesis and translocation to biomass accumulation (Oladejo </w:t>
      </w:r>
      <w:r w:rsidRPr="009F74A1">
        <w:rPr>
          <w:i/>
          <w:iCs/>
        </w:rPr>
        <w:t>et al</w:t>
      </w:r>
      <w:r w:rsidRPr="00820183">
        <w:t>., 2019). The decline at 6 g may result from high soil salt concentration leading to reduced nutrient uptake efficiency (Marschner, 2012). The results are consistent with those of Ibrahim</w:t>
      </w:r>
      <w:r w:rsidRPr="009F74A1">
        <w:rPr>
          <w:i/>
          <w:iCs/>
        </w:rPr>
        <w:t xml:space="preserve"> et al</w:t>
      </w:r>
      <w:r w:rsidRPr="00820183">
        <w:t xml:space="preserve">. (2021), who reported that excessive NPK application can impair dry matter partitioning due to oxidative stress and metabolic imbalance. Additionally, the better biomass performance in </w:t>
      </w:r>
      <w:r w:rsidRPr="00820183">
        <w:rPr>
          <w:rStyle w:val="Emphasis"/>
        </w:rPr>
        <w:t>Sorghum bicolor</w:t>
      </w:r>
      <w:r w:rsidRPr="00820183">
        <w:t xml:space="preserve"> compared to </w:t>
      </w:r>
      <w:r w:rsidRPr="00820183">
        <w:rPr>
          <w:rStyle w:val="Emphasis"/>
        </w:rPr>
        <w:t>Triticum aestivum</w:t>
      </w:r>
      <w:r w:rsidRPr="00820183">
        <w:t xml:space="preserve"> may reflect its higher nutrient-use efficiency under semi-arid conditions typical of Sokoto State (Ahmed</w:t>
      </w:r>
      <w:r w:rsidRPr="009F74A1">
        <w:rPr>
          <w:i/>
          <w:iCs/>
        </w:rPr>
        <w:t xml:space="preserve"> et al.,</w:t>
      </w:r>
      <w:r w:rsidRPr="00820183">
        <w:t xml:space="preserve"> 2020).</w:t>
      </w:r>
    </w:p>
    <w:p w14:paraId="44221C03" w14:textId="77777777" w:rsidR="00746D4E" w:rsidRPr="00820183" w:rsidRDefault="00746D4E" w:rsidP="00FF11FA">
      <w:pPr>
        <w:pStyle w:val="NormalWeb"/>
        <w:spacing w:line="480" w:lineRule="auto"/>
        <w:jc w:val="both"/>
      </w:pPr>
      <w:r w:rsidRPr="00820183">
        <w:t xml:space="preserve">Overall, </w:t>
      </w:r>
      <w:r w:rsidRPr="00820183">
        <w:rPr>
          <w:rStyle w:val="Emphasis"/>
        </w:rPr>
        <w:t>Sorghum bicolor</w:t>
      </w:r>
      <w:r w:rsidRPr="00820183">
        <w:t xml:space="preserve"> performed better than </w:t>
      </w:r>
      <w:r w:rsidRPr="00820183">
        <w:rPr>
          <w:rStyle w:val="Emphasis"/>
        </w:rPr>
        <w:t>Triticum aestivum</w:t>
      </w:r>
      <w:r w:rsidRPr="00820183">
        <w:t xml:space="preserve"> under the same experimental conditions. This aligns with the report of Bello</w:t>
      </w:r>
      <w:r w:rsidRPr="009A18AD">
        <w:rPr>
          <w:i/>
          <w:iCs/>
        </w:rPr>
        <w:t xml:space="preserve"> et al</w:t>
      </w:r>
      <w:r w:rsidRPr="00820183">
        <w:t xml:space="preserve">. (2022), who found that sorghum exhibits stronger physiological adaptation to nutrient variability and high soil temperature than wheat. The result indicates that under the environmental conditions of Sokoto State, sorghum may utilize NPK nutrients more effectively, while wheat’s performance could be enhanced through integrated soil fertility management strategies combining organic and inorganic sources (Sharma </w:t>
      </w:r>
      <w:r w:rsidRPr="009A18AD">
        <w:rPr>
          <w:i/>
          <w:iCs/>
        </w:rPr>
        <w:t>et al</w:t>
      </w:r>
      <w:r w:rsidRPr="00820183">
        <w:t>., 2021).</w:t>
      </w:r>
    </w:p>
    <w:p w14:paraId="6B998062" w14:textId="77777777" w:rsidR="00746D4E" w:rsidRPr="00B43596" w:rsidRDefault="00746D4E" w:rsidP="000E1989">
      <w:pPr>
        <w:pStyle w:val="Heading1"/>
        <w:rPr>
          <w:rFonts w:eastAsia="Times New Roman"/>
          <w:b w:val="0"/>
        </w:rPr>
      </w:pPr>
      <w:bookmarkStart w:id="51" w:name="_Toc214285913"/>
      <w:r w:rsidRPr="00B43596">
        <w:rPr>
          <w:rStyle w:val="Strong"/>
          <w:rFonts w:eastAsia="Times New Roman" w:cs="Times New Roman"/>
          <w:b/>
          <w:color w:val="000000" w:themeColor="text1"/>
          <w:szCs w:val="24"/>
        </w:rPr>
        <w:t>5.2 Conclusion</w:t>
      </w:r>
      <w:bookmarkEnd w:id="51"/>
    </w:p>
    <w:p w14:paraId="7ADF174D" w14:textId="77777777" w:rsidR="00746D4E" w:rsidRPr="00820183" w:rsidRDefault="00746D4E" w:rsidP="00FF11FA">
      <w:pPr>
        <w:pStyle w:val="NormalWeb"/>
        <w:spacing w:line="480" w:lineRule="auto"/>
        <w:jc w:val="both"/>
      </w:pPr>
      <w:r w:rsidRPr="00820183">
        <w:t xml:space="preserve">The study concludes that the application of NPK fertilizer significantly enhances seed germination and early seedling growth of </w:t>
      </w:r>
      <w:r w:rsidRPr="00820183">
        <w:rPr>
          <w:rStyle w:val="Emphasis"/>
        </w:rPr>
        <w:t>Sorghum bicolor</w:t>
      </w:r>
      <w:r w:rsidRPr="00820183">
        <w:t xml:space="preserve"> and </w:t>
      </w:r>
      <w:r w:rsidRPr="00820183">
        <w:rPr>
          <w:rStyle w:val="Emphasis"/>
        </w:rPr>
        <w:t>Triticum aestivum</w:t>
      </w:r>
      <w:r w:rsidRPr="00820183">
        <w:t xml:space="preserve">, with optimal performance observed at 4 g NPK concentration. Beyond this threshold, growth parameters decline due to nutrient toxicity and osmotic stress. Among the two cereals, </w:t>
      </w:r>
      <w:r w:rsidRPr="00820183">
        <w:rPr>
          <w:rStyle w:val="Emphasis"/>
        </w:rPr>
        <w:t>Sorghum bicolor</w:t>
      </w:r>
      <w:r w:rsidRPr="00820183">
        <w:t xml:space="preserve"> exhibited greater growth efficiency and tolerance to higher fertilizer concentration, suggesting its higher adaptability to the semi-arid soils of Sokoto State. Therefore, moderate fertilization regimes should be adopted to optimize growth performance while maintaining soil health and environmental sustainability.</w:t>
      </w:r>
    </w:p>
    <w:p w14:paraId="5B8DCDCC" w14:textId="77777777" w:rsidR="00746D4E" w:rsidRPr="00B43596" w:rsidRDefault="00746D4E" w:rsidP="000E1989">
      <w:pPr>
        <w:pStyle w:val="Heading1"/>
        <w:rPr>
          <w:rFonts w:eastAsia="Times New Roman"/>
          <w:b w:val="0"/>
        </w:rPr>
      </w:pPr>
      <w:bookmarkStart w:id="52" w:name="_Toc214285914"/>
      <w:r w:rsidRPr="00B43596">
        <w:rPr>
          <w:rStyle w:val="Strong"/>
          <w:rFonts w:eastAsia="Times New Roman" w:cs="Times New Roman"/>
          <w:b/>
          <w:color w:val="000000" w:themeColor="text1"/>
          <w:szCs w:val="24"/>
        </w:rPr>
        <w:t>5.3 Recommendations</w:t>
      </w:r>
      <w:bookmarkEnd w:id="52"/>
    </w:p>
    <w:p w14:paraId="6A1CE971" w14:textId="77777777" w:rsidR="00746D4E" w:rsidRPr="00820183" w:rsidRDefault="00746D4E" w:rsidP="00746D4E">
      <w:pPr>
        <w:pStyle w:val="NormalWeb"/>
        <w:numPr>
          <w:ilvl w:val="0"/>
          <w:numId w:val="2"/>
        </w:numPr>
        <w:spacing w:line="480" w:lineRule="auto"/>
        <w:jc w:val="both"/>
      </w:pPr>
      <w:r w:rsidRPr="00820183">
        <w:rPr>
          <w:rStyle w:val="Strong"/>
        </w:rPr>
        <w:t>Optimal Fertilizer Application:</w:t>
      </w:r>
      <w:r w:rsidRPr="00820183">
        <w:t xml:space="preserve"> Farmers cultivating </w:t>
      </w:r>
      <w:r w:rsidRPr="00820183">
        <w:rPr>
          <w:rStyle w:val="Emphasis"/>
        </w:rPr>
        <w:t>Sorghum bicolor</w:t>
      </w:r>
      <w:r w:rsidRPr="00820183">
        <w:t xml:space="preserve"> and </w:t>
      </w:r>
      <w:r w:rsidRPr="00820183">
        <w:rPr>
          <w:rStyle w:val="Emphasis"/>
        </w:rPr>
        <w:t>Triticum aestivum</w:t>
      </w:r>
      <w:r w:rsidRPr="00820183">
        <w:t xml:space="preserve"> in Sokoto State should apply NPK at approximately 4 g per pot (equivalent to moderate field application rates), as this level maximizes seedling vigor and biomass accumulation.</w:t>
      </w:r>
    </w:p>
    <w:p w14:paraId="72348830" w14:textId="77777777" w:rsidR="00746D4E" w:rsidRPr="00820183" w:rsidRDefault="00746D4E" w:rsidP="00746D4E">
      <w:pPr>
        <w:pStyle w:val="NormalWeb"/>
        <w:numPr>
          <w:ilvl w:val="0"/>
          <w:numId w:val="2"/>
        </w:numPr>
        <w:spacing w:line="480" w:lineRule="auto"/>
        <w:jc w:val="both"/>
      </w:pPr>
      <w:r w:rsidRPr="00820183">
        <w:rPr>
          <w:rStyle w:val="Strong"/>
        </w:rPr>
        <w:t>Integrated Nutrient Management:</w:t>
      </w:r>
      <w:r w:rsidRPr="00820183">
        <w:t xml:space="preserve"> Combining NPK with organic manure or compost is recommended to enhance soil structure and nutrient retention, preventing long-term soil degradation.</w:t>
      </w:r>
    </w:p>
    <w:p w14:paraId="6459881B" w14:textId="77777777" w:rsidR="00746D4E" w:rsidRPr="00820183" w:rsidRDefault="00746D4E" w:rsidP="00746D4E">
      <w:pPr>
        <w:pStyle w:val="NormalWeb"/>
        <w:numPr>
          <w:ilvl w:val="0"/>
          <w:numId w:val="2"/>
        </w:numPr>
        <w:spacing w:line="480" w:lineRule="auto"/>
        <w:jc w:val="both"/>
      </w:pPr>
      <w:r w:rsidRPr="00820183">
        <w:rPr>
          <w:rStyle w:val="Strong"/>
        </w:rPr>
        <w:t>Soil Monitoring:</w:t>
      </w:r>
      <w:r w:rsidRPr="00820183">
        <w:t xml:space="preserve"> Regular soil testing should be conducted to determine nutrient status and avoid overfertilization, which could lead to nutrient leaching and reduced productivity.</w:t>
      </w:r>
    </w:p>
    <w:p w14:paraId="59C75896" w14:textId="77777777" w:rsidR="00746D4E" w:rsidRPr="00820183" w:rsidRDefault="00746D4E" w:rsidP="00746D4E">
      <w:pPr>
        <w:pStyle w:val="NormalWeb"/>
        <w:numPr>
          <w:ilvl w:val="0"/>
          <w:numId w:val="2"/>
        </w:numPr>
        <w:spacing w:line="480" w:lineRule="auto"/>
        <w:jc w:val="both"/>
      </w:pPr>
      <w:r w:rsidRPr="00820183">
        <w:rPr>
          <w:rStyle w:val="Strong"/>
        </w:rPr>
        <w:t>Adaptive Crop Selection:</w:t>
      </w:r>
      <w:r w:rsidRPr="00820183">
        <w:t xml:space="preserve"> Since </w:t>
      </w:r>
      <w:r w:rsidRPr="00820183">
        <w:rPr>
          <w:rStyle w:val="Emphasis"/>
        </w:rPr>
        <w:t>Sorghum bicolor</w:t>
      </w:r>
      <w:r w:rsidRPr="00820183">
        <w:t xml:space="preserve"> showed higher tolerance and productivity under semi-arid conditions, it should be prioritized in nutrient-poor regions, while wheat cultivation should include supplementary organic amendments.</w:t>
      </w:r>
    </w:p>
    <w:p w14:paraId="74F1639D" w14:textId="31D4342E" w:rsidR="00746D4E" w:rsidRDefault="00746D4E" w:rsidP="002979B9">
      <w:pPr>
        <w:pStyle w:val="NormalWeb"/>
        <w:numPr>
          <w:ilvl w:val="0"/>
          <w:numId w:val="2"/>
        </w:numPr>
        <w:spacing w:line="480" w:lineRule="auto"/>
        <w:jc w:val="both"/>
      </w:pPr>
      <w:r w:rsidRPr="00820183">
        <w:rPr>
          <w:rStyle w:val="Strong"/>
        </w:rPr>
        <w:t>Further Research:</w:t>
      </w:r>
      <w:r w:rsidRPr="00820183">
        <w:t xml:space="preserve"> Future studies should evaluate the interactive effects of NPK with other soil amendments (such as biochar and poultry manure) and investigate long-term implications on yield and soil health.</w:t>
      </w:r>
    </w:p>
    <w:p w14:paraId="735AE5B9" w14:textId="77777777" w:rsidR="002979B9" w:rsidRDefault="002979B9" w:rsidP="002979B9">
      <w:pPr>
        <w:pStyle w:val="NormalWeb"/>
        <w:spacing w:line="480" w:lineRule="auto"/>
        <w:ind w:left="720"/>
        <w:jc w:val="both"/>
      </w:pPr>
    </w:p>
    <w:p w14:paraId="0589A47D" w14:textId="77777777" w:rsidR="00DB5150" w:rsidRDefault="00DB5150" w:rsidP="002979B9">
      <w:pPr>
        <w:pStyle w:val="NormalWeb"/>
        <w:spacing w:line="480" w:lineRule="auto"/>
        <w:ind w:left="720"/>
        <w:jc w:val="both"/>
      </w:pPr>
    </w:p>
    <w:p w14:paraId="73782B9C" w14:textId="77777777" w:rsidR="00DB5150" w:rsidRDefault="00DB5150" w:rsidP="002979B9">
      <w:pPr>
        <w:pStyle w:val="NormalWeb"/>
        <w:spacing w:line="480" w:lineRule="auto"/>
        <w:ind w:left="720"/>
        <w:jc w:val="both"/>
      </w:pPr>
    </w:p>
    <w:p w14:paraId="4F4E9921" w14:textId="77777777" w:rsidR="00DB5150" w:rsidRDefault="00DB5150" w:rsidP="002979B9">
      <w:pPr>
        <w:pStyle w:val="NormalWeb"/>
        <w:spacing w:line="480" w:lineRule="auto"/>
        <w:ind w:left="720"/>
        <w:jc w:val="both"/>
      </w:pPr>
    </w:p>
    <w:p w14:paraId="09DA7AE3" w14:textId="77777777" w:rsidR="00DB5150" w:rsidRDefault="00DB5150" w:rsidP="002979B9">
      <w:pPr>
        <w:pStyle w:val="NormalWeb"/>
        <w:spacing w:line="480" w:lineRule="auto"/>
        <w:ind w:left="720"/>
        <w:jc w:val="both"/>
      </w:pPr>
    </w:p>
    <w:p w14:paraId="78511B55" w14:textId="77777777" w:rsidR="00DB5150" w:rsidRDefault="00DB5150" w:rsidP="002979B9">
      <w:pPr>
        <w:pStyle w:val="NormalWeb"/>
        <w:spacing w:line="480" w:lineRule="auto"/>
        <w:ind w:left="720"/>
        <w:jc w:val="both"/>
      </w:pPr>
    </w:p>
    <w:p w14:paraId="427C7A28" w14:textId="77777777" w:rsidR="00DB5150" w:rsidRDefault="00DB5150" w:rsidP="002979B9">
      <w:pPr>
        <w:pStyle w:val="NormalWeb"/>
        <w:spacing w:line="480" w:lineRule="auto"/>
        <w:ind w:left="720"/>
        <w:jc w:val="both"/>
      </w:pPr>
    </w:p>
    <w:p w14:paraId="3FFEDDBC" w14:textId="67983CA8" w:rsidR="00DB5150" w:rsidRDefault="00DB5150" w:rsidP="000E1989">
      <w:pPr>
        <w:pStyle w:val="NormalWeb"/>
        <w:spacing w:line="480" w:lineRule="auto"/>
        <w:jc w:val="both"/>
      </w:pPr>
    </w:p>
    <w:p w14:paraId="565BF3D6" w14:textId="77777777" w:rsidR="000E1989" w:rsidRDefault="000E1989" w:rsidP="000E1989">
      <w:pPr>
        <w:pStyle w:val="NormalWeb"/>
        <w:spacing w:line="480" w:lineRule="auto"/>
        <w:jc w:val="both"/>
      </w:pPr>
    </w:p>
    <w:p w14:paraId="0C388A6F" w14:textId="77777777" w:rsidR="0009656C" w:rsidRDefault="0009656C">
      <w:pPr>
        <w:rPr>
          <w:rFonts w:ascii="Times New Roman" w:eastAsiaTheme="majorEastAsia" w:hAnsi="Times New Roman" w:cstheme="majorBidi"/>
          <w:b/>
          <w:szCs w:val="40"/>
        </w:rPr>
      </w:pPr>
      <w:bookmarkStart w:id="53" w:name="_Toc214285915"/>
      <w:r>
        <w:br w:type="page"/>
      </w:r>
    </w:p>
    <w:p w14:paraId="33EBAD45" w14:textId="2E584AC1" w:rsidR="00DB5150" w:rsidRPr="00331017" w:rsidRDefault="00DB5150" w:rsidP="000E1989">
      <w:pPr>
        <w:pStyle w:val="Heading1"/>
        <w:jc w:val="center"/>
      </w:pPr>
      <w:r>
        <w:t>REFERENCES</w:t>
      </w:r>
      <w:bookmarkEnd w:id="53"/>
    </w:p>
    <w:p w14:paraId="73630CE6" w14:textId="77777777" w:rsidR="00DB5150" w:rsidRDefault="00DB5150" w:rsidP="00B43596">
      <w:pPr>
        <w:pStyle w:val="NormalWeb"/>
        <w:spacing w:after="240" w:afterAutospacing="0"/>
        <w:ind w:left="720" w:hanging="720"/>
        <w:jc w:val="both"/>
      </w:pPr>
      <w:r>
        <w:t>Adetunji, M. T., Ojeniyi, S. O., &amp; Adekayode, F. O. (2019). Influence of fertilizers on seedling establishment of selected cereals. Nigerian Journal of Agronomy, 14(2), 102–110.</w:t>
      </w:r>
    </w:p>
    <w:p w14:paraId="39F2D5C8" w14:textId="77777777" w:rsidR="00DB5150" w:rsidRPr="004C3E41" w:rsidRDefault="00DB5150" w:rsidP="00B43596">
      <w:pPr>
        <w:pStyle w:val="NormalWeb"/>
        <w:spacing w:after="240" w:afterAutospacing="0"/>
        <w:ind w:left="720" w:hanging="720"/>
        <w:jc w:val="both"/>
        <w:rPr>
          <w:i/>
          <w:iCs/>
        </w:rPr>
      </w:pPr>
      <w:r>
        <w:t xml:space="preserve">Adugna, A. (2020). Nutritional composition and health benefits of sorghum. </w:t>
      </w:r>
      <w:r w:rsidRPr="004C3E41">
        <w:rPr>
          <w:i/>
          <w:iCs/>
        </w:rPr>
        <w:t>Journal of Cereal Science, 94, 102888.</w:t>
      </w:r>
    </w:p>
    <w:p w14:paraId="340027A8" w14:textId="77777777" w:rsidR="00DB5150" w:rsidRPr="0010046D" w:rsidRDefault="00DB5150" w:rsidP="00B43596">
      <w:pPr>
        <w:pStyle w:val="NormalWeb"/>
        <w:spacing w:after="240" w:afterAutospacing="0"/>
        <w:ind w:left="720" w:hanging="720"/>
        <w:jc w:val="both"/>
        <w:rPr>
          <w:i/>
          <w:iCs/>
        </w:rPr>
      </w:pPr>
      <w:r>
        <w:t>Ahmed, S. M., et al. (2020). Effects of ammonium-based nitrogen addition on soil nitrification and acidification.</w:t>
      </w:r>
      <w:r w:rsidRPr="0010046D">
        <w:rPr>
          <w:i/>
          <w:iCs/>
        </w:rPr>
        <w:t xml:space="preserve"> Science of the Total Environment, 736, 139588.</w:t>
      </w:r>
    </w:p>
    <w:p w14:paraId="04FE353F" w14:textId="77777777" w:rsidR="00DB5150" w:rsidRPr="0010046D" w:rsidRDefault="00DB5150" w:rsidP="00B43596">
      <w:pPr>
        <w:pStyle w:val="NormalWeb"/>
        <w:spacing w:after="240" w:afterAutospacing="0"/>
        <w:ind w:left="720" w:hanging="720"/>
        <w:jc w:val="both"/>
        <w:rPr>
          <w:i/>
          <w:iCs/>
        </w:rPr>
      </w:pPr>
      <w:r>
        <w:t xml:space="preserve">Ajeigbe, H. A., Ajayi, O., &amp; Abdoulaye, T. (2016). Soil and climatic requirements for sorghum production. </w:t>
      </w:r>
      <w:r w:rsidRPr="0010046D">
        <w:rPr>
          <w:i/>
          <w:iCs/>
        </w:rPr>
        <w:t>African Journal of Agricultural Science, 12(3), 151–158.</w:t>
      </w:r>
    </w:p>
    <w:p w14:paraId="274D63DE" w14:textId="77777777" w:rsidR="00DB5150" w:rsidRPr="0010046D" w:rsidRDefault="00DB5150" w:rsidP="00B43596">
      <w:pPr>
        <w:pStyle w:val="NormalWeb"/>
        <w:spacing w:after="240" w:afterAutospacing="0"/>
        <w:ind w:left="720" w:hanging="720"/>
        <w:jc w:val="both"/>
        <w:rPr>
          <w:i/>
          <w:iCs/>
        </w:rPr>
      </w:pPr>
      <w:r>
        <w:t xml:space="preserve">Ali, M., Hassan, M., &amp; Khan, S. (2014). Growth and yield response of sorghum to integrated use of organic and inorganic fertilizers. </w:t>
      </w:r>
      <w:r w:rsidRPr="0010046D">
        <w:rPr>
          <w:i/>
          <w:iCs/>
        </w:rPr>
        <w:t>Journal of Agricultural Research, 52(2), 211–218.</w:t>
      </w:r>
    </w:p>
    <w:p w14:paraId="5EFCF50B" w14:textId="77777777" w:rsidR="00DB5150" w:rsidRPr="0010046D" w:rsidRDefault="00DB5150" w:rsidP="00B43596">
      <w:pPr>
        <w:pStyle w:val="NormalWeb"/>
        <w:spacing w:after="240" w:afterAutospacing="0"/>
        <w:ind w:left="720" w:hanging="720"/>
        <w:jc w:val="both"/>
        <w:rPr>
          <w:i/>
          <w:iCs/>
        </w:rPr>
      </w:pPr>
      <w:r>
        <w:t xml:space="preserve">Aliyu, A. D., et al. (2019). Studies on organic priming on germination and seedling vigour of sorghum (Sorghum bicolor L.). </w:t>
      </w:r>
      <w:r w:rsidRPr="0010046D">
        <w:rPr>
          <w:i/>
          <w:iCs/>
        </w:rPr>
        <w:t>International Journal of Pure and Applied Bioscience, 7(1), 511–519.</w:t>
      </w:r>
    </w:p>
    <w:p w14:paraId="29518615" w14:textId="77777777" w:rsidR="00DB5150" w:rsidRPr="0010046D" w:rsidRDefault="00DB5150" w:rsidP="00B43596">
      <w:pPr>
        <w:pStyle w:val="NormalWeb"/>
        <w:spacing w:after="240" w:afterAutospacing="0"/>
        <w:ind w:left="720" w:hanging="720"/>
        <w:jc w:val="both"/>
        <w:rPr>
          <w:i/>
          <w:iCs/>
        </w:rPr>
      </w:pPr>
      <w:r>
        <w:t xml:space="preserve">Aminu, M., Adebayo, F. O., &amp; Abdullahi, Y. (2020). Industrial potentials of sorghum. </w:t>
      </w:r>
      <w:r w:rsidRPr="0010046D">
        <w:rPr>
          <w:i/>
          <w:iCs/>
        </w:rPr>
        <w:t>International Journal of Food Research, 5(2), 45–53.</w:t>
      </w:r>
    </w:p>
    <w:p w14:paraId="37919A5D" w14:textId="77777777" w:rsidR="00DB5150" w:rsidRPr="0010046D" w:rsidRDefault="00DB5150" w:rsidP="00B43596">
      <w:pPr>
        <w:pStyle w:val="NormalWeb"/>
        <w:spacing w:after="240" w:afterAutospacing="0"/>
        <w:ind w:left="720" w:hanging="720"/>
        <w:jc w:val="both"/>
        <w:rPr>
          <w:i/>
          <w:iCs/>
        </w:rPr>
      </w:pPr>
      <w:r>
        <w:t>Ayeni, L. S. (2011). Effect of combined cocoa pod ash and NPK fertilizer on soil properties, nutrient uptake and yield of maize</w:t>
      </w:r>
      <w:r w:rsidRPr="0010046D">
        <w:rPr>
          <w:i/>
          <w:iCs/>
        </w:rPr>
        <w:t>. Journal of American Science, 7(2), 1–8.</w:t>
      </w:r>
    </w:p>
    <w:p w14:paraId="67DBA73E" w14:textId="77777777" w:rsidR="00DB5150" w:rsidRPr="0010046D" w:rsidRDefault="00DB5150" w:rsidP="00B43596">
      <w:pPr>
        <w:pStyle w:val="NormalWeb"/>
        <w:spacing w:after="240" w:afterAutospacing="0"/>
        <w:ind w:left="720" w:hanging="720"/>
        <w:jc w:val="both"/>
        <w:rPr>
          <w:i/>
          <w:iCs/>
        </w:rPr>
      </w:pPr>
      <w:r>
        <w:t xml:space="preserve">Ayeni, L. S. (2011). Integrated application of NPK and organic fertilizer on soil chemical properties, growth and yield of tomato. </w:t>
      </w:r>
      <w:r w:rsidRPr="0010046D">
        <w:rPr>
          <w:i/>
          <w:iCs/>
        </w:rPr>
        <w:t>Nature and Science, 9(1), 20–27.</w:t>
      </w:r>
    </w:p>
    <w:p w14:paraId="70ABDDF9" w14:textId="77777777" w:rsidR="00DB5150" w:rsidRPr="0010046D" w:rsidRDefault="00DB5150" w:rsidP="00B43596">
      <w:pPr>
        <w:pStyle w:val="NormalWeb"/>
        <w:spacing w:after="240" w:afterAutospacing="0"/>
        <w:ind w:left="720" w:hanging="720"/>
        <w:jc w:val="both"/>
        <w:rPr>
          <w:i/>
          <w:iCs/>
        </w:rPr>
      </w:pPr>
      <w:r>
        <w:t xml:space="preserve">Ayoola, V. O., Akinrinde, E. A., &amp; Oyetunji, O. J. (2018). Magnesium application enhances photosynthesis and growth in maize. </w:t>
      </w:r>
      <w:r w:rsidRPr="0010046D">
        <w:rPr>
          <w:i/>
          <w:iCs/>
        </w:rPr>
        <w:t>Journal of Plant Nutrition, 41(4), 505–516.</w:t>
      </w:r>
    </w:p>
    <w:p w14:paraId="0C6F7B3E" w14:textId="77777777" w:rsidR="00DB5150" w:rsidRPr="00261299" w:rsidRDefault="00DB5150" w:rsidP="00B43596">
      <w:pPr>
        <w:pStyle w:val="NormalWeb"/>
        <w:spacing w:after="240" w:afterAutospacing="0"/>
        <w:ind w:left="720" w:hanging="720"/>
        <w:jc w:val="both"/>
        <w:rPr>
          <w:i/>
          <w:iCs/>
        </w:rPr>
      </w:pPr>
      <w:r>
        <w:t>Balogun, M. O., Lawal, B. A., &amp; Oyenuga, I. A. (2020). Growth and yield response of cereals to MPK fertilizer.</w:t>
      </w:r>
      <w:r w:rsidRPr="00261299">
        <w:rPr>
          <w:i/>
          <w:iCs/>
        </w:rPr>
        <w:t xml:space="preserve"> African Journal of Plant Science, 14(3), 101–109.</w:t>
      </w:r>
    </w:p>
    <w:p w14:paraId="2BD7AEA6" w14:textId="77777777" w:rsidR="00DB5150" w:rsidRPr="00EF162A" w:rsidRDefault="00DB5150" w:rsidP="00B43596">
      <w:pPr>
        <w:pStyle w:val="NormalWeb"/>
        <w:spacing w:after="240" w:afterAutospacing="0"/>
        <w:ind w:left="720" w:hanging="720"/>
        <w:jc w:val="both"/>
        <w:rPr>
          <w:i/>
          <w:iCs/>
        </w:rPr>
      </w:pPr>
      <w:r>
        <w:t xml:space="preserve">Bewley, J. D., Bradford, K., Hilhorst, H., &amp; Nonogaki, H. (2013). Seeds: </w:t>
      </w:r>
      <w:r w:rsidRPr="00EF162A">
        <w:rPr>
          <w:i/>
          <w:iCs/>
        </w:rPr>
        <w:t>Physiology of Development, Germination and Dormancy (3</w:t>
      </w:r>
      <w:r w:rsidRPr="00EF162A">
        <w:rPr>
          <w:i/>
          <w:iCs/>
          <w:vertAlign w:val="superscript"/>
        </w:rPr>
        <w:t>rd</w:t>
      </w:r>
      <w:r w:rsidRPr="00EF162A">
        <w:rPr>
          <w:i/>
          <w:iCs/>
        </w:rPr>
        <w:t xml:space="preserve"> ed.). Springer.</w:t>
      </w:r>
    </w:p>
    <w:p w14:paraId="0C53E7D5" w14:textId="77777777" w:rsidR="00DB5150" w:rsidRPr="00574744" w:rsidRDefault="00DB5150" w:rsidP="00B43596">
      <w:pPr>
        <w:pStyle w:val="NormalWeb"/>
        <w:spacing w:after="240" w:afterAutospacing="0"/>
        <w:ind w:left="720" w:hanging="720"/>
        <w:jc w:val="both"/>
        <w:rPr>
          <w:i/>
          <w:iCs/>
        </w:rPr>
      </w:pPr>
      <w:r>
        <w:t xml:space="preserve">Brady, N. C., &amp; Weil, R. R. (2017). </w:t>
      </w:r>
      <w:r w:rsidRPr="00574744">
        <w:rPr>
          <w:i/>
          <w:iCs/>
        </w:rPr>
        <w:t>The Nature and Properties of Soils (15</w:t>
      </w:r>
      <w:r w:rsidRPr="00574744">
        <w:rPr>
          <w:i/>
          <w:iCs/>
          <w:vertAlign w:val="superscript"/>
        </w:rPr>
        <w:t>th</w:t>
      </w:r>
      <w:r w:rsidRPr="00574744">
        <w:rPr>
          <w:i/>
          <w:iCs/>
        </w:rPr>
        <w:t xml:space="preserve"> ed.). Pearson.</w:t>
      </w:r>
    </w:p>
    <w:p w14:paraId="09F17B79" w14:textId="77777777" w:rsidR="00DB5150" w:rsidRPr="00574744" w:rsidRDefault="00DB5150" w:rsidP="00B43596">
      <w:pPr>
        <w:pStyle w:val="NormalWeb"/>
        <w:spacing w:after="240" w:afterAutospacing="0"/>
        <w:ind w:left="720" w:hanging="720"/>
        <w:jc w:val="both"/>
        <w:rPr>
          <w:i/>
          <w:iCs/>
        </w:rPr>
      </w:pPr>
      <w:r>
        <w:t xml:space="preserve">Dicko, M. H., et al. (2016). Sorghum: </w:t>
      </w:r>
      <w:r w:rsidRPr="00574744">
        <w:rPr>
          <w:i/>
          <w:iCs/>
        </w:rPr>
        <w:t>Nutritional properties and health benefits. African Journal of Food Science, 10(4), 33–41.</w:t>
      </w:r>
    </w:p>
    <w:p w14:paraId="101A8110" w14:textId="77777777" w:rsidR="00DB5150" w:rsidRPr="00574744" w:rsidRDefault="00DB5150" w:rsidP="00B43596">
      <w:pPr>
        <w:pStyle w:val="NormalWeb"/>
        <w:spacing w:after="240" w:afterAutospacing="0"/>
        <w:ind w:left="720" w:hanging="720"/>
        <w:jc w:val="both"/>
        <w:rPr>
          <w:i/>
          <w:iCs/>
        </w:rPr>
      </w:pPr>
      <w:r>
        <w:t xml:space="preserve">Doggett, H. (1988). </w:t>
      </w:r>
      <w:r w:rsidRPr="00574744">
        <w:rPr>
          <w:i/>
          <w:iCs/>
        </w:rPr>
        <w:t>Sorghum (2</w:t>
      </w:r>
      <w:r w:rsidRPr="00574744">
        <w:rPr>
          <w:i/>
          <w:iCs/>
          <w:vertAlign w:val="superscript"/>
        </w:rPr>
        <w:t>nd</w:t>
      </w:r>
      <w:r w:rsidRPr="00574744">
        <w:rPr>
          <w:i/>
          <w:iCs/>
        </w:rPr>
        <w:t xml:space="preserve"> ed.). Longman Scientific &amp; Technical.</w:t>
      </w:r>
    </w:p>
    <w:p w14:paraId="63D60DD0" w14:textId="77777777" w:rsidR="00DB5150" w:rsidRPr="00574744" w:rsidRDefault="00DB5150" w:rsidP="00B43596">
      <w:pPr>
        <w:pStyle w:val="NormalWeb"/>
        <w:spacing w:after="240" w:afterAutospacing="0"/>
        <w:ind w:left="720" w:hanging="720"/>
        <w:jc w:val="both"/>
        <w:rPr>
          <w:i/>
          <w:iCs/>
        </w:rPr>
      </w:pPr>
      <w:r>
        <w:t xml:space="preserve">Eghball, B., &amp; Maranville, J. W. (1993). Root development and nitrogen influx of corn genotypes under drought and nitrogen stresses. </w:t>
      </w:r>
      <w:r w:rsidRPr="00574744">
        <w:rPr>
          <w:i/>
          <w:iCs/>
        </w:rPr>
        <w:t>Agronomy Journal, 85(1), 147–152.</w:t>
      </w:r>
    </w:p>
    <w:p w14:paraId="25DCDDF3" w14:textId="77777777" w:rsidR="00DB5150" w:rsidRDefault="00DB5150" w:rsidP="00B43596">
      <w:pPr>
        <w:pStyle w:val="NormalWeb"/>
        <w:spacing w:after="240" w:afterAutospacing="0"/>
        <w:ind w:left="720" w:hanging="720"/>
        <w:jc w:val="both"/>
      </w:pPr>
      <w:r>
        <w:t xml:space="preserve">FAO. (1995). Sorghum and millets in human nutrition. </w:t>
      </w:r>
      <w:r w:rsidRPr="00C2597F">
        <w:rPr>
          <w:i/>
          <w:iCs/>
        </w:rPr>
        <w:t>FAO</w:t>
      </w:r>
      <w:r>
        <w:t>.</w:t>
      </w:r>
    </w:p>
    <w:p w14:paraId="253B70A5" w14:textId="77777777" w:rsidR="00DB5150" w:rsidRPr="00C2597F" w:rsidRDefault="00DB5150" w:rsidP="00B43596">
      <w:pPr>
        <w:pStyle w:val="NormalWeb"/>
        <w:spacing w:after="240" w:afterAutospacing="0"/>
        <w:ind w:left="720" w:hanging="720"/>
        <w:jc w:val="both"/>
        <w:rPr>
          <w:i/>
          <w:iCs/>
        </w:rPr>
      </w:pPr>
      <w:r>
        <w:t xml:space="preserve">FAO. (2004). Grasslands of the world. </w:t>
      </w:r>
      <w:r w:rsidRPr="00C2597F">
        <w:rPr>
          <w:i/>
          <w:iCs/>
        </w:rPr>
        <w:t>FAO Plant Production and Protection Series.</w:t>
      </w:r>
    </w:p>
    <w:p w14:paraId="745D3AB6" w14:textId="77777777" w:rsidR="00DB5150" w:rsidRPr="00C2597F" w:rsidRDefault="00DB5150" w:rsidP="00B43596">
      <w:pPr>
        <w:pStyle w:val="NormalWeb"/>
        <w:spacing w:after="240" w:afterAutospacing="0"/>
        <w:ind w:left="720" w:hanging="720"/>
        <w:jc w:val="both"/>
        <w:rPr>
          <w:i/>
          <w:iCs/>
        </w:rPr>
      </w:pPr>
      <w:r>
        <w:t xml:space="preserve">FAO. (2020). FAOSTAT: Crops Statistics. </w:t>
      </w:r>
      <w:r w:rsidRPr="00C2597F">
        <w:rPr>
          <w:i/>
          <w:iCs/>
        </w:rPr>
        <w:t xml:space="preserve">Retrieved from </w:t>
      </w:r>
      <w:hyperlink r:id="rId11" w:history="1">
        <w:r w:rsidRPr="00C2597F">
          <w:rPr>
            <w:rStyle w:val="Hyperlink"/>
          </w:rPr>
          <w:t>http://www.fao.org/faostat/</w:t>
        </w:r>
      </w:hyperlink>
    </w:p>
    <w:p w14:paraId="37A250FA" w14:textId="77777777" w:rsidR="00DB5150" w:rsidRPr="00C2597F" w:rsidRDefault="00DB5150" w:rsidP="00B43596">
      <w:pPr>
        <w:pStyle w:val="NormalWeb"/>
        <w:spacing w:after="240" w:afterAutospacing="0"/>
        <w:ind w:left="720" w:hanging="720"/>
        <w:jc w:val="both"/>
        <w:rPr>
          <w:i/>
          <w:iCs/>
        </w:rPr>
      </w:pPr>
      <w:r>
        <w:t xml:space="preserve">Fashola, F. O., Oladokun, M. A., &amp; Akinpelu, J. A. (2020). Fertilizer timing and seedling vigor in cereals. </w:t>
      </w:r>
      <w:r w:rsidRPr="00C2597F">
        <w:rPr>
          <w:i/>
          <w:iCs/>
        </w:rPr>
        <w:t>Journal of Crop Improvement, 34(1), 22–35.</w:t>
      </w:r>
    </w:p>
    <w:p w14:paraId="69096035" w14:textId="77777777" w:rsidR="00DB5150" w:rsidRPr="00C2597F" w:rsidRDefault="00DB5150" w:rsidP="00B43596">
      <w:pPr>
        <w:pStyle w:val="NormalWeb"/>
        <w:spacing w:after="240" w:afterAutospacing="0"/>
        <w:ind w:left="720" w:hanging="720"/>
        <w:jc w:val="both"/>
        <w:rPr>
          <w:i/>
          <w:iCs/>
        </w:rPr>
      </w:pPr>
      <w:r>
        <w:t xml:space="preserve">Finch-Savage, W. E., &amp; Bassel, G. W. (2016). Seed vigour and crop establishment. </w:t>
      </w:r>
      <w:r w:rsidRPr="00C2597F">
        <w:rPr>
          <w:i/>
          <w:iCs/>
        </w:rPr>
        <w:t>Journal of Experimental Botany, 67(3), 567–591.</w:t>
      </w:r>
    </w:p>
    <w:p w14:paraId="27BCC5D8" w14:textId="77777777" w:rsidR="00DB5150" w:rsidRPr="0075291E" w:rsidRDefault="00DB5150" w:rsidP="00B43596">
      <w:pPr>
        <w:pStyle w:val="NormalWeb"/>
        <w:spacing w:after="240" w:afterAutospacing="0"/>
        <w:ind w:left="720" w:hanging="720"/>
        <w:jc w:val="both"/>
        <w:rPr>
          <w:i/>
          <w:iCs/>
        </w:rPr>
      </w:pPr>
      <w:r>
        <w:t xml:space="preserve">Gashu, L., Asefa, H., &amp; Terefe, H. (2022). Forage potential and digestibility of sorghum varieties. </w:t>
      </w:r>
      <w:r w:rsidRPr="0075291E">
        <w:rPr>
          <w:i/>
          <w:iCs/>
        </w:rPr>
        <w:t>Livestock Research for Rural Development, 34(6), 91–97.</w:t>
      </w:r>
    </w:p>
    <w:p w14:paraId="0FFEBB39" w14:textId="77777777" w:rsidR="00DB5150" w:rsidRPr="0075291E" w:rsidRDefault="00DB5150" w:rsidP="00B43596">
      <w:pPr>
        <w:pStyle w:val="NormalWeb"/>
        <w:spacing w:after="240" w:afterAutospacing="0"/>
        <w:ind w:left="720" w:hanging="720"/>
        <w:jc w:val="both"/>
        <w:rPr>
          <w:i/>
          <w:iCs/>
        </w:rPr>
      </w:pPr>
      <w:r>
        <w:t xml:space="preserve">Girma, G., Haile, W., &amp; Demelash, A. (2015). Morphological characterization of sorghum genotypes. African Crop Science </w:t>
      </w:r>
      <w:r w:rsidRPr="0075291E">
        <w:rPr>
          <w:i/>
          <w:iCs/>
        </w:rPr>
        <w:t>Journal, 23(4), 293–304.</w:t>
      </w:r>
    </w:p>
    <w:p w14:paraId="3A6145AF" w14:textId="77777777" w:rsidR="00DB5150" w:rsidRPr="0075291E" w:rsidRDefault="00DB5150" w:rsidP="00B43596">
      <w:pPr>
        <w:pStyle w:val="NormalWeb"/>
        <w:spacing w:after="240" w:afterAutospacing="0"/>
        <w:ind w:left="720" w:hanging="720"/>
        <w:jc w:val="both"/>
        <w:rPr>
          <w:i/>
          <w:iCs/>
        </w:rPr>
      </w:pPr>
      <w:r>
        <w:t xml:space="preserve">Gnansounou, E., Dauriat, A., &amp; Wyman, C. E. (2005). Refining sweet sorghum to ethanol and sugar. </w:t>
      </w:r>
      <w:r w:rsidRPr="0075291E">
        <w:rPr>
          <w:i/>
          <w:iCs/>
        </w:rPr>
        <w:t>Bioresource Technology, 96(9), 985–1002.</w:t>
      </w:r>
    </w:p>
    <w:p w14:paraId="40BB2B75" w14:textId="77777777" w:rsidR="00DB5150" w:rsidRPr="0075291E" w:rsidRDefault="00DB5150" w:rsidP="00B43596">
      <w:pPr>
        <w:pStyle w:val="NormalWeb"/>
        <w:spacing w:after="240" w:afterAutospacing="0"/>
        <w:ind w:left="720" w:hanging="720"/>
        <w:jc w:val="both"/>
        <w:rPr>
          <w:i/>
          <w:iCs/>
        </w:rPr>
      </w:pPr>
      <w:r>
        <w:t xml:space="preserve">Harlan, J. R., &amp; de Wet, J. M. J. (1972). A simplified classification of cultivated sorghum. </w:t>
      </w:r>
      <w:r w:rsidRPr="0075291E">
        <w:rPr>
          <w:i/>
          <w:iCs/>
        </w:rPr>
        <w:t>Crop Science, 12(2), 172–176.</w:t>
      </w:r>
    </w:p>
    <w:p w14:paraId="677EFC05" w14:textId="77777777" w:rsidR="00DB5150" w:rsidRDefault="00DB5150" w:rsidP="00B43596">
      <w:pPr>
        <w:pStyle w:val="NormalWeb"/>
        <w:spacing w:after="240" w:afterAutospacing="0"/>
        <w:ind w:left="720" w:hanging="720"/>
        <w:jc w:val="both"/>
      </w:pPr>
      <w:r>
        <w:t xml:space="preserve">Havlin, J. L., Tisdale, S. L., Nelson, W. L., &amp; Beaton, J. D. (2014). </w:t>
      </w:r>
      <w:r w:rsidRPr="005C461F">
        <w:rPr>
          <w:i/>
          <w:iCs/>
        </w:rPr>
        <w:t>Soil Fertility and Fertilizers (8</w:t>
      </w:r>
      <w:r w:rsidRPr="005C461F">
        <w:rPr>
          <w:i/>
          <w:iCs/>
          <w:vertAlign w:val="superscript"/>
        </w:rPr>
        <w:t>th</w:t>
      </w:r>
      <w:r w:rsidRPr="005C461F">
        <w:rPr>
          <w:i/>
          <w:iCs/>
        </w:rPr>
        <w:t xml:space="preserve"> ed.). Pearson</w:t>
      </w:r>
      <w:r>
        <w:t>.</w:t>
      </w:r>
    </w:p>
    <w:p w14:paraId="0D9747D3" w14:textId="77777777" w:rsidR="00DB5150" w:rsidRDefault="00DB5150" w:rsidP="00B43596">
      <w:pPr>
        <w:pStyle w:val="NormalWeb"/>
        <w:spacing w:after="240" w:afterAutospacing="0"/>
        <w:ind w:left="720" w:hanging="720"/>
        <w:jc w:val="both"/>
      </w:pPr>
      <w:r>
        <w:t xml:space="preserve">House, L. R. (1985). A Guide to Sorghum Breeding. </w:t>
      </w:r>
      <w:r w:rsidRPr="005C461F">
        <w:rPr>
          <w:i/>
          <w:iCs/>
        </w:rPr>
        <w:t>ICRISAT</w:t>
      </w:r>
      <w:r>
        <w:t>.</w:t>
      </w:r>
    </w:p>
    <w:p w14:paraId="7FAB34BA" w14:textId="77777777" w:rsidR="00DB5150" w:rsidRPr="005C461F" w:rsidRDefault="00DB5150" w:rsidP="00B43596">
      <w:pPr>
        <w:pStyle w:val="NormalWeb"/>
        <w:spacing w:after="240" w:afterAutospacing="0"/>
        <w:ind w:left="720" w:hanging="720"/>
        <w:jc w:val="both"/>
        <w:rPr>
          <w:i/>
          <w:iCs/>
        </w:rPr>
      </w:pPr>
      <w:r>
        <w:t xml:space="preserve">Ibrahim, A. M., et al. (2021). Germinated sorghum and seedlings show expressive development. </w:t>
      </w:r>
      <w:r w:rsidRPr="005C461F">
        <w:rPr>
          <w:i/>
          <w:iCs/>
        </w:rPr>
        <w:t>Journal of Food Composition and Analysis, 104, 104164.</w:t>
      </w:r>
    </w:p>
    <w:p w14:paraId="6612C3EC" w14:textId="77777777" w:rsidR="00DB5150" w:rsidRPr="005C461F" w:rsidRDefault="00DB5150" w:rsidP="00B43596">
      <w:pPr>
        <w:pStyle w:val="NormalWeb"/>
        <w:spacing w:after="240" w:afterAutospacing="0"/>
        <w:ind w:left="720" w:hanging="720"/>
        <w:jc w:val="both"/>
        <w:rPr>
          <w:i/>
          <w:iCs/>
        </w:rPr>
      </w:pPr>
      <w:r>
        <w:t xml:space="preserve">Ibrahim, S. H., Suleiman, M. A., &amp; Mohammed, U. (2021). Effects of ammonium sulphate on sorghum seedling growth. </w:t>
      </w:r>
      <w:r w:rsidRPr="005C461F">
        <w:rPr>
          <w:i/>
          <w:iCs/>
        </w:rPr>
        <w:t>Nigerian Journal of Soil and Environmental Research, 19(1), 24–32.</w:t>
      </w:r>
    </w:p>
    <w:p w14:paraId="78F3146A" w14:textId="77777777" w:rsidR="00DB5150" w:rsidRPr="005C461F" w:rsidRDefault="00DB5150" w:rsidP="00B43596">
      <w:pPr>
        <w:pStyle w:val="NormalWeb"/>
        <w:spacing w:after="240" w:afterAutospacing="0"/>
        <w:ind w:left="720" w:hanging="720"/>
        <w:jc w:val="both"/>
        <w:rPr>
          <w:i/>
          <w:iCs/>
        </w:rPr>
      </w:pPr>
      <w:r>
        <w:t xml:space="preserve">ICRISAT. (2019). Sorghum: Smart Food. </w:t>
      </w:r>
      <w:r w:rsidRPr="005C461F">
        <w:rPr>
          <w:i/>
          <w:iCs/>
        </w:rPr>
        <w:t xml:space="preserve">Retrieved from </w:t>
      </w:r>
      <w:hyperlink r:id="rId12" w:history="1">
        <w:r w:rsidRPr="005C461F">
          <w:rPr>
            <w:rStyle w:val="Hyperlink"/>
          </w:rPr>
          <w:t>https://www.icrisat.org</w:t>
        </w:r>
      </w:hyperlink>
    </w:p>
    <w:p w14:paraId="206324FD" w14:textId="77777777" w:rsidR="00DB5150" w:rsidRDefault="00DB5150" w:rsidP="00B43596">
      <w:pPr>
        <w:pStyle w:val="NormalWeb"/>
        <w:spacing w:after="240" w:afterAutospacing="0"/>
        <w:ind w:left="720" w:hanging="720"/>
        <w:jc w:val="both"/>
      </w:pPr>
      <w:r>
        <w:t xml:space="preserve">IITA. (2021). </w:t>
      </w:r>
      <w:r w:rsidRPr="00AC2F2C">
        <w:rPr>
          <w:i/>
          <w:iCs/>
        </w:rPr>
        <w:t>Annual Report on Sorghum and Wheat Production in West Africa.</w:t>
      </w:r>
    </w:p>
    <w:p w14:paraId="168EC8C4" w14:textId="77777777" w:rsidR="00DB5150" w:rsidRPr="00AC2F2C" w:rsidRDefault="00DB5150" w:rsidP="00B43596">
      <w:pPr>
        <w:pStyle w:val="NormalWeb"/>
        <w:spacing w:after="240" w:afterAutospacing="0"/>
        <w:ind w:left="720" w:hanging="720"/>
        <w:jc w:val="both"/>
        <w:rPr>
          <w:i/>
          <w:iCs/>
        </w:rPr>
      </w:pPr>
      <w:r>
        <w:t xml:space="preserve">Jones, M. P., Jones, R., &amp; Steffan-Dewenter, I. (2013). Soil fertility constraints in African agriculture. </w:t>
      </w:r>
      <w:r w:rsidRPr="00AC2F2C">
        <w:rPr>
          <w:i/>
          <w:iCs/>
        </w:rPr>
        <w:t>Soil Science Society of America Journal, 77(6), 1894–1903.</w:t>
      </w:r>
    </w:p>
    <w:p w14:paraId="7EB8CC49" w14:textId="77777777" w:rsidR="00DB5150" w:rsidRPr="00AC2F2C" w:rsidRDefault="00DB5150" w:rsidP="00B43596">
      <w:pPr>
        <w:pStyle w:val="NormalWeb"/>
        <w:spacing w:after="240" w:afterAutospacing="0"/>
        <w:ind w:left="720" w:hanging="720"/>
        <w:jc w:val="both"/>
        <w:rPr>
          <w:i/>
          <w:iCs/>
        </w:rPr>
      </w:pPr>
      <w:r>
        <w:t xml:space="preserve">Kazan, K., &amp; Lyons, R. (2016). Stress tolerance and plant immunity. </w:t>
      </w:r>
      <w:r w:rsidRPr="00AC2F2C">
        <w:rPr>
          <w:i/>
          <w:iCs/>
        </w:rPr>
        <w:t>Trends in Plant Science, 21(8), 638–647.</w:t>
      </w:r>
    </w:p>
    <w:p w14:paraId="1281F87F" w14:textId="77777777" w:rsidR="00DB5150" w:rsidRPr="00AC2F2C" w:rsidRDefault="00DB5150" w:rsidP="00B43596">
      <w:pPr>
        <w:pStyle w:val="NormalWeb"/>
        <w:spacing w:after="240" w:afterAutospacing="0"/>
        <w:ind w:left="720" w:hanging="720"/>
        <w:jc w:val="both"/>
        <w:rPr>
          <w:i/>
          <w:iCs/>
        </w:rPr>
      </w:pPr>
      <w:r>
        <w:t xml:space="preserve">Kebede, H., Subudhi, P. K., Rosenow, D. T., &amp; Nguyen, H. T. (2012). Genetic diversity of sorghum. </w:t>
      </w:r>
      <w:r w:rsidRPr="00AC2F2C">
        <w:rPr>
          <w:i/>
          <w:iCs/>
        </w:rPr>
        <w:t>African Journal of Biotechnology, 11(5), 1108–1117.</w:t>
      </w:r>
    </w:p>
    <w:p w14:paraId="1F26C9E0" w14:textId="77777777" w:rsidR="00DB5150" w:rsidRPr="0052766B" w:rsidRDefault="00DB5150" w:rsidP="00B43596">
      <w:pPr>
        <w:pStyle w:val="NormalWeb"/>
        <w:spacing w:after="240" w:afterAutospacing="0"/>
        <w:ind w:left="720" w:hanging="720"/>
        <w:jc w:val="both"/>
        <w:rPr>
          <w:i/>
          <w:iCs/>
        </w:rPr>
      </w:pPr>
      <w:r>
        <w:t xml:space="preserve">Kombiok, J. M., Mahama, G. Y., &amp; Adiku, S. G. (2021). Rooting depth and water uptake in sorghum. </w:t>
      </w:r>
      <w:r w:rsidRPr="0052766B">
        <w:rPr>
          <w:i/>
          <w:iCs/>
        </w:rPr>
        <w:t>West African Journal of Crop Science, 7(1), 55–63.</w:t>
      </w:r>
    </w:p>
    <w:p w14:paraId="2E1B5085" w14:textId="77777777" w:rsidR="00DB5150" w:rsidRPr="0052766B" w:rsidRDefault="00DB5150" w:rsidP="00B43596">
      <w:pPr>
        <w:pStyle w:val="NormalWeb"/>
        <w:spacing w:after="240" w:afterAutospacing="0"/>
        <w:ind w:left="720" w:hanging="720"/>
        <w:jc w:val="both"/>
        <w:rPr>
          <w:i/>
          <w:iCs/>
        </w:rPr>
      </w:pPr>
      <w:r>
        <w:t xml:space="preserve">Marschner, H. (2012). </w:t>
      </w:r>
      <w:r w:rsidRPr="0052766B">
        <w:rPr>
          <w:i/>
          <w:iCs/>
        </w:rPr>
        <w:t>Mineral Nutrition of Higher Plants (3</w:t>
      </w:r>
      <w:r w:rsidRPr="0052766B">
        <w:rPr>
          <w:i/>
          <w:iCs/>
          <w:vertAlign w:val="superscript"/>
        </w:rPr>
        <w:t>rd</w:t>
      </w:r>
      <w:r w:rsidRPr="0052766B">
        <w:rPr>
          <w:i/>
          <w:iCs/>
        </w:rPr>
        <w:t xml:space="preserve"> ed.). Academic Press.</w:t>
      </w:r>
    </w:p>
    <w:p w14:paraId="68ECD65B" w14:textId="77777777" w:rsidR="00DB5150" w:rsidRPr="0052766B" w:rsidRDefault="00DB5150" w:rsidP="00B43596">
      <w:pPr>
        <w:pStyle w:val="NormalWeb"/>
        <w:spacing w:after="240" w:afterAutospacing="0"/>
        <w:ind w:left="720" w:hanging="720"/>
        <w:jc w:val="both"/>
        <w:rPr>
          <w:i/>
          <w:iCs/>
        </w:rPr>
      </w:pPr>
      <w:r>
        <w:t xml:space="preserve">National Research Council. (1996). Lost Crops of Africa: </w:t>
      </w:r>
      <w:r w:rsidRPr="0052766B">
        <w:rPr>
          <w:i/>
          <w:iCs/>
        </w:rPr>
        <w:t>Volume I – Grains. National Academies Press.</w:t>
      </w:r>
    </w:p>
    <w:p w14:paraId="60E84B4E" w14:textId="77777777" w:rsidR="00DB5150" w:rsidRPr="004C3569" w:rsidRDefault="00DB5150" w:rsidP="00B43596">
      <w:pPr>
        <w:pStyle w:val="NormalWeb"/>
        <w:spacing w:after="240" w:afterAutospacing="0"/>
        <w:ind w:left="720" w:hanging="720"/>
        <w:jc w:val="both"/>
        <w:rPr>
          <w:i/>
          <w:iCs/>
        </w:rPr>
      </w:pPr>
      <w:r>
        <w:t xml:space="preserve">NAERLS. (2022). </w:t>
      </w:r>
      <w:r w:rsidRPr="004C3569">
        <w:rPr>
          <w:i/>
          <w:iCs/>
        </w:rPr>
        <w:t>Annual Agricultural Performance Survey Report of Nigeria.</w:t>
      </w:r>
    </w:p>
    <w:p w14:paraId="4A9DDEE7" w14:textId="77777777" w:rsidR="00DB5150" w:rsidRPr="004C3569" w:rsidRDefault="00DB5150" w:rsidP="00B43596">
      <w:pPr>
        <w:pStyle w:val="NormalWeb"/>
        <w:spacing w:after="240" w:afterAutospacing="0"/>
        <w:ind w:left="720" w:hanging="720"/>
        <w:jc w:val="both"/>
        <w:rPr>
          <w:i/>
          <w:iCs/>
        </w:rPr>
      </w:pPr>
      <w:r>
        <w:t xml:space="preserve">Nwite, J. N., Igwe, C. A., &amp; Agbim, N. N. (2013). Fertility management for sustainable crop production. </w:t>
      </w:r>
      <w:r w:rsidRPr="004C3569">
        <w:rPr>
          <w:i/>
          <w:iCs/>
        </w:rPr>
        <w:t>African Journal of Agricultural Research, 8(24), 3052–3059.</w:t>
      </w:r>
    </w:p>
    <w:p w14:paraId="257D2F84" w14:textId="77777777" w:rsidR="00DB5150" w:rsidRPr="004C3569" w:rsidRDefault="00DB5150" w:rsidP="00B43596">
      <w:pPr>
        <w:pStyle w:val="NormalWeb"/>
        <w:spacing w:after="240" w:afterAutospacing="0"/>
        <w:ind w:left="720" w:hanging="720"/>
        <w:jc w:val="both"/>
        <w:rPr>
          <w:i/>
          <w:iCs/>
        </w:rPr>
      </w:pPr>
      <w:r>
        <w:t xml:space="preserve">Nwite, J. N., Obi, M. E., &amp; Igwe, C. A. (2013). Fertilizer effects on soil and maize yield. </w:t>
      </w:r>
      <w:r w:rsidRPr="004C3569">
        <w:rPr>
          <w:i/>
          <w:iCs/>
        </w:rPr>
        <w:t>Nigerian Journal of Soil Science, 23(1), 30–38.</w:t>
      </w:r>
    </w:p>
    <w:p w14:paraId="4E94AE7F" w14:textId="77777777" w:rsidR="00DB5150" w:rsidRPr="004C3569" w:rsidRDefault="00DB5150" w:rsidP="00B43596">
      <w:pPr>
        <w:pStyle w:val="NormalWeb"/>
        <w:spacing w:after="240" w:afterAutospacing="0"/>
        <w:ind w:left="720" w:hanging="720"/>
        <w:jc w:val="both"/>
        <w:rPr>
          <w:i/>
          <w:iCs/>
        </w:rPr>
      </w:pPr>
      <w:r>
        <w:t xml:space="preserve">Obilana, A. B. (2004). Importance of millets in Africa. </w:t>
      </w:r>
      <w:r w:rsidRPr="004C3569">
        <w:rPr>
          <w:i/>
          <w:iCs/>
        </w:rPr>
        <w:t>ICRISAT Working Paper Series.</w:t>
      </w:r>
    </w:p>
    <w:p w14:paraId="38F72C48" w14:textId="77777777" w:rsidR="00DB5150" w:rsidRPr="004C3569" w:rsidRDefault="00DB5150" w:rsidP="00B43596">
      <w:pPr>
        <w:pStyle w:val="NormalWeb"/>
        <w:spacing w:after="240" w:afterAutospacing="0"/>
        <w:ind w:left="720" w:hanging="720"/>
        <w:jc w:val="both"/>
        <w:rPr>
          <w:i/>
          <w:iCs/>
        </w:rPr>
      </w:pPr>
      <w:r>
        <w:t xml:space="preserve">Ojo, A. O., Ajiboye, G. A., &amp; Lawal, M. A. (2021). Response of millet and maize seedlings to MPK. </w:t>
      </w:r>
      <w:r w:rsidRPr="004C3569">
        <w:rPr>
          <w:i/>
          <w:iCs/>
        </w:rPr>
        <w:t>Agricultural Research Journal of Nigeria, 14(2), 65–72.</w:t>
      </w:r>
    </w:p>
    <w:p w14:paraId="7D6AA071" w14:textId="77777777" w:rsidR="00DB5150" w:rsidRPr="004C3569" w:rsidRDefault="00DB5150" w:rsidP="00B43596">
      <w:pPr>
        <w:pStyle w:val="NormalWeb"/>
        <w:spacing w:after="240" w:afterAutospacing="0"/>
        <w:ind w:left="720" w:hanging="720"/>
        <w:jc w:val="both"/>
        <w:rPr>
          <w:i/>
          <w:iCs/>
        </w:rPr>
      </w:pPr>
      <w:r>
        <w:t xml:space="preserve">Oladejo, M. A., Adeyemi, K. A., &amp; Ogunleye, A. O. (2019). NPK and early maize performance. </w:t>
      </w:r>
      <w:r w:rsidRPr="004C3569">
        <w:rPr>
          <w:i/>
          <w:iCs/>
        </w:rPr>
        <w:t>Journal of Plant and Soil Sciences, 12(1), 79–85.</w:t>
      </w:r>
    </w:p>
    <w:p w14:paraId="7E9A0A87" w14:textId="77777777" w:rsidR="00DB5150" w:rsidRPr="003D4B1A" w:rsidRDefault="00DB5150" w:rsidP="00B43596">
      <w:pPr>
        <w:pStyle w:val="NormalWeb"/>
        <w:spacing w:after="240" w:afterAutospacing="0"/>
        <w:ind w:left="720" w:hanging="720"/>
        <w:jc w:val="both"/>
        <w:rPr>
          <w:i/>
          <w:iCs/>
        </w:rPr>
      </w:pPr>
      <w:r>
        <w:t xml:space="preserve">Olaniyan, P. T., et al. (2021). Organic fertilizer improved tomato yield. </w:t>
      </w:r>
      <w:r w:rsidRPr="003D4B1A">
        <w:rPr>
          <w:i/>
          <w:iCs/>
        </w:rPr>
        <w:t>Journal of Horticultural Research, 29(1), 45–53.</w:t>
      </w:r>
    </w:p>
    <w:p w14:paraId="7692EA6E" w14:textId="77777777" w:rsidR="00DB5150" w:rsidRPr="003D4B1A" w:rsidRDefault="00DB5150" w:rsidP="00B43596">
      <w:pPr>
        <w:pStyle w:val="NormalWeb"/>
        <w:spacing w:after="240" w:afterAutospacing="0"/>
        <w:ind w:left="720" w:hanging="720"/>
        <w:jc w:val="both"/>
        <w:rPr>
          <w:i/>
          <w:iCs/>
        </w:rPr>
      </w:pPr>
      <w:r>
        <w:t xml:space="preserve">Onyeka, T. J., Adamu, A. A., &amp; Yusuf, U. A. (2020). Nutritional profile of sorghum. </w:t>
      </w:r>
      <w:r w:rsidRPr="003D4B1A">
        <w:rPr>
          <w:i/>
          <w:iCs/>
        </w:rPr>
        <w:t>Food Science and Human Wellness, 9(3), 264–270.</w:t>
      </w:r>
    </w:p>
    <w:p w14:paraId="7D3874DE" w14:textId="77777777" w:rsidR="00DB5150" w:rsidRPr="003D4B1A" w:rsidRDefault="00DB5150" w:rsidP="00B43596">
      <w:pPr>
        <w:pStyle w:val="NormalWeb"/>
        <w:spacing w:after="240" w:afterAutospacing="0"/>
        <w:ind w:left="720" w:hanging="720"/>
        <w:jc w:val="both"/>
        <w:rPr>
          <w:i/>
          <w:iCs/>
        </w:rPr>
      </w:pPr>
      <w:r>
        <w:t xml:space="preserve">Oyinlola, E. Y., Adebayo, A. G., &amp; Bello, W. A. (2010). Effect of NPK on maize in Guinea savanna. </w:t>
      </w:r>
      <w:r w:rsidRPr="003D4B1A">
        <w:rPr>
          <w:i/>
          <w:iCs/>
        </w:rPr>
        <w:t>Journal of Agriculture and Social Sciences, 6(3), 89–92.</w:t>
      </w:r>
    </w:p>
    <w:p w14:paraId="79E8730A" w14:textId="77777777" w:rsidR="00DB5150" w:rsidRPr="003D4B1A" w:rsidRDefault="00DB5150" w:rsidP="00B43596">
      <w:pPr>
        <w:pStyle w:val="NormalWeb"/>
        <w:spacing w:after="240" w:afterAutospacing="0"/>
        <w:ind w:left="720" w:hanging="720"/>
        <w:jc w:val="both"/>
        <w:rPr>
          <w:i/>
          <w:iCs/>
        </w:rPr>
      </w:pPr>
      <w:r>
        <w:t>Palm, C. A., Myers, R. J. K., &amp; Nandwa, S. M. (2001). Organic and inorganic nutrient sources in Africa.</w:t>
      </w:r>
      <w:r w:rsidRPr="003D4B1A">
        <w:rPr>
          <w:i/>
          <w:iCs/>
        </w:rPr>
        <w:t xml:space="preserve"> In Replenishing Soil Fertility in Africa. SSSA Special Publication, 51.</w:t>
      </w:r>
    </w:p>
    <w:p w14:paraId="6592335A" w14:textId="77777777" w:rsidR="00DB5150" w:rsidRPr="00D06551" w:rsidRDefault="00DB5150" w:rsidP="00B43596">
      <w:pPr>
        <w:pStyle w:val="NormalWeb"/>
        <w:spacing w:after="240" w:afterAutospacing="0"/>
        <w:ind w:left="720" w:hanging="720"/>
        <w:jc w:val="both"/>
        <w:rPr>
          <w:i/>
          <w:iCs/>
        </w:rPr>
      </w:pPr>
      <w:r>
        <w:t xml:space="preserve">Rao, P. S., Ramesh, S., &amp; Gopinath, K. A. (2014). Forage potential of sorghum. </w:t>
      </w:r>
      <w:r w:rsidRPr="00D06551">
        <w:rPr>
          <w:i/>
          <w:iCs/>
        </w:rPr>
        <w:t>Indian Journal of Agronomy, 59(3), 378–385.</w:t>
      </w:r>
    </w:p>
    <w:p w14:paraId="34C8F31D" w14:textId="77777777" w:rsidR="00DB5150" w:rsidRPr="00D06551" w:rsidRDefault="00DB5150" w:rsidP="00B43596">
      <w:pPr>
        <w:pStyle w:val="NormalWeb"/>
        <w:spacing w:after="240" w:afterAutospacing="0"/>
        <w:ind w:left="720" w:hanging="720"/>
        <w:jc w:val="both"/>
        <w:rPr>
          <w:i/>
          <w:iCs/>
        </w:rPr>
      </w:pPr>
      <w:r>
        <w:t xml:space="preserve">Salisbury, F. B., &amp; Ross, C. W. (1992). </w:t>
      </w:r>
      <w:r w:rsidRPr="00D06551">
        <w:rPr>
          <w:i/>
          <w:iCs/>
        </w:rPr>
        <w:t>Plant Physiology (4</w:t>
      </w:r>
      <w:r w:rsidRPr="00D06551">
        <w:rPr>
          <w:i/>
          <w:iCs/>
          <w:vertAlign w:val="superscript"/>
        </w:rPr>
        <w:t>th</w:t>
      </w:r>
      <w:r w:rsidRPr="00D06551">
        <w:rPr>
          <w:i/>
          <w:iCs/>
        </w:rPr>
        <w:t xml:space="preserve"> ed.). Wadsworth.</w:t>
      </w:r>
    </w:p>
    <w:p w14:paraId="1C237D33" w14:textId="77777777" w:rsidR="00DB5150" w:rsidRPr="00D06551" w:rsidRDefault="00DB5150" w:rsidP="00B43596">
      <w:pPr>
        <w:pStyle w:val="NormalWeb"/>
        <w:spacing w:after="240" w:afterAutospacing="0"/>
        <w:ind w:left="720" w:hanging="720"/>
        <w:jc w:val="both"/>
        <w:rPr>
          <w:i/>
          <w:iCs/>
        </w:rPr>
      </w:pPr>
      <w:r>
        <w:t xml:space="preserve">Shewry, P. R., &amp; Hey, S. J. (2015). Wheat in human health. </w:t>
      </w:r>
      <w:r w:rsidRPr="00D06551">
        <w:rPr>
          <w:i/>
          <w:iCs/>
        </w:rPr>
        <w:t>Food and Energy Security, 4(3), 178–202.</w:t>
      </w:r>
    </w:p>
    <w:p w14:paraId="1886C2F4" w14:textId="77777777" w:rsidR="00DB5150" w:rsidRDefault="00DB5150" w:rsidP="00B43596">
      <w:pPr>
        <w:pStyle w:val="NormalWeb"/>
        <w:spacing w:after="240" w:afterAutospacing="0"/>
        <w:ind w:left="720" w:hanging="720"/>
        <w:jc w:val="both"/>
      </w:pPr>
      <w:r>
        <w:t xml:space="preserve">Singh, Y., &amp; Shivay, Y. S. (2003). Nitrogen management in wheat. </w:t>
      </w:r>
      <w:r w:rsidRPr="00D06551">
        <w:rPr>
          <w:i/>
          <w:iCs/>
        </w:rPr>
        <w:t>Journal of the Indian Society of Soil Science, 51(2), 183–193.</w:t>
      </w:r>
    </w:p>
    <w:p w14:paraId="04F1D1AD" w14:textId="77777777" w:rsidR="00DB5150" w:rsidRPr="00D06551" w:rsidRDefault="00DB5150" w:rsidP="00B43596">
      <w:pPr>
        <w:pStyle w:val="NormalWeb"/>
        <w:spacing w:after="240" w:afterAutospacing="0"/>
        <w:ind w:left="720" w:hanging="720"/>
        <w:jc w:val="both"/>
        <w:rPr>
          <w:i/>
          <w:iCs/>
        </w:rPr>
      </w:pPr>
      <w:r>
        <w:t xml:space="preserve">Upadhyaya, H. D., et al. (2016). Genetic resources and breeding of sorghum. </w:t>
      </w:r>
      <w:r w:rsidRPr="00D06551">
        <w:rPr>
          <w:i/>
          <w:iCs/>
        </w:rPr>
        <w:t>Journal of Crop Improvement, 30(5), 467–489.</w:t>
      </w:r>
    </w:p>
    <w:p w14:paraId="4C0594D1" w14:textId="77777777" w:rsidR="00DB5150" w:rsidRPr="00D06551" w:rsidRDefault="00DB5150" w:rsidP="00B43596">
      <w:pPr>
        <w:pStyle w:val="NormalWeb"/>
        <w:spacing w:after="240" w:afterAutospacing="0"/>
        <w:ind w:left="720" w:hanging="720"/>
        <w:jc w:val="both"/>
        <w:rPr>
          <w:i/>
          <w:iCs/>
        </w:rPr>
      </w:pPr>
      <w:r>
        <w:t xml:space="preserve">Usman, H. M., Ibrahim, A. S., &amp; Salisu, A. (2021). Sorghum response to balanced fertilization. </w:t>
      </w:r>
      <w:r w:rsidRPr="00D06551">
        <w:rPr>
          <w:i/>
          <w:iCs/>
        </w:rPr>
        <w:t>Nigerian Journal of Agriculture and Natural Resources, 4(1), 121–128.</w:t>
      </w:r>
    </w:p>
    <w:p w14:paraId="0D2AEDE5" w14:textId="77777777" w:rsidR="00DB5150" w:rsidRPr="006D11D8" w:rsidRDefault="00DB5150" w:rsidP="00B43596">
      <w:pPr>
        <w:pStyle w:val="NormalWeb"/>
        <w:spacing w:after="240" w:afterAutospacing="0"/>
        <w:ind w:left="720" w:hanging="720"/>
        <w:jc w:val="both"/>
        <w:rPr>
          <w:i/>
          <w:iCs/>
        </w:rPr>
      </w:pPr>
      <w:r>
        <w:t xml:space="preserve">Usman, M., Danbature, W. L., &amp; Shehu, A. A. (2015). Agricultural productivity challenges in Sokoto. </w:t>
      </w:r>
      <w:r w:rsidRPr="006D11D8">
        <w:rPr>
          <w:i/>
          <w:iCs/>
        </w:rPr>
        <w:t>Journal of Agricultural and Environmental Sciences, 4(2), 76–82.</w:t>
      </w:r>
    </w:p>
    <w:p w14:paraId="42F5271C" w14:textId="77777777" w:rsidR="00DB5150" w:rsidRPr="006D11D8" w:rsidRDefault="00DB5150" w:rsidP="00B43596">
      <w:pPr>
        <w:pStyle w:val="NormalWeb"/>
        <w:spacing w:after="240" w:afterAutospacing="0"/>
        <w:ind w:left="720" w:hanging="720"/>
        <w:jc w:val="both"/>
        <w:rPr>
          <w:i/>
          <w:iCs/>
        </w:rPr>
      </w:pPr>
      <w:r>
        <w:t xml:space="preserve">Yara. (2021). Nutrient Management Guide for Cereal Crops. </w:t>
      </w:r>
      <w:r w:rsidRPr="006D11D8">
        <w:rPr>
          <w:i/>
          <w:iCs/>
        </w:rPr>
        <w:t>Yara International ASA.</w:t>
      </w:r>
    </w:p>
    <w:p w14:paraId="51EA2A7F" w14:textId="77777777" w:rsidR="00DB5150" w:rsidRPr="006D11D8" w:rsidRDefault="00DB5150" w:rsidP="00B43596">
      <w:pPr>
        <w:pStyle w:val="NormalWeb"/>
        <w:spacing w:after="240" w:afterAutospacing="0"/>
        <w:ind w:left="720" w:hanging="720"/>
        <w:jc w:val="both"/>
        <w:rPr>
          <w:i/>
          <w:iCs/>
        </w:rPr>
      </w:pPr>
      <w:r>
        <w:t xml:space="preserve">Yohannes, M. G., et al. (2020). Sorghum breeding for drought and pest resistance. </w:t>
      </w:r>
      <w:r w:rsidRPr="006D11D8">
        <w:rPr>
          <w:i/>
          <w:iCs/>
        </w:rPr>
        <w:t>Plant Breeding, 139(6), 1023–1032.</w:t>
      </w:r>
    </w:p>
    <w:p w14:paraId="1F6D355D" w14:textId="77777777" w:rsidR="00DB5150" w:rsidRPr="006D11D8" w:rsidRDefault="00DB5150" w:rsidP="00B43596">
      <w:pPr>
        <w:pStyle w:val="NormalWeb"/>
        <w:spacing w:after="240" w:afterAutospacing="0"/>
        <w:ind w:left="720" w:hanging="720"/>
        <w:jc w:val="both"/>
        <w:rPr>
          <w:i/>
          <w:iCs/>
        </w:rPr>
      </w:pPr>
      <w:r>
        <w:t xml:space="preserve">Yusuf, A. A., Adediran, J. A., &amp; Olayiwola, S. O. (2016). Sorghum growth under nitrogen sources. </w:t>
      </w:r>
      <w:r w:rsidRPr="006D11D8">
        <w:rPr>
          <w:i/>
          <w:iCs/>
        </w:rPr>
        <w:t>Nigerian Journal of Soil Science, 26(1), 70–77.</w:t>
      </w:r>
    </w:p>
    <w:p w14:paraId="3BA4E17D" w14:textId="77777777" w:rsidR="00DB5150" w:rsidRPr="006D11D8" w:rsidRDefault="00DB5150" w:rsidP="00B43596">
      <w:pPr>
        <w:pStyle w:val="NormalWeb"/>
        <w:spacing w:after="240" w:afterAutospacing="0"/>
        <w:ind w:left="720" w:hanging="720"/>
        <w:jc w:val="both"/>
        <w:rPr>
          <w:i/>
          <w:iCs/>
        </w:rPr>
      </w:pPr>
      <w:r>
        <w:t xml:space="preserve">Zhao, R., et al. (2017). Nutrient stress on wheat seedlings. </w:t>
      </w:r>
      <w:r w:rsidRPr="006D11D8">
        <w:rPr>
          <w:i/>
          <w:iCs/>
        </w:rPr>
        <w:t>Agronomy Journal, 109(2), 569–578.</w:t>
      </w:r>
    </w:p>
    <w:p w14:paraId="3F6B54CC" w14:textId="77777777" w:rsidR="00DB5150" w:rsidRPr="00AF4B3E" w:rsidRDefault="00DB5150" w:rsidP="00B43596">
      <w:pPr>
        <w:pStyle w:val="NormalWeb"/>
        <w:spacing w:after="240" w:afterAutospacing="0"/>
        <w:ind w:left="720" w:hanging="720"/>
        <w:jc w:val="both"/>
        <w:rPr>
          <w:i/>
          <w:iCs/>
        </w:rPr>
      </w:pPr>
      <w:r>
        <w:t xml:space="preserve">Zhao, X., Xie, Y., Wang, H., &amp; Lu, S. (2009). Fertilizer effects on soil acidification. </w:t>
      </w:r>
      <w:r w:rsidRPr="00AF4B3E">
        <w:rPr>
          <w:i/>
          <w:iCs/>
        </w:rPr>
        <w:t>Agricultural Sciences in China, 8(9), 1210–1216.</w:t>
      </w:r>
    </w:p>
    <w:p w14:paraId="13A0EE87" w14:textId="77777777" w:rsidR="00DB5150" w:rsidRPr="00AF4B3E" w:rsidRDefault="00DB5150" w:rsidP="00B43596">
      <w:pPr>
        <w:pStyle w:val="NormalWeb"/>
        <w:spacing w:after="240" w:afterAutospacing="0"/>
        <w:ind w:left="720" w:hanging="720"/>
        <w:jc w:val="both"/>
        <w:rPr>
          <w:i/>
          <w:iCs/>
        </w:rPr>
      </w:pPr>
      <w:r>
        <w:t xml:space="preserve">Zörb, C., Senbayram, M., &amp; Peiter, E. (2014). Potassium in agriculture: Status and perspectives. </w:t>
      </w:r>
      <w:r w:rsidRPr="00AF4B3E">
        <w:rPr>
          <w:i/>
          <w:iCs/>
        </w:rPr>
        <w:t xml:space="preserve">Journal of Plant Physiology, 171(9), 656–669. </w:t>
      </w:r>
    </w:p>
    <w:p w14:paraId="1FEB7169" w14:textId="77777777" w:rsidR="00DB5150" w:rsidRDefault="00DB5150" w:rsidP="00B43596">
      <w:pPr>
        <w:pStyle w:val="NormalWeb"/>
        <w:spacing w:after="240" w:afterAutospacing="0"/>
        <w:ind w:left="720" w:hanging="720"/>
        <w:jc w:val="both"/>
      </w:pPr>
    </w:p>
    <w:p w14:paraId="1EDD895E" w14:textId="77777777" w:rsidR="00DB5150" w:rsidRPr="002979B9" w:rsidRDefault="00DB5150" w:rsidP="00B43596">
      <w:pPr>
        <w:pStyle w:val="NormalWeb"/>
        <w:spacing w:after="240" w:afterAutospacing="0"/>
        <w:ind w:left="720"/>
        <w:jc w:val="both"/>
      </w:pPr>
    </w:p>
    <w:sectPr w:rsidR="00DB5150" w:rsidRPr="002979B9" w:rsidSect="0009656C">
      <w:pgSz w:w="11906" w:h="16838"/>
      <w:pgMar w:top="1440" w:right="1440" w:bottom="3600" w:left="1440" w:header="706" w:footer="278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70FB19" w14:textId="77777777" w:rsidR="004E45A9" w:rsidRDefault="004E45A9" w:rsidP="00B06D09">
      <w:pPr>
        <w:spacing w:after="0" w:line="240" w:lineRule="auto"/>
      </w:pPr>
      <w:r>
        <w:separator/>
      </w:r>
    </w:p>
  </w:endnote>
  <w:endnote w:type="continuationSeparator" w:id="0">
    <w:p w14:paraId="426D4CB7" w14:textId="77777777" w:rsidR="004E45A9" w:rsidRDefault="004E45A9" w:rsidP="00B06D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44046549"/>
      <w:docPartObj>
        <w:docPartGallery w:val="Page Numbers (Bottom of Page)"/>
        <w:docPartUnique/>
      </w:docPartObj>
    </w:sdtPr>
    <w:sdtContent>
      <w:p w14:paraId="2DB06043" w14:textId="0C44E528" w:rsidR="0042465D" w:rsidRDefault="0042465D" w:rsidP="00FF11FA">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6F8FC1" w14:textId="77777777" w:rsidR="0042465D" w:rsidRDefault="0042465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3516356"/>
      <w:docPartObj>
        <w:docPartGallery w:val="Page Numbers (Bottom of Page)"/>
        <w:docPartUnique/>
      </w:docPartObj>
    </w:sdtPr>
    <w:sdtEndPr>
      <w:rPr>
        <w:noProof/>
      </w:rPr>
    </w:sdtEndPr>
    <w:sdtContent>
      <w:p w14:paraId="0FD4BB3F" w14:textId="3E3195D6" w:rsidR="0042465D" w:rsidRDefault="0042465D">
        <w:pPr>
          <w:pStyle w:val="Footer"/>
          <w:jc w:val="center"/>
        </w:pPr>
        <w:r>
          <w:fldChar w:fldCharType="begin"/>
        </w:r>
        <w:r>
          <w:instrText xml:space="preserve"> PAGE   \* MERGEFORMAT </w:instrText>
        </w:r>
        <w:r>
          <w:fldChar w:fldCharType="separate"/>
        </w:r>
        <w:r w:rsidR="004E45A9">
          <w:rPr>
            <w:noProof/>
          </w:rPr>
          <w:t>i</w:t>
        </w:r>
        <w:r>
          <w:rPr>
            <w:noProof/>
          </w:rPr>
          <w:fldChar w:fldCharType="end"/>
        </w:r>
      </w:p>
    </w:sdtContent>
  </w:sdt>
  <w:p w14:paraId="79DDE751" w14:textId="77777777" w:rsidR="0042465D" w:rsidRDefault="004246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8244D4" w14:textId="77777777" w:rsidR="004E45A9" w:rsidRDefault="004E45A9" w:rsidP="00B06D09">
      <w:pPr>
        <w:spacing w:after="0" w:line="240" w:lineRule="auto"/>
      </w:pPr>
      <w:r>
        <w:separator/>
      </w:r>
    </w:p>
  </w:footnote>
  <w:footnote w:type="continuationSeparator" w:id="0">
    <w:p w14:paraId="752D65EE" w14:textId="77777777" w:rsidR="004E45A9" w:rsidRDefault="004E45A9" w:rsidP="00B06D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70873"/>
    <w:multiLevelType w:val="multilevel"/>
    <w:tmpl w:val="FFFFFFFF"/>
    <w:lvl w:ilvl="0">
      <w:start w:val="1"/>
      <w:numFmt w:val="decimal"/>
      <w:lvlText w:val="%1"/>
      <w:lvlJc w:val="left"/>
      <w:pPr>
        <w:ind w:left="374" w:hanging="374"/>
      </w:pPr>
      <w:rPr>
        <w:rFonts w:hint="default"/>
      </w:rPr>
    </w:lvl>
    <w:lvl w:ilvl="1">
      <w:start w:val="1"/>
      <w:numFmt w:val="decimal"/>
      <w:lvlText w:val="%1.%2"/>
      <w:lvlJc w:val="left"/>
      <w:pPr>
        <w:ind w:left="374" w:hanging="37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17E7325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5433F8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80568A"/>
    <w:multiLevelType w:val="multilevel"/>
    <w:tmpl w:val="FFFFFFFF"/>
    <w:lvl w:ilvl="0">
      <w:start w:val="3"/>
      <w:numFmt w:val="decimal"/>
      <w:lvlText w:val="%1"/>
      <w:lvlJc w:val="left"/>
      <w:pPr>
        <w:ind w:left="387" w:hanging="387"/>
      </w:pPr>
      <w:rPr>
        <w:rFonts w:hint="default"/>
        <w:b/>
      </w:rPr>
    </w:lvl>
    <w:lvl w:ilvl="1">
      <w:start w:val="6"/>
      <w:numFmt w:val="decimal"/>
      <w:lvlText w:val="%1.%2"/>
      <w:lvlJc w:val="left"/>
      <w:pPr>
        <w:ind w:left="387" w:hanging="387"/>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
    <w:nsid w:val="4A433E4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0F340E3"/>
    <w:multiLevelType w:val="hybridMultilevel"/>
    <w:tmpl w:val="DC4A82A2"/>
    <w:lvl w:ilvl="0" w:tplc="FFFFFFFF">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CE22557"/>
    <w:multiLevelType w:val="multilevel"/>
    <w:tmpl w:val="FFFFFFFF"/>
    <w:lvl w:ilvl="0">
      <w:start w:val="1"/>
      <w:numFmt w:val="decimal"/>
      <w:lvlText w:val="%1.0"/>
      <w:lvlJc w:val="left"/>
      <w:pPr>
        <w:ind w:left="374" w:hanging="374"/>
      </w:pPr>
      <w:rPr>
        <w:rFonts w:hint="default"/>
      </w:rPr>
    </w:lvl>
    <w:lvl w:ilvl="1">
      <w:start w:val="1"/>
      <w:numFmt w:val="decimal"/>
      <w:lvlText w:val="%1.%2"/>
      <w:lvlJc w:val="left"/>
      <w:pPr>
        <w:ind w:left="1094" w:hanging="37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nsid w:val="77F36F40"/>
    <w:multiLevelType w:val="multilevel"/>
    <w:tmpl w:val="9CFCD8B4"/>
    <w:lvl w:ilvl="0">
      <w:start w:val="1"/>
      <w:numFmt w:val="lowerRoman"/>
      <w:lvlText w:val="%1."/>
      <w:lvlJc w:val="righ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4"/>
  </w:num>
  <w:num w:numId="3">
    <w:abstractNumId w:val="7"/>
  </w:num>
  <w:num w:numId="4">
    <w:abstractNumId w:val="3"/>
  </w:num>
  <w:num w:numId="5">
    <w:abstractNumId w:val="2"/>
  </w:num>
  <w:num w:numId="6">
    <w:abstractNumId w:val="6"/>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F0C"/>
    <w:rsid w:val="000041C1"/>
    <w:rsid w:val="0001122E"/>
    <w:rsid w:val="000171C6"/>
    <w:rsid w:val="00020F85"/>
    <w:rsid w:val="000236F7"/>
    <w:rsid w:val="00030C74"/>
    <w:rsid w:val="0005138D"/>
    <w:rsid w:val="00087E9C"/>
    <w:rsid w:val="0009656C"/>
    <w:rsid w:val="000C27DB"/>
    <w:rsid w:val="000C7B99"/>
    <w:rsid w:val="000E1989"/>
    <w:rsid w:val="000F4B76"/>
    <w:rsid w:val="00102E91"/>
    <w:rsid w:val="00154525"/>
    <w:rsid w:val="001874FA"/>
    <w:rsid w:val="001D2596"/>
    <w:rsid w:val="00212529"/>
    <w:rsid w:val="0021544C"/>
    <w:rsid w:val="00216D22"/>
    <w:rsid w:val="00224A14"/>
    <w:rsid w:val="00232D86"/>
    <w:rsid w:val="0024282B"/>
    <w:rsid w:val="002717D3"/>
    <w:rsid w:val="00273E61"/>
    <w:rsid w:val="002979B9"/>
    <w:rsid w:val="002B431B"/>
    <w:rsid w:val="002D1553"/>
    <w:rsid w:val="0033605B"/>
    <w:rsid w:val="003474C5"/>
    <w:rsid w:val="003A6A97"/>
    <w:rsid w:val="00402629"/>
    <w:rsid w:val="0042465D"/>
    <w:rsid w:val="00447296"/>
    <w:rsid w:val="0044770C"/>
    <w:rsid w:val="00466BCB"/>
    <w:rsid w:val="004B39FC"/>
    <w:rsid w:val="004C5411"/>
    <w:rsid w:val="004D622A"/>
    <w:rsid w:val="004E45A9"/>
    <w:rsid w:val="00501C63"/>
    <w:rsid w:val="005046F5"/>
    <w:rsid w:val="00523041"/>
    <w:rsid w:val="00561A94"/>
    <w:rsid w:val="00562151"/>
    <w:rsid w:val="0056711D"/>
    <w:rsid w:val="00595304"/>
    <w:rsid w:val="005C589D"/>
    <w:rsid w:val="005E18B6"/>
    <w:rsid w:val="005F3FE5"/>
    <w:rsid w:val="00606D25"/>
    <w:rsid w:val="00614F6F"/>
    <w:rsid w:val="00636E0F"/>
    <w:rsid w:val="006373D7"/>
    <w:rsid w:val="00643C91"/>
    <w:rsid w:val="0067035C"/>
    <w:rsid w:val="0067265D"/>
    <w:rsid w:val="006767EA"/>
    <w:rsid w:val="00697133"/>
    <w:rsid w:val="006A2EC9"/>
    <w:rsid w:val="006B5473"/>
    <w:rsid w:val="006E51DC"/>
    <w:rsid w:val="00746D4E"/>
    <w:rsid w:val="00775E1D"/>
    <w:rsid w:val="00781CA6"/>
    <w:rsid w:val="007C2C8B"/>
    <w:rsid w:val="00826123"/>
    <w:rsid w:val="008421C0"/>
    <w:rsid w:val="00843CFA"/>
    <w:rsid w:val="00856B83"/>
    <w:rsid w:val="0086667F"/>
    <w:rsid w:val="0088574D"/>
    <w:rsid w:val="008D67CB"/>
    <w:rsid w:val="008E05D0"/>
    <w:rsid w:val="008E2A6E"/>
    <w:rsid w:val="008F55C4"/>
    <w:rsid w:val="00914CE2"/>
    <w:rsid w:val="00915B15"/>
    <w:rsid w:val="00933971"/>
    <w:rsid w:val="00960ABD"/>
    <w:rsid w:val="00964D52"/>
    <w:rsid w:val="009709AE"/>
    <w:rsid w:val="00981837"/>
    <w:rsid w:val="009966EB"/>
    <w:rsid w:val="0099693B"/>
    <w:rsid w:val="009C4F41"/>
    <w:rsid w:val="009F17E5"/>
    <w:rsid w:val="009F21BF"/>
    <w:rsid w:val="009F4DD7"/>
    <w:rsid w:val="009F79C9"/>
    <w:rsid w:val="00A013D0"/>
    <w:rsid w:val="00A3605D"/>
    <w:rsid w:val="00A421D1"/>
    <w:rsid w:val="00A70D45"/>
    <w:rsid w:val="00A9320B"/>
    <w:rsid w:val="00A9751B"/>
    <w:rsid w:val="00AA4521"/>
    <w:rsid w:val="00AB3D21"/>
    <w:rsid w:val="00AE3CC4"/>
    <w:rsid w:val="00B05077"/>
    <w:rsid w:val="00B06D09"/>
    <w:rsid w:val="00B35E88"/>
    <w:rsid w:val="00B43596"/>
    <w:rsid w:val="00B46139"/>
    <w:rsid w:val="00B5227A"/>
    <w:rsid w:val="00B52535"/>
    <w:rsid w:val="00B71C23"/>
    <w:rsid w:val="00B80AEF"/>
    <w:rsid w:val="00BA7B63"/>
    <w:rsid w:val="00BC179A"/>
    <w:rsid w:val="00BC19C3"/>
    <w:rsid w:val="00BC3D2E"/>
    <w:rsid w:val="00C05021"/>
    <w:rsid w:val="00C14F1F"/>
    <w:rsid w:val="00C15E61"/>
    <w:rsid w:val="00C2082F"/>
    <w:rsid w:val="00CA717A"/>
    <w:rsid w:val="00D102FC"/>
    <w:rsid w:val="00D5417F"/>
    <w:rsid w:val="00D9750B"/>
    <w:rsid w:val="00DA4855"/>
    <w:rsid w:val="00DB5150"/>
    <w:rsid w:val="00DB6A88"/>
    <w:rsid w:val="00E16F0C"/>
    <w:rsid w:val="00E30FDE"/>
    <w:rsid w:val="00E3427F"/>
    <w:rsid w:val="00E40E58"/>
    <w:rsid w:val="00E46F31"/>
    <w:rsid w:val="00E51646"/>
    <w:rsid w:val="00EA0AEA"/>
    <w:rsid w:val="00EB67C7"/>
    <w:rsid w:val="00EB6815"/>
    <w:rsid w:val="00ED5CA3"/>
    <w:rsid w:val="00F2462A"/>
    <w:rsid w:val="00F260DD"/>
    <w:rsid w:val="00F4613A"/>
    <w:rsid w:val="00F67450"/>
    <w:rsid w:val="00FA2B98"/>
    <w:rsid w:val="00FB12C3"/>
    <w:rsid w:val="00FB2F2D"/>
    <w:rsid w:val="00FB3ED8"/>
    <w:rsid w:val="00FD5589"/>
    <w:rsid w:val="00FF11F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72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F11FA"/>
    <w:pPr>
      <w:keepNext/>
      <w:keepLines/>
      <w:spacing w:before="480" w:after="200"/>
      <w:outlineLvl w:val="0"/>
    </w:pPr>
    <w:rPr>
      <w:rFonts w:ascii="Times New Roman" w:eastAsiaTheme="majorEastAsia" w:hAnsi="Times New Roman" w:cstheme="majorBidi"/>
      <w:b/>
      <w:szCs w:val="40"/>
    </w:rPr>
  </w:style>
  <w:style w:type="paragraph" w:styleId="Heading2">
    <w:name w:val="heading 2"/>
    <w:basedOn w:val="Normal"/>
    <w:next w:val="Normal"/>
    <w:link w:val="Heading2Char"/>
    <w:uiPriority w:val="9"/>
    <w:unhideWhenUsed/>
    <w:qFormat/>
    <w:rsid w:val="00E16F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16F0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E16F0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E16F0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E16F0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6F0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6F0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6F0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11FA"/>
    <w:rPr>
      <w:rFonts w:ascii="Times New Roman" w:eastAsiaTheme="majorEastAsia" w:hAnsi="Times New Roman" w:cstheme="majorBidi"/>
      <w:b/>
      <w:szCs w:val="40"/>
    </w:rPr>
  </w:style>
  <w:style w:type="character" w:customStyle="1" w:styleId="Heading2Char">
    <w:name w:val="Heading 2 Char"/>
    <w:basedOn w:val="DefaultParagraphFont"/>
    <w:link w:val="Heading2"/>
    <w:uiPriority w:val="9"/>
    <w:rsid w:val="00E16F0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E16F0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E16F0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16F0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16F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6F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6F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6F0C"/>
    <w:rPr>
      <w:rFonts w:eastAsiaTheme="majorEastAsia" w:cstheme="majorBidi"/>
      <w:color w:val="272727" w:themeColor="text1" w:themeTint="D8"/>
    </w:rPr>
  </w:style>
  <w:style w:type="paragraph" w:styleId="Title">
    <w:name w:val="Title"/>
    <w:basedOn w:val="Normal"/>
    <w:next w:val="Normal"/>
    <w:link w:val="TitleChar"/>
    <w:uiPriority w:val="10"/>
    <w:qFormat/>
    <w:rsid w:val="00E16F0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16F0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6F0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16F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6F0C"/>
    <w:pPr>
      <w:spacing w:before="160"/>
      <w:jc w:val="center"/>
    </w:pPr>
    <w:rPr>
      <w:i/>
      <w:iCs/>
      <w:color w:val="404040" w:themeColor="text1" w:themeTint="BF"/>
    </w:rPr>
  </w:style>
  <w:style w:type="character" w:customStyle="1" w:styleId="QuoteChar">
    <w:name w:val="Quote Char"/>
    <w:basedOn w:val="DefaultParagraphFont"/>
    <w:link w:val="Quote"/>
    <w:uiPriority w:val="29"/>
    <w:rsid w:val="00E16F0C"/>
    <w:rPr>
      <w:i/>
      <w:iCs/>
      <w:color w:val="404040" w:themeColor="text1" w:themeTint="BF"/>
    </w:rPr>
  </w:style>
  <w:style w:type="paragraph" w:styleId="ListParagraph">
    <w:name w:val="List Paragraph"/>
    <w:basedOn w:val="Normal"/>
    <w:uiPriority w:val="34"/>
    <w:qFormat/>
    <w:rsid w:val="00E16F0C"/>
    <w:pPr>
      <w:ind w:left="720"/>
      <w:contextualSpacing/>
    </w:pPr>
  </w:style>
  <w:style w:type="character" w:styleId="IntenseEmphasis">
    <w:name w:val="Intense Emphasis"/>
    <w:basedOn w:val="DefaultParagraphFont"/>
    <w:uiPriority w:val="21"/>
    <w:qFormat/>
    <w:rsid w:val="00E16F0C"/>
    <w:rPr>
      <w:i/>
      <w:iCs/>
      <w:color w:val="0F4761" w:themeColor="accent1" w:themeShade="BF"/>
    </w:rPr>
  </w:style>
  <w:style w:type="paragraph" w:styleId="IntenseQuote">
    <w:name w:val="Intense Quote"/>
    <w:basedOn w:val="Normal"/>
    <w:next w:val="Normal"/>
    <w:link w:val="IntenseQuoteChar"/>
    <w:uiPriority w:val="30"/>
    <w:qFormat/>
    <w:rsid w:val="00E16F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16F0C"/>
    <w:rPr>
      <w:i/>
      <w:iCs/>
      <w:color w:val="0F4761" w:themeColor="accent1" w:themeShade="BF"/>
    </w:rPr>
  </w:style>
  <w:style w:type="character" w:styleId="IntenseReference">
    <w:name w:val="Intense Reference"/>
    <w:basedOn w:val="DefaultParagraphFont"/>
    <w:uiPriority w:val="32"/>
    <w:qFormat/>
    <w:rsid w:val="00E16F0C"/>
    <w:rPr>
      <w:b/>
      <w:bCs/>
      <w:smallCaps/>
      <w:color w:val="0F4761" w:themeColor="accent1" w:themeShade="BF"/>
      <w:spacing w:val="5"/>
    </w:rPr>
  </w:style>
  <w:style w:type="paragraph" w:customStyle="1" w:styleId="msonormal0">
    <w:name w:val="msonormal"/>
    <w:basedOn w:val="Normal"/>
    <w:rsid w:val="00E16F0C"/>
    <w:pPr>
      <w:spacing w:before="100" w:beforeAutospacing="1" w:after="100" w:afterAutospacing="1" w:line="240" w:lineRule="auto"/>
    </w:pPr>
    <w:rPr>
      <w:rFonts w:ascii="Times New Roman" w:hAnsi="Times New Roman" w:cs="Times New Roman"/>
      <w:kern w:val="0"/>
      <w14:ligatures w14:val="none"/>
    </w:rPr>
  </w:style>
  <w:style w:type="character" w:styleId="Strong">
    <w:name w:val="Strong"/>
    <w:basedOn w:val="DefaultParagraphFont"/>
    <w:uiPriority w:val="22"/>
    <w:qFormat/>
    <w:rsid w:val="00E16F0C"/>
    <w:rPr>
      <w:b/>
      <w:bCs/>
    </w:rPr>
  </w:style>
  <w:style w:type="character" w:styleId="Emphasis">
    <w:name w:val="Emphasis"/>
    <w:basedOn w:val="DefaultParagraphFont"/>
    <w:uiPriority w:val="20"/>
    <w:qFormat/>
    <w:rsid w:val="00E16F0C"/>
    <w:rPr>
      <w:i/>
      <w:iCs/>
    </w:rPr>
  </w:style>
  <w:style w:type="paragraph" w:styleId="NormalWeb">
    <w:name w:val="Normal (Web)"/>
    <w:basedOn w:val="Normal"/>
    <w:uiPriority w:val="99"/>
    <w:unhideWhenUsed/>
    <w:rsid w:val="00E16F0C"/>
    <w:pPr>
      <w:spacing w:before="100" w:beforeAutospacing="1" w:after="100" w:afterAutospacing="1" w:line="240" w:lineRule="auto"/>
    </w:pPr>
    <w:rPr>
      <w:rFonts w:ascii="Times New Roman" w:hAnsi="Times New Roman" w:cs="Times New Roman"/>
      <w:kern w:val="0"/>
      <w14:ligatures w14:val="none"/>
    </w:rPr>
  </w:style>
  <w:style w:type="paragraph" w:styleId="z-TopofForm">
    <w:name w:val="HTML Top of Form"/>
    <w:basedOn w:val="Normal"/>
    <w:next w:val="Normal"/>
    <w:link w:val="z-TopofFormChar"/>
    <w:hidden/>
    <w:uiPriority w:val="99"/>
    <w:semiHidden/>
    <w:unhideWhenUsed/>
    <w:rsid w:val="00E16F0C"/>
    <w:pPr>
      <w:pBdr>
        <w:bottom w:val="single" w:sz="6" w:space="1" w:color="auto"/>
      </w:pBdr>
      <w:spacing w:after="0" w:line="240" w:lineRule="auto"/>
      <w:jc w:val="center"/>
    </w:pPr>
    <w:rPr>
      <w:rFonts w:ascii="Arial" w:hAnsi="Arial" w:cs="Arial"/>
      <w:vanish/>
      <w:kern w:val="0"/>
      <w:sz w:val="16"/>
      <w:szCs w:val="16"/>
      <w14:ligatures w14:val="none"/>
    </w:rPr>
  </w:style>
  <w:style w:type="character" w:customStyle="1" w:styleId="z-TopofFormChar">
    <w:name w:val="z-Top of Form Char"/>
    <w:basedOn w:val="DefaultParagraphFont"/>
    <w:link w:val="z-TopofForm"/>
    <w:uiPriority w:val="99"/>
    <w:semiHidden/>
    <w:rsid w:val="00E16F0C"/>
    <w:rPr>
      <w:rFonts w:ascii="Arial" w:hAnsi="Arial" w:cs="Arial"/>
      <w:vanish/>
      <w:kern w:val="0"/>
      <w:sz w:val="16"/>
      <w:szCs w:val="16"/>
      <w14:ligatures w14:val="none"/>
    </w:rPr>
  </w:style>
  <w:style w:type="paragraph" w:customStyle="1" w:styleId="placeholder">
    <w:name w:val="placeholder"/>
    <w:basedOn w:val="Normal"/>
    <w:rsid w:val="00E16F0C"/>
    <w:pPr>
      <w:spacing w:before="100" w:beforeAutospacing="1" w:after="100" w:afterAutospacing="1" w:line="240" w:lineRule="auto"/>
    </w:pPr>
    <w:rPr>
      <w:rFonts w:ascii="Times New Roman" w:hAnsi="Times New Roman" w:cs="Times New Roman"/>
      <w:kern w:val="0"/>
      <w14:ligatures w14:val="none"/>
    </w:rPr>
  </w:style>
  <w:style w:type="character" w:customStyle="1" w:styleId="flex">
    <w:name w:val="flex"/>
    <w:basedOn w:val="DefaultParagraphFont"/>
    <w:rsid w:val="00E16F0C"/>
  </w:style>
  <w:style w:type="character" w:customStyle="1" w:styleId="ms-15">
    <w:name w:val="ms-1.5"/>
    <w:basedOn w:val="DefaultParagraphFont"/>
    <w:rsid w:val="00E16F0C"/>
  </w:style>
  <w:style w:type="paragraph" w:styleId="z-BottomofForm">
    <w:name w:val="HTML Bottom of Form"/>
    <w:basedOn w:val="Normal"/>
    <w:next w:val="Normal"/>
    <w:link w:val="z-BottomofFormChar"/>
    <w:hidden/>
    <w:uiPriority w:val="99"/>
    <w:semiHidden/>
    <w:unhideWhenUsed/>
    <w:rsid w:val="00E16F0C"/>
    <w:pPr>
      <w:pBdr>
        <w:top w:val="single" w:sz="6" w:space="1" w:color="auto"/>
      </w:pBdr>
      <w:spacing w:after="0" w:line="240" w:lineRule="auto"/>
      <w:jc w:val="center"/>
    </w:pPr>
    <w:rPr>
      <w:rFonts w:ascii="Arial"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E16F0C"/>
    <w:rPr>
      <w:rFonts w:ascii="Arial" w:hAnsi="Arial" w:cs="Arial"/>
      <w:vanish/>
      <w:kern w:val="0"/>
      <w:sz w:val="16"/>
      <w:szCs w:val="16"/>
      <w14:ligatures w14:val="none"/>
    </w:rPr>
  </w:style>
  <w:style w:type="paragraph" w:styleId="Header">
    <w:name w:val="header"/>
    <w:basedOn w:val="Normal"/>
    <w:link w:val="HeaderChar"/>
    <w:uiPriority w:val="99"/>
    <w:unhideWhenUsed/>
    <w:rsid w:val="00B06D0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6D09"/>
  </w:style>
  <w:style w:type="paragraph" w:styleId="Footer">
    <w:name w:val="footer"/>
    <w:basedOn w:val="Normal"/>
    <w:link w:val="FooterChar"/>
    <w:uiPriority w:val="99"/>
    <w:unhideWhenUsed/>
    <w:rsid w:val="00B06D0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6D09"/>
  </w:style>
  <w:style w:type="character" w:styleId="PageNumber">
    <w:name w:val="page number"/>
    <w:basedOn w:val="DefaultParagraphFont"/>
    <w:uiPriority w:val="99"/>
    <w:semiHidden/>
    <w:unhideWhenUsed/>
    <w:rsid w:val="00B06D09"/>
  </w:style>
  <w:style w:type="character" w:styleId="Hyperlink">
    <w:name w:val="Hyperlink"/>
    <w:basedOn w:val="DefaultParagraphFont"/>
    <w:uiPriority w:val="99"/>
    <w:unhideWhenUsed/>
    <w:rsid w:val="00DB5150"/>
    <w:rPr>
      <w:color w:val="0000FF"/>
      <w:u w:val="single"/>
    </w:rPr>
  </w:style>
  <w:style w:type="character" w:styleId="PlaceholderText">
    <w:name w:val="Placeholder Text"/>
    <w:basedOn w:val="DefaultParagraphFont"/>
    <w:uiPriority w:val="99"/>
    <w:semiHidden/>
    <w:rsid w:val="009F21BF"/>
    <w:rPr>
      <w:color w:val="666666"/>
    </w:rPr>
  </w:style>
  <w:style w:type="paragraph" w:styleId="FootnoteText">
    <w:name w:val="footnote text"/>
    <w:basedOn w:val="Normal"/>
    <w:link w:val="FootnoteTextChar"/>
    <w:uiPriority w:val="99"/>
    <w:semiHidden/>
    <w:unhideWhenUsed/>
    <w:rsid w:val="005046F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46F5"/>
    <w:rPr>
      <w:sz w:val="20"/>
      <w:szCs w:val="20"/>
    </w:rPr>
  </w:style>
  <w:style w:type="character" w:styleId="FootnoteReference">
    <w:name w:val="footnote reference"/>
    <w:basedOn w:val="DefaultParagraphFont"/>
    <w:uiPriority w:val="99"/>
    <w:semiHidden/>
    <w:unhideWhenUsed/>
    <w:rsid w:val="005046F5"/>
    <w:rPr>
      <w:vertAlign w:val="superscript"/>
    </w:rPr>
  </w:style>
  <w:style w:type="paragraph" w:styleId="EndnoteText">
    <w:name w:val="endnote text"/>
    <w:basedOn w:val="Normal"/>
    <w:link w:val="EndnoteTextChar"/>
    <w:uiPriority w:val="99"/>
    <w:semiHidden/>
    <w:unhideWhenUsed/>
    <w:rsid w:val="005046F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046F5"/>
    <w:rPr>
      <w:sz w:val="20"/>
      <w:szCs w:val="20"/>
    </w:rPr>
  </w:style>
  <w:style w:type="character" w:styleId="EndnoteReference">
    <w:name w:val="endnote reference"/>
    <w:basedOn w:val="DefaultParagraphFont"/>
    <w:uiPriority w:val="99"/>
    <w:semiHidden/>
    <w:unhideWhenUsed/>
    <w:rsid w:val="005046F5"/>
    <w:rPr>
      <w:vertAlign w:val="superscript"/>
    </w:rPr>
  </w:style>
  <w:style w:type="paragraph" w:styleId="TOCHeading">
    <w:name w:val="TOC Heading"/>
    <w:basedOn w:val="Heading1"/>
    <w:next w:val="Normal"/>
    <w:uiPriority w:val="39"/>
    <w:unhideWhenUsed/>
    <w:qFormat/>
    <w:rsid w:val="000E1989"/>
    <w:pPr>
      <w:spacing w:before="240" w:after="0" w:line="259" w:lineRule="auto"/>
      <w:outlineLvl w:val="9"/>
    </w:pPr>
    <w:rPr>
      <w:rFonts w:asciiTheme="majorHAnsi" w:hAnsiTheme="majorHAnsi"/>
      <w:b w:val="0"/>
      <w:color w:val="0F4761" w:themeColor="accent1" w:themeShade="BF"/>
      <w:kern w:val="0"/>
      <w:sz w:val="32"/>
      <w:szCs w:val="32"/>
      <w:lang w:val="en-US" w:eastAsia="en-US"/>
      <w14:ligatures w14:val="none"/>
    </w:rPr>
  </w:style>
  <w:style w:type="paragraph" w:styleId="TOC1">
    <w:name w:val="toc 1"/>
    <w:basedOn w:val="Normal"/>
    <w:next w:val="Normal"/>
    <w:autoRedefine/>
    <w:uiPriority w:val="39"/>
    <w:unhideWhenUsed/>
    <w:rsid w:val="000E1989"/>
    <w:pPr>
      <w:spacing w:after="100"/>
    </w:pPr>
  </w:style>
  <w:style w:type="paragraph" w:styleId="BalloonText">
    <w:name w:val="Balloon Text"/>
    <w:basedOn w:val="Normal"/>
    <w:link w:val="BalloonTextChar"/>
    <w:uiPriority w:val="99"/>
    <w:semiHidden/>
    <w:unhideWhenUsed/>
    <w:rsid w:val="00A360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60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F11FA"/>
    <w:pPr>
      <w:keepNext/>
      <w:keepLines/>
      <w:spacing w:before="480" w:after="200"/>
      <w:outlineLvl w:val="0"/>
    </w:pPr>
    <w:rPr>
      <w:rFonts w:ascii="Times New Roman" w:eastAsiaTheme="majorEastAsia" w:hAnsi="Times New Roman" w:cstheme="majorBidi"/>
      <w:b/>
      <w:szCs w:val="40"/>
    </w:rPr>
  </w:style>
  <w:style w:type="paragraph" w:styleId="Heading2">
    <w:name w:val="heading 2"/>
    <w:basedOn w:val="Normal"/>
    <w:next w:val="Normal"/>
    <w:link w:val="Heading2Char"/>
    <w:uiPriority w:val="9"/>
    <w:unhideWhenUsed/>
    <w:qFormat/>
    <w:rsid w:val="00E16F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16F0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E16F0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E16F0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E16F0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6F0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6F0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6F0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11FA"/>
    <w:rPr>
      <w:rFonts w:ascii="Times New Roman" w:eastAsiaTheme="majorEastAsia" w:hAnsi="Times New Roman" w:cstheme="majorBidi"/>
      <w:b/>
      <w:szCs w:val="40"/>
    </w:rPr>
  </w:style>
  <w:style w:type="character" w:customStyle="1" w:styleId="Heading2Char">
    <w:name w:val="Heading 2 Char"/>
    <w:basedOn w:val="DefaultParagraphFont"/>
    <w:link w:val="Heading2"/>
    <w:uiPriority w:val="9"/>
    <w:rsid w:val="00E16F0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E16F0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E16F0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16F0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16F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6F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6F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6F0C"/>
    <w:rPr>
      <w:rFonts w:eastAsiaTheme="majorEastAsia" w:cstheme="majorBidi"/>
      <w:color w:val="272727" w:themeColor="text1" w:themeTint="D8"/>
    </w:rPr>
  </w:style>
  <w:style w:type="paragraph" w:styleId="Title">
    <w:name w:val="Title"/>
    <w:basedOn w:val="Normal"/>
    <w:next w:val="Normal"/>
    <w:link w:val="TitleChar"/>
    <w:uiPriority w:val="10"/>
    <w:qFormat/>
    <w:rsid w:val="00E16F0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16F0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6F0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16F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6F0C"/>
    <w:pPr>
      <w:spacing w:before="160"/>
      <w:jc w:val="center"/>
    </w:pPr>
    <w:rPr>
      <w:i/>
      <w:iCs/>
      <w:color w:val="404040" w:themeColor="text1" w:themeTint="BF"/>
    </w:rPr>
  </w:style>
  <w:style w:type="character" w:customStyle="1" w:styleId="QuoteChar">
    <w:name w:val="Quote Char"/>
    <w:basedOn w:val="DefaultParagraphFont"/>
    <w:link w:val="Quote"/>
    <w:uiPriority w:val="29"/>
    <w:rsid w:val="00E16F0C"/>
    <w:rPr>
      <w:i/>
      <w:iCs/>
      <w:color w:val="404040" w:themeColor="text1" w:themeTint="BF"/>
    </w:rPr>
  </w:style>
  <w:style w:type="paragraph" w:styleId="ListParagraph">
    <w:name w:val="List Paragraph"/>
    <w:basedOn w:val="Normal"/>
    <w:uiPriority w:val="34"/>
    <w:qFormat/>
    <w:rsid w:val="00E16F0C"/>
    <w:pPr>
      <w:ind w:left="720"/>
      <w:contextualSpacing/>
    </w:pPr>
  </w:style>
  <w:style w:type="character" w:styleId="IntenseEmphasis">
    <w:name w:val="Intense Emphasis"/>
    <w:basedOn w:val="DefaultParagraphFont"/>
    <w:uiPriority w:val="21"/>
    <w:qFormat/>
    <w:rsid w:val="00E16F0C"/>
    <w:rPr>
      <w:i/>
      <w:iCs/>
      <w:color w:val="0F4761" w:themeColor="accent1" w:themeShade="BF"/>
    </w:rPr>
  </w:style>
  <w:style w:type="paragraph" w:styleId="IntenseQuote">
    <w:name w:val="Intense Quote"/>
    <w:basedOn w:val="Normal"/>
    <w:next w:val="Normal"/>
    <w:link w:val="IntenseQuoteChar"/>
    <w:uiPriority w:val="30"/>
    <w:qFormat/>
    <w:rsid w:val="00E16F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16F0C"/>
    <w:rPr>
      <w:i/>
      <w:iCs/>
      <w:color w:val="0F4761" w:themeColor="accent1" w:themeShade="BF"/>
    </w:rPr>
  </w:style>
  <w:style w:type="character" w:styleId="IntenseReference">
    <w:name w:val="Intense Reference"/>
    <w:basedOn w:val="DefaultParagraphFont"/>
    <w:uiPriority w:val="32"/>
    <w:qFormat/>
    <w:rsid w:val="00E16F0C"/>
    <w:rPr>
      <w:b/>
      <w:bCs/>
      <w:smallCaps/>
      <w:color w:val="0F4761" w:themeColor="accent1" w:themeShade="BF"/>
      <w:spacing w:val="5"/>
    </w:rPr>
  </w:style>
  <w:style w:type="paragraph" w:customStyle="1" w:styleId="msonormal0">
    <w:name w:val="msonormal"/>
    <w:basedOn w:val="Normal"/>
    <w:rsid w:val="00E16F0C"/>
    <w:pPr>
      <w:spacing w:before="100" w:beforeAutospacing="1" w:after="100" w:afterAutospacing="1" w:line="240" w:lineRule="auto"/>
    </w:pPr>
    <w:rPr>
      <w:rFonts w:ascii="Times New Roman" w:hAnsi="Times New Roman" w:cs="Times New Roman"/>
      <w:kern w:val="0"/>
      <w14:ligatures w14:val="none"/>
    </w:rPr>
  </w:style>
  <w:style w:type="character" w:styleId="Strong">
    <w:name w:val="Strong"/>
    <w:basedOn w:val="DefaultParagraphFont"/>
    <w:uiPriority w:val="22"/>
    <w:qFormat/>
    <w:rsid w:val="00E16F0C"/>
    <w:rPr>
      <w:b/>
      <w:bCs/>
    </w:rPr>
  </w:style>
  <w:style w:type="character" w:styleId="Emphasis">
    <w:name w:val="Emphasis"/>
    <w:basedOn w:val="DefaultParagraphFont"/>
    <w:uiPriority w:val="20"/>
    <w:qFormat/>
    <w:rsid w:val="00E16F0C"/>
    <w:rPr>
      <w:i/>
      <w:iCs/>
    </w:rPr>
  </w:style>
  <w:style w:type="paragraph" w:styleId="NormalWeb">
    <w:name w:val="Normal (Web)"/>
    <w:basedOn w:val="Normal"/>
    <w:uiPriority w:val="99"/>
    <w:unhideWhenUsed/>
    <w:rsid w:val="00E16F0C"/>
    <w:pPr>
      <w:spacing w:before="100" w:beforeAutospacing="1" w:after="100" w:afterAutospacing="1" w:line="240" w:lineRule="auto"/>
    </w:pPr>
    <w:rPr>
      <w:rFonts w:ascii="Times New Roman" w:hAnsi="Times New Roman" w:cs="Times New Roman"/>
      <w:kern w:val="0"/>
      <w14:ligatures w14:val="none"/>
    </w:rPr>
  </w:style>
  <w:style w:type="paragraph" w:styleId="z-TopofForm">
    <w:name w:val="HTML Top of Form"/>
    <w:basedOn w:val="Normal"/>
    <w:next w:val="Normal"/>
    <w:link w:val="z-TopofFormChar"/>
    <w:hidden/>
    <w:uiPriority w:val="99"/>
    <w:semiHidden/>
    <w:unhideWhenUsed/>
    <w:rsid w:val="00E16F0C"/>
    <w:pPr>
      <w:pBdr>
        <w:bottom w:val="single" w:sz="6" w:space="1" w:color="auto"/>
      </w:pBdr>
      <w:spacing w:after="0" w:line="240" w:lineRule="auto"/>
      <w:jc w:val="center"/>
    </w:pPr>
    <w:rPr>
      <w:rFonts w:ascii="Arial" w:hAnsi="Arial" w:cs="Arial"/>
      <w:vanish/>
      <w:kern w:val="0"/>
      <w:sz w:val="16"/>
      <w:szCs w:val="16"/>
      <w14:ligatures w14:val="none"/>
    </w:rPr>
  </w:style>
  <w:style w:type="character" w:customStyle="1" w:styleId="z-TopofFormChar">
    <w:name w:val="z-Top of Form Char"/>
    <w:basedOn w:val="DefaultParagraphFont"/>
    <w:link w:val="z-TopofForm"/>
    <w:uiPriority w:val="99"/>
    <w:semiHidden/>
    <w:rsid w:val="00E16F0C"/>
    <w:rPr>
      <w:rFonts w:ascii="Arial" w:hAnsi="Arial" w:cs="Arial"/>
      <w:vanish/>
      <w:kern w:val="0"/>
      <w:sz w:val="16"/>
      <w:szCs w:val="16"/>
      <w14:ligatures w14:val="none"/>
    </w:rPr>
  </w:style>
  <w:style w:type="paragraph" w:customStyle="1" w:styleId="placeholder">
    <w:name w:val="placeholder"/>
    <w:basedOn w:val="Normal"/>
    <w:rsid w:val="00E16F0C"/>
    <w:pPr>
      <w:spacing w:before="100" w:beforeAutospacing="1" w:after="100" w:afterAutospacing="1" w:line="240" w:lineRule="auto"/>
    </w:pPr>
    <w:rPr>
      <w:rFonts w:ascii="Times New Roman" w:hAnsi="Times New Roman" w:cs="Times New Roman"/>
      <w:kern w:val="0"/>
      <w14:ligatures w14:val="none"/>
    </w:rPr>
  </w:style>
  <w:style w:type="character" w:customStyle="1" w:styleId="flex">
    <w:name w:val="flex"/>
    <w:basedOn w:val="DefaultParagraphFont"/>
    <w:rsid w:val="00E16F0C"/>
  </w:style>
  <w:style w:type="character" w:customStyle="1" w:styleId="ms-15">
    <w:name w:val="ms-1.5"/>
    <w:basedOn w:val="DefaultParagraphFont"/>
    <w:rsid w:val="00E16F0C"/>
  </w:style>
  <w:style w:type="paragraph" w:styleId="z-BottomofForm">
    <w:name w:val="HTML Bottom of Form"/>
    <w:basedOn w:val="Normal"/>
    <w:next w:val="Normal"/>
    <w:link w:val="z-BottomofFormChar"/>
    <w:hidden/>
    <w:uiPriority w:val="99"/>
    <w:semiHidden/>
    <w:unhideWhenUsed/>
    <w:rsid w:val="00E16F0C"/>
    <w:pPr>
      <w:pBdr>
        <w:top w:val="single" w:sz="6" w:space="1" w:color="auto"/>
      </w:pBdr>
      <w:spacing w:after="0" w:line="240" w:lineRule="auto"/>
      <w:jc w:val="center"/>
    </w:pPr>
    <w:rPr>
      <w:rFonts w:ascii="Arial"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E16F0C"/>
    <w:rPr>
      <w:rFonts w:ascii="Arial" w:hAnsi="Arial" w:cs="Arial"/>
      <w:vanish/>
      <w:kern w:val="0"/>
      <w:sz w:val="16"/>
      <w:szCs w:val="16"/>
      <w14:ligatures w14:val="none"/>
    </w:rPr>
  </w:style>
  <w:style w:type="paragraph" w:styleId="Header">
    <w:name w:val="header"/>
    <w:basedOn w:val="Normal"/>
    <w:link w:val="HeaderChar"/>
    <w:uiPriority w:val="99"/>
    <w:unhideWhenUsed/>
    <w:rsid w:val="00B06D0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6D09"/>
  </w:style>
  <w:style w:type="paragraph" w:styleId="Footer">
    <w:name w:val="footer"/>
    <w:basedOn w:val="Normal"/>
    <w:link w:val="FooterChar"/>
    <w:uiPriority w:val="99"/>
    <w:unhideWhenUsed/>
    <w:rsid w:val="00B06D0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6D09"/>
  </w:style>
  <w:style w:type="character" w:styleId="PageNumber">
    <w:name w:val="page number"/>
    <w:basedOn w:val="DefaultParagraphFont"/>
    <w:uiPriority w:val="99"/>
    <w:semiHidden/>
    <w:unhideWhenUsed/>
    <w:rsid w:val="00B06D09"/>
  </w:style>
  <w:style w:type="character" w:styleId="Hyperlink">
    <w:name w:val="Hyperlink"/>
    <w:basedOn w:val="DefaultParagraphFont"/>
    <w:uiPriority w:val="99"/>
    <w:unhideWhenUsed/>
    <w:rsid w:val="00DB5150"/>
    <w:rPr>
      <w:color w:val="0000FF"/>
      <w:u w:val="single"/>
    </w:rPr>
  </w:style>
  <w:style w:type="character" w:styleId="PlaceholderText">
    <w:name w:val="Placeholder Text"/>
    <w:basedOn w:val="DefaultParagraphFont"/>
    <w:uiPriority w:val="99"/>
    <w:semiHidden/>
    <w:rsid w:val="009F21BF"/>
    <w:rPr>
      <w:color w:val="666666"/>
    </w:rPr>
  </w:style>
  <w:style w:type="paragraph" w:styleId="FootnoteText">
    <w:name w:val="footnote text"/>
    <w:basedOn w:val="Normal"/>
    <w:link w:val="FootnoteTextChar"/>
    <w:uiPriority w:val="99"/>
    <w:semiHidden/>
    <w:unhideWhenUsed/>
    <w:rsid w:val="005046F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46F5"/>
    <w:rPr>
      <w:sz w:val="20"/>
      <w:szCs w:val="20"/>
    </w:rPr>
  </w:style>
  <w:style w:type="character" w:styleId="FootnoteReference">
    <w:name w:val="footnote reference"/>
    <w:basedOn w:val="DefaultParagraphFont"/>
    <w:uiPriority w:val="99"/>
    <w:semiHidden/>
    <w:unhideWhenUsed/>
    <w:rsid w:val="005046F5"/>
    <w:rPr>
      <w:vertAlign w:val="superscript"/>
    </w:rPr>
  </w:style>
  <w:style w:type="paragraph" w:styleId="EndnoteText">
    <w:name w:val="endnote text"/>
    <w:basedOn w:val="Normal"/>
    <w:link w:val="EndnoteTextChar"/>
    <w:uiPriority w:val="99"/>
    <w:semiHidden/>
    <w:unhideWhenUsed/>
    <w:rsid w:val="005046F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046F5"/>
    <w:rPr>
      <w:sz w:val="20"/>
      <w:szCs w:val="20"/>
    </w:rPr>
  </w:style>
  <w:style w:type="character" w:styleId="EndnoteReference">
    <w:name w:val="endnote reference"/>
    <w:basedOn w:val="DefaultParagraphFont"/>
    <w:uiPriority w:val="99"/>
    <w:semiHidden/>
    <w:unhideWhenUsed/>
    <w:rsid w:val="005046F5"/>
    <w:rPr>
      <w:vertAlign w:val="superscript"/>
    </w:rPr>
  </w:style>
  <w:style w:type="paragraph" w:styleId="TOCHeading">
    <w:name w:val="TOC Heading"/>
    <w:basedOn w:val="Heading1"/>
    <w:next w:val="Normal"/>
    <w:uiPriority w:val="39"/>
    <w:unhideWhenUsed/>
    <w:qFormat/>
    <w:rsid w:val="000E1989"/>
    <w:pPr>
      <w:spacing w:before="240" w:after="0" w:line="259" w:lineRule="auto"/>
      <w:outlineLvl w:val="9"/>
    </w:pPr>
    <w:rPr>
      <w:rFonts w:asciiTheme="majorHAnsi" w:hAnsiTheme="majorHAnsi"/>
      <w:b w:val="0"/>
      <w:color w:val="0F4761" w:themeColor="accent1" w:themeShade="BF"/>
      <w:kern w:val="0"/>
      <w:sz w:val="32"/>
      <w:szCs w:val="32"/>
      <w:lang w:val="en-US" w:eastAsia="en-US"/>
      <w14:ligatures w14:val="none"/>
    </w:rPr>
  </w:style>
  <w:style w:type="paragraph" w:styleId="TOC1">
    <w:name w:val="toc 1"/>
    <w:basedOn w:val="Normal"/>
    <w:next w:val="Normal"/>
    <w:autoRedefine/>
    <w:uiPriority w:val="39"/>
    <w:unhideWhenUsed/>
    <w:rsid w:val="000E1989"/>
    <w:pPr>
      <w:spacing w:after="100"/>
    </w:pPr>
  </w:style>
  <w:style w:type="paragraph" w:styleId="BalloonText">
    <w:name w:val="Balloon Text"/>
    <w:basedOn w:val="Normal"/>
    <w:link w:val="BalloonTextChar"/>
    <w:uiPriority w:val="99"/>
    <w:semiHidden/>
    <w:unhideWhenUsed/>
    <w:rsid w:val="00A360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60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4229253">
      <w:marLeft w:val="0"/>
      <w:marRight w:val="0"/>
      <w:marTop w:val="0"/>
      <w:marBottom w:val="0"/>
      <w:divBdr>
        <w:top w:val="none" w:sz="0" w:space="0" w:color="auto"/>
        <w:left w:val="none" w:sz="0" w:space="0" w:color="auto"/>
        <w:bottom w:val="none" w:sz="0" w:space="0" w:color="auto"/>
        <w:right w:val="none" w:sz="0" w:space="0" w:color="auto"/>
      </w:divBdr>
      <w:divsChild>
        <w:div w:id="2059433117">
          <w:marLeft w:val="0"/>
          <w:marRight w:val="0"/>
          <w:marTop w:val="0"/>
          <w:marBottom w:val="0"/>
          <w:divBdr>
            <w:top w:val="none" w:sz="0" w:space="0" w:color="auto"/>
            <w:left w:val="none" w:sz="0" w:space="0" w:color="auto"/>
            <w:bottom w:val="none" w:sz="0" w:space="0" w:color="auto"/>
            <w:right w:val="none" w:sz="0" w:space="0" w:color="auto"/>
          </w:divBdr>
          <w:divsChild>
            <w:div w:id="1200628164">
              <w:marLeft w:val="0"/>
              <w:marRight w:val="0"/>
              <w:marTop w:val="0"/>
              <w:marBottom w:val="0"/>
              <w:divBdr>
                <w:top w:val="none" w:sz="0" w:space="0" w:color="auto"/>
                <w:left w:val="none" w:sz="0" w:space="0" w:color="auto"/>
                <w:bottom w:val="none" w:sz="0" w:space="0" w:color="auto"/>
                <w:right w:val="none" w:sz="0" w:space="0" w:color="auto"/>
              </w:divBdr>
              <w:divsChild>
                <w:div w:id="317001858">
                  <w:marLeft w:val="0"/>
                  <w:marRight w:val="0"/>
                  <w:marTop w:val="0"/>
                  <w:marBottom w:val="0"/>
                  <w:divBdr>
                    <w:top w:val="none" w:sz="0" w:space="0" w:color="auto"/>
                    <w:left w:val="none" w:sz="0" w:space="0" w:color="auto"/>
                    <w:bottom w:val="none" w:sz="0" w:space="0" w:color="auto"/>
                    <w:right w:val="none" w:sz="0" w:space="0" w:color="auto"/>
                  </w:divBdr>
                  <w:divsChild>
                    <w:div w:id="894974549">
                      <w:marLeft w:val="0"/>
                      <w:marRight w:val="0"/>
                      <w:marTop w:val="0"/>
                      <w:marBottom w:val="0"/>
                      <w:divBdr>
                        <w:top w:val="none" w:sz="0" w:space="0" w:color="auto"/>
                        <w:left w:val="none" w:sz="0" w:space="0" w:color="auto"/>
                        <w:bottom w:val="none" w:sz="0" w:space="0" w:color="auto"/>
                        <w:right w:val="none" w:sz="0" w:space="0" w:color="auto"/>
                      </w:divBdr>
                      <w:divsChild>
                        <w:div w:id="1902524591">
                          <w:marLeft w:val="0"/>
                          <w:marRight w:val="0"/>
                          <w:marTop w:val="0"/>
                          <w:marBottom w:val="0"/>
                          <w:divBdr>
                            <w:top w:val="none" w:sz="0" w:space="0" w:color="auto"/>
                            <w:left w:val="none" w:sz="0" w:space="0" w:color="auto"/>
                            <w:bottom w:val="none" w:sz="0" w:space="0" w:color="auto"/>
                            <w:right w:val="none" w:sz="0" w:space="0" w:color="auto"/>
                          </w:divBdr>
                          <w:divsChild>
                            <w:div w:id="1062017946">
                              <w:marLeft w:val="0"/>
                              <w:marRight w:val="0"/>
                              <w:marTop w:val="0"/>
                              <w:marBottom w:val="0"/>
                              <w:divBdr>
                                <w:top w:val="none" w:sz="0" w:space="0" w:color="auto"/>
                                <w:left w:val="none" w:sz="0" w:space="0" w:color="auto"/>
                                <w:bottom w:val="none" w:sz="0" w:space="0" w:color="auto"/>
                                <w:right w:val="none" w:sz="0" w:space="0" w:color="auto"/>
                              </w:divBdr>
                              <w:divsChild>
                                <w:div w:id="1117991074">
                                  <w:marLeft w:val="0"/>
                                  <w:marRight w:val="0"/>
                                  <w:marTop w:val="0"/>
                                  <w:marBottom w:val="0"/>
                                  <w:divBdr>
                                    <w:top w:val="none" w:sz="0" w:space="0" w:color="auto"/>
                                    <w:left w:val="none" w:sz="0" w:space="0" w:color="auto"/>
                                    <w:bottom w:val="none" w:sz="0" w:space="0" w:color="auto"/>
                                    <w:right w:val="none" w:sz="0" w:space="0" w:color="auto"/>
                                  </w:divBdr>
                                  <w:divsChild>
                                    <w:div w:id="393282405">
                                      <w:marLeft w:val="0"/>
                                      <w:marRight w:val="0"/>
                                      <w:marTop w:val="0"/>
                                      <w:marBottom w:val="0"/>
                                      <w:divBdr>
                                        <w:top w:val="none" w:sz="0" w:space="0" w:color="auto"/>
                                        <w:left w:val="none" w:sz="0" w:space="0" w:color="auto"/>
                                        <w:bottom w:val="none" w:sz="0" w:space="0" w:color="auto"/>
                                        <w:right w:val="none" w:sz="0" w:space="0" w:color="auto"/>
                                      </w:divBdr>
                                      <w:divsChild>
                                        <w:div w:id="114315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icrisat.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ao.org/faostat/" TargetMode="Externa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C4CAC-64C7-4708-8153-2C0D795CC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52</Pages>
  <Words>9753</Words>
  <Characters>55598</Characters>
  <Application>Microsoft Office Word</Application>
  <DocSecurity>0</DocSecurity>
  <Lines>463</Lines>
  <Paragraphs>130</Paragraphs>
  <ScaleCrop>false</ScaleCrop>
  <HeadingPairs>
    <vt:vector size="4" baseType="variant">
      <vt:variant>
        <vt:lpstr>Title</vt:lpstr>
      </vt:variant>
      <vt:variant>
        <vt:i4>1</vt:i4>
      </vt:variant>
      <vt:variant>
        <vt:lpstr>Headings</vt:lpstr>
      </vt:variant>
      <vt:variant>
        <vt:i4>61</vt:i4>
      </vt:variant>
    </vt:vector>
  </HeadingPairs>
  <TitlesOfParts>
    <vt:vector size="62" baseType="lpstr">
      <vt:lpstr/>
      <vt:lpstr>CERTIFICATION</vt:lpstr>
      <vt:lpstr>DEDICATION</vt:lpstr>
      <vt:lpstr/>
      <vt:lpstr/>
      <vt:lpstr/>
      <vt:lpstr/>
      <vt:lpstr/>
      <vt:lpstr/>
      <vt:lpstr>ACKNOWLEDGEMENTS</vt:lpstr>
      <vt:lpstr>Table of Contents</vt:lpstr>
      <vt:lpstr/>
      <vt:lpstr>ABSTRACT</vt:lpstr>
      <vt:lpstr>CHAPTER ONE</vt:lpstr>
      <vt:lpstr>INTRODUCTION</vt:lpstr>
      <vt:lpstr>1.3 Justification of the Study</vt:lpstr>
      <vt:lpstr>CHAPTER TWO</vt:lpstr>
      <vt:lpstr>LITERATURE REVIEW</vt:lpstr>
      <vt:lpstr>2.1 Botanical Description of Sorghum bicolor</vt:lpstr>
      <vt:lpstr>2.1.1 Taxonomy</vt:lpstr>
      <vt:lpstr>2.1.2 Morphology</vt:lpstr>
      <vt:lpstr>2.2 Botanical Description of Wheat (Triticum aestivum)</vt:lpstr>
      <vt:lpstr>2.2.1 Taxonomically, wheat is classified as:</vt:lpstr>
      <vt:lpstr>2.3 Comparative Morphology and Physiology of Sorghum bicolor and Triticum aestiv</vt:lpstr>
      <vt:lpstr>2.4 Importance of Seed Germination and Early Seedling Growth</vt:lpstr>
      <vt:lpstr>2.5 Effect of NPK on Germination and Early Seedling Growth of Cereal Crops</vt:lpstr>
      <vt:lpstr>2.6 Economic Importance of Sorghum bicolor</vt:lpstr>
      <vt:lpstr>2.6.1 Food and Nutrition</vt:lpstr>
      <vt:lpstr>2.6.2 Livestock Feed</vt:lpstr>
      <vt:lpstr>2.6.3 Industrial and Bioenergy Applications</vt:lpstr>
      <vt:lpstr>2.6.4 Environmental and Socioeconomic Role</vt:lpstr>
      <vt:lpstr>2.7 Environmental Conditions for Sorghum Cultivation </vt:lpstr>
      <vt:lpstr>2.8 Seed Germination and Early Seedling Growth </vt:lpstr>
      <vt:lpstr>2.9 Status of Sorghum Cultivation in Nigeria</vt:lpstr>
      <vt:lpstr>2.10 Trends in Sorghum Cultivation in Nigeria</vt:lpstr>
      <vt:lpstr>2.11 Factors for the Declining Areas Under Sorghum Cultivation</vt:lpstr>
      <vt:lpstr>2.12 Importance of Fertilizers in Crop Production </vt:lpstr>
      <vt:lpstr>    </vt:lpstr>
      <vt:lpstr>    </vt:lpstr>
      <vt:lpstr>CHAPTER THREE</vt:lpstr>
      <vt:lpstr>3.0 Materials And Methods</vt:lpstr>
      <vt:lpstr>3.1 Study Area</vt:lpstr>
      <vt:lpstr>3.2 Source of Plant Material and Fertilizers</vt:lpstr>
      <vt:lpstr>3.3 Experimental Design</vt:lpstr>
      <vt:lpstr>3.4 Germination Test Procedure (Lab Study)</vt:lpstr>
      <vt:lpstr>3.5 Seedling Growth Evaluation (Field Study)</vt:lpstr>
      <vt:lpstr>3.6 Soil Analysis</vt:lpstr>
      <vt:lpstr>3.7 Statistical Analysis</vt:lpstr>
      <vt:lpstr>RESULTS</vt:lpstr>
      <vt:lpstr>4.1 Effect of NPK Fertilizer on Germination Percentage (%) of Sorghum bicolor an</vt:lpstr>
      <vt:lpstr>Table 4.1: Effect of NPK Fertilizer on Germination Percentage (%) of Sorghum bic</vt:lpstr>
      <vt:lpstr>4.2 Effects of NPK Fertilizer on Early Seedling Growth Parameters</vt:lpstr>
      <vt:lpstr>Table 4. 2: Effect of NPK Fertilizer on Seedling Height (cm) of Sorghum bicolor </vt:lpstr>
      <vt:lpstr>4.3 Effects on Number of Leaves</vt:lpstr>
      <vt:lpstr>Table 4.3: Effect of NPK Fertilizer on Number of Leaves of Sorghum bicolor and T</vt:lpstr>
      <vt:lpstr>4.4 Effect of NPK Fertilizer on Fresh and Dry Weight</vt:lpstr>
      <vt:lpstr>Table 4.4: Effect of NPK Fertilizer on Fresh and Dry Weight (g) of Sorghum bicol</vt:lpstr>
      <vt:lpstr>CHAPTER FIVE</vt:lpstr>
      <vt:lpstr>5.1 Discussion</vt:lpstr>
      <vt:lpstr>5.2 Conclusion</vt:lpstr>
      <vt:lpstr>5.3 Recommendations</vt:lpstr>
      <vt:lpstr>REFERENCES</vt:lpstr>
    </vt:vector>
  </TitlesOfParts>
  <Company/>
  <LinksUpToDate>false</LinksUpToDate>
  <CharactersWithSpaces>65221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ukashatmgr@gmail.com</dc:creator>
  <cp:keywords/>
  <dc:description/>
  <cp:lastModifiedBy>HP</cp:lastModifiedBy>
  <cp:revision>9</cp:revision>
  <cp:lastPrinted>2025-11-27T16:23:00Z</cp:lastPrinted>
  <dcterms:created xsi:type="dcterms:W3CDTF">2025-11-16T12:41:00Z</dcterms:created>
  <dcterms:modified xsi:type="dcterms:W3CDTF">2025-11-27T19:27:00Z</dcterms:modified>
</cp:coreProperties>
</file>