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6DA531" w14:textId="77777777" w:rsidR="007D3C77" w:rsidRDefault="007D3C77" w:rsidP="00AC586B">
      <w:pPr>
        <w:jc w:val="center"/>
        <w:rPr>
          <w:b/>
          <w:bCs/>
        </w:rPr>
      </w:pPr>
      <w:r>
        <w:rPr>
          <w:b/>
          <w:bCs/>
        </w:rPr>
        <w:t>TITLE PAGE</w:t>
      </w:r>
    </w:p>
    <w:p w14:paraId="29114AD9" w14:textId="40B35FC3" w:rsidR="00EE5A4B" w:rsidRPr="00AC586B" w:rsidRDefault="00EE5A4B" w:rsidP="00AC586B">
      <w:pPr>
        <w:jc w:val="center"/>
        <w:rPr>
          <w:b/>
          <w:bCs/>
        </w:rPr>
      </w:pPr>
      <w:r w:rsidRPr="00AC586B">
        <w:rPr>
          <w:b/>
          <w:bCs/>
        </w:rPr>
        <w:t xml:space="preserve">COMPARATIVE </w:t>
      </w:r>
      <w:r w:rsidR="009251CC">
        <w:rPr>
          <w:b/>
          <w:bCs/>
        </w:rPr>
        <w:t xml:space="preserve">ASSESSMENT </w:t>
      </w:r>
      <w:r w:rsidRPr="00AC586B">
        <w:rPr>
          <w:b/>
          <w:bCs/>
        </w:rPr>
        <w:t>OF THE INHIBITORY EFFECT OF SOME SELECTED PLANT EXTRACTS ON THE ACTIVITY OF ALPHA</w:t>
      </w:r>
      <w:r w:rsidR="004530D1">
        <w:rPr>
          <w:b/>
          <w:bCs/>
        </w:rPr>
        <w:t>-</w:t>
      </w:r>
      <w:r w:rsidRPr="00AC586B">
        <w:rPr>
          <w:b/>
          <w:bCs/>
        </w:rPr>
        <w:t>GLUCOSIDASE ENZYME</w:t>
      </w:r>
    </w:p>
    <w:p w14:paraId="775D8D23" w14:textId="77777777" w:rsidR="00AC586B" w:rsidRPr="005B31CC" w:rsidRDefault="00AC586B" w:rsidP="00AC586B">
      <w:pPr>
        <w:jc w:val="center"/>
        <w:rPr>
          <w:szCs w:val="24"/>
        </w:rPr>
      </w:pPr>
    </w:p>
    <w:p w14:paraId="5AFC6243" w14:textId="77777777" w:rsidR="00AC586B" w:rsidRPr="005B31CC" w:rsidRDefault="00AC586B" w:rsidP="00AC586B">
      <w:pPr>
        <w:jc w:val="center"/>
        <w:rPr>
          <w:b/>
          <w:szCs w:val="24"/>
        </w:rPr>
      </w:pPr>
      <w:r w:rsidRPr="005B31CC">
        <w:rPr>
          <w:b/>
          <w:szCs w:val="24"/>
        </w:rPr>
        <w:t>BY</w:t>
      </w:r>
    </w:p>
    <w:p w14:paraId="1F528992" w14:textId="3743FC22" w:rsidR="00AC586B" w:rsidRPr="005B31CC" w:rsidRDefault="00AC586B" w:rsidP="00AC586B">
      <w:pPr>
        <w:jc w:val="center"/>
        <w:rPr>
          <w:b/>
          <w:szCs w:val="24"/>
        </w:rPr>
      </w:pPr>
      <w:r>
        <w:rPr>
          <w:b/>
          <w:szCs w:val="24"/>
        </w:rPr>
        <w:t>ABUBAKAR SADIQ ABDULLAHI</w:t>
      </w:r>
    </w:p>
    <w:p w14:paraId="3C7468BA" w14:textId="483C139B" w:rsidR="00AC586B" w:rsidRPr="005B31CC" w:rsidRDefault="00AC586B" w:rsidP="00AC586B">
      <w:pPr>
        <w:jc w:val="center"/>
        <w:rPr>
          <w:b/>
          <w:szCs w:val="24"/>
        </w:rPr>
      </w:pPr>
      <w:r w:rsidRPr="005B31CC">
        <w:rPr>
          <w:b/>
          <w:szCs w:val="24"/>
        </w:rPr>
        <w:t>(</w:t>
      </w:r>
      <w:r>
        <w:rPr>
          <w:b/>
          <w:szCs w:val="24"/>
        </w:rPr>
        <w:t>2010304026</w:t>
      </w:r>
      <w:r w:rsidRPr="005B31CC">
        <w:rPr>
          <w:b/>
          <w:szCs w:val="24"/>
        </w:rPr>
        <w:t>)</w:t>
      </w:r>
    </w:p>
    <w:p w14:paraId="58E2745F" w14:textId="77777777" w:rsidR="00AC586B" w:rsidRPr="005B31CC" w:rsidRDefault="00AC586B" w:rsidP="00AC586B">
      <w:pPr>
        <w:rPr>
          <w:szCs w:val="24"/>
        </w:rPr>
      </w:pPr>
    </w:p>
    <w:p w14:paraId="02974153" w14:textId="77777777" w:rsidR="00AC586B" w:rsidRPr="005B31CC" w:rsidRDefault="00AC586B" w:rsidP="00AC586B">
      <w:pPr>
        <w:rPr>
          <w:szCs w:val="24"/>
        </w:rPr>
      </w:pPr>
    </w:p>
    <w:p w14:paraId="7FB1B456" w14:textId="77777777" w:rsidR="00AC586B" w:rsidRDefault="00AC586B" w:rsidP="00AC586B">
      <w:pPr>
        <w:jc w:val="center"/>
        <w:rPr>
          <w:b/>
          <w:szCs w:val="24"/>
        </w:rPr>
      </w:pPr>
      <w:r w:rsidRPr="005B31CC">
        <w:rPr>
          <w:b/>
          <w:szCs w:val="24"/>
        </w:rPr>
        <w:t xml:space="preserve">A RESEARCH PROJECT </w:t>
      </w:r>
    </w:p>
    <w:p w14:paraId="5F60475F" w14:textId="77777777" w:rsidR="00AC586B" w:rsidRDefault="00AC586B" w:rsidP="00AC586B">
      <w:pPr>
        <w:jc w:val="center"/>
        <w:rPr>
          <w:b/>
          <w:szCs w:val="24"/>
        </w:rPr>
      </w:pPr>
      <w:r w:rsidRPr="005B31CC">
        <w:rPr>
          <w:b/>
          <w:szCs w:val="24"/>
        </w:rPr>
        <w:t xml:space="preserve">SUBMITTED TO THE </w:t>
      </w:r>
    </w:p>
    <w:p w14:paraId="7F27220D" w14:textId="77777777" w:rsidR="00B97838" w:rsidRDefault="00AC586B" w:rsidP="00AC586B">
      <w:pPr>
        <w:jc w:val="center"/>
        <w:rPr>
          <w:b/>
          <w:szCs w:val="24"/>
        </w:rPr>
      </w:pPr>
      <w:r w:rsidRPr="005B31CC">
        <w:rPr>
          <w:b/>
          <w:szCs w:val="24"/>
        </w:rPr>
        <w:t>DEPARTMENT OF BIOCHEMISTRY</w:t>
      </w:r>
      <w:r>
        <w:rPr>
          <w:b/>
          <w:szCs w:val="24"/>
        </w:rPr>
        <w:t xml:space="preserve"> AND MOLECULAR BIOLOGY</w:t>
      </w:r>
      <w:r w:rsidRPr="005B31CC">
        <w:rPr>
          <w:b/>
          <w:szCs w:val="24"/>
        </w:rPr>
        <w:t xml:space="preserve">, </w:t>
      </w:r>
    </w:p>
    <w:p w14:paraId="0B9EE94C" w14:textId="6CBBE402" w:rsidR="00AC586B" w:rsidRDefault="00AC586B" w:rsidP="00AC586B">
      <w:pPr>
        <w:jc w:val="center"/>
        <w:rPr>
          <w:b/>
          <w:szCs w:val="24"/>
        </w:rPr>
      </w:pPr>
      <w:r w:rsidRPr="005B31CC">
        <w:rPr>
          <w:b/>
          <w:szCs w:val="24"/>
        </w:rPr>
        <w:t xml:space="preserve">USMANU DANFODIYO UNIVERSITY, SOKOTO, </w:t>
      </w:r>
    </w:p>
    <w:p w14:paraId="6A68BDA8" w14:textId="77777777" w:rsidR="00AC586B" w:rsidRDefault="00AC586B" w:rsidP="00AC586B">
      <w:pPr>
        <w:jc w:val="center"/>
        <w:rPr>
          <w:b/>
          <w:szCs w:val="24"/>
        </w:rPr>
      </w:pPr>
    </w:p>
    <w:p w14:paraId="4F40C6F3" w14:textId="77777777" w:rsidR="00AC586B" w:rsidRDefault="00AC586B" w:rsidP="00AC586B">
      <w:pPr>
        <w:jc w:val="center"/>
        <w:rPr>
          <w:b/>
          <w:szCs w:val="24"/>
        </w:rPr>
      </w:pPr>
      <w:r w:rsidRPr="005B31CC">
        <w:rPr>
          <w:b/>
          <w:szCs w:val="24"/>
        </w:rPr>
        <w:t>IN PARTIAL FULFILMENT OF THE REQUIREMENTS FOR THE AWARD OF BACHELOR OF SCIENCES B.Sc. (HONS) DEGREE IN BIOCHEMISTRY</w:t>
      </w:r>
      <w:r>
        <w:rPr>
          <w:b/>
          <w:szCs w:val="24"/>
        </w:rPr>
        <w:t>.</w:t>
      </w:r>
    </w:p>
    <w:p w14:paraId="031D27DB" w14:textId="77777777" w:rsidR="00AC586B" w:rsidRPr="00CE7273" w:rsidRDefault="00AC586B" w:rsidP="00AC586B">
      <w:pPr>
        <w:spacing w:line="240" w:lineRule="auto"/>
        <w:jc w:val="center"/>
      </w:pPr>
    </w:p>
    <w:p w14:paraId="108EAC4B" w14:textId="77777777" w:rsidR="00AC586B" w:rsidRDefault="00AC586B" w:rsidP="00AC586B">
      <w:pPr>
        <w:jc w:val="center"/>
        <w:rPr>
          <w:b/>
          <w:szCs w:val="24"/>
        </w:rPr>
      </w:pPr>
    </w:p>
    <w:p w14:paraId="4C746169" w14:textId="77777777" w:rsidR="00AC586B" w:rsidRPr="00CE7273" w:rsidRDefault="00AC586B" w:rsidP="00AC586B">
      <w:pPr>
        <w:jc w:val="center"/>
        <w:rPr>
          <w:b/>
          <w:szCs w:val="24"/>
        </w:rPr>
      </w:pPr>
      <w:r w:rsidRPr="00CE7273">
        <w:rPr>
          <w:b/>
          <w:szCs w:val="24"/>
        </w:rPr>
        <w:t>SUPERVISED</w:t>
      </w:r>
    </w:p>
    <w:p w14:paraId="27C9D169" w14:textId="77777777" w:rsidR="00AC586B" w:rsidRPr="00CE7273" w:rsidRDefault="00AC586B" w:rsidP="00AC586B">
      <w:pPr>
        <w:spacing w:line="240" w:lineRule="auto"/>
        <w:jc w:val="center"/>
        <w:rPr>
          <w:b/>
          <w:szCs w:val="24"/>
        </w:rPr>
      </w:pPr>
      <w:r w:rsidRPr="00CE7273">
        <w:rPr>
          <w:b/>
          <w:szCs w:val="24"/>
        </w:rPr>
        <w:t>BY</w:t>
      </w:r>
    </w:p>
    <w:p w14:paraId="047381F0" w14:textId="77777777" w:rsidR="00AC586B" w:rsidRPr="00CE7273" w:rsidRDefault="00AC586B" w:rsidP="00AC586B">
      <w:pPr>
        <w:spacing w:line="240" w:lineRule="auto"/>
        <w:jc w:val="center"/>
        <w:rPr>
          <w:b/>
        </w:rPr>
      </w:pPr>
    </w:p>
    <w:p w14:paraId="5E4C9107" w14:textId="753DCFD3" w:rsidR="00AC586B" w:rsidRPr="00CE7273" w:rsidRDefault="00AC586B" w:rsidP="00AC586B">
      <w:pPr>
        <w:spacing w:line="240" w:lineRule="auto"/>
        <w:jc w:val="center"/>
        <w:rPr>
          <w:b/>
          <w:szCs w:val="24"/>
        </w:rPr>
      </w:pPr>
      <w:r>
        <w:rPr>
          <w:b/>
          <w:szCs w:val="24"/>
        </w:rPr>
        <w:t>DR. ANDREW ONU</w:t>
      </w:r>
    </w:p>
    <w:p w14:paraId="3A64A644" w14:textId="77777777" w:rsidR="00AC586B" w:rsidRDefault="00AC586B" w:rsidP="00AC586B">
      <w:pPr>
        <w:jc w:val="center"/>
        <w:rPr>
          <w:szCs w:val="24"/>
        </w:rPr>
      </w:pPr>
    </w:p>
    <w:p w14:paraId="424B47AF" w14:textId="77777777" w:rsidR="00AC586B" w:rsidRDefault="00AC586B" w:rsidP="00AC586B">
      <w:pPr>
        <w:spacing w:line="240" w:lineRule="auto"/>
        <w:jc w:val="center"/>
      </w:pPr>
    </w:p>
    <w:p w14:paraId="5D09DB44" w14:textId="77777777" w:rsidR="00AC586B" w:rsidRDefault="00AC586B" w:rsidP="00AC586B">
      <w:pPr>
        <w:spacing w:line="240" w:lineRule="auto"/>
        <w:jc w:val="center"/>
      </w:pPr>
    </w:p>
    <w:p w14:paraId="5E2D9F9C" w14:textId="77777777" w:rsidR="00AC586B" w:rsidRDefault="00AC586B" w:rsidP="00AC586B">
      <w:pPr>
        <w:spacing w:line="240" w:lineRule="auto"/>
        <w:jc w:val="center"/>
      </w:pPr>
    </w:p>
    <w:p w14:paraId="1BFA3B28" w14:textId="77777777" w:rsidR="00AC586B" w:rsidRPr="005B31CC" w:rsidRDefault="00AC586B" w:rsidP="00AC586B">
      <w:pPr>
        <w:jc w:val="center"/>
        <w:rPr>
          <w:szCs w:val="24"/>
        </w:rPr>
      </w:pPr>
    </w:p>
    <w:p w14:paraId="69BC33BD" w14:textId="1C2C8AC6" w:rsidR="00AC586B" w:rsidRPr="005B31CC" w:rsidRDefault="00AC586B" w:rsidP="00AC586B">
      <w:pPr>
        <w:jc w:val="center"/>
        <w:rPr>
          <w:b/>
          <w:szCs w:val="24"/>
        </w:rPr>
      </w:pPr>
      <w:r>
        <w:rPr>
          <w:b/>
          <w:szCs w:val="24"/>
        </w:rPr>
        <w:t>DECEMBER, 2025</w:t>
      </w:r>
    </w:p>
    <w:p w14:paraId="2B6C9FDE" w14:textId="77777777" w:rsidR="00DA3416" w:rsidRDefault="00DA3416" w:rsidP="00AC586B">
      <w:pPr>
        <w:pStyle w:val="Heading1"/>
        <w:jc w:val="center"/>
        <w:rPr>
          <w:rFonts w:eastAsia="Times New Roman"/>
        </w:rPr>
        <w:sectPr w:rsidR="00DA3416" w:rsidSect="00DA3416">
          <w:footerReference w:type="default" r:id="rId8"/>
          <w:pgSz w:w="11907" w:h="16840" w:code="9"/>
          <w:pgMar w:top="1440" w:right="1440" w:bottom="1440" w:left="1440" w:header="709" w:footer="709" w:gutter="0"/>
          <w:pgNumType w:fmt="lowerRoman" w:start="2"/>
          <w:cols w:space="708"/>
          <w:titlePg/>
          <w:docGrid w:linePitch="360"/>
        </w:sectPr>
      </w:pPr>
    </w:p>
    <w:p w14:paraId="607B4EF0" w14:textId="77777777" w:rsidR="00DA3416" w:rsidRDefault="00DA3416" w:rsidP="00AC586B">
      <w:pPr>
        <w:pStyle w:val="Heading1"/>
        <w:jc w:val="center"/>
        <w:rPr>
          <w:rFonts w:eastAsia="Times New Roman"/>
        </w:rPr>
      </w:pPr>
      <w:bookmarkStart w:id="0" w:name="_Toc216811054"/>
      <w:r>
        <w:rPr>
          <w:rFonts w:eastAsia="Times New Roman"/>
        </w:rPr>
        <w:lastRenderedPageBreak/>
        <w:t>Certification</w:t>
      </w:r>
      <w:bookmarkEnd w:id="0"/>
    </w:p>
    <w:p w14:paraId="30F0FF5B" w14:textId="0E82B3CC" w:rsidR="00126A39" w:rsidRDefault="00126A39" w:rsidP="00126A39">
      <w:pPr>
        <w:jc w:val="both"/>
        <w:rPr>
          <w:szCs w:val="24"/>
        </w:rPr>
      </w:pPr>
      <w:r w:rsidRPr="005B31CC">
        <w:rPr>
          <w:szCs w:val="24"/>
        </w:rPr>
        <w:t>This is to certify that</w:t>
      </w:r>
      <w:r>
        <w:rPr>
          <w:szCs w:val="24"/>
        </w:rPr>
        <w:t xml:space="preserve"> the research project have been conducted by </w:t>
      </w:r>
      <w:r>
        <w:rPr>
          <w:szCs w:val="24"/>
        </w:rPr>
        <w:t>ABDULLAHI, Abubakar Sadiq</w:t>
      </w:r>
      <w:r>
        <w:rPr>
          <w:szCs w:val="24"/>
        </w:rPr>
        <w:t xml:space="preserve"> (20103040</w:t>
      </w:r>
      <w:r>
        <w:rPr>
          <w:szCs w:val="24"/>
        </w:rPr>
        <w:t>26</w:t>
      </w:r>
      <w:r>
        <w:rPr>
          <w:szCs w:val="24"/>
        </w:rPr>
        <w:t xml:space="preserve">) and has been approved as meeting part of the requirements for the </w:t>
      </w:r>
      <w:r w:rsidRPr="005B31CC">
        <w:rPr>
          <w:szCs w:val="24"/>
        </w:rPr>
        <w:t xml:space="preserve">award of Bachelor of Science </w:t>
      </w:r>
      <w:r>
        <w:rPr>
          <w:szCs w:val="24"/>
        </w:rPr>
        <w:t>(B.Sc) d</w:t>
      </w:r>
      <w:r w:rsidRPr="005B31CC">
        <w:rPr>
          <w:szCs w:val="24"/>
        </w:rPr>
        <w:t>egree</w:t>
      </w:r>
      <w:r>
        <w:rPr>
          <w:szCs w:val="24"/>
        </w:rPr>
        <w:t xml:space="preserve"> in Biochemistry</w:t>
      </w:r>
      <w:r w:rsidRPr="005B31CC">
        <w:rPr>
          <w:szCs w:val="24"/>
        </w:rPr>
        <w:t xml:space="preserve"> of Usmanu Danfodiyo University, Sokoto</w:t>
      </w:r>
      <w:r>
        <w:rPr>
          <w:szCs w:val="24"/>
        </w:rPr>
        <w:t>.</w:t>
      </w:r>
    </w:p>
    <w:p w14:paraId="28812093" w14:textId="77777777" w:rsidR="00126A39" w:rsidRDefault="00126A39" w:rsidP="00126A39">
      <w:pPr>
        <w:spacing w:line="240" w:lineRule="auto"/>
      </w:pPr>
    </w:p>
    <w:p w14:paraId="7CCB6B0F" w14:textId="77777777" w:rsidR="00126A39" w:rsidRDefault="00126A39" w:rsidP="00126A39">
      <w:pPr>
        <w:spacing w:line="240" w:lineRule="auto"/>
        <w:rPr>
          <w:szCs w:val="24"/>
        </w:rPr>
      </w:pPr>
    </w:p>
    <w:p w14:paraId="22D71F7A" w14:textId="77777777" w:rsidR="00126A39" w:rsidRDefault="00126A39" w:rsidP="00126A39">
      <w:pPr>
        <w:spacing w:line="240" w:lineRule="auto"/>
        <w:rPr>
          <w:szCs w:val="24"/>
        </w:rPr>
      </w:pPr>
    </w:p>
    <w:p w14:paraId="31DF5D11" w14:textId="77777777" w:rsidR="00126A39" w:rsidRDefault="00126A39" w:rsidP="00126A39">
      <w:pPr>
        <w:spacing w:line="240" w:lineRule="auto"/>
        <w:rPr>
          <w:szCs w:val="24"/>
        </w:rPr>
      </w:pPr>
      <w:r w:rsidRPr="005B31CC">
        <w:rPr>
          <w:szCs w:val="24"/>
        </w:rPr>
        <w:t xml:space="preserve">________________________                                                                   </w:t>
      </w:r>
      <w:r>
        <w:rPr>
          <w:szCs w:val="24"/>
        </w:rPr>
        <w:t xml:space="preserve">         </w:t>
      </w:r>
      <w:r w:rsidRPr="005B31CC">
        <w:rPr>
          <w:szCs w:val="24"/>
        </w:rPr>
        <w:t>_____________</w:t>
      </w:r>
    </w:p>
    <w:p w14:paraId="61023588" w14:textId="77777777" w:rsidR="00126A39" w:rsidRDefault="00126A39" w:rsidP="00126A39">
      <w:pPr>
        <w:spacing w:line="240" w:lineRule="auto"/>
        <w:rPr>
          <w:szCs w:val="24"/>
        </w:rPr>
      </w:pPr>
      <w:r>
        <w:rPr>
          <w:szCs w:val="24"/>
        </w:rPr>
        <w:t>Prof. Aliyu Abdullahi Turaki</w:t>
      </w:r>
    </w:p>
    <w:p w14:paraId="2CCC92E0" w14:textId="77777777" w:rsidR="00126A39" w:rsidRPr="005B31CC" w:rsidRDefault="00126A39" w:rsidP="00126A39">
      <w:pPr>
        <w:spacing w:line="240" w:lineRule="auto"/>
        <w:rPr>
          <w:szCs w:val="24"/>
        </w:rPr>
      </w:pPr>
      <w:r>
        <w:rPr>
          <w:szCs w:val="24"/>
        </w:rPr>
        <w:t>(</w:t>
      </w:r>
      <w:r w:rsidRPr="005B31CC">
        <w:rPr>
          <w:szCs w:val="24"/>
        </w:rPr>
        <w:t>External Examiner</w:t>
      </w:r>
      <w:r>
        <w:rPr>
          <w:szCs w:val="24"/>
        </w:rPr>
        <w:t xml:space="preserve">)    </w:t>
      </w:r>
      <w:r w:rsidRPr="005B31CC">
        <w:rPr>
          <w:szCs w:val="24"/>
        </w:rPr>
        <w:t xml:space="preserve">                </w:t>
      </w:r>
      <w:r>
        <w:rPr>
          <w:szCs w:val="24"/>
        </w:rPr>
        <w:t xml:space="preserve">                    </w:t>
      </w:r>
      <w:r w:rsidRPr="005B31CC">
        <w:rPr>
          <w:szCs w:val="24"/>
        </w:rPr>
        <w:t xml:space="preserve">                                         </w:t>
      </w:r>
      <w:r>
        <w:rPr>
          <w:szCs w:val="24"/>
        </w:rPr>
        <w:t xml:space="preserve">                        </w:t>
      </w:r>
      <w:r w:rsidRPr="005B31CC">
        <w:rPr>
          <w:szCs w:val="24"/>
        </w:rPr>
        <w:t>Date</w:t>
      </w:r>
    </w:p>
    <w:p w14:paraId="3F2B6781" w14:textId="77777777" w:rsidR="00126A39" w:rsidRDefault="00126A39" w:rsidP="00126A39">
      <w:pPr>
        <w:spacing w:line="240" w:lineRule="auto"/>
      </w:pPr>
    </w:p>
    <w:p w14:paraId="7F2E8851" w14:textId="77777777" w:rsidR="00126A39" w:rsidRPr="00762876" w:rsidRDefault="00126A39" w:rsidP="00126A39">
      <w:pPr>
        <w:spacing w:line="240" w:lineRule="auto"/>
      </w:pPr>
    </w:p>
    <w:p w14:paraId="37307E11" w14:textId="77777777" w:rsidR="00126A39" w:rsidRPr="005B31CC" w:rsidRDefault="00126A39" w:rsidP="00126A39">
      <w:pPr>
        <w:rPr>
          <w:szCs w:val="24"/>
        </w:rPr>
      </w:pPr>
    </w:p>
    <w:p w14:paraId="5A6128B7" w14:textId="77777777" w:rsidR="00126A39" w:rsidRPr="005B31CC" w:rsidRDefault="00126A39" w:rsidP="00126A39">
      <w:pPr>
        <w:spacing w:line="240" w:lineRule="auto"/>
        <w:rPr>
          <w:szCs w:val="24"/>
        </w:rPr>
      </w:pPr>
      <w:r w:rsidRPr="005B31CC">
        <w:rPr>
          <w:szCs w:val="24"/>
        </w:rPr>
        <w:t>_____________________                                                                                    ____________</w:t>
      </w:r>
    </w:p>
    <w:p w14:paraId="5C63ECD0" w14:textId="6A28B8E1" w:rsidR="00126A39" w:rsidRPr="005B31CC" w:rsidRDefault="00126A39" w:rsidP="00126A39">
      <w:pPr>
        <w:spacing w:line="240" w:lineRule="auto"/>
        <w:rPr>
          <w:szCs w:val="24"/>
        </w:rPr>
      </w:pPr>
      <w:r>
        <w:rPr>
          <w:szCs w:val="24"/>
        </w:rPr>
        <w:t xml:space="preserve">Dr. </w:t>
      </w:r>
      <w:r>
        <w:rPr>
          <w:szCs w:val="24"/>
        </w:rPr>
        <w:t xml:space="preserve">A. Onu </w:t>
      </w:r>
      <w:bookmarkStart w:id="1" w:name="_GoBack"/>
      <w:bookmarkEnd w:id="1"/>
      <w:r>
        <w:rPr>
          <w:szCs w:val="24"/>
        </w:rPr>
        <w:tab/>
        <w:t xml:space="preserve">     </w:t>
      </w:r>
      <w:r w:rsidRPr="005B31CC">
        <w:rPr>
          <w:szCs w:val="24"/>
        </w:rPr>
        <w:t xml:space="preserve">                                                                                                       </w:t>
      </w:r>
      <w:r>
        <w:rPr>
          <w:szCs w:val="24"/>
        </w:rPr>
        <w:t xml:space="preserve">    </w:t>
      </w:r>
      <w:r w:rsidRPr="005B31CC">
        <w:rPr>
          <w:szCs w:val="24"/>
        </w:rPr>
        <w:t xml:space="preserve">Date                                                                                            </w:t>
      </w:r>
    </w:p>
    <w:p w14:paraId="0080DCD4" w14:textId="77777777" w:rsidR="00126A39" w:rsidRPr="005B31CC" w:rsidRDefault="00126A39" w:rsidP="00126A39">
      <w:pPr>
        <w:spacing w:line="240" w:lineRule="auto"/>
        <w:rPr>
          <w:szCs w:val="24"/>
        </w:rPr>
      </w:pPr>
      <w:r w:rsidRPr="005B31CC">
        <w:rPr>
          <w:szCs w:val="24"/>
        </w:rPr>
        <w:t xml:space="preserve">(Project </w:t>
      </w:r>
      <w:r>
        <w:rPr>
          <w:szCs w:val="24"/>
        </w:rPr>
        <w:t>S</w:t>
      </w:r>
      <w:r w:rsidRPr="005B31CC">
        <w:rPr>
          <w:szCs w:val="24"/>
        </w:rPr>
        <w:t>upervisor)</w:t>
      </w:r>
    </w:p>
    <w:p w14:paraId="6AA46EC1" w14:textId="77777777" w:rsidR="00126A39" w:rsidRPr="005B31CC" w:rsidRDefault="00126A39" w:rsidP="00126A39">
      <w:pPr>
        <w:rPr>
          <w:szCs w:val="24"/>
        </w:rPr>
      </w:pPr>
    </w:p>
    <w:p w14:paraId="4139D5BB" w14:textId="77777777" w:rsidR="00126A39" w:rsidRDefault="00126A39" w:rsidP="00126A39">
      <w:pPr>
        <w:spacing w:line="240" w:lineRule="auto"/>
        <w:rPr>
          <w:szCs w:val="24"/>
        </w:rPr>
      </w:pPr>
    </w:p>
    <w:p w14:paraId="62C93049" w14:textId="77777777" w:rsidR="00126A39" w:rsidRDefault="00126A39" w:rsidP="00126A39">
      <w:pPr>
        <w:spacing w:line="240" w:lineRule="auto"/>
        <w:rPr>
          <w:szCs w:val="24"/>
        </w:rPr>
      </w:pPr>
    </w:p>
    <w:p w14:paraId="5B4E5A0D" w14:textId="77777777" w:rsidR="00126A39" w:rsidRDefault="00126A39" w:rsidP="00126A39">
      <w:pPr>
        <w:spacing w:line="240" w:lineRule="auto"/>
        <w:rPr>
          <w:szCs w:val="24"/>
        </w:rPr>
      </w:pPr>
    </w:p>
    <w:p w14:paraId="67E19663" w14:textId="77777777" w:rsidR="00126A39" w:rsidRPr="005B31CC" w:rsidRDefault="00126A39" w:rsidP="00126A39">
      <w:pPr>
        <w:spacing w:line="240" w:lineRule="auto"/>
        <w:rPr>
          <w:szCs w:val="24"/>
        </w:rPr>
      </w:pPr>
      <w:r w:rsidRPr="005B31CC">
        <w:rPr>
          <w:szCs w:val="24"/>
        </w:rPr>
        <w:t xml:space="preserve">______________________                                                                           </w:t>
      </w:r>
      <w:r>
        <w:rPr>
          <w:szCs w:val="24"/>
        </w:rPr>
        <w:t xml:space="preserve">     </w:t>
      </w:r>
      <w:r w:rsidRPr="005B31CC">
        <w:rPr>
          <w:szCs w:val="24"/>
        </w:rPr>
        <w:t>_____________</w:t>
      </w:r>
    </w:p>
    <w:p w14:paraId="545342DC" w14:textId="77777777" w:rsidR="00126A39" w:rsidRPr="005B31CC" w:rsidRDefault="00126A39" w:rsidP="00126A39">
      <w:pPr>
        <w:spacing w:line="240" w:lineRule="auto"/>
        <w:rPr>
          <w:szCs w:val="24"/>
        </w:rPr>
      </w:pPr>
      <w:r>
        <w:rPr>
          <w:szCs w:val="24"/>
        </w:rPr>
        <w:t xml:space="preserve">Dr. A. Lawal </w:t>
      </w:r>
      <w:r w:rsidRPr="005B31CC">
        <w:rPr>
          <w:szCs w:val="24"/>
        </w:rPr>
        <w:t xml:space="preserve">                                                                                              </w:t>
      </w:r>
      <w:r>
        <w:rPr>
          <w:szCs w:val="24"/>
        </w:rPr>
        <w:t xml:space="preserve">    </w:t>
      </w:r>
      <w:r w:rsidRPr="005B31CC">
        <w:rPr>
          <w:szCs w:val="24"/>
        </w:rPr>
        <w:t xml:space="preserve">      </w:t>
      </w:r>
      <w:r>
        <w:rPr>
          <w:szCs w:val="24"/>
        </w:rPr>
        <w:t xml:space="preserve">   </w:t>
      </w:r>
      <w:r w:rsidRPr="005B31CC">
        <w:rPr>
          <w:szCs w:val="24"/>
        </w:rPr>
        <w:t xml:space="preserve">      Date</w:t>
      </w:r>
    </w:p>
    <w:p w14:paraId="1938C52B" w14:textId="77777777" w:rsidR="00126A39" w:rsidRPr="00583A1A" w:rsidRDefault="00126A39" w:rsidP="00126A39">
      <w:pPr>
        <w:spacing w:line="240" w:lineRule="auto"/>
        <w:rPr>
          <w:szCs w:val="24"/>
        </w:rPr>
      </w:pPr>
      <w:r>
        <w:rPr>
          <w:szCs w:val="24"/>
        </w:rPr>
        <w:t>(Head of Department)</w:t>
      </w:r>
    </w:p>
    <w:p w14:paraId="3AEA7307" w14:textId="77777777" w:rsidR="00DA3416" w:rsidRDefault="00DA3416">
      <w:pPr>
        <w:rPr>
          <w:rFonts w:asciiTheme="majorBidi" w:eastAsia="Times New Roman" w:hAnsiTheme="majorBidi" w:cstheme="majorBidi"/>
          <w:b/>
          <w:szCs w:val="32"/>
        </w:rPr>
      </w:pPr>
      <w:r>
        <w:rPr>
          <w:rFonts w:eastAsia="Times New Roman"/>
        </w:rPr>
        <w:br w:type="page"/>
      </w:r>
    </w:p>
    <w:p w14:paraId="0340E89D" w14:textId="7590466B" w:rsidR="00AC586B" w:rsidRDefault="00AC586B" w:rsidP="00AC586B">
      <w:pPr>
        <w:pStyle w:val="Heading1"/>
        <w:jc w:val="center"/>
        <w:rPr>
          <w:rFonts w:eastAsia="Times New Roman"/>
        </w:rPr>
      </w:pPr>
      <w:bookmarkStart w:id="2" w:name="_Toc216811055"/>
      <w:r>
        <w:rPr>
          <w:rFonts w:eastAsia="Times New Roman"/>
        </w:rPr>
        <w:lastRenderedPageBreak/>
        <w:t>Dedication</w:t>
      </w:r>
      <w:bookmarkEnd w:id="2"/>
    </w:p>
    <w:p w14:paraId="28C06DC4" w14:textId="77777777" w:rsidR="009F2956" w:rsidRPr="0011639F" w:rsidRDefault="009F2956" w:rsidP="009F2956">
      <w:pPr>
        <w:jc w:val="both"/>
        <w:rPr>
          <w:rFonts w:eastAsia="Calibri" w:cs="Times New Roman"/>
          <w:szCs w:val="24"/>
        </w:rPr>
      </w:pPr>
      <w:r>
        <w:rPr>
          <w:rFonts w:eastAsia="Calibri" w:cs="Times New Roman"/>
          <w:szCs w:val="24"/>
        </w:rPr>
        <w:t>This work is dedicated to my beloved sister and friend, Late Fatima Umar Nassarawa, May your soul rest in perfect peace.</w:t>
      </w:r>
    </w:p>
    <w:p w14:paraId="66FBC618" w14:textId="77777777" w:rsidR="00AC586B" w:rsidRDefault="00AC586B" w:rsidP="00AC586B">
      <w:pPr>
        <w:rPr>
          <w:rFonts w:asciiTheme="majorBidi" w:eastAsia="Times New Roman" w:hAnsiTheme="majorBidi" w:cstheme="majorBidi"/>
          <w:kern w:val="36"/>
          <w:szCs w:val="24"/>
        </w:rPr>
      </w:pPr>
      <w:r>
        <w:rPr>
          <w:rFonts w:asciiTheme="majorBidi" w:eastAsia="Times New Roman" w:hAnsiTheme="majorBidi" w:cstheme="majorBidi"/>
          <w:kern w:val="36"/>
          <w:szCs w:val="24"/>
        </w:rPr>
        <w:br w:type="page"/>
      </w:r>
    </w:p>
    <w:p w14:paraId="63EB68CC" w14:textId="77777777" w:rsidR="00AC586B" w:rsidRDefault="00AC586B" w:rsidP="009F2956">
      <w:pPr>
        <w:pStyle w:val="Heading1"/>
        <w:jc w:val="center"/>
        <w:rPr>
          <w:rFonts w:eastAsia="Times New Roman"/>
        </w:rPr>
      </w:pPr>
      <w:bookmarkStart w:id="3" w:name="_Toc216811056"/>
      <w:r w:rsidRPr="00F0418F">
        <w:rPr>
          <w:rFonts w:eastAsia="Times New Roman"/>
        </w:rPr>
        <w:lastRenderedPageBreak/>
        <w:t>Acknowledgements</w:t>
      </w:r>
      <w:bookmarkEnd w:id="3"/>
    </w:p>
    <w:p w14:paraId="47F58B27" w14:textId="77777777" w:rsidR="009F2956" w:rsidRDefault="00AC586B" w:rsidP="009F2956">
      <w:pPr>
        <w:jc w:val="both"/>
        <w:rPr>
          <w:rFonts w:eastAsia="Calibri" w:cs="Times New Roman"/>
          <w:szCs w:val="24"/>
        </w:rPr>
      </w:pPr>
      <w:r>
        <w:rPr>
          <w:rFonts w:asciiTheme="majorBidi" w:eastAsia="Times New Roman" w:hAnsiTheme="majorBidi" w:cstheme="majorBidi"/>
          <w:b/>
          <w:bCs/>
          <w:kern w:val="36"/>
          <w:szCs w:val="24"/>
        </w:rPr>
        <w:t xml:space="preserve"> </w:t>
      </w:r>
      <w:r w:rsidR="009F2956" w:rsidRPr="0011639F">
        <w:rPr>
          <w:rFonts w:eastAsia="Calibri" w:cs="Times New Roman"/>
          <w:szCs w:val="24"/>
        </w:rPr>
        <w:t xml:space="preserve">All praises be to Allah (SWT), the Lord of the universe, Master of the Day of Judgment, Him alone we worship and Him alone we seek for Guidance and Assistance. I thank Him for His Uncountable Mercies bestowed upon me throughout my life and for making it easy for me to complete this technical report. May the peace and blessings of Allah (SWT) be upon our beloved prophet Muhammad (SAW) his house hold, his companions and those who follow their footsteps. </w:t>
      </w:r>
    </w:p>
    <w:p w14:paraId="2A9E08F7" w14:textId="1933F4DE" w:rsidR="009F2956" w:rsidRDefault="009F2956" w:rsidP="009F2956">
      <w:pPr>
        <w:jc w:val="both"/>
        <w:rPr>
          <w:rFonts w:eastAsia="Calibri" w:cs="Times New Roman"/>
          <w:szCs w:val="24"/>
        </w:rPr>
      </w:pPr>
      <w:r>
        <w:rPr>
          <w:rFonts w:eastAsia="Calibri" w:cs="Times New Roman"/>
          <w:szCs w:val="24"/>
        </w:rPr>
        <w:t>I wish to convey my utmost gratitude to my supervisor and mentor, Dr. Andrew Onu, whose unwavering support, mentorship, and guidance made the greatest contributions to the success of this work. Also, I thank all the lecturers of the Department of Biochemistry and Molecular Biology, for their relentless efforts, contributions, mentorship, and guidance throughout my academic journey.</w:t>
      </w:r>
    </w:p>
    <w:p w14:paraId="31E828B1" w14:textId="707B9B78" w:rsidR="009F2956" w:rsidRDefault="009F2956" w:rsidP="009F2956">
      <w:pPr>
        <w:jc w:val="both"/>
        <w:rPr>
          <w:rFonts w:eastAsia="Calibri" w:cs="Times New Roman"/>
          <w:szCs w:val="24"/>
        </w:rPr>
      </w:pPr>
      <w:r>
        <w:rPr>
          <w:rFonts w:eastAsia="Calibri" w:cs="Times New Roman"/>
          <w:szCs w:val="24"/>
        </w:rPr>
        <w:t>I wish to convey my heartfelt gratitude and appreciation my beloved parents Malam Abdullahi B. Tanko and Khadija Muhammad, Alh. Yunusa Gayya and Hajiya Hussaina Bala Halilu, for their unconditional love, care, advices, contribution and encouragement throughout my life and my academic journey.</w:t>
      </w:r>
    </w:p>
    <w:p w14:paraId="326DD9C1" w14:textId="34B08340" w:rsidR="009F2956" w:rsidRDefault="009F2956" w:rsidP="00646119">
      <w:pPr>
        <w:jc w:val="both"/>
        <w:rPr>
          <w:rFonts w:eastAsia="Calibri" w:cs="Times New Roman"/>
          <w:szCs w:val="24"/>
        </w:rPr>
      </w:pPr>
      <w:r>
        <w:rPr>
          <w:rFonts w:eastAsia="Calibri" w:cs="Times New Roman"/>
          <w:szCs w:val="24"/>
        </w:rPr>
        <w:t xml:space="preserve">I also wish to express my appreciation to my </w:t>
      </w:r>
      <w:r w:rsidR="00646119">
        <w:rPr>
          <w:rFonts w:eastAsia="Calibri" w:cs="Times New Roman"/>
          <w:szCs w:val="24"/>
        </w:rPr>
        <w:t>brother</w:t>
      </w:r>
      <w:r>
        <w:rPr>
          <w:rFonts w:eastAsia="Calibri" w:cs="Times New Roman"/>
          <w:szCs w:val="24"/>
        </w:rPr>
        <w:t>, Sulaiman Abdullahi for his endless love and encouragement.</w:t>
      </w:r>
    </w:p>
    <w:p w14:paraId="3C1EBD5F" w14:textId="3A14701F" w:rsidR="009F2956" w:rsidRDefault="009F2956" w:rsidP="009F2956">
      <w:pPr>
        <w:jc w:val="both"/>
        <w:rPr>
          <w:rFonts w:eastAsia="Calibri" w:cs="Times New Roman"/>
          <w:szCs w:val="24"/>
        </w:rPr>
      </w:pPr>
      <w:r>
        <w:rPr>
          <w:rFonts w:eastAsia="Calibri" w:cs="Times New Roman"/>
          <w:szCs w:val="24"/>
        </w:rPr>
        <w:t xml:space="preserve">I would like to extend my wonderful, magnificent, undetectable, unshakable thanks to my molecular brothers Muhammad Sidiq Abubakar, Shu’aibu Iliyasu Ladan, Mahmud Shehu, Isma’il Salihu Awwal, and Mas’ud Lawal for being by my side and support in every situation. </w:t>
      </w:r>
    </w:p>
    <w:p w14:paraId="6AD95818" w14:textId="040A6F51" w:rsidR="00377FAD" w:rsidRDefault="00377FAD" w:rsidP="009F2956">
      <w:pPr>
        <w:jc w:val="both"/>
        <w:rPr>
          <w:rFonts w:eastAsia="Calibri" w:cs="Times New Roman"/>
          <w:szCs w:val="24"/>
        </w:rPr>
      </w:pPr>
      <w:r>
        <w:rPr>
          <w:rFonts w:eastAsia="Calibri" w:cs="Times New Roman"/>
          <w:szCs w:val="24"/>
        </w:rPr>
        <w:t>I also use this medium to extend my appreciation to Oga John for all the guidance, assistance and mentorship. Your scholarship and assistance have gone a long way to the success of this work.</w:t>
      </w:r>
    </w:p>
    <w:p w14:paraId="527F6736" w14:textId="6660BCB2" w:rsidR="00377FAD" w:rsidRDefault="00377FAD" w:rsidP="009F2956">
      <w:pPr>
        <w:jc w:val="both"/>
        <w:rPr>
          <w:rFonts w:eastAsia="Calibri" w:cs="Times New Roman"/>
          <w:szCs w:val="24"/>
        </w:rPr>
      </w:pPr>
      <w:r>
        <w:rPr>
          <w:rFonts w:eastAsia="Calibri" w:cs="Times New Roman"/>
          <w:szCs w:val="24"/>
        </w:rPr>
        <w:lastRenderedPageBreak/>
        <w:t>I also extend my heartfelt appreciation to the Muslim Biochemistry Students Circle, for all the sacrifices and experiences shared.</w:t>
      </w:r>
    </w:p>
    <w:p w14:paraId="68B1DE6D" w14:textId="5C7BF230" w:rsidR="00377FAD" w:rsidRDefault="00377FAD" w:rsidP="009F2956">
      <w:pPr>
        <w:jc w:val="both"/>
        <w:rPr>
          <w:rFonts w:eastAsia="Calibri" w:cs="Times New Roman"/>
          <w:szCs w:val="24"/>
        </w:rPr>
      </w:pPr>
      <w:r>
        <w:rPr>
          <w:rFonts w:eastAsia="Calibri" w:cs="Times New Roman"/>
          <w:szCs w:val="24"/>
        </w:rPr>
        <w:t>I finally wish to appreciate exceptional academic and humanitarian colleagues who assisted in advises and guidance, including Abdullahi Muhammad Kure, Ibrahim Yakubu, Ummulkhair Bello Kikelomo, and Aisha Idris.</w:t>
      </w:r>
    </w:p>
    <w:p w14:paraId="2D793734" w14:textId="77777777" w:rsidR="00AC586B" w:rsidRDefault="00AC586B" w:rsidP="00AC586B">
      <w:pPr>
        <w:jc w:val="both"/>
        <w:rPr>
          <w:rFonts w:asciiTheme="majorBidi" w:eastAsia="Times New Roman" w:hAnsiTheme="majorBidi" w:cstheme="majorBidi"/>
          <w:kern w:val="36"/>
          <w:szCs w:val="24"/>
        </w:rPr>
      </w:pPr>
    </w:p>
    <w:p w14:paraId="1E479EAF" w14:textId="77777777" w:rsidR="00AC586B" w:rsidRDefault="00AC586B" w:rsidP="00AC586B">
      <w:pPr>
        <w:rPr>
          <w:rFonts w:asciiTheme="majorBidi" w:eastAsia="Times New Roman" w:hAnsiTheme="majorBidi" w:cstheme="majorBidi"/>
          <w:kern w:val="36"/>
          <w:szCs w:val="24"/>
        </w:rPr>
      </w:pPr>
      <w:r>
        <w:rPr>
          <w:rFonts w:asciiTheme="majorBidi" w:eastAsia="Times New Roman" w:hAnsiTheme="majorBidi" w:cstheme="majorBidi"/>
          <w:kern w:val="36"/>
          <w:szCs w:val="24"/>
        </w:rPr>
        <w:br w:type="page"/>
      </w:r>
    </w:p>
    <w:p w14:paraId="3C9F5C6B" w14:textId="77777777" w:rsidR="00AC586B" w:rsidRPr="008A695A" w:rsidRDefault="00AC586B" w:rsidP="00AC586B">
      <w:pPr>
        <w:spacing w:before="100" w:beforeAutospacing="1" w:after="100" w:afterAutospacing="1" w:line="240" w:lineRule="auto"/>
        <w:jc w:val="center"/>
        <w:outlineLvl w:val="2"/>
        <w:rPr>
          <w:rFonts w:eastAsia="Times New Roman" w:cs="Times New Roman"/>
          <w:b/>
          <w:bCs/>
          <w:sz w:val="27"/>
          <w:szCs w:val="27"/>
        </w:rPr>
      </w:pPr>
      <w:bookmarkStart w:id="4" w:name="_Toc216811057"/>
      <w:r w:rsidRPr="008A695A">
        <w:rPr>
          <w:rFonts w:eastAsia="Times New Roman" w:cs="Times New Roman"/>
          <w:b/>
          <w:bCs/>
          <w:szCs w:val="24"/>
        </w:rPr>
        <w:lastRenderedPageBreak/>
        <w:t>Abstract</w:t>
      </w:r>
      <w:bookmarkEnd w:id="4"/>
    </w:p>
    <w:p w14:paraId="578B3D9B" w14:textId="2A239861" w:rsidR="009435B2" w:rsidRPr="006F4F75" w:rsidRDefault="009435B2" w:rsidP="006F4F75">
      <w:pPr>
        <w:spacing w:line="240" w:lineRule="auto"/>
        <w:jc w:val="both"/>
        <w:rPr>
          <w:rFonts w:asciiTheme="majorBidi" w:hAnsiTheme="majorBidi" w:cstheme="majorBidi"/>
          <w:szCs w:val="24"/>
        </w:rPr>
      </w:pPr>
      <w:r w:rsidRPr="009435B2">
        <w:rPr>
          <w:rFonts w:asciiTheme="majorBidi" w:eastAsia="Times New Roman" w:hAnsiTheme="majorBidi" w:cstheme="majorBidi"/>
          <w:szCs w:val="24"/>
        </w:rPr>
        <w:t>Diabetes mellitus remains a major global metabolic disorder characterized by chronic hyperglycemia resulting from impaired insulin secretion or action. One therapeutic strategy for reducing postprandial blood glucose involves inhibiting α-glucosidase, a key enzyme responsible for the terminal breakdown of dietary carbohydrates. This study comparatively evaluated the inhibitory potential of methanolic extracts from seven medicinal plants—</w:t>
      </w:r>
      <w:r w:rsidR="00130EC1" w:rsidRPr="00130EC1">
        <w:rPr>
          <w:rFonts w:asciiTheme="majorBidi" w:eastAsia="Times New Roman" w:hAnsiTheme="majorBidi" w:cstheme="majorBidi"/>
          <w:i/>
          <w:szCs w:val="24"/>
        </w:rPr>
        <w:t>Diospyros mespiliformis</w:t>
      </w:r>
      <w:r w:rsidRPr="009435B2">
        <w:rPr>
          <w:rFonts w:asciiTheme="majorBidi" w:eastAsia="Times New Roman" w:hAnsiTheme="majorBidi" w:cstheme="majorBidi"/>
          <w:szCs w:val="24"/>
        </w:rPr>
        <w:t xml:space="preserve"> (Sample A), </w:t>
      </w:r>
      <w:r w:rsidR="0041235F" w:rsidRPr="0041235F">
        <w:rPr>
          <w:rFonts w:asciiTheme="majorBidi" w:eastAsia="Times New Roman" w:hAnsiTheme="majorBidi" w:cstheme="majorBidi"/>
          <w:szCs w:val="24"/>
        </w:rPr>
        <w:t>Stem</w:t>
      </w:r>
      <w:r w:rsidRPr="009435B2">
        <w:rPr>
          <w:rFonts w:asciiTheme="majorBidi" w:eastAsia="Times New Roman" w:hAnsiTheme="majorBidi" w:cstheme="majorBidi"/>
          <w:szCs w:val="24"/>
        </w:rPr>
        <w:t xml:space="preserve"> bark (Sample B), </w:t>
      </w:r>
      <w:r w:rsidR="0041235F" w:rsidRPr="0041235F">
        <w:rPr>
          <w:rFonts w:asciiTheme="majorBidi" w:eastAsia="Times New Roman" w:hAnsiTheme="majorBidi" w:cstheme="majorBidi"/>
          <w:i/>
          <w:iCs/>
          <w:szCs w:val="24"/>
        </w:rPr>
        <w:t>Cassia nigricans</w:t>
      </w:r>
      <w:r w:rsidRPr="009435B2">
        <w:rPr>
          <w:rFonts w:asciiTheme="majorBidi" w:eastAsia="Times New Roman" w:hAnsiTheme="majorBidi" w:cstheme="majorBidi"/>
          <w:szCs w:val="24"/>
        </w:rPr>
        <w:t xml:space="preserve"> (Sample C), </w:t>
      </w:r>
      <w:r w:rsidR="0041235F" w:rsidRPr="0041235F">
        <w:rPr>
          <w:rFonts w:asciiTheme="majorBidi" w:eastAsia="Times New Roman" w:hAnsiTheme="majorBidi" w:cstheme="majorBidi"/>
          <w:i/>
          <w:iCs/>
          <w:szCs w:val="24"/>
        </w:rPr>
        <w:t>Khaya senegalensis</w:t>
      </w:r>
      <w:r w:rsidRPr="009435B2">
        <w:rPr>
          <w:rFonts w:asciiTheme="majorBidi" w:eastAsia="Times New Roman" w:hAnsiTheme="majorBidi" w:cstheme="majorBidi"/>
          <w:szCs w:val="24"/>
        </w:rPr>
        <w:t xml:space="preserve"> (Sample D), </w:t>
      </w:r>
      <w:r w:rsidR="0041235F" w:rsidRPr="0041235F">
        <w:rPr>
          <w:rFonts w:asciiTheme="majorBidi" w:eastAsia="Times New Roman" w:hAnsiTheme="majorBidi" w:cstheme="majorBidi"/>
          <w:i/>
          <w:iCs/>
          <w:szCs w:val="24"/>
        </w:rPr>
        <w:t>Ficus carica</w:t>
      </w:r>
      <w:r w:rsidRPr="009435B2">
        <w:rPr>
          <w:rFonts w:asciiTheme="majorBidi" w:eastAsia="Times New Roman" w:hAnsiTheme="majorBidi" w:cstheme="majorBidi"/>
          <w:szCs w:val="24"/>
        </w:rPr>
        <w:t xml:space="preserve"> (Sample E), Bitter leaf (</w:t>
      </w:r>
      <w:r w:rsidR="0041235F" w:rsidRPr="0041235F">
        <w:rPr>
          <w:rFonts w:asciiTheme="majorBidi" w:eastAsia="Times New Roman" w:hAnsiTheme="majorBidi" w:cstheme="majorBidi"/>
          <w:i/>
          <w:iCs/>
          <w:szCs w:val="24"/>
        </w:rPr>
        <w:t>Vernonia amygdalina</w:t>
      </w:r>
      <w:r w:rsidRPr="009435B2">
        <w:rPr>
          <w:rFonts w:asciiTheme="majorBidi" w:eastAsia="Times New Roman" w:hAnsiTheme="majorBidi" w:cstheme="majorBidi"/>
          <w:szCs w:val="24"/>
        </w:rPr>
        <w:t xml:space="preserve">, Sample F), and </w:t>
      </w:r>
      <w:r w:rsidR="0041235F" w:rsidRPr="0041235F">
        <w:rPr>
          <w:rFonts w:asciiTheme="majorBidi" w:eastAsia="Times New Roman" w:hAnsiTheme="majorBidi" w:cstheme="majorBidi"/>
          <w:i/>
          <w:iCs/>
          <w:szCs w:val="24"/>
        </w:rPr>
        <w:t>Ficus sycomorus</w:t>
      </w:r>
      <w:r w:rsidRPr="009435B2">
        <w:rPr>
          <w:rFonts w:asciiTheme="majorBidi" w:eastAsia="Times New Roman" w:hAnsiTheme="majorBidi" w:cstheme="majorBidi"/>
          <w:szCs w:val="24"/>
        </w:rPr>
        <w:t xml:space="preserve"> (Sample G)—against yeast α-glucosidase. Plant samples collected from the local forest at Usmanu Danfodiyo University were air-dried, pulverized, macerated in absolute methanol, and concentrated. Enzyme inhibition assays were performed using serial dilutions of each extract (100–3.125 mg/mL), with absorbance measured at 500 nm after a 5-minute incubation step. Data were analyzed using nonlinear regression to estimate IC₅₀ values.</w:t>
      </w:r>
      <w:r w:rsidR="00191476">
        <w:rPr>
          <w:rFonts w:asciiTheme="majorBidi" w:eastAsia="Times New Roman" w:hAnsiTheme="majorBidi" w:cstheme="majorBidi"/>
          <w:szCs w:val="24"/>
        </w:rPr>
        <w:t xml:space="preserve"> The n</w:t>
      </w:r>
      <w:r w:rsidRPr="009435B2">
        <w:rPr>
          <w:rFonts w:asciiTheme="majorBidi" w:eastAsia="Times New Roman" w:hAnsiTheme="majorBidi" w:cstheme="majorBidi"/>
          <w:szCs w:val="24"/>
        </w:rPr>
        <w:t xml:space="preserve">onlinear regression produced unstable IC₅₀ values for most extracts due to poor curve fitting and low inhibitory response, indicating weak or inconsistent inhibition across the tested concentration range. </w:t>
      </w:r>
      <w:r w:rsidR="006F4F75" w:rsidRPr="0032391C">
        <w:rPr>
          <w:rFonts w:asciiTheme="majorBidi" w:hAnsiTheme="majorBidi" w:cstheme="majorBidi"/>
          <w:szCs w:val="24"/>
        </w:rPr>
        <w:t xml:space="preserve">Extracts </w:t>
      </w:r>
      <w:r w:rsidR="006F4F75">
        <w:rPr>
          <w:rFonts w:asciiTheme="majorBidi" w:hAnsiTheme="majorBidi" w:cstheme="majorBidi"/>
          <w:szCs w:val="24"/>
        </w:rPr>
        <w:t xml:space="preserve">of </w:t>
      </w:r>
      <w:r w:rsidR="006F4F75" w:rsidRPr="00130EC1">
        <w:rPr>
          <w:rFonts w:asciiTheme="majorBidi" w:hAnsiTheme="majorBidi" w:cstheme="majorBidi"/>
          <w:i/>
          <w:szCs w:val="24"/>
        </w:rPr>
        <w:t>Diospyros mespiliformis</w:t>
      </w:r>
      <w:r w:rsidR="006F4F75">
        <w:rPr>
          <w:rFonts w:asciiTheme="majorBidi" w:hAnsiTheme="majorBidi" w:cstheme="majorBidi"/>
          <w:i/>
          <w:szCs w:val="24"/>
        </w:rPr>
        <w:t xml:space="preserve"> leaves</w:t>
      </w:r>
      <w:r w:rsidR="006F4F75" w:rsidRPr="0032391C">
        <w:rPr>
          <w:rFonts w:asciiTheme="majorBidi" w:hAnsiTheme="majorBidi" w:cstheme="majorBidi"/>
          <w:szCs w:val="24"/>
        </w:rPr>
        <w:t xml:space="preserve">, </w:t>
      </w:r>
      <w:r w:rsidR="006F4F75" w:rsidRPr="0041235F">
        <w:rPr>
          <w:rFonts w:asciiTheme="majorBidi" w:hAnsiTheme="majorBidi" w:cstheme="majorBidi"/>
          <w:i/>
          <w:szCs w:val="24"/>
        </w:rPr>
        <w:t>Khaya senegalensis</w:t>
      </w:r>
      <w:r w:rsidR="006F4F75">
        <w:rPr>
          <w:rFonts w:asciiTheme="majorBidi" w:hAnsiTheme="majorBidi" w:cstheme="majorBidi"/>
          <w:szCs w:val="24"/>
        </w:rPr>
        <w:t xml:space="preserve">, </w:t>
      </w:r>
      <w:r w:rsidR="006F4F75" w:rsidRPr="00DA0724">
        <w:rPr>
          <w:rFonts w:asciiTheme="majorBidi" w:hAnsiTheme="majorBidi" w:cstheme="majorBidi"/>
          <w:szCs w:val="24"/>
        </w:rPr>
        <w:t>and</w:t>
      </w:r>
      <w:r w:rsidR="006F4F75">
        <w:rPr>
          <w:rFonts w:asciiTheme="majorBidi" w:hAnsiTheme="majorBidi" w:cstheme="majorBidi"/>
          <w:i/>
          <w:iCs/>
          <w:szCs w:val="24"/>
        </w:rPr>
        <w:t xml:space="preserve"> </w:t>
      </w:r>
      <w:r w:rsidR="006F4F75" w:rsidRPr="00D40706">
        <w:rPr>
          <w:rFonts w:asciiTheme="majorBidi" w:hAnsiTheme="majorBidi" w:cstheme="majorBidi"/>
          <w:i/>
          <w:iCs/>
          <w:szCs w:val="24"/>
        </w:rPr>
        <w:t>Vernonia amygdalina</w:t>
      </w:r>
      <w:r w:rsidR="006F4F75" w:rsidRPr="0032391C">
        <w:rPr>
          <w:rFonts w:asciiTheme="majorBidi" w:hAnsiTheme="majorBidi" w:cstheme="majorBidi"/>
          <w:szCs w:val="24"/>
        </w:rPr>
        <w:t xml:space="preserve"> displayed more consistent upper and lower plateaus, suggesting that they contained constituents capable of interacting with the enzyme</w:t>
      </w:r>
      <w:r w:rsidR="006F4F75">
        <w:rPr>
          <w:rFonts w:asciiTheme="majorBidi" w:hAnsiTheme="majorBidi" w:cstheme="majorBidi"/>
          <w:szCs w:val="24"/>
        </w:rPr>
        <w:t xml:space="preserve">. </w:t>
      </w:r>
      <w:r w:rsidR="006F4F75">
        <w:rPr>
          <w:rFonts w:asciiTheme="majorBidi" w:eastAsia="Times New Roman" w:hAnsiTheme="majorBidi" w:cstheme="majorBidi"/>
          <w:szCs w:val="24"/>
        </w:rPr>
        <w:t>A</w:t>
      </w:r>
      <w:r w:rsidRPr="009435B2">
        <w:rPr>
          <w:rFonts w:asciiTheme="majorBidi" w:eastAsia="Times New Roman" w:hAnsiTheme="majorBidi" w:cstheme="majorBidi"/>
          <w:szCs w:val="24"/>
        </w:rPr>
        <w:t>ll the extracts exhibited minimal α-glucosidase inhibition at the studied concentrations.</w:t>
      </w:r>
    </w:p>
    <w:p w14:paraId="5234988D" w14:textId="1E74179F" w:rsidR="009435B2" w:rsidRPr="009435B2" w:rsidRDefault="009435B2" w:rsidP="009435B2">
      <w:pPr>
        <w:spacing w:line="240" w:lineRule="auto"/>
        <w:jc w:val="both"/>
        <w:rPr>
          <w:rFonts w:asciiTheme="majorBidi" w:eastAsia="Times New Roman" w:hAnsiTheme="majorBidi" w:cstheme="majorBidi"/>
          <w:szCs w:val="24"/>
        </w:rPr>
      </w:pPr>
    </w:p>
    <w:p w14:paraId="25BF87D3" w14:textId="77777777" w:rsidR="00AC586B" w:rsidRPr="00A16489" w:rsidRDefault="00AC586B" w:rsidP="00AC586B">
      <w:pPr>
        <w:spacing w:line="240" w:lineRule="auto"/>
        <w:jc w:val="both"/>
        <w:rPr>
          <w:rFonts w:asciiTheme="majorBidi" w:hAnsiTheme="majorBidi" w:cstheme="majorBidi"/>
          <w:szCs w:val="24"/>
        </w:rPr>
      </w:pPr>
    </w:p>
    <w:p w14:paraId="3FCA6FDC" w14:textId="77777777" w:rsidR="00AC586B" w:rsidRPr="008A695A" w:rsidRDefault="00AC586B" w:rsidP="00AC586B">
      <w:pPr>
        <w:spacing w:before="100" w:beforeAutospacing="1" w:after="100" w:afterAutospacing="1" w:line="240" w:lineRule="auto"/>
        <w:jc w:val="both"/>
        <w:rPr>
          <w:rFonts w:eastAsia="Times New Roman" w:cs="Times New Roman"/>
          <w:szCs w:val="24"/>
        </w:rPr>
      </w:pPr>
    </w:p>
    <w:p w14:paraId="54322C54" w14:textId="77777777" w:rsidR="00AC586B" w:rsidRDefault="00AC586B" w:rsidP="00AC586B">
      <w:pPr>
        <w:jc w:val="both"/>
      </w:pPr>
    </w:p>
    <w:p w14:paraId="23DB7174" w14:textId="77777777" w:rsidR="00AC586B" w:rsidRDefault="00AC586B" w:rsidP="00AC586B">
      <w:pPr>
        <w:rPr>
          <w:rFonts w:asciiTheme="majorBidi" w:eastAsia="Times New Roman" w:hAnsiTheme="majorBidi" w:cstheme="majorBidi"/>
          <w:kern w:val="36"/>
          <w:szCs w:val="24"/>
        </w:rPr>
      </w:pPr>
      <w:r>
        <w:rPr>
          <w:rFonts w:asciiTheme="majorBidi" w:eastAsia="Times New Roman" w:hAnsiTheme="majorBidi" w:cstheme="majorBidi"/>
          <w:kern w:val="36"/>
          <w:szCs w:val="24"/>
        </w:rPr>
        <w:br w:type="page"/>
      </w:r>
    </w:p>
    <w:sdt>
      <w:sdtPr>
        <w:rPr>
          <w:rFonts w:asciiTheme="majorBidi" w:eastAsiaTheme="minorHAnsi" w:hAnsiTheme="majorBidi" w:cstheme="minorBidi"/>
          <w:color w:val="auto"/>
          <w:kern w:val="2"/>
          <w:sz w:val="24"/>
          <w:szCs w:val="24"/>
          <w14:ligatures w14:val="standardContextual"/>
        </w:rPr>
        <w:id w:val="1114789588"/>
        <w:docPartObj>
          <w:docPartGallery w:val="Table of Contents"/>
          <w:docPartUnique/>
        </w:docPartObj>
      </w:sdtPr>
      <w:sdtEndPr>
        <w:rPr>
          <w:noProof/>
        </w:rPr>
      </w:sdtEndPr>
      <w:sdtContent>
        <w:p w14:paraId="349C27F0" w14:textId="6347C75B" w:rsidR="00AC586B" w:rsidRPr="009F2956" w:rsidRDefault="00AC586B" w:rsidP="00AC586B">
          <w:pPr>
            <w:pStyle w:val="TOCHeading"/>
            <w:spacing w:before="0" w:line="480" w:lineRule="auto"/>
            <w:contextualSpacing/>
            <w:jc w:val="center"/>
            <w:rPr>
              <w:rFonts w:asciiTheme="majorBidi" w:hAnsiTheme="majorBidi"/>
              <w:b/>
              <w:bCs/>
              <w:color w:val="auto"/>
              <w:sz w:val="24"/>
              <w:szCs w:val="24"/>
            </w:rPr>
          </w:pPr>
          <w:r w:rsidRPr="009F2956">
            <w:rPr>
              <w:rFonts w:asciiTheme="majorBidi" w:hAnsiTheme="majorBidi"/>
              <w:b/>
              <w:bCs/>
              <w:color w:val="auto"/>
              <w:sz w:val="24"/>
              <w:szCs w:val="24"/>
            </w:rPr>
            <w:t>Table of Content</w:t>
          </w:r>
        </w:p>
        <w:p w14:paraId="180FDB3A" w14:textId="0130879C" w:rsidR="00A90CDE" w:rsidRDefault="00AC586B">
          <w:pPr>
            <w:pStyle w:val="TOC1"/>
            <w:tabs>
              <w:tab w:val="right" w:leader="dot" w:pos="9017"/>
            </w:tabs>
            <w:rPr>
              <w:rFonts w:asciiTheme="minorHAnsi" w:eastAsiaTheme="minorEastAsia" w:hAnsiTheme="minorHAnsi"/>
              <w:noProof/>
              <w:kern w:val="2"/>
              <w:szCs w:val="24"/>
              <w:lang w:val="en-GB" w:eastAsia="en-GB"/>
              <w14:ligatures w14:val="standardContextual"/>
            </w:rPr>
          </w:pPr>
          <w:r w:rsidRPr="009F2956">
            <w:rPr>
              <w:rFonts w:asciiTheme="majorBidi" w:hAnsiTheme="majorBidi" w:cstheme="majorBidi"/>
              <w:szCs w:val="24"/>
            </w:rPr>
            <w:fldChar w:fldCharType="begin"/>
          </w:r>
          <w:r w:rsidRPr="009F2956">
            <w:rPr>
              <w:rFonts w:asciiTheme="majorBidi" w:hAnsiTheme="majorBidi" w:cstheme="majorBidi"/>
              <w:szCs w:val="24"/>
            </w:rPr>
            <w:instrText xml:space="preserve"> TOC \o "1-3" \h \z \u </w:instrText>
          </w:r>
          <w:r w:rsidRPr="009F2956">
            <w:rPr>
              <w:rFonts w:asciiTheme="majorBidi" w:hAnsiTheme="majorBidi" w:cstheme="majorBidi"/>
              <w:szCs w:val="24"/>
            </w:rPr>
            <w:fldChar w:fldCharType="separate"/>
          </w:r>
          <w:hyperlink w:anchor="_Toc216811054" w:history="1">
            <w:r w:rsidR="00A90CDE" w:rsidRPr="004D5A59">
              <w:rPr>
                <w:rStyle w:val="Hyperlink"/>
                <w:rFonts w:eastAsia="Times New Roman"/>
                <w:noProof/>
              </w:rPr>
              <w:t>Certification</w:t>
            </w:r>
            <w:r w:rsidR="00A90CDE">
              <w:rPr>
                <w:noProof/>
                <w:webHidden/>
              </w:rPr>
              <w:tab/>
            </w:r>
            <w:r w:rsidR="00A90CDE">
              <w:rPr>
                <w:noProof/>
                <w:webHidden/>
              </w:rPr>
              <w:fldChar w:fldCharType="begin"/>
            </w:r>
            <w:r w:rsidR="00A90CDE">
              <w:rPr>
                <w:noProof/>
                <w:webHidden/>
              </w:rPr>
              <w:instrText xml:space="preserve"> PAGEREF _Toc216811054 \h </w:instrText>
            </w:r>
            <w:r w:rsidR="00A90CDE">
              <w:rPr>
                <w:noProof/>
                <w:webHidden/>
              </w:rPr>
            </w:r>
            <w:r w:rsidR="00A90CDE">
              <w:rPr>
                <w:noProof/>
                <w:webHidden/>
              </w:rPr>
              <w:fldChar w:fldCharType="separate"/>
            </w:r>
            <w:r w:rsidR="00B97838">
              <w:rPr>
                <w:noProof/>
                <w:webHidden/>
              </w:rPr>
              <w:t>i</w:t>
            </w:r>
            <w:r w:rsidR="00A90CDE">
              <w:rPr>
                <w:noProof/>
                <w:webHidden/>
              </w:rPr>
              <w:fldChar w:fldCharType="end"/>
            </w:r>
          </w:hyperlink>
        </w:p>
        <w:p w14:paraId="3359EFBA" w14:textId="67CAF682"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55" w:history="1">
            <w:r w:rsidR="00A90CDE" w:rsidRPr="004D5A59">
              <w:rPr>
                <w:rStyle w:val="Hyperlink"/>
                <w:rFonts w:eastAsia="Times New Roman"/>
                <w:noProof/>
              </w:rPr>
              <w:t>Dedication</w:t>
            </w:r>
            <w:r w:rsidR="00A90CDE">
              <w:rPr>
                <w:noProof/>
                <w:webHidden/>
              </w:rPr>
              <w:tab/>
            </w:r>
            <w:r w:rsidR="00A90CDE">
              <w:rPr>
                <w:noProof/>
                <w:webHidden/>
              </w:rPr>
              <w:fldChar w:fldCharType="begin"/>
            </w:r>
            <w:r w:rsidR="00A90CDE">
              <w:rPr>
                <w:noProof/>
                <w:webHidden/>
              </w:rPr>
              <w:instrText xml:space="preserve"> PAGEREF _Toc216811055 \h </w:instrText>
            </w:r>
            <w:r w:rsidR="00A90CDE">
              <w:rPr>
                <w:noProof/>
                <w:webHidden/>
              </w:rPr>
            </w:r>
            <w:r w:rsidR="00A90CDE">
              <w:rPr>
                <w:noProof/>
                <w:webHidden/>
              </w:rPr>
              <w:fldChar w:fldCharType="separate"/>
            </w:r>
            <w:r w:rsidR="00B97838">
              <w:rPr>
                <w:noProof/>
                <w:webHidden/>
              </w:rPr>
              <w:t>ii</w:t>
            </w:r>
            <w:r w:rsidR="00A90CDE">
              <w:rPr>
                <w:noProof/>
                <w:webHidden/>
              </w:rPr>
              <w:fldChar w:fldCharType="end"/>
            </w:r>
          </w:hyperlink>
        </w:p>
        <w:p w14:paraId="1C4E7A21" w14:textId="270E4F2E"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56" w:history="1">
            <w:r w:rsidR="00A90CDE" w:rsidRPr="004D5A59">
              <w:rPr>
                <w:rStyle w:val="Hyperlink"/>
                <w:rFonts w:eastAsia="Times New Roman"/>
                <w:noProof/>
              </w:rPr>
              <w:t>Acknowledgements</w:t>
            </w:r>
            <w:r w:rsidR="00A90CDE">
              <w:rPr>
                <w:noProof/>
                <w:webHidden/>
              </w:rPr>
              <w:tab/>
            </w:r>
            <w:r w:rsidR="00A90CDE">
              <w:rPr>
                <w:noProof/>
                <w:webHidden/>
              </w:rPr>
              <w:fldChar w:fldCharType="begin"/>
            </w:r>
            <w:r w:rsidR="00A90CDE">
              <w:rPr>
                <w:noProof/>
                <w:webHidden/>
              </w:rPr>
              <w:instrText xml:space="preserve"> PAGEREF _Toc216811056 \h </w:instrText>
            </w:r>
            <w:r w:rsidR="00A90CDE">
              <w:rPr>
                <w:noProof/>
                <w:webHidden/>
              </w:rPr>
            </w:r>
            <w:r w:rsidR="00A90CDE">
              <w:rPr>
                <w:noProof/>
                <w:webHidden/>
              </w:rPr>
              <w:fldChar w:fldCharType="separate"/>
            </w:r>
            <w:r w:rsidR="00B97838">
              <w:rPr>
                <w:noProof/>
                <w:webHidden/>
              </w:rPr>
              <w:t>iii</w:t>
            </w:r>
            <w:r w:rsidR="00A90CDE">
              <w:rPr>
                <w:noProof/>
                <w:webHidden/>
              </w:rPr>
              <w:fldChar w:fldCharType="end"/>
            </w:r>
          </w:hyperlink>
        </w:p>
        <w:p w14:paraId="09B00960" w14:textId="07ACE6F4" w:rsidR="00A90CDE" w:rsidRDefault="00677CB1">
          <w:pPr>
            <w:pStyle w:val="TOC3"/>
            <w:rPr>
              <w:rFonts w:asciiTheme="minorHAnsi" w:eastAsiaTheme="minorEastAsia" w:hAnsiTheme="minorHAnsi" w:cstheme="minorBidi"/>
              <w:kern w:val="2"/>
              <w:szCs w:val="24"/>
              <w:lang w:val="en-GB" w:eastAsia="en-GB"/>
              <w14:ligatures w14:val="standardContextual"/>
            </w:rPr>
          </w:pPr>
          <w:hyperlink w:anchor="_Toc216811057" w:history="1">
            <w:r w:rsidR="00A90CDE" w:rsidRPr="00A90CDE">
              <w:rPr>
                <w:rStyle w:val="Hyperlink"/>
              </w:rPr>
              <w:t>Abstract</w:t>
            </w:r>
            <w:r w:rsidR="00A90CDE">
              <w:rPr>
                <w:webHidden/>
              </w:rPr>
              <w:tab/>
            </w:r>
            <w:r w:rsidR="00A90CDE">
              <w:rPr>
                <w:webHidden/>
              </w:rPr>
              <w:fldChar w:fldCharType="begin"/>
            </w:r>
            <w:r w:rsidR="00A90CDE">
              <w:rPr>
                <w:webHidden/>
              </w:rPr>
              <w:instrText xml:space="preserve"> PAGEREF _Toc216811057 \h </w:instrText>
            </w:r>
            <w:r w:rsidR="00A90CDE">
              <w:rPr>
                <w:webHidden/>
              </w:rPr>
            </w:r>
            <w:r w:rsidR="00A90CDE">
              <w:rPr>
                <w:webHidden/>
              </w:rPr>
              <w:fldChar w:fldCharType="separate"/>
            </w:r>
            <w:r w:rsidR="00B97838">
              <w:rPr>
                <w:webHidden/>
              </w:rPr>
              <w:t>v</w:t>
            </w:r>
            <w:r w:rsidR="00A90CDE">
              <w:rPr>
                <w:webHidden/>
              </w:rPr>
              <w:fldChar w:fldCharType="end"/>
            </w:r>
          </w:hyperlink>
        </w:p>
        <w:p w14:paraId="416462FE" w14:textId="1515FE1F"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58" w:history="1">
            <w:r w:rsidR="00A90CDE" w:rsidRPr="004D5A59">
              <w:rPr>
                <w:rStyle w:val="Hyperlink"/>
                <w:noProof/>
              </w:rPr>
              <w:t>CHAPTER ONE</w:t>
            </w:r>
            <w:r w:rsidR="00A90CDE">
              <w:rPr>
                <w:noProof/>
                <w:webHidden/>
              </w:rPr>
              <w:tab/>
            </w:r>
            <w:r w:rsidR="00A90CDE">
              <w:rPr>
                <w:noProof/>
                <w:webHidden/>
              </w:rPr>
              <w:fldChar w:fldCharType="begin"/>
            </w:r>
            <w:r w:rsidR="00A90CDE">
              <w:rPr>
                <w:noProof/>
                <w:webHidden/>
              </w:rPr>
              <w:instrText xml:space="preserve"> PAGEREF _Toc216811058 \h </w:instrText>
            </w:r>
            <w:r w:rsidR="00A90CDE">
              <w:rPr>
                <w:noProof/>
                <w:webHidden/>
              </w:rPr>
            </w:r>
            <w:r w:rsidR="00A90CDE">
              <w:rPr>
                <w:noProof/>
                <w:webHidden/>
              </w:rPr>
              <w:fldChar w:fldCharType="separate"/>
            </w:r>
            <w:r w:rsidR="00B97838">
              <w:rPr>
                <w:noProof/>
                <w:webHidden/>
              </w:rPr>
              <w:t>1</w:t>
            </w:r>
            <w:r w:rsidR="00A90CDE">
              <w:rPr>
                <w:noProof/>
                <w:webHidden/>
              </w:rPr>
              <w:fldChar w:fldCharType="end"/>
            </w:r>
          </w:hyperlink>
        </w:p>
        <w:p w14:paraId="4336902D" w14:textId="525BB2CB"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59" w:history="1">
            <w:r w:rsidR="00A90CDE" w:rsidRPr="004D5A59">
              <w:rPr>
                <w:rStyle w:val="Hyperlink"/>
                <w:noProof/>
              </w:rPr>
              <w:t>1.1 Background of the Study</w:t>
            </w:r>
            <w:r w:rsidR="00A90CDE">
              <w:rPr>
                <w:noProof/>
                <w:webHidden/>
              </w:rPr>
              <w:tab/>
            </w:r>
            <w:r w:rsidR="00A90CDE">
              <w:rPr>
                <w:noProof/>
                <w:webHidden/>
              </w:rPr>
              <w:fldChar w:fldCharType="begin"/>
            </w:r>
            <w:r w:rsidR="00A90CDE">
              <w:rPr>
                <w:noProof/>
                <w:webHidden/>
              </w:rPr>
              <w:instrText xml:space="preserve"> PAGEREF _Toc216811059 \h </w:instrText>
            </w:r>
            <w:r w:rsidR="00A90CDE">
              <w:rPr>
                <w:noProof/>
                <w:webHidden/>
              </w:rPr>
            </w:r>
            <w:r w:rsidR="00A90CDE">
              <w:rPr>
                <w:noProof/>
                <w:webHidden/>
              </w:rPr>
              <w:fldChar w:fldCharType="separate"/>
            </w:r>
            <w:r w:rsidR="00B97838">
              <w:rPr>
                <w:noProof/>
                <w:webHidden/>
              </w:rPr>
              <w:t>1</w:t>
            </w:r>
            <w:r w:rsidR="00A90CDE">
              <w:rPr>
                <w:noProof/>
                <w:webHidden/>
              </w:rPr>
              <w:fldChar w:fldCharType="end"/>
            </w:r>
          </w:hyperlink>
        </w:p>
        <w:p w14:paraId="1F45E963" w14:textId="13060233"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0" w:history="1">
            <w:r w:rsidR="00A90CDE" w:rsidRPr="004D5A59">
              <w:rPr>
                <w:rStyle w:val="Hyperlink"/>
                <w:noProof/>
              </w:rPr>
              <w:t>1.2 Statement of the Problem</w:t>
            </w:r>
            <w:r w:rsidR="00A90CDE">
              <w:rPr>
                <w:noProof/>
                <w:webHidden/>
              </w:rPr>
              <w:tab/>
            </w:r>
            <w:r w:rsidR="00A90CDE">
              <w:rPr>
                <w:noProof/>
                <w:webHidden/>
              </w:rPr>
              <w:fldChar w:fldCharType="begin"/>
            </w:r>
            <w:r w:rsidR="00A90CDE">
              <w:rPr>
                <w:noProof/>
                <w:webHidden/>
              </w:rPr>
              <w:instrText xml:space="preserve"> PAGEREF _Toc216811060 \h </w:instrText>
            </w:r>
            <w:r w:rsidR="00A90CDE">
              <w:rPr>
                <w:noProof/>
                <w:webHidden/>
              </w:rPr>
            </w:r>
            <w:r w:rsidR="00A90CDE">
              <w:rPr>
                <w:noProof/>
                <w:webHidden/>
              </w:rPr>
              <w:fldChar w:fldCharType="separate"/>
            </w:r>
            <w:r w:rsidR="00B97838">
              <w:rPr>
                <w:noProof/>
                <w:webHidden/>
              </w:rPr>
              <w:t>2</w:t>
            </w:r>
            <w:r w:rsidR="00A90CDE">
              <w:rPr>
                <w:noProof/>
                <w:webHidden/>
              </w:rPr>
              <w:fldChar w:fldCharType="end"/>
            </w:r>
          </w:hyperlink>
        </w:p>
        <w:p w14:paraId="5817490A" w14:textId="534546F3"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1" w:history="1">
            <w:r w:rsidR="00A90CDE" w:rsidRPr="004D5A59">
              <w:rPr>
                <w:rStyle w:val="Hyperlink"/>
                <w:noProof/>
              </w:rPr>
              <w:t>1.3 Aim and Objectives of the Study</w:t>
            </w:r>
            <w:r w:rsidR="00A90CDE">
              <w:rPr>
                <w:noProof/>
                <w:webHidden/>
              </w:rPr>
              <w:tab/>
            </w:r>
            <w:r w:rsidR="00A90CDE">
              <w:rPr>
                <w:noProof/>
                <w:webHidden/>
              </w:rPr>
              <w:fldChar w:fldCharType="begin"/>
            </w:r>
            <w:r w:rsidR="00A90CDE">
              <w:rPr>
                <w:noProof/>
                <w:webHidden/>
              </w:rPr>
              <w:instrText xml:space="preserve"> PAGEREF _Toc216811061 \h </w:instrText>
            </w:r>
            <w:r w:rsidR="00A90CDE">
              <w:rPr>
                <w:noProof/>
                <w:webHidden/>
              </w:rPr>
            </w:r>
            <w:r w:rsidR="00A90CDE">
              <w:rPr>
                <w:noProof/>
                <w:webHidden/>
              </w:rPr>
              <w:fldChar w:fldCharType="separate"/>
            </w:r>
            <w:r w:rsidR="00B97838">
              <w:rPr>
                <w:noProof/>
                <w:webHidden/>
              </w:rPr>
              <w:t>3</w:t>
            </w:r>
            <w:r w:rsidR="00A90CDE">
              <w:rPr>
                <w:noProof/>
                <w:webHidden/>
              </w:rPr>
              <w:fldChar w:fldCharType="end"/>
            </w:r>
          </w:hyperlink>
        </w:p>
        <w:p w14:paraId="1059E8D1" w14:textId="0C8875EB"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2" w:history="1">
            <w:r w:rsidR="00A90CDE" w:rsidRPr="004D5A59">
              <w:rPr>
                <w:rStyle w:val="Hyperlink"/>
                <w:noProof/>
              </w:rPr>
              <w:t>1.4 Significance of the Study</w:t>
            </w:r>
            <w:r w:rsidR="00A90CDE">
              <w:rPr>
                <w:noProof/>
                <w:webHidden/>
              </w:rPr>
              <w:tab/>
            </w:r>
            <w:r w:rsidR="00A90CDE">
              <w:rPr>
                <w:noProof/>
                <w:webHidden/>
              </w:rPr>
              <w:fldChar w:fldCharType="begin"/>
            </w:r>
            <w:r w:rsidR="00A90CDE">
              <w:rPr>
                <w:noProof/>
                <w:webHidden/>
              </w:rPr>
              <w:instrText xml:space="preserve"> PAGEREF _Toc216811062 \h </w:instrText>
            </w:r>
            <w:r w:rsidR="00A90CDE">
              <w:rPr>
                <w:noProof/>
                <w:webHidden/>
              </w:rPr>
            </w:r>
            <w:r w:rsidR="00A90CDE">
              <w:rPr>
                <w:noProof/>
                <w:webHidden/>
              </w:rPr>
              <w:fldChar w:fldCharType="separate"/>
            </w:r>
            <w:r w:rsidR="00B97838">
              <w:rPr>
                <w:noProof/>
                <w:webHidden/>
              </w:rPr>
              <w:t>4</w:t>
            </w:r>
            <w:r w:rsidR="00A90CDE">
              <w:rPr>
                <w:noProof/>
                <w:webHidden/>
              </w:rPr>
              <w:fldChar w:fldCharType="end"/>
            </w:r>
          </w:hyperlink>
        </w:p>
        <w:p w14:paraId="644547C8" w14:textId="79886D7C"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3" w:history="1">
            <w:r w:rsidR="00A90CDE" w:rsidRPr="004D5A59">
              <w:rPr>
                <w:rStyle w:val="Hyperlink"/>
                <w:noProof/>
              </w:rPr>
              <w:t>1.5 Scope and Limitations of the Study</w:t>
            </w:r>
            <w:r w:rsidR="00A90CDE">
              <w:rPr>
                <w:noProof/>
                <w:webHidden/>
              </w:rPr>
              <w:tab/>
            </w:r>
            <w:r w:rsidR="00A90CDE">
              <w:rPr>
                <w:noProof/>
                <w:webHidden/>
              </w:rPr>
              <w:fldChar w:fldCharType="begin"/>
            </w:r>
            <w:r w:rsidR="00A90CDE">
              <w:rPr>
                <w:noProof/>
                <w:webHidden/>
              </w:rPr>
              <w:instrText xml:space="preserve"> PAGEREF _Toc216811063 \h </w:instrText>
            </w:r>
            <w:r w:rsidR="00A90CDE">
              <w:rPr>
                <w:noProof/>
                <w:webHidden/>
              </w:rPr>
            </w:r>
            <w:r w:rsidR="00A90CDE">
              <w:rPr>
                <w:noProof/>
                <w:webHidden/>
              </w:rPr>
              <w:fldChar w:fldCharType="separate"/>
            </w:r>
            <w:r w:rsidR="00B97838">
              <w:rPr>
                <w:noProof/>
                <w:webHidden/>
              </w:rPr>
              <w:t>4</w:t>
            </w:r>
            <w:r w:rsidR="00A90CDE">
              <w:rPr>
                <w:noProof/>
                <w:webHidden/>
              </w:rPr>
              <w:fldChar w:fldCharType="end"/>
            </w:r>
          </w:hyperlink>
        </w:p>
        <w:p w14:paraId="50DFA3CA" w14:textId="19674B7D"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4" w:history="1">
            <w:r w:rsidR="00A90CDE" w:rsidRPr="004D5A59">
              <w:rPr>
                <w:rStyle w:val="Hyperlink"/>
                <w:noProof/>
              </w:rPr>
              <w:t>CHAPTER TWO</w:t>
            </w:r>
            <w:r w:rsidR="00A90CDE">
              <w:rPr>
                <w:noProof/>
                <w:webHidden/>
              </w:rPr>
              <w:tab/>
            </w:r>
            <w:r w:rsidR="00A90CDE">
              <w:rPr>
                <w:noProof/>
                <w:webHidden/>
              </w:rPr>
              <w:fldChar w:fldCharType="begin"/>
            </w:r>
            <w:r w:rsidR="00A90CDE">
              <w:rPr>
                <w:noProof/>
                <w:webHidden/>
              </w:rPr>
              <w:instrText xml:space="preserve"> PAGEREF _Toc216811064 \h </w:instrText>
            </w:r>
            <w:r w:rsidR="00A90CDE">
              <w:rPr>
                <w:noProof/>
                <w:webHidden/>
              </w:rPr>
            </w:r>
            <w:r w:rsidR="00A90CDE">
              <w:rPr>
                <w:noProof/>
                <w:webHidden/>
              </w:rPr>
              <w:fldChar w:fldCharType="separate"/>
            </w:r>
            <w:r w:rsidR="00B97838">
              <w:rPr>
                <w:noProof/>
                <w:webHidden/>
              </w:rPr>
              <w:t>5</w:t>
            </w:r>
            <w:r w:rsidR="00A90CDE">
              <w:rPr>
                <w:noProof/>
                <w:webHidden/>
              </w:rPr>
              <w:fldChar w:fldCharType="end"/>
            </w:r>
          </w:hyperlink>
        </w:p>
        <w:p w14:paraId="2E9B57F2" w14:textId="4A1BDDFE"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5" w:history="1">
            <w:r w:rsidR="00A90CDE" w:rsidRPr="004D5A59">
              <w:rPr>
                <w:rStyle w:val="Hyperlink"/>
                <w:noProof/>
              </w:rPr>
              <w:t>2.1 Theoretical Background</w:t>
            </w:r>
            <w:r w:rsidR="00A90CDE">
              <w:rPr>
                <w:noProof/>
                <w:webHidden/>
              </w:rPr>
              <w:tab/>
            </w:r>
            <w:r w:rsidR="00A90CDE">
              <w:rPr>
                <w:noProof/>
                <w:webHidden/>
              </w:rPr>
              <w:fldChar w:fldCharType="begin"/>
            </w:r>
            <w:r w:rsidR="00A90CDE">
              <w:rPr>
                <w:noProof/>
                <w:webHidden/>
              </w:rPr>
              <w:instrText xml:space="preserve"> PAGEREF _Toc216811065 \h </w:instrText>
            </w:r>
            <w:r w:rsidR="00A90CDE">
              <w:rPr>
                <w:noProof/>
                <w:webHidden/>
              </w:rPr>
            </w:r>
            <w:r w:rsidR="00A90CDE">
              <w:rPr>
                <w:noProof/>
                <w:webHidden/>
              </w:rPr>
              <w:fldChar w:fldCharType="separate"/>
            </w:r>
            <w:r w:rsidR="00B97838">
              <w:rPr>
                <w:noProof/>
                <w:webHidden/>
              </w:rPr>
              <w:t>5</w:t>
            </w:r>
            <w:r w:rsidR="00A90CDE">
              <w:rPr>
                <w:noProof/>
                <w:webHidden/>
              </w:rPr>
              <w:fldChar w:fldCharType="end"/>
            </w:r>
          </w:hyperlink>
        </w:p>
        <w:p w14:paraId="1889B768" w14:textId="303EB23E"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6" w:history="1">
            <w:r w:rsidR="00A90CDE" w:rsidRPr="004D5A59">
              <w:rPr>
                <w:rStyle w:val="Hyperlink"/>
                <w:noProof/>
              </w:rPr>
              <w:t>2.1.1 Carbohydrate Metabolism and Postprandial Glucose Regulation</w:t>
            </w:r>
            <w:r w:rsidR="00A90CDE">
              <w:rPr>
                <w:noProof/>
                <w:webHidden/>
              </w:rPr>
              <w:tab/>
            </w:r>
            <w:r w:rsidR="00A90CDE">
              <w:rPr>
                <w:noProof/>
                <w:webHidden/>
              </w:rPr>
              <w:fldChar w:fldCharType="begin"/>
            </w:r>
            <w:r w:rsidR="00A90CDE">
              <w:rPr>
                <w:noProof/>
                <w:webHidden/>
              </w:rPr>
              <w:instrText xml:space="preserve"> PAGEREF _Toc216811066 \h </w:instrText>
            </w:r>
            <w:r w:rsidR="00A90CDE">
              <w:rPr>
                <w:noProof/>
                <w:webHidden/>
              </w:rPr>
            </w:r>
            <w:r w:rsidR="00A90CDE">
              <w:rPr>
                <w:noProof/>
                <w:webHidden/>
              </w:rPr>
              <w:fldChar w:fldCharType="separate"/>
            </w:r>
            <w:r w:rsidR="00B97838">
              <w:rPr>
                <w:noProof/>
                <w:webHidden/>
              </w:rPr>
              <w:t>7</w:t>
            </w:r>
            <w:r w:rsidR="00A90CDE">
              <w:rPr>
                <w:noProof/>
                <w:webHidden/>
              </w:rPr>
              <w:fldChar w:fldCharType="end"/>
            </w:r>
          </w:hyperlink>
        </w:p>
        <w:p w14:paraId="764DD81C" w14:textId="3341618C"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7" w:history="1">
            <w:r w:rsidR="00A90CDE" w:rsidRPr="004D5A59">
              <w:rPr>
                <w:rStyle w:val="Hyperlink"/>
                <w:noProof/>
              </w:rPr>
              <w:t>2.1.2 Alpha Glucosidase: Structure, Function, and Catalytic Mechanism</w:t>
            </w:r>
            <w:r w:rsidR="00A90CDE">
              <w:rPr>
                <w:noProof/>
                <w:webHidden/>
              </w:rPr>
              <w:tab/>
            </w:r>
            <w:r w:rsidR="00A90CDE">
              <w:rPr>
                <w:noProof/>
                <w:webHidden/>
              </w:rPr>
              <w:fldChar w:fldCharType="begin"/>
            </w:r>
            <w:r w:rsidR="00A90CDE">
              <w:rPr>
                <w:noProof/>
                <w:webHidden/>
              </w:rPr>
              <w:instrText xml:space="preserve"> PAGEREF _Toc216811067 \h </w:instrText>
            </w:r>
            <w:r w:rsidR="00A90CDE">
              <w:rPr>
                <w:noProof/>
                <w:webHidden/>
              </w:rPr>
            </w:r>
            <w:r w:rsidR="00A90CDE">
              <w:rPr>
                <w:noProof/>
                <w:webHidden/>
              </w:rPr>
              <w:fldChar w:fldCharType="separate"/>
            </w:r>
            <w:r w:rsidR="00B97838">
              <w:rPr>
                <w:noProof/>
                <w:webHidden/>
              </w:rPr>
              <w:t>9</w:t>
            </w:r>
            <w:r w:rsidR="00A90CDE">
              <w:rPr>
                <w:noProof/>
                <w:webHidden/>
              </w:rPr>
              <w:fldChar w:fldCharType="end"/>
            </w:r>
          </w:hyperlink>
        </w:p>
        <w:p w14:paraId="2368A761" w14:textId="5A387B99"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8" w:history="1">
            <w:r w:rsidR="00A90CDE" w:rsidRPr="004D5A59">
              <w:rPr>
                <w:rStyle w:val="Hyperlink"/>
                <w:noProof/>
              </w:rPr>
              <w:t>2.1.3 Mechanisms of Alpha Glucosidase Inhibition</w:t>
            </w:r>
            <w:r w:rsidR="00A90CDE">
              <w:rPr>
                <w:noProof/>
                <w:webHidden/>
              </w:rPr>
              <w:tab/>
            </w:r>
            <w:r w:rsidR="00A90CDE">
              <w:rPr>
                <w:noProof/>
                <w:webHidden/>
              </w:rPr>
              <w:fldChar w:fldCharType="begin"/>
            </w:r>
            <w:r w:rsidR="00A90CDE">
              <w:rPr>
                <w:noProof/>
                <w:webHidden/>
              </w:rPr>
              <w:instrText xml:space="preserve"> PAGEREF _Toc216811068 \h </w:instrText>
            </w:r>
            <w:r w:rsidR="00A90CDE">
              <w:rPr>
                <w:noProof/>
                <w:webHidden/>
              </w:rPr>
            </w:r>
            <w:r w:rsidR="00A90CDE">
              <w:rPr>
                <w:noProof/>
                <w:webHidden/>
              </w:rPr>
              <w:fldChar w:fldCharType="separate"/>
            </w:r>
            <w:r w:rsidR="00B97838">
              <w:rPr>
                <w:noProof/>
                <w:webHidden/>
              </w:rPr>
              <w:t>11</w:t>
            </w:r>
            <w:r w:rsidR="00A90CDE">
              <w:rPr>
                <w:noProof/>
                <w:webHidden/>
              </w:rPr>
              <w:fldChar w:fldCharType="end"/>
            </w:r>
          </w:hyperlink>
        </w:p>
        <w:p w14:paraId="00E9FBCD" w14:textId="1962AA25"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69" w:history="1">
            <w:r w:rsidR="00A90CDE" w:rsidRPr="004D5A59">
              <w:rPr>
                <w:rStyle w:val="Hyperlink"/>
                <w:noProof/>
              </w:rPr>
              <w:t>2.2 Medicinal Plants with Antidiabetic Potential</w:t>
            </w:r>
            <w:r w:rsidR="00A90CDE">
              <w:rPr>
                <w:noProof/>
                <w:webHidden/>
              </w:rPr>
              <w:tab/>
            </w:r>
            <w:r w:rsidR="00A90CDE">
              <w:rPr>
                <w:noProof/>
                <w:webHidden/>
              </w:rPr>
              <w:fldChar w:fldCharType="begin"/>
            </w:r>
            <w:r w:rsidR="00A90CDE">
              <w:rPr>
                <w:noProof/>
                <w:webHidden/>
              </w:rPr>
              <w:instrText xml:space="preserve"> PAGEREF _Toc216811069 \h </w:instrText>
            </w:r>
            <w:r w:rsidR="00A90CDE">
              <w:rPr>
                <w:noProof/>
                <w:webHidden/>
              </w:rPr>
            </w:r>
            <w:r w:rsidR="00A90CDE">
              <w:rPr>
                <w:noProof/>
                <w:webHidden/>
              </w:rPr>
              <w:fldChar w:fldCharType="separate"/>
            </w:r>
            <w:r w:rsidR="00B97838">
              <w:rPr>
                <w:noProof/>
                <w:webHidden/>
              </w:rPr>
              <w:t>13</w:t>
            </w:r>
            <w:r w:rsidR="00A90CDE">
              <w:rPr>
                <w:noProof/>
                <w:webHidden/>
              </w:rPr>
              <w:fldChar w:fldCharType="end"/>
            </w:r>
          </w:hyperlink>
        </w:p>
        <w:p w14:paraId="2B6D867F" w14:textId="42E9BE70"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0" w:history="1">
            <w:r w:rsidR="00A90CDE" w:rsidRPr="004D5A59">
              <w:rPr>
                <w:rStyle w:val="Hyperlink"/>
                <w:noProof/>
              </w:rPr>
              <w:t>2.3 Overview of Selected Plant Samples</w:t>
            </w:r>
            <w:r w:rsidR="00A90CDE">
              <w:rPr>
                <w:noProof/>
                <w:webHidden/>
              </w:rPr>
              <w:tab/>
            </w:r>
            <w:r w:rsidR="00A90CDE">
              <w:rPr>
                <w:noProof/>
                <w:webHidden/>
              </w:rPr>
              <w:fldChar w:fldCharType="begin"/>
            </w:r>
            <w:r w:rsidR="00A90CDE">
              <w:rPr>
                <w:noProof/>
                <w:webHidden/>
              </w:rPr>
              <w:instrText xml:space="preserve"> PAGEREF _Toc216811070 \h </w:instrText>
            </w:r>
            <w:r w:rsidR="00A90CDE">
              <w:rPr>
                <w:noProof/>
                <w:webHidden/>
              </w:rPr>
            </w:r>
            <w:r w:rsidR="00A90CDE">
              <w:rPr>
                <w:noProof/>
                <w:webHidden/>
              </w:rPr>
              <w:fldChar w:fldCharType="separate"/>
            </w:r>
            <w:r w:rsidR="00B97838">
              <w:rPr>
                <w:noProof/>
                <w:webHidden/>
              </w:rPr>
              <w:t>15</w:t>
            </w:r>
            <w:r w:rsidR="00A90CDE">
              <w:rPr>
                <w:noProof/>
                <w:webHidden/>
              </w:rPr>
              <w:fldChar w:fldCharType="end"/>
            </w:r>
          </w:hyperlink>
        </w:p>
        <w:p w14:paraId="23CD7142" w14:textId="38C588D1"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1" w:history="1">
            <w:r w:rsidR="00A90CDE" w:rsidRPr="004D5A59">
              <w:rPr>
                <w:rStyle w:val="Hyperlink"/>
                <w:noProof/>
              </w:rPr>
              <w:t>2.4 Alpha Glucosidase Inhibitors</w:t>
            </w:r>
            <w:r w:rsidR="00A90CDE">
              <w:rPr>
                <w:noProof/>
                <w:webHidden/>
              </w:rPr>
              <w:tab/>
            </w:r>
            <w:r w:rsidR="00A90CDE">
              <w:rPr>
                <w:noProof/>
                <w:webHidden/>
              </w:rPr>
              <w:fldChar w:fldCharType="begin"/>
            </w:r>
            <w:r w:rsidR="00A90CDE">
              <w:rPr>
                <w:noProof/>
                <w:webHidden/>
              </w:rPr>
              <w:instrText xml:space="preserve"> PAGEREF _Toc216811071 \h </w:instrText>
            </w:r>
            <w:r w:rsidR="00A90CDE">
              <w:rPr>
                <w:noProof/>
                <w:webHidden/>
              </w:rPr>
            </w:r>
            <w:r w:rsidR="00A90CDE">
              <w:rPr>
                <w:noProof/>
                <w:webHidden/>
              </w:rPr>
              <w:fldChar w:fldCharType="separate"/>
            </w:r>
            <w:r w:rsidR="00B97838">
              <w:rPr>
                <w:noProof/>
                <w:webHidden/>
              </w:rPr>
              <w:t>17</w:t>
            </w:r>
            <w:r w:rsidR="00A90CDE">
              <w:rPr>
                <w:noProof/>
                <w:webHidden/>
              </w:rPr>
              <w:fldChar w:fldCharType="end"/>
            </w:r>
          </w:hyperlink>
        </w:p>
        <w:p w14:paraId="1B7EBC05" w14:textId="69B2D0E4"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2" w:history="1">
            <w:r w:rsidR="00A90CDE" w:rsidRPr="004D5A59">
              <w:rPr>
                <w:rStyle w:val="Hyperlink"/>
                <w:noProof/>
              </w:rPr>
              <w:t>CHAPTER THREE</w:t>
            </w:r>
            <w:r w:rsidR="00A90CDE">
              <w:rPr>
                <w:noProof/>
                <w:webHidden/>
              </w:rPr>
              <w:tab/>
            </w:r>
            <w:r w:rsidR="00A90CDE">
              <w:rPr>
                <w:noProof/>
                <w:webHidden/>
              </w:rPr>
              <w:fldChar w:fldCharType="begin"/>
            </w:r>
            <w:r w:rsidR="00A90CDE">
              <w:rPr>
                <w:noProof/>
                <w:webHidden/>
              </w:rPr>
              <w:instrText xml:space="preserve"> PAGEREF _Toc216811072 \h </w:instrText>
            </w:r>
            <w:r w:rsidR="00A90CDE">
              <w:rPr>
                <w:noProof/>
                <w:webHidden/>
              </w:rPr>
            </w:r>
            <w:r w:rsidR="00A90CDE">
              <w:rPr>
                <w:noProof/>
                <w:webHidden/>
              </w:rPr>
              <w:fldChar w:fldCharType="separate"/>
            </w:r>
            <w:r w:rsidR="00B97838">
              <w:rPr>
                <w:noProof/>
                <w:webHidden/>
              </w:rPr>
              <w:t>21</w:t>
            </w:r>
            <w:r w:rsidR="00A90CDE">
              <w:rPr>
                <w:noProof/>
                <w:webHidden/>
              </w:rPr>
              <w:fldChar w:fldCharType="end"/>
            </w:r>
          </w:hyperlink>
        </w:p>
        <w:p w14:paraId="67FFCF23" w14:textId="27DC2961"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3" w:history="1">
            <w:r w:rsidR="00A90CDE" w:rsidRPr="004D5A59">
              <w:rPr>
                <w:rStyle w:val="Hyperlink"/>
                <w:noProof/>
              </w:rPr>
              <w:t>3.0 Materials and Methods</w:t>
            </w:r>
            <w:r w:rsidR="00A90CDE">
              <w:rPr>
                <w:noProof/>
                <w:webHidden/>
              </w:rPr>
              <w:tab/>
            </w:r>
            <w:r w:rsidR="00A90CDE">
              <w:rPr>
                <w:noProof/>
                <w:webHidden/>
              </w:rPr>
              <w:fldChar w:fldCharType="begin"/>
            </w:r>
            <w:r w:rsidR="00A90CDE">
              <w:rPr>
                <w:noProof/>
                <w:webHidden/>
              </w:rPr>
              <w:instrText xml:space="preserve"> PAGEREF _Toc216811073 \h </w:instrText>
            </w:r>
            <w:r w:rsidR="00A90CDE">
              <w:rPr>
                <w:noProof/>
                <w:webHidden/>
              </w:rPr>
            </w:r>
            <w:r w:rsidR="00A90CDE">
              <w:rPr>
                <w:noProof/>
                <w:webHidden/>
              </w:rPr>
              <w:fldChar w:fldCharType="separate"/>
            </w:r>
            <w:r w:rsidR="00B97838">
              <w:rPr>
                <w:noProof/>
                <w:webHidden/>
              </w:rPr>
              <w:t>21</w:t>
            </w:r>
            <w:r w:rsidR="00A90CDE">
              <w:rPr>
                <w:noProof/>
                <w:webHidden/>
              </w:rPr>
              <w:fldChar w:fldCharType="end"/>
            </w:r>
          </w:hyperlink>
        </w:p>
        <w:p w14:paraId="5BBA6690" w14:textId="6FF8CE67"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4" w:history="1">
            <w:r w:rsidR="00A90CDE" w:rsidRPr="004D5A59">
              <w:rPr>
                <w:rStyle w:val="Hyperlink"/>
                <w:noProof/>
              </w:rPr>
              <w:t xml:space="preserve">3.1 </w:t>
            </w:r>
            <w:r w:rsidR="00A90CDE" w:rsidRPr="004D5A59">
              <w:rPr>
                <w:rStyle w:val="Hyperlink"/>
                <w:bCs/>
                <w:noProof/>
              </w:rPr>
              <w:t>Materials, Reagents, and Instruments</w:t>
            </w:r>
            <w:r w:rsidR="00A90CDE">
              <w:rPr>
                <w:noProof/>
                <w:webHidden/>
              </w:rPr>
              <w:tab/>
            </w:r>
            <w:r w:rsidR="00A90CDE">
              <w:rPr>
                <w:noProof/>
                <w:webHidden/>
              </w:rPr>
              <w:fldChar w:fldCharType="begin"/>
            </w:r>
            <w:r w:rsidR="00A90CDE">
              <w:rPr>
                <w:noProof/>
                <w:webHidden/>
              </w:rPr>
              <w:instrText xml:space="preserve"> PAGEREF _Toc216811074 \h </w:instrText>
            </w:r>
            <w:r w:rsidR="00A90CDE">
              <w:rPr>
                <w:noProof/>
                <w:webHidden/>
              </w:rPr>
            </w:r>
            <w:r w:rsidR="00A90CDE">
              <w:rPr>
                <w:noProof/>
                <w:webHidden/>
              </w:rPr>
              <w:fldChar w:fldCharType="separate"/>
            </w:r>
            <w:r w:rsidR="00B97838">
              <w:rPr>
                <w:noProof/>
                <w:webHidden/>
              </w:rPr>
              <w:t>21</w:t>
            </w:r>
            <w:r w:rsidR="00A90CDE">
              <w:rPr>
                <w:noProof/>
                <w:webHidden/>
              </w:rPr>
              <w:fldChar w:fldCharType="end"/>
            </w:r>
          </w:hyperlink>
        </w:p>
        <w:p w14:paraId="18FD999A" w14:textId="785A4267"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5" w:history="1">
            <w:r w:rsidR="00A90CDE" w:rsidRPr="004D5A59">
              <w:rPr>
                <w:rStyle w:val="Hyperlink"/>
                <w:noProof/>
              </w:rPr>
              <w:t xml:space="preserve">3.2 </w:t>
            </w:r>
            <w:r w:rsidR="00A90CDE" w:rsidRPr="004D5A59">
              <w:rPr>
                <w:rStyle w:val="Hyperlink"/>
                <w:bCs/>
                <w:noProof/>
              </w:rPr>
              <w:t>Sample Collection and Preparation</w:t>
            </w:r>
            <w:r w:rsidR="00A90CDE">
              <w:rPr>
                <w:noProof/>
                <w:webHidden/>
              </w:rPr>
              <w:tab/>
            </w:r>
            <w:r w:rsidR="00A90CDE">
              <w:rPr>
                <w:noProof/>
                <w:webHidden/>
              </w:rPr>
              <w:fldChar w:fldCharType="begin"/>
            </w:r>
            <w:r w:rsidR="00A90CDE">
              <w:rPr>
                <w:noProof/>
                <w:webHidden/>
              </w:rPr>
              <w:instrText xml:space="preserve"> PAGEREF _Toc216811075 \h </w:instrText>
            </w:r>
            <w:r w:rsidR="00A90CDE">
              <w:rPr>
                <w:noProof/>
                <w:webHidden/>
              </w:rPr>
            </w:r>
            <w:r w:rsidR="00A90CDE">
              <w:rPr>
                <w:noProof/>
                <w:webHidden/>
              </w:rPr>
              <w:fldChar w:fldCharType="separate"/>
            </w:r>
            <w:r w:rsidR="00B97838">
              <w:rPr>
                <w:noProof/>
                <w:webHidden/>
              </w:rPr>
              <w:t>23</w:t>
            </w:r>
            <w:r w:rsidR="00A90CDE">
              <w:rPr>
                <w:noProof/>
                <w:webHidden/>
              </w:rPr>
              <w:fldChar w:fldCharType="end"/>
            </w:r>
          </w:hyperlink>
        </w:p>
        <w:p w14:paraId="53FA6304" w14:textId="0CD86718"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6" w:history="1">
            <w:r w:rsidR="00A90CDE" w:rsidRPr="004D5A59">
              <w:rPr>
                <w:rStyle w:val="Hyperlink"/>
                <w:noProof/>
              </w:rPr>
              <w:t>3.3 Extraction of Plant Materials</w:t>
            </w:r>
            <w:r w:rsidR="00A90CDE">
              <w:rPr>
                <w:noProof/>
                <w:webHidden/>
              </w:rPr>
              <w:tab/>
            </w:r>
            <w:r w:rsidR="00A90CDE">
              <w:rPr>
                <w:noProof/>
                <w:webHidden/>
              </w:rPr>
              <w:fldChar w:fldCharType="begin"/>
            </w:r>
            <w:r w:rsidR="00A90CDE">
              <w:rPr>
                <w:noProof/>
                <w:webHidden/>
              </w:rPr>
              <w:instrText xml:space="preserve"> PAGEREF _Toc216811076 \h </w:instrText>
            </w:r>
            <w:r w:rsidR="00A90CDE">
              <w:rPr>
                <w:noProof/>
                <w:webHidden/>
              </w:rPr>
            </w:r>
            <w:r w:rsidR="00A90CDE">
              <w:rPr>
                <w:noProof/>
                <w:webHidden/>
              </w:rPr>
              <w:fldChar w:fldCharType="separate"/>
            </w:r>
            <w:r w:rsidR="00B97838">
              <w:rPr>
                <w:noProof/>
                <w:webHidden/>
              </w:rPr>
              <w:t>23</w:t>
            </w:r>
            <w:r w:rsidR="00A90CDE">
              <w:rPr>
                <w:noProof/>
                <w:webHidden/>
              </w:rPr>
              <w:fldChar w:fldCharType="end"/>
            </w:r>
          </w:hyperlink>
        </w:p>
        <w:p w14:paraId="47B56187" w14:textId="10D3CCF7"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7" w:history="1">
            <w:r w:rsidR="00A90CDE" w:rsidRPr="004D5A59">
              <w:rPr>
                <w:rStyle w:val="Hyperlink"/>
                <w:noProof/>
              </w:rPr>
              <w:t>3.4 Preparation of Enzyme and Substrate Solutions</w:t>
            </w:r>
            <w:r w:rsidR="00A90CDE">
              <w:rPr>
                <w:noProof/>
                <w:webHidden/>
              </w:rPr>
              <w:tab/>
            </w:r>
            <w:r w:rsidR="00A90CDE">
              <w:rPr>
                <w:noProof/>
                <w:webHidden/>
              </w:rPr>
              <w:fldChar w:fldCharType="begin"/>
            </w:r>
            <w:r w:rsidR="00A90CDE">
              <w:rPr>
                <w:noProof/>
                <w:webHidden/>
              </w:rPr>
              <w:instrText xml:space="preserve"> PAGEREF _Toc216811077 \h </w:instrText>
            </w:r>
            <w:r w:rsidR="00A90CDE">
              <w:rPr>
                <w:noProof/>
                <w:webHidden/>
              </w:rPr>
            </w:r>
            <w:r w:rsidR="00A90CDE">
              <w:rPr>
                <w:noProof/>
                <w:webHidden/>
              </w:rPr>
              <w:fldChar w:fldCharType="separate"/>
            </w:r>
            <w:r w:rsidR="00B97838">
              <w:rPr>
                <w:noProof/>
                <w:webHidden/>
              </w:rPr>
              <w:t>24</w:t>
            </w:r>
            <w:r w:rsidR="00A90CDE">
              <w:rPr>
                <w:noProof/>
                <w:webHidden/>
              </w:rPr>
              <w:fldChar w:fldCharType="end"/>
            </w:r>
          </w:hyperlink>
        </w:p>
        <w:p w14:paraId="146B400D" w14:textId="26353E6B"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8" w:history="1">
            <w:r w:rsidR="00A90CDE" w:rsidRPr="004D5A59">
              <w:rPr>
                <w:rStyle w:val="Hyperlink"/>
                <w:noProof/>
              </w:rPr>
              <w:t>3.5 Experimental Procedure for Alpha Glucosidase Inhibition Assay</w:t>
            </w:r>
            <w:r w:rsidR="00A90CDE">
              <w:rPr>
                <w:noProof/>
                <w:webHidden/>
              </w:rPr>
              <w:tab/>
            </w:r>
            <w:r w:rsidR="00A90CDE">
              <w:rPr>
                <w:noProof/>
                <w:webHidden/>
              </w:rPr>
              <w:fldChar w:fldCharType="begin"/>
            </w:r>
            <w:r w:rsidR="00A90CDE">
              <w:rPr>
                <w:noProof/>
                <w:webHidden/>
              </w:rPr>
              <w:instrText xml:space="preserve"> PAGEREF _Toc216811078 \h </w:instrText>
            </w:r>
            <w:r w:rsidR="00A90CDE">
              <w:rPr>
                <w:noProof/>
                <w:webHidden/>
              </w:rPr>
            </w:r>
            <w:r w:rsidR="00A90CDE">
              <w:rPr>
                <w:noProof/>
                <w:webHidden/>
              </w:rPr>
              <w:fldChar w:fldCharType="separate"/>
            </w:r>
            <w:r w:rsidR="00B97838">
              <w:rPr>
                <w:noProof/>
                <w:webHidden/>
              </w:rPr>
              <w:t>25</w:t>
            </w:r>
            <w:r w:rsidR="00A90CDE">
              <w:rPr>
                <w:noProof/>
                <w:webHidden/>
              </w:rPr>
              <w:fldChar w:fldCharType="end"/>
            </w:r>
          </w:hyperlink>
        </w:p>
        <w:p w14:paraId="7184FB8D" w14:textId="4B7BA5AE"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79" w:history="1">
            <w:r w:rsidR="00A90CDE" w:rsidRPr="004D5A59">
              <w:rPr>
                <w:rStyle w:val="Hyperlink"/>
                <w:noProof/>
              </w:rPr>
              <w:t>3.6 Data Analysis</w:t>
            </w:r>
            <w:r w:rsidR="00A90CDE">
              <w:rPr>
                <w:noProof/>
                <w:webHidden/>
              </w:rPr>
              <w:tab/>
            </w:r>
            <w:r w:rsidR="00A90CDE">
              <w:rPr>
                <w:noProof/>
                <w:webHidden/>
              </w:rPr>
              <w:fldChar w:fldCharType="begin"/>
            </w:r>
            <w:r w:rsidR="00A90CDE">
              <w:rPr>
                <w:noProof/>
                <w:webHidden/>
              </w:rPr>
              <w:instrText xml:space="preserve"> PAGEREF _Toc216811079 \h </w:instrText>
            </w:r>
            <w:r w:rsidR="00A90CDE">
              <w:rPr>
                <w:noProof/>
                <w:webHidden/>
              </w:rPr>
            </w:r>
            <w:r w:rsidR="00A90CDE">
              <w:rPr>
                <w:noProof/>
                <w:webHidden/>
              </w:rPr>
              <w:fldChar w:fldCharType="separate"/>
            </w:r>
            <w:r w:rsidR="00B97838">
              <w:rPr>
                <w:noProof/>
                <w:webHidden/>
              </w:rPr>
              <w:t>26</w:t>
            </w:r>
            <w:r w:rsidR="00A90CDE">
              <w:rPr>
                <w:noProof/>
                <w:webHidden/>
              </w:rPr>
              <w:fldChar w:fldCharType="end"/>
            </w:r>
          </w:hyperlink>
        </w:p>
        <w:p w14:paraId="15B33F58" w14:textId="69EFABBE"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0" w:history="1">
            <w:r w:rsidR="00A90CDE" w:rsidRPr="004D5A59">
              <w:rPr>
                <w:rStyle w:val="Hyperlink"/>
                <w:noProof/>
              </w:rPr>
              <w:t>CHAPTER FOUR</w:t>
            </w:r>
            <w:r w:rsidR="00A90CDE">
              <w:rPr>
                <w:noProof/>
                <w:webHidden/>
              </w:rPr>
              <w:tab/>
            </w:r>
            <w:r w:rsidR="00A90CDE">
              <w:rPr>
                <w:noProof/>
                <w:webHidden/>
              </w:rPr>
              <w:fldChar w:fldCharType="begin"/>
            </w:r>
            <w:r w:rsidR="00A90CDE">
              <w:rPr>
                <w:noProof/>
                <w:webHidden/>
              </w:rPr>
              <w:instrText xml:space="preserve"> PAGEREF _Toc216811080 \h </w:instrText>
            </w:r>
            <w:r w:rsidR="00A90CDE">
              <w:rPr>
                <w:noProof/>
                <w:webHidden/>
              </w:rPr>
            </w:r>
            <w:r w:rsidR="00A90CDE">
              <w:rPr>
                <w:noProof/>
                <w:webHidden/>
              </w:rPr>
              <w:fldChar w:fldCharType="separate"/>
            </w:r>
            <w:r w:rsidR="00B97838">
              <w:rPr>
                <w:noProof/>
                <w:webHidden/>
              </w:rPr>
              <w:t>28</w:t>
            </w:r>
            <w:r w:rsidR="00A90CDE">
              <w:rPr>
                <w:noProof/>
                <w:webHidden/>
              </w:rPr>
              <w:fldChar w:fldCharType="end"/>
            </w:r>
          </w:hyperlink>
        </w:p>
        <w:p w14:paraId="1891D4D5" w14:textId="51D3F9E9"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1" w:history="1">
            <w:r w:rsidR="00A90CDE" w:rsidRPr="004D5A59">
              <w:rPr>
                <w:rStyle w:val="Hyperlink"/>
                <w:noProof/>
              </w:rPr>
              <w:t>RESULTS, DISCUSSION, CONCLUSION AND RECOMMENDATION</w:t>
            </w:r>
            <w:r w:rsidR="00A90CDE">
              <w:rPr>
                <w:noProof/>
                <w:webHidden/>
              </w:rPr>
              <w:tab/>
            </w:r>
            <w:r w:rsidR="00A90CDE">
              <w:rPr>
                <w:noProof/>
                <w:webHidden/>
              </w:rPr>
              <w:fldChar w:fldCharType="begin"/>
            </w:r>
            <w:r w:rsidR="00A90CDE">
              <w:rPr>
                <w:noProof/>
                <w:webHidden/>
              </w:rPr>
              <w:instrText xml:space="preserve"> PAGEREF _Toc216811081 \h </w:instrText>
            </w:r>
            <w:r w:rsidR="00A90CDE">
              <w:rPr>
                <w:noProof/>
                <w:webHidden/>
              </w:rPr>
            </w:r>
            <w:r w:rsidR="00A90CDE">
              <w:rPr>
                <w:noProof/>
                <w:webHidden/>
              </w:rPr>
              <w:fldChar w:fldCharType="separate"/>
            </w:r>
            <w:r w:rsidR="00B97838">
              <w:rPr>
                <w:noProof/>
                <w:webHidden/>
              </w:rPr>
              <w:t>28</w:t>
            </w:r>
            <w:r w:rsidR="00A90CDE">
              <w:rPr>
                <w:noProof/>
                <w:webHidden/>
              </w:rPr>
              <w:fldChar w:fldCharType="end"/>
            </w:r>
          </w:hyperlink>
        </w:p>
        <w:p w14:paraId="2D9EBC42" w14:textId="172003DE"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2" w:history="1">
            <w:r w:rsidR="00A90CDE" w:rsidRPr="004D5A59">
              <w:rPr>
                <w:rStyle w:val="Hyperlink"/>
                <w:noProof/>
              </w:rPr>
              <w:t>4.1 Results</w:t>
            </w:r>
            <w:r w:rsidR="00A90CDE">
              <w:rPr>
                <w:noProof/>
                <w:webHidden/>
              </w:rPr>
              <w:tab/>
            </w:r>
            <w:r w:rsidR="00A90CDE">
              <w:rPr>
                <w:noProof/>
                <w:webHidden/>
              </w:rPr>
              <w:fldChar w:fldCharType="begin"/>
            </w:r>
            <w:r w:rsidR="00A90CDE">
              <w:rPr>
                <w:noProof/>
                <w:webHidden/>
              </w:rPr>
              <w:instrText xml:space="preserve"> PAGEREF _Toc216811082 \h </w:instrText>
            </w:r>
            <w:r w:rsidR="00A90CDE">
              <w:rPr>
                <w:noProof/>
                <w:webHidden/>
              </w:rPr>
            </w:r>
            <w:r w:rsidR="00A90CDE">
              <w:rPr>
                <w:noProof/>
                <w:webHidden/>
              </w:rPr>
              <w:fldChar w:fldCharType="separate"/>
            </w:r>
            <w:r w:rsidR="00B97838">
              <w:rPr>
                <w:noProof/>
                <w:webHidden/>
              </w:rPr>
              <w:t>28</w:t>
            </w:r>
            <w:r w:rsidR="00A90CDE">
              <w:rPr>
                <w:noProof/>
                <w:webHidden/>
              </w:rPr>
              <w:fldChar w:fldCharType="end"/>
            </w:r>
          </w:hyperlink>
        </w:p>
        <w:p w14:paraId="3DA8F164" w14:textId="59467E3F"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3" w:history="1">
            <w:r w:rsidR="00A90CDE" w:rsidRPr="004D5A59">
              <w:rPr>
                <w:rStyle w:val="Hyperlink"/>
                <w:noProof/>
              </w:rPr>
              <w:t>4.1.1 IC50 estimation from nonlinear regression</w:t>
            </w:r>
            <w:r w:rsidR="00A90CDE">
              <w:rPr>
                <w:noProof/>
                <w:webHidden/>
              </w:rPr>
              <w:tab/>
            </w:r>
            <w:r w:rsidR="00A90CDE">
              <w:rPr>
                <w:noProof/>
                <w:webHidden/>
              </w:rPr>
              <w:fldChar w:fldCharType="begin"/>
            </w:r>
            <w:r w:rsidR="00A90CDE">
              <w:rPr>
                <w:noProof/>
                <w:webHidden/>
              </w:rPr>
              <w:instrText xml:space="preserve"> PAGEREF _Toc216811083 \h </w:instrText>
            </w:r>
            <w:r w:rsidR="00A90CDE">
              <w:rPr>
                <w:noProof/>
                <w:webHidden/>
              </w:rPr>
            </w:r>
            <w:r w:rsidR="00A90CDE">
              <w:rPr>
                <w:noProof/>
                <w:webHidden/>
              </w:rPr>
              <w:fldChar w:fldCharType="separate"/>
            </w:r>
            <w:r w:rsidR="00B97838">
              <w:rPr>
                <w:noProof/>
                <w:webHidden/>
              </w:rPr>
              <w:t>28</w:t>
            </w:r>
            <w:r w:rsidR="00A90CDE">
              <w:rPr>
                <w:noProof/>
                <w:webHidden/>
              </w:rPr>
              <w:fldChar w:fldCharType="end"/>
            </w:r>
          </w:hyperlink>
        </w:p>
        <w:p w14:paraId="154152C3" w14:textId="6900C5B2"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4" w:history="1">
            <w:r w:rsidR="00A90CDE" w:rsidRPr="004D5A59">
              <w:rPr>
                <w:rStyle w:val="Hyperlink"/>
                <w:noProof/>
              </w:rPr>
              <w:t>4.2 Discussion</w:t>
            </w:r>
            <w:r w:rsidR="00A90CDE">
              <w:rPr>
                <w:noProof/>
                <w:webHidden/>
              </w:rPr>
              <w:tab/>
            </w:r>
            <w:r w:rsidR="00A90CDE">
              <w:rPr>
                <w:noProof/>
                <w:webHidden/>
              </w:rPr>
              <w:fldChar w:fldCharType="begin"/>
            </w:r>
            <w:r w:rsidR="00A90CDE">
              <w:rPr>
                <w:noProof/>
                <w:webHidden/>
              </w:rPr>
              <w:instrText xml:space="preserve"> PAGEREF _Toc216811084 \h </w:instrText>
            </w:r>
            <w:r w:rsidR="00A90CDE">
              <w:rPr>
                <w:noProof/>
                <w:webHidden/>
              </w:rPr>
            </w:r>
            <w:r w:rsidR="00A90CDE">
              <w:rPr>
                <w:noProof/>
                <w:webHidden/>
              </w:rPr>
              <w:fldChar w:fldCharType="separate"/>
            </w:r>
            <w:r w:rsidR="00B97838">
              <w:rPr>
                <w:noProof/>
                <w:webHidden/>
              </w:rPr>
              <w:t>30</w:t>
            </w:r>
            <w:r w:rsidR="00A90CDE">
              <w:rPr>
                <w:noProof/>
                <w:webHidden/>
              </w:rPr>
              <w:fldChar w:fldCharType="end"/>
            </w:r>
          </w:hyperlink>
        </w:p>
        <w:p w14:paraId="0610B69F" w14:textId="5509A8CF"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5" w:history="1">
            <w:r w:rsidR="00A90CDE" w:rsidRPr="004D5A59">
              <w:rPr>
                <w:rStyle w:val="Hyperlink"/>
                <w:noProof/>
              </w:rPr>
              <w:t>4.3 Conclusion</w:t>
            </w:r>
            <w:r w:rsidR="00A90CDE">
              <w:rPr>
                <w:noProof/>
                <w:webHidden/>
              </w:rPr>
              <w:tab/>
            </w:r>
            <w:r w:rsidR="00A90CDE">
              <w:rPr>
                <w:noProof/>
                <w:webHidden/>
              </w:rPr>
              <w:fldChar w:fldCharType="begin"/>
            </w:r>
            <w:r w:rsidR="00A90CDE">
              <w:rPr>
                <w:noProof/>
                <w:webHidden/>
              </w:rPr>
              <w:instrText xml:space="preserve"> PAGEREF _Toc216811085 \h </w:instrText>
            </w:r>
            <w:r w:rsidR="00A90CDE">
              <w:rPr>
                <w:noProof/>
                <w:webHidden/>
              </w:rPr>
            </w:r>
            <w:r w:rsidR="00A90CDE">
              <w:rPr>
                <w:noProof/>
                <w:webHidden/>
              </w:rPr>
              <w:fldChar w:fldCharType="separate"/>
            </w:r>
            <w:r w:rsidR="00B97838">
              <w:rPr>
                <w:noProof/>
                <w:webHidden/>
              </w:rPr>
              <w:t>32</w:t>
            </w:r>
            <w:r w:rsidR="00A90CDE">
              <w:rPr>
                <w:noProof/>
                <w:webHidden/>
              </w:rPr>
              <w:fldChar w:fldCharType="end"/>
            </w:r>
          </w:hyperlink>
        </w:p>
        <w:p w14:paraId="4A3A9294" w14:textId="3A731F48"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6" w:history="1">
            <w:r w:rsidR="00A90CDE" w:rsidRPr="004D5A59">
              <w:rPr>
                <w:rStyle w:val="Hyperlink"/>
                <w:noProof/>
              </w:rPr>
              <w:t>References</w:t>
            </w:r>
            <w:r w:rsidR="00A90CDE">
              <w:rPr>
                <w:noProof/>
                <w:webHidden/>
              </w:rPr>
              <w:tab/>
            </w:r>
            <w:r w:rsidR="00A90CDE">
              <w:rPr>
                <w:noProof/>
                <w:webHidden/>
              </w:rPr>
              <w:fldChar w:fldCharType="begin"/>
            </w:r>
            <w:r w:rsidR="00A90CDE">
              <w:rPr>
                <w:noProof/>
                <w:webHidden/>
              </w:rPr>
              <w:instrText xml:space="preserve"> PAGEREF _Toc216811086 \h </w:instrText>
            </w:r>
            <w:r w:rsidR="00A90CDE">
              <w:rPr>
                <w:noProof/>
                <w:webHidden/>
              </w:rPr>
            </w:r>
            <w:r w:rsidR="00A90CDE">
              <w:rPr>
                <w:noProof/>
                <w:webHidden/>
              </w:rPr>
              <w:fldChar w:fldCharType="separate"/>
            </w:r>
            <w:r w:rsidR="00B97838">
              <w:rPr>
                <w:noProof/>
                <w:webHidden/>
              </w:rPr>
              <w:t>34</w:t>
            </w:r>
            <w:r w:rsidR="00A90CDE">
              <w:rPr>
                <w:noProof/>
                <w:webHidden/>
              </w:rPr>
              <w:fldChar w:fldCharType="end"/>
            </w:r>
          </w:hyperlink>
        </w:p>
        <w:p w14:paraId="44162709" w14:textId="75283A00" w:rsidR="00A90CDE" w:rsidRDefault="00677CB1">
          <w:pPr>
            <w:pStyle w:val="TOC1"/>
            <w:tabs>
              <w:tab w:val="right" w:leader="dot" w:pos="9017"/>
            </w:tabs>
            <w:rPr>
              <w:rFonts w:asciiTheme="minorHAnsi" w:eastAsiaTheme="minorEastAsia" w:hAnsiTheme="minorHAnsi"/>
              <w:noProof/>
              <w:kern w:val="2"/>
              <w:szCs w:val="24"/>
              <w:lang w:val="en-GB" w:eastAsia="en-GB"/>
              <w14:ligatures w14:val="standardContextual"/>
            </w:rPr>
          </w:pPr>
          <w:hyperlink w:anchor="_Toc216811087" w:history="1">
            <w:r w:rsidR="00A90CDE" w:rsidRPr="004D5A59">
              <w:rPr>
                <w:rStyle w:val="Hyperlink"/>
                <w:noProof/>
              </w:rPr>
              <w:t>APPENDIX</w:t>
            </w:r>
            <w:r w:rsidR="00A90CDE">
              <w:rPr>
                <w:noProof/>
                <w:webHidden/>
              </w:rPr>
              <w:tab/>
            </w:r>
            <w:r w:rsidR="00A90CDE">
              <w:rPr>
                <w:noProof/>
                <w:webHidden/>
              </w:rPr>
              <w:fldChar w:fldCharType="begin"/>
            </w:r>
            <w:r w:rsidR="00A90CDE">
              <w:rPr>
                <w:noProof/>
                <w:webHidden/>
              </w:rPr>
              <w:instrText xml:space="preserve"> PAGEREF _Toc216811087 \h </w:instrText>
            </w:r>
            <w:r w:rsidR="00A90CDE">
              <w:rPr>
                <w:noProof/>
                <w:webHidden/>
              </w:rPr>
            </w:r>
            <w:r w:rsidR="00A90CDE">
              <w:rPr>
                <w:noProof/>
                <w:webHidden/>
              </w:rPr>
              <w:fldChar w:fldCharType="separate"/>
            </w:r>
            <w:r w:rsidR="00B97838">
              <w:rPr>
                <w:noProof/>
                <w:webHidden/>
              </w:rPr>
              <w:t>41</w:t>
            </w:r>
            <w:r w:rsidR="00A90CDE">
              <w:rPr>
                <w:noProof/>
                <w:webHidden/>
              </w:rPr>
              <w:fldChar w:fldCharType="end"/>
            </w:r>
          </w:hyperlink>
        </w:p>
        <w:p w14:paraId="44CBC440" w14:textId="20E453FF" w:rsidR="00AC586B" w:rsidRPr="00AC586B" w:rsidRDefault="00AC586B" w:rsidP="00AC586B">
          <w:r w:rsidRPr="009F2956">
            <w:rPr>
              <w:rFonts w:asciiTheme="majorBidi" w:hAnsiTheme="majorBidi" w:cstheme="majorBidi"/>
              <w:noProof/>
              <w:szCs w:val="24"/>
            </w:rPr>
            <w:fldChar w:fldCharType="end"/>
          </w:r>
        </w:p>
      </w:sdtContent>
    </w:sdt>
    <w:p w14:paraId="79E83A1F" w14:textId="77777777" w:rsidR="006E7AD9" w:rsidRDefault="006E7AD9">
      <w:pPr>
        <w:rPr>
          <w:rFonts w:asciiTheme="majorBidi" w:eastAsiaTheme="majorEastAsia" w:hAnsiTheme="majorBidi" w:cstheme="majorBidi"/>
          <w:b/>
          <w:szCs w:val="32"/>
        </w:rPr>
      </w:pPr>
      <w:r>
        <w:br w:type="page"/>
      </w:r>
    </w:p>
    <w:p w14:paraId="4856A4A7" w14:textId="77777777" w:rsidR="006E7AD9" w:rsidRDefault="006E7AD9" w:rsidP="00695C1A">
      <w:pPr>
        <w:pStyle w:val="Heading1"/>
        <w:jc w:val="center"/>
        <w:sectPr w:rsidR="006E7AD9" w:rsidSect="00DA3416">
          <w:pgSz w:w="11907" w:h="16840" w:code="9"/>
          <w:pgMar w:top="1440" w:right="1440" w:bottom="1440" w:left="1440" w:header="709" w:footer="709" w:gutter="0"/>
          <w:pgNumType w:fmt="lowerRoman" w:start="1"/>
          <w:cols w:space="708"/>
          <w:docGrid w:linePitch="360"/>
        </w:sectPr>
      </w:pPr>
    </w:p>
    <w:p w14:paraId="26A49065" w14:textId="2667DF24" w:rsidR="0032391C" w:rsidRPr="0032391C" w:rsidRDefault="0032391C" w:rsidP="00695C1A">
      <w:pPr>
        <w:pStyle w:val="Heading1"/>
        <w:jc w:val="center"/>
      </w:pPr>
      <w:bookmarkStart w:id="5" w:name="_Toc216811058"/>
      <w:r w:rsidRPr="0032391C">
        <w:lastRenderedPageBreak/>
        <w:t>CHAPTER ONE</w:t>
      </w:r>
      <w:bookmarkEnd w:id="5"/>
    </w:p>
    <w:p w14:paraId="124448B6" w14:textId="77777777" w:rsidR="0032391C" w:rsidRPr="0032391C" w:rsidRDefault="0032391C" w:rsidP="00695C1A">
      <w:pPr>
        <w:pStyle w:val="Heading1"/>
      </w:pPr>
      <w:bookmarkStart w:id="6" w:name="_Toc216811059"/>
      <w:r w:rsidRPr="0032391C">
        <w:t>1.1 Background of the Study</w:t>
      </w:r>
      <w:bookmarkEnd w:id="6"/>
    </w:p>
    <w:p w14:paraId="60A635AC" w14:textId="4216F289"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Diabetes mellitus is a chronic metabolic disorder characterized by persistent hyperglycemia that results from defects in insulin secretion, insulin action, or both, and it remains one of the most rapidly increasing global health challenges of the twenty-first century (International Diabetes Federation, 2023). The prevalence of the disease has risen sharply in Africa, where a combination of urbanization, dietary transitions, genetic susceptibility, and limited access to healthcare contributes to rising morbidity and mortality (Okafor and Ezegwui, 2021). A central biochemical feature of type 2 diabetes is exaggerated postprandial hyperglycemia, which plays a significant role in the development of long-term complications such as neuropathy, nephropathy, and cardiovascular disease (Ali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One clinical strategy for mitigating postprandial hyperglycemia involves delaying carbohydrate digestion in the small intestine through the inhibition of alpha glucosidase, a brush border enzyme responsible for the terminal hydrolysis of disaccharides into glucose (Moghadam </w:t>
      </w:r>
      <w:r w:rsidR="00B6491B" w:rsidRPr="00B6491B">
        <w:rPr>
          <w:rFonts w:asciiTheme="majorBidi" w:hAnsiTheme="majorBidi" w:cstheme="majorBidi"/>
          <w:i/>
          <w:szCs w:val="24"/>
        </w:rPr>
        <w:t>et al.</w:t>
      </w:r>
      <w:r w:rsidRPr="0032391C">
        <w:rPr>
          <w:rFonts w:asciiTheme="majorBidi" w:hAnsiTheme="majorBidi" w:cstheme="majorBidi"/>
          <w:szCs w:val="24"/>
        </w:rPr>
        <w:t>, 2020).</w:t>
      </w:r>
    </w:p>
    <w:p w14:paraId="6365F33B" w14:textId="4AF38E5B"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Alpha glucosidase inhibitors slow glucose absorption and help reduce postprandial blood glucose spikes, which improves glycemic control in diabetic patients (Rani and Dhanabal, 2021). Conventional inhibitors such as acarbose, miglitol, and voglibose are used clinically, but their administration is often limited by adverse gastrointestinal effects including flatulence, diarrhea, and abdominal discomfort (Nugraha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2020). These limitations have intensified research into safer, plant derived alpha glucosidase inhibitors that may offer comparable efficacy with fewer side effects (Mensah </w:t>
      </w:r>
      <w:r w:rsidR="00B6491B" w:rsidRPr="00B6491B">
        <w:rPr>
          <w:rFonts w:asciiTheme="majorBidi" w:hAnsiTheme="majorBidi" w:cstheme="majorBidi"/>
          <w:i/>
          <w:szCs w:val="24"/>
        </w:rPr>
        <w:t>et al.</w:t>
      </w:r>
      <w:r w:rsidRPr="0032391C">
        <w:rPr>
          <w:rFonts w:asciiTheme="majorBidi" w:hAnsiTheme="majorBidi" w:cstheme="majorBidi"/>
          <w:szCs w:val="24"/>
        </w:rPr>
        <w:t>, 2022). Many medicinal plants are known to contain secondary metabolites such as flavonoids, tannins, terpenoids, alkaloids, and phenolics that exhibit antihyperglycemic or enzyme inhibitory activity (Abdulrahman and Musa, 2021).</w:t>
      </w:r>
    </w:p>
    <w:p w14:paraId="5930FFEA" w14:textId="2028A62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African plant species represent a significant source of bioactive compounds, and several have been traditionally used in the management of diabetes across different cultures (Boadi and </w:t>
      </w:r>
      <w:r w:rsidRPr="0032391C">
        <w:rPr>
          <w:rFonts w:asciiTheme="majorBidi" w:hAnsiTheme="majorBidi" w:cstheme="majorBidi"/>
          <w:szCs w:val="24"/>
        </w:rPr>
        <w:lastRenderedPageBreak/>
        <w:t xml:space="preserve">Asase, 2020). Plants such as </w:t>
      </w:r>
      <w:r w:rsidR="00130EC1" w:rsidRPr="00130EC1">
        <w:rPr>
          <w:rFonts w:asciiTheme="majorBidi" w:hAnsiTheme="majorBidi" w:cstheme="majorBidi"/>
          <w:i/>
          <w:szCs w:val="24"/>
        </w:rPr>
        <w:t>Diospyros mespiliformis</w:t>
      </w:r>
      <w:r w:rsidRPr="0032391C">
        <w:rPr>
          <w:rFonts w:asciiTheme="majorBidi" w:hAnsiTheme="majorBidi" w:cstheme="majorBidi"/>
          <w:szCs w:val="24"/>
        </w:rPr>
        <w:t xml:space="preserve">, </w:t>
      </w:r>
      <w:r w:rsidR="0041235F" w:rsidRPr="0041235F">
        <w:rPr>
          <w:rFonts w:asciiTheme="majorBidi" w:hAnsiTheme="majorBidi" w:cstheme="majorBidi"/>
          <w:i/>
          <w:szCs w:val="24"/>
        </w:rPr>
        <w:t>Cassia nigricans</w:t>
      </w:r>
      <w:r w:rsidRPr="0032391C">
        <w:rPr>
          <w:rFonts w:asciiTheme="majorBidi" w:hAnsiTheme="majorBidi" w:cstheme="majorBidi"/>
          <w:szCs w:val="24"/>
        </w:rPr>
        <w:t xml:space="preserve">, </w:t>
      </w:r>
      <w:r w:rsidR="0041235F" w:rsidRPr="0041235F">
        <w:rPr>
          <w:rFonts w:asciiTheme="majorBidi" w:hAnsiTheme="majorBidi" w:cstheme="majorBidi"/>
          <w:i/>
          <w:szCs w:val="24"/>
        </w:rPr>
        <w:t>Khaya senegalensis</w:t>
      </w:r>
      <w:r w:rsidRPr="0032391C">
        <w:rPr>
          <w:rFonts w:asciiTheme="majorBidi" w:hAnsiTheme="majorBidi" w:cstheme="majorBidi"/>
          <w:szCs w:val="24"/>
        </w:rPr>
        <w:t xml:space="preserve">, </w:t>
      </w:r>
      <w:r w:rsidR="0041235F" w:rsidRPr="0041235F">
        <w:rPr>
          <w:rFonts w:asciiTheme="majorBidi" w:hAnsiTheme="majorBidi" w:cstheme="majorBidi"/>
          <w:i/>
          <w:szCs w:val="24"/>
        </w:rPr>
        <w:t>Ficus carica</w:t>
      </w:r>
      <w:r w:rsidRPr="0032391C">
        <w:rPr>
          <w:rFonts w:asciiTheme="majorBidi" w:hAnsiTheme="majorBidi" w:cstheme="majorBidi"/>
          <w:szCs w:val="24"/>
        </w:rPr>
        <w:t xml:space="preserve">, </w:t>
      </w:r>
      <w:r w:rsidR="0041235F" w:rsidRPr="0041235F">
        <w:rPr>
          <w:rFonts w:asciiTheme="majorBidi" w:hAnsiTheme="majorBidi" w:cstheme="majorBidi"/>
          <w:i/>
          <w:szCs w:val="24"/>
        </w:rPr>
        <w:t>Ficus sycomorus</w:t>
      </w:r>
      <w:r w:rsidRPr="0032391C">
        <w:rPr>
          <w:rFonts w:asciiTheme="majorBidi" w:hAnsiTheme="majorBidi" w:cstheme="majorBidi"/>
          <w:szCs w:val="24"/>
        </w:rPr>
        <w:t xml:space="preserve">, and </w:t>
      </w:r>
      <w:r w:rsidR="0041235F" w:rsidRPr="0041235F">
        <w:rPr>
          <w:rFonts w:asciiTheme="majorBidi" w:hAnsiTheme="majorBidi" w:cstheme="majorBidi"/>
          <w:i/>
          <w:szCs w:val="24"/>
        </w:rPr>
        <w:t>Vernonia amygdalina</w:t>
      </w:r>
      <w:r w:rsidRPr="0032391C">
        <w:rPr>
          <w:rFonts w:asciiTheme="majorBidi" w:hAnsiTheme="majorBidi" w:cstheme="majorBidi"/>
          <w:szCs w:val="24"/>
        </w:rPr>
        <w:t xml:space="preserve"> are rich in polyphenols and related phytochemicals reported to influence carbohydrate metabolism and digestive enzyme activity (Otimenyin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The exploration of these plants offers promising prospects for discovering novel natural inhibitors of alpha glucosidase that could complement or replace existing pharmaceuticals (Sambo and Ibrahim, 2023). Experimental studies using yeast derived alpha glucosidase have become widely adopted because the enzyme is structurally similar to mammalian alpha glucosidase and readily obtainable through simple extraction procedures (Kumar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2021). The use of methanolic extracts is also advantageous because methanol efficiently dissolves a broad spectrum of secondary metabolites, thereby increasing the probability of detecting inhibitory compounds during in vitro assays (Rahman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47D699E9" w14:textId="2311348C"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Comparative studies evaluating plant extracts side by side provide valuable insights into the relative potency of different phytochemical sources and help identify the most promising candidates for further isolation and structural characterization (Ezeani and Okoye, 2020). Such investigations are especially relevant in African communities where </w:t>
      </w:r>
      <w:r w:rsidR="00130EC1" w:rsidRPr="0032391C">
        <w:rPr>
          <w:rFonts w:asciiTheme="majorBidi" w:hAnsiTheme="majorBidi" w:cstheme="majorBidi"/>
          <w:szCs w:val="24"/>
        </w:rPr>
        <w:t>plant-based</w:t>
      </w:r>
      <w:r w:rsidRPr="0032391C">
        <w:rPr>
          <w:rFonts w:asciiTheme="majorBidi" w:hAnsiTheme="majorBidi" w:cstheme="majorBidi"/>
          <w:szCs w:val="24"/>
        </w:rPr>
        <w:t xml:space="preserve"> remedies remain common and often represent the primary source of healthcare (Adebayo and Omodamiro, 2022). Understanding the inhibitory effects of these plants at the enzymatic level strengthens the scientific basis for their traditional use and may lead to the development of improved natural therapeutic agents for managing diabetes mellitus (Ogunleye </w:t>
      </w:r>
      <w:r w:rsidR="00B6491B" w:rsidRPr="00B6491B">
        <w:rPr>
          <w:rFonts w:asciiTheme="majorBidi" w:hAnsiTheme="majorBidi" w:cstheme="majorBidi"/>
          <w:i/>
          <w:szCs w:val="24"/>
        </w:rPr>
        <w:t>et al.</w:t>
      </w:r>
      <w:r w:rsidRPr="0032391C">
        <w:rPr>
          <w:rFonts w:asciiTheme="majorBidi" w:hAnsiTheme="majorBidi" w:cstheme="majorBidi"/>
          <w:szCs w:val="24"/>
        </w:rPr>
        <w:t>, 2023).</w:t>
      </w:r>
    </w:p>
    <w:p w14:paraId="0EDB5AB0" w14:textId="77777777" w:rsidR="0032391C" w:rsidRPr="0032391C" w:rsidRDefault="0032391C" w:rsidP="00695C1A">
      <w:pPr>
        <w:pStyle w:val="Heading1"/>
      </w:pPr>
      <w:bookmarkStart w:id="7" w:name="_Toc216811060"/>
      <w:r w:rsidRPr="0032391C">
        <w:t>1.2 Statement of the Problem</w:t>
      </w:r>
      <w:bookmarkEnd w:id="7"/>
    </w:p>
    <w:p w14:paraId="1032B9A7" w14:textId="58C971FE"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global rise in diabetes mellitus presents a serious public health challenge, particularly in </w:t>
      </w:r>
      <w:r w:rsidR="00B6491B" w:rsidRPr="0032391C">
        <w:rPr>
          <w:rFonts w:asciiTheme="majorBidi" w:hAnsiTheme="majorBidi" w:cstheme="majorBidi"/>
          <w:szCs w:val="24"/>
        </w:rPr>
        <w:t>low-income</w:t>
      </w:r>
      <w:r w:rsidRPr="0032391C">
        <w:rPr>
          <w:rFonts w:asciiTheme="majorBidi" w:hAnsiTheme="majorBidi" w:cstheme="majorBidi"/>
          <w:szCs w:val="24"/>
        </w:rPr>
        <w:t xml:space="preserve"> regions where access to conventional medication is limited and the cost of long-term treatment is often prohibitive (Akinola and Fadare, 2021). Existing alpha glucosidase inhibitors, although effective, frequently cause gastrointestinal discomfort that leads to poor patient compliance and reduced therapeutic success (Nwosu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These limitations </w:t>
      </w:r>
      <w:r w:rsidRPr="0032391C">
        <w:rPr>
          <w:rFonts w:asciiTheme="majorBidi" w:hAnsiTheme="majorBidi" w:cstheme="majorBidi"/>
          <w:szCs w:val="24"/>
        </w:rPr>
        <w:lastRenderedPageBreak/>
        <w:t xml:space="preserve">underscore the need for alternative inhibitors that are both effective and better tolerated. Although numerous African plants are traditionally used for managing diabetes, scientific evidence supporting their inhibitory activity on alpha glucosidase remains incomplete and inconsistent (Ojo and Kareem, 2023). In many cases, comparative evaluations of multiple plant species under identical experimental conditions are lacking, which creates gaps in knowledge regarding their relative efficacy (Mensah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Without such comparisons, it is difficult for researchers and clinicians to identify which plants offer genuine biochemical advantages that merit further investigation. These gaps necessitate </w:t>
      </w:r>
      <w:r w:rsidR="007777FB" w:rsidRPr="007777FB">
        <w:rPr>
          <w:rFonts w:asciiTheme="majorBidi" w:hAnsiTheme="majorBidi" w:cstheme="majorBidi"/>
          <w:szCs w:val="24"/>
        </w:rPr>
        <w:t>system</w:t>
      </w:r>
      <w:r w:rsidRPr="0032391C">
        <w:rPr>
          <w:rFonts w:asciiTheme="majorBidi" w:hAnsiTheme="majorBidi" w:cstheme="majorBidi"/>
          <w:szCs w:val="24"/>
        </w:rPr>
        <w:t>atic comparative studies that use standardized wet lab assays to assess inhibitory effects on alpha glucosidase obtained from yeast.</w:t>
      </w:r>
    </w:p>
    <w:p w14:paraId="0508F97D" w14:textId="77777777" w:rsidR="0032391C" w:rsidRDefault="0032391C" w:rsidP="00695C1A">
      <w:pPr>
        <w:pStyle w:val="Heading1"/>
      </w:pPr>
      <w:bookmarkStart w:id="8" w:name="_Toc216811061"/>
      <w:r w:rsidRPr="0032391C">
        <w:t>1.3 Aim and Objectives of the Study</w:t>
      </w:r>
      <w:bookmarkEnd w:id="8"/>
    </w:p>
    <w:p w14:paraId="6D3A7FF5" w14:textId="696F2070" w:rsidR="00BE6EBA" w:rsidRPr="0032391C" w:rsidRDefault="00BE6EBA" w:rsidP="0032391C">
      <w:pPr>
        <w:jc w:val="both"/>
        <w:rPr>
          <w:rFonts w:asciiTheme="majorBidi" w:hAnsiTheme="majorBidi" w:cstheme="majorBidi"/>
          <w:b/>
          <w:bCs/>
          <w:szCs w:val="24"/>
        </w:rPr>
      </w:pPr>
      <w:r>
        <w:rPr>
          <w:rFonts w:asciiTheme="majorBidi" w:hAnsiTheme="majorBidi" w:cstheme="majorBidi"/>
          <w:b/>
          <w:bCs/>
          <w:szCs w:val="24"/>
        </w:rPr>
        <w:t>Aim:</w:t>
      </w:r>
    </w:p>
    <w:p w14:paraId="13B902B1" w14:textId="77777777" w:rsidR="00BE6EBA"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aim of this study is to comparatively evaluate the inhibitory effect of selected methanolic plant extracts on the activity of alpha glucosidase enzyme extracted from yeast. </w:t>
      </w:r>
    </w:p>
    <w:p w14:paraId="3676FA89" w14:textId="77777777" w:rsidR="00BE6EBA" w:rsidRDefault="00BE6EBA" w:rsidP="0032391C">
      <w:pPr>
        <w:jc w:val="both"/>
        <w:rPr>
          <w:rFonts w:asciiTheme="majorBidi" w:hAnsiTheme="majorBidi" w:cstheme="majorBidi"/>
          <w:b/>
          <w:bCs/>
          <w:szCs w:val="24"/>
        </w:rPr>
      </w:pPr>
      <w:r>
        <w:rPr>
          <w:rFonts w:asciiTheme="majorBidi" w:hAnsiTheme="majorBidi" w:cstheme="majorBidi"/>
          <w:b/>
          <w:bCs/>
          <w:szCs w:val="24"/>
        </w:rPr>
        <w:t>Objectives:</w:t>
      </w:r>
    </w:p>
    <w:p w14:paraId="7AE20075" w14:textId="77777777" w:rsidR="00BE6EBA" w:rsidRDefault="00BE6EBA" w:rsidP="0032391C">
      <w:pPr>
        <w:jc w:val="both"/>
        <w:rPr>
          <w:rFonts w:asciiTheme="majorBidi" w:hAnsiTheme="majorBidi" w:cstheme="majorBidi"/>
          <w:szCs w:val="24"/>
        </w:rPr>
      </w:pPr>
      <w:r>
        <w:rPr>
          <w:rFonts w:asciiTheme="majorBidi" w:hAnsiTheme="majorBidi" w:cstheme="majorBidi"/>
          <w:szCs w:val="24"/>
        </w:rPr>
        <w:t xml:space="preserve">The major </w:t>
      </w:r>
      <w:r w:rsidR="0032391C" w:rsidRPr="0032391C">
        <w:rPr>
          <w:rFonts w:asciiTheme="majorBidi" w:hAnsiTheme="majorBidi" w:cstheme="majorBidi"/>
          <w:szCs w:val="24"/>
        </w:rPr>
        <w:t>objectives of the study are to</w:t>
      </w:r>
      <w:r>
        <w:rPr>
          <w:rFonts w:asciiTheme="majorBidi" w:hAnsiTheme="majorBidi" w:cstheme="majorBidi"/>
          <w:szCs w:val="24"/>
        </w:rPr>
        <w:t>:</w:t>
      </w:r>
    </w:p>
    <w:p w14:paraId="413CAA17" w14:textId="411ABD90" w:rsidR="00BE6EBA" w:rsidRDefault="00BE6EBA" w:rsidP="00BE6EBA">
      <w:pPr>
        <w:pStyle w:val="ListParagraph"/>
        <w:numPr>
          <w:ilvl w:val="0"/>
          <w:numId w:val="5"/>
        </w:numPr>
        <w:jc w:val="both"/>
        <w:rPr>
          <w:rFonts w:asciiTheme="majorBidi" w:hAnsiTheme="majorBidi" w:cstheme="majorBidi"/>
          <w:szCs w:val="24"/>
        </w:rPr>
      </w:pPr>
      <w:r>
        <w:rPr>
          <w:rFonts w:asciiTheme="majorBidi" w:hAnsiTheme="majorBidi" w:cstheme="majorBidi"/>
          <w:szCs w:val="24"/>
        </w:rPr>
        <w:t>P</w:t>
      </w:r>
      <w:r w:rsidR="0032391C" w:rsidRPr="00BE6EBA">
        <w:rPr>
          <w:rFonts w:asciiTheme="majorBidi" w:hAnsiTheme="majorBidi" w:cstheme="majorBidi"/>
          <w:szCs w:val="24"/>
        </w:rPr>
        <w:t xml:space="preserve">repare methanolic </w:t>
      </w:r>
      <w:r w:rsidR="008845CD">
        <w:rPr>
          <w:rFonts w:asciiTheme="majorBidi" w:hAnsiTheme="majorBidi" w:cstheme="majorBidi"/>
          <w:szCs w:val="24"/>
        </w:rPr>
        <w:t xml:space="preserve">leave </w:t>
      </w:r>
      <w:r w:rsidR="0032391C" w:rsidRPr="00BE6EBA">
        <w:rPr>
          <w:rFonts w:asciiTheme="majorBidi" w:hAnsiTheme="majorBidi" w:cstheme="majorBidi"/>
          <w:szCs w:val="24"/>
        </w:rPr>
        <w:t xml:space="preserve">extract of </w:t>
      </w:r>
      <w:r w:rsidR="00130EC1" w:rsidRPr="00130EC1">
        <w:rPr>
          <w:rFonts w:asciiTheme="majorBidi" w:hAnsiTheme="majorBidi" w:cstheme="majorBidi"/>
          <w:i/>
          <w:szCs w:val="24"/>
        </w:rPr>
        <w:t>Diospyros mespiliformis</w:t>
      </w:r>
      <w:r w:rsidR="0032391C" w:rsidRPr="00BE6EBA">
        <w:rPr>
          <w:rFonts w:asciiTheme="majorBidi" w:hAnsiTheme="majorBidi" w:cstheme="majorBidi"/>
          <w:szCs w:val="24"/>
        </w:rPr>
        <w:t xml:space="preserve">, </w:t>
      </w:r>
      <w:r w:rsidR="0041235F" w:rsidRPr="0041235F">
        <w:rPr>
          <w:rFonts w:asciiTheme="majorBidi" w:hAnsiTheme="majorBidi" w:cstheme="majorBidi"/>
          <w:szCs w:val="24"/>
        </w:rPr>
        <w:t>Stem</w:t>
      </w:r>
      <w:r w:rsidR="0032391C" w:rsidRPr="00BE6EBA">
        <w:rPr>
          <w:rFonts w:asciiTheme="majorBidi" w:hAnsiTheme="majorBidi" w:cstheme="majorBidi"/>
          <w:szCs w:val="24"/>
        </w:rPr>
        <w:t xml:space="preserve"> bark</w:t>
      </w:r>
      <w:r w:rsidR="008845CD">
        <w:rPr>
          <w:rFonts w:asciiTheme="majorBidi" w:hAnsiTheme="majorBidi" w:cstheme="majorBidi"/>
          <w:szCs w:val="24"/>
        </w:rPr>
        <w:t xml:space="preserve"> extract of </w:t>
      </w:r>
      <w:r w:rsidR="008845CD" w:rsidRPr="00130EC1">
        <w:rPr>
          <w:rFonts w:asciiTheme="majorBidi" w:hAnsiTheme="majorBidi" w:cstheme="majorBidi"/>
          <w:i/>
          <w:szCs w:val="24"/>
        </w:rPr>
        <w:t>Diospyros mespiliformis</w:t>
      </w:r>
      <w:r w:rsidR="0032391C" w:rsidRPr="00BE6EBA">
        <w:rPr>
          <w:rFonts w:asciiTheme="majorBidi" w:hAnsiTheme="majorBidi" w:cstheme="majorBidi"/>
          <w:szCs w:val="24"/>
        </w:rPr>
        <w:t xml:space="preserve">, </w:t>
      </w:r>
      <w:r w:rsidR="0041235F" w:rsidRPr="0041235F">
        <w:rPr>
          <w:rFonts w:asciiTheme="majorBidi" w:hAnsiTheme="majorBidi" w:cstheme="majorBidi"/>
          <w:i/>
          <w:szCs w:val="24"/>
        </w:rPr>
        <w:t>Cassia nigricans</w:t>
      </w:r>
      <w:r w:rsidR="0032391C" w:rsidRPr="00BE6EBA">
        <w:rPr>
          <w:rFonts w:asciiTheme="majorBidi" w:hAnsiTheme="majorBidi" w:cstheme="majorBidi"/>
          <w:szCs w:val="24"/>
        </w:rPr>
        <w:t xml:space="preserve">, </w:t>
      </w:r>
      <w:r w:rsidR="0041235F" w:rsidRPr="0041235F">
        <w:rPr>
          <w:rFonts w:asciiTheme="majorBidi" w:hAnsiTheme="majorBidi" w:cstheme="majorBidi"/>
          <w:i/>
          <w:szCs w:val="24"/>
        </w:rPr>
        <w:t>Khaya senegalensis</w:t>
      </w:r>
      <w:r w:rsidR="0032391C" w:rsidRPr="00BE6EBA">
        <w:rPr>
          <w:rFonts w:asciiTheme="majorBidi" w:hAnsiTheme="majorBidi" w:cstheme="majorBidi"/>
          <w:szCs w:val="24"/>
        </w:rPr>
        <w:t xml:space="preserve">, </w:t>
      </w:r>
      <w:r w:rsidR="0041235F" w:rsidRPr="0041235F">
        <w:rPr>
          <w:rFonts w:asciiTheme="majorBidi" w:hAnsiTheme="majorBidi" w:cstheme="majorBidi"/>
          <w:i/>
          <w:szCs w:val="24"/>
        </w:rPr>
        <w:t>Ficus carica</w:t>
      </w:r>
      <w:r w:rsidR="0032391C" w:rsidRPr="00BE6EBA">
        <w:rPr>
          <w:rFonts w:asciiTheme="majorBidi" w:hAnsiTheme="majorBidi" w:cstheme="majorBidi"/>
          <w:szCs w:val="24"/>
        </w:rPr>
        <w:t xml:space="preserve">, </w:t>
      </w:r>
      <w:r w:rsidR="0041235F" w:rsidRPr="0041235F">
        <w:rPr>
          <w:rFonts w:asciiTheme="majorBidi" w:hAnsiTheme="majorBidi" w:cstheme="majorBidi"/>
          <w:i/>
          <w:szCs w:val="24"/>
        </w:rPr>
        <w:t>Vernonia amygdalina</w:t>
      </w:r>
      <w:r w:rsidR="0032391C" w:rsidRPr="00BE6EBA">
        <w:rPr>
          <w:rFonts w:asciiTheme="majorBidi" w:hAnsiTheme="majorBidi" w:cstheme="majorBidi"/>
          <w:szCs w:val="24"/>
        </w:rPr>
        <w:t xml:space="preserve">, and </w:t>
      </w:r>
      <w:r w:rsidR="0041235F" w:rsidRPr="0041235F">
        <w:rPr>
          <w:rFonts w:asciiTheme="majorBidi" w:hAnsiTheme="majorBidi" w:cstheme="majorBidi"/>
          <w:i/>
          <w:szCs w:val="24"/>
        </w:rPr>
        <w:t>Ficus sycomorus</w:t>
      </w:r>
    </w:p>
    <w:p w14:paraId="7F23AEF3" w14:textId="77777777" w:rsidR="007F232E" w:rsidRDefault="00BE6EBA" w:rsidP="007F232E">
      <w:pPr>
        <w:pStyle w:val="ListParagraph"/>
        <w:numPr>
          <w:ilvl w:val="0"/>
          <w:numId w:val="5"/>
        </w:numPr>
        <w:jc w:val="both"/>
        <w:rPr>
          <w:rFonts w:asciiTheme="majorBidi" w:hAnsiTheme="majorBidi" w:cstheme="majorBidi"/>
          <w:szCs w:val="24"/>
        </w:rPr>
      </w:pPr>
      <w:r>
        <w:rPr>
          <w:rFonts w:asciiTheme="majorBidi" w:hAnsiTheme="majorBidi" w:cstheme="majorBidi"/>
          <w:szCs w:val="24"/>
        </w:rPr>
        <w:t>A</w:t>
      </w:r>
      <w:r w:rsidR="0032391C" w:rsidRPr="00BE6EBA">
        <w:rPr>
          <w:rFonts w:asciiTheme="majorBidi" w:hAnsiTheme="majorBidi" w:cstheme="majorBidi"/>
          <w:szCs w:val="24"/>
        </w:rPr>
        <w:t xml:space="preserve">ssess the inhibitory effects of the plant extracts on </w:t>
      </w:r>
      <w:r w:rsidR="007F232E">
        <w:rPr>
          <w:rFonts w:asciiTheme="majorBidi" w:hAnsiTheme="majorBidi" w:cstheme="majorBidi"/>
          <w:szCs w:val="24"/>
        </w:rPr>
        <w:t xml:space="preserve">alpha glucosidase </w:t>
      </w:r>
    </w:p>
    <w:p w14:paraId="78573E4A" w14:textId="7F7DE7BB" w:rsidR="00BE6EBA" w:rsidRDefault="007F232E" w:rsidP="007F232E">
      <w:pPr>
        <w:pStyle w:val="ListParagraph"/>
        <w:numPr>
          <w:ilvl w:val="0"/>
          <w:numId w:val="5"/>
        </w:numPr>
        <w:jc w:val="both"/>
        <w:rPr>
          <w:rFonts w:asciiTheme="majorBidi" w:hAnsiTheme="majorBidi" w:cstheme="majorBidi"/>
          <w:szCs w:val="24"/>
        </w:rPr>
      </w:pPr>
      <w:r>
        <w:rPr>
          <w:rFonts w:asciiTheme="majorBidi" w:hAnsiTheme="majorBidi" w:cstheme="majorBidi"/>
          <w:szCs w:val="24"/>
        </w:rPr>
        <w:t xml:space="preserve">To determine the mean inhibitory concentration on alpha-glucosidase </w:t>
      </w:r>
    </w:p>
    <w:p w14:paraId="740EC6EF" w14:textId="77777777" w:rsidR="007F6263" w:rsidRDefault="007F6263" w:rsidP="007F6263">
      <w:pPr>
        <w:pStyle w:val="ListParagraph"/>
        <w:numPr>
          <w:ilvl w:val="0"/>
          <w:numId w:val="5"/>
        </w:numPr>
        <w:jc w:val="both"/>
        <w:rPr>
          <w:rFonts w:asciiTheme="majorBidi" w:hAnsiTheme="majorBidi" w:cstheme="majorBidi"/>
          <w:szCs w:val="24"/>
        </w:rPr>
      </w:pPr>
      <w:r>
        <w:rPr>
          <w:rFonts w:asciiTheme="majorBidi" w:hAnsiTheme="majorBidi" w:cstheme="majorBidi"/>
          <w:szCs w:val="24"/>
        </w:rPr>
        <w:t>Identify the extract with the strongest inhibitory potential.</w:t>
      </w:r>
    </w:p>
    <w:p w14:paraId="09054255" w14:textId="77777777" w:rsidR="00BE6EBA" w:rsidRDefault="00BE6EBA" w:rsidP="00BE6EBA">
      <w:pPr>
        <w:jc w:val="both"/>
        <w:rPr>
          <w:rFonts w:asciiTheme="majorBidi" w:hAnsiTheme="majorBidi" w:cstheme="majorBidi"/>
          <w:szCs w:val="24"/>
        </w:rPr>
      </w:pPr>
    </w:p>
    <w:p w14:paraId="1EF6C33F" w14:textId="77777777" w:rsidR="00BE6EBA" w:rsidRPr="00BE6EBA" w:rsidRDefault="00BE6EBA" w:rsidP="00BE6EBA">
      <w:pPr>
        <w:jc w:val="both"/>
        <w:rPr>
          <w:rFonts w:asciiTheme="majorBidi" w:hAnsiTheme="majorBidi" w:cstheme="majorBidi"/>
          <w:szCs w:val="24"/>
        </w:rPr>
      </w:pPr>
    </w:p>
    <w:p w14:paraId="79F6B6D5" w14:textId="77777777" w:rsidR="0032391C" w:rsidRPr="0032391C" w:rsidRDefault="0032391C" w:rsidP="00695C1A">
      <w:pPr>
        <w:pStyle w:val="Heading1"/>
      </w:pPr>
      <w:bookmarkStart w:id="9" w:name="_Toc216811062"/>
      <w:r w:rsidRPr="0032391C">
        <w:lastRenderedPageBreak/>
        <w:t>1.4 Significance of the Study</w:t>
      </w:r>
      <w:bookmarkEnd w:id="9"/>
    </w:p>
    <w:p w14:paraId="08D10B4F" w14:textId="7E522F90"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This study provides scientific validation for the traditional use of several African medicinal plants in the management of diabetes, thereby contributing to the integration of ethnobotanical knowledge with modern biochemical research (Ogunleye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2023). By comparing multiple plant extracts under uniform experimental conditions, the research offers reliable data on their relative potency as alpha glucosidase inhibitors, which is valuable for identifying candidates with therapeutic potential (Boadi and Asase, 2020). The findings may contribute to the development of new plant derived inhibitors with improved safety profiles compared to conventional drugs that often cause gastrointestinal discomfort (Nugraha </w:t>
      </w:r>
      <w:r w:rsidR="00B6491B" w:rsidRPr="00B6491B">
        <w:rPr>
          <w:rFonts w:asciiTheme="majorBidi" w:hAnsiTheme="majorBidi" w:cstheme="majorBidi"/>
          <w:i/>
          <w:szCs w:val="24"/>
        </w:rPr>
        <w:t>et al.</w:t>
      </w:r>
      <w:r w:rsidRPr="0032391C">
        <w:rPr>
          <w:rFonts w:asciiTheme="majorBidi" w:hAnsiTheme="majorBidi" w:cstheme="majorBidi"/>
          <w:szCs w:val="24"/>
        </w:rPr>
        <w:t>, 2020). Additionally, the research expands the available literature on African phytotherapeutics, highlights the importance of biodiversity in drug discovery, and supports future efforts aimed at isolating and characterizing bioactive compounds with antidiabetic activity (Sambo and Ibrahim, 2023).</w:t>
      </w:r>
    </w:p>
    <w:p w14:paraId="56AB87FA" w14:textId="77777777" w:rsidR="0032391C" w:rsidRPr="0032391C" w:rsidRDefault="0032391C" w:rsidP="00695C1A">
      <w:pPr>
        <w:pStyle w:val="Heading1"/>
      </w:pPr>
      <w:bookmarkStart w:id="10" w:name="_Toc216811063"/>
      <w:r w:rsidRPr="0032391C">
        <w:t>1.5 Scope and Limitations of the Study</w:t>
      </w:r>
      <w:bookmarkEnd w:id="10"/>
    </w:p>
    <w:p w14:paraId="02040E3D" w14:textId="021684FB" w:rsidR="0032391C" w:rsidRPr="0032391C" w:rsidRDefault="0032391C" w:rsidP="00695C1A">
      <w:pPr>
        <w:jc w:val="both"/>
        <w:rPr>
          <w:rFonts w:asciiTheme="majorBidi" w:hAnsiTheme="majorBidi" w:cstheme="majorBidi"/>
          <w:szCs w:val="24"/>
        </w:rPr>
      </w:pPr>
      <w:r w:rsidRPr="0032391C">
        <w:rPr>
          <w:rFonts w:asciiTheme="majorBidi" w:hAnsiTheme="majorBidi" w:cstheme="majorBidi"/>
          <w:szCs w:val="24"/>
        </w:rPr>
        <w:t xml:space="preserve">The scope of this study is limited to the in vitro assessment of the inhibitory effects of methanolic extracts from seven selected plants on yeast derived alpha glucosidase activity. The study focuses specifically on percent inhibition and IC₅₀ determination and does not extend to compound isolation, structural characterization, or in vivo evaluation, which require more advanced analytical facilities and extended timelines (Abdulrahman and Musa, 2021). The research uses methanol as the extraction solvent, which may exclude water soluble phytochemicals that contribute to enzyme inhibition in traditional preparations (Otimenyin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Variability in the phytochemical content of plant materials due to environmental factors is another limitation, although standardized extraction procedures help minimize these differences (Adebayo and Omodamiro, 2022). </w:t>
      </w:r>
    </w:p>
    <w:p w14:paraId="54A19D51" w14:textId="3CDBC2E8"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br w:type="page"/>
      </w:r>
    </w:p>
    <w:p w14:paraId="7DC341BA" w14:textId="77777777" w:rsidR="0032391C" w:rsidRPr="0032391C" w:rsidRDefault="0032391C" w:rsidP="00695C1A">
      <w:pPr>
        <w:pStyle w:val="Heading1"/>
        <w:jc w:val="center"/>
      </w:pPr>
      <w:bookmarkStart w:id="11" w:name="_Toc216811064"/>
      <w:r w:rsidRPr="0032391C">
        <w:lastRenderedPageBreak/>
        <w:t>CHAPTER TWO</w:t>
      </w:r>
      <w:bookmarkEnd w:id="11"/>
    </w:p>
    <w:p w14:paraId="46BD6758" w14:textId="77777777" w:rsidR="0032391C" w:rsidRPr="0032391C" w:rsidRDefault="0032391C" w:rsidP="00695C1A">
      <w:pPr>
        <w:pStyle w:val="Heading1"/>
      </w:pPr>
      <w:bookmarkStart w:id="12" w:name="_Toc216811065"/>
      <w:r w:rsidRPr="0032391C">
        <w:t>2.1 Theoretical Background</w:t>
      </w:r>
      <w:bookmarkEnd w:id="12"/>
    </w:p>
    <w:p w14:paraId="6B326EA9" w14:textId="039C0D8B"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Carbohydrate metabolism is central to human energy regulation, and disturbances in this pathway play a major role in the pathophysiology of diabetes mellitus (Khan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After dietary carbohydrate intake, polysaccharides and disaccharides must be hydrolyzed to monosaccharides before absorption, and this process requires a coordinated interplay of salivary, pancreatic, and intestinal enzymes (Ramos and Vieira, 2021). Alpha glucosidase is among the most important of these enzymes because it catalyzes the final step of carbohydrate digestion, specifically the hydrolysis of terminal non-reducing alpha-1,4 linked glucose residues to release free glucose (Zhang </w:t>
      </w:r>
      <w:r w:rsidR="00B6491B" w:rsidRPr="00B6491B">
        <w:rPr>
          <w:rFonts w:asciiTheme="majorBidi" w:hAnsiTheme="majorBidi" w:cstheme="majorBidi"/>
          <w:i/>
          <w:szCs w:val="24"/>
        </w:rPr>
        <w:t>et al.</w:t>
      </w:r>
      <w:r w:rsidRPr="0032391C">
        <w:rPr>
          <w:rFonts w:asciiTheme="majorBidi" w:hAnsiTheme="majorBidi" w:cstheme="majorBidi"/>
          <w:szCs w:val="24"/>
        </w:rPr>
        <w:t>, 2020). The catalytic efficiency of alpha glucosidase directly influences the rate of postprandial glucose appearance in the bloodstream, which is a key determinant of glycemic control, particularly in individuals with impaired insulin sensitivity (Miyazaki and Aoki, 2023).</w:t>
      </w:r>
    </w:p>
    <w:p w14:paraId="08CC457B" w14:textId="7BBFA59F"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In diabetes mellitus, chronic elevation of postprandial glucose is associated with oxidative stress, endothelial dysfunction, and accelerated progression of microvascular and macrovascular complications (Farooq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2021). Modulating the activity of alpha glucosidase has therefore emerged as an important therapeutic target in attempts to mitigate these spikes and improve overall metabolic stability (Chaudhary </w:t>
      </w:r>
      <w:r w:rsidR="00B6491B" w:rsidRPr="00B6491B">
        <w:rPr>
          <w:rFonts w:asciiTheme="majorBidi" w:hAnsiTheme="majorBidi" w:cstheme="majorBidi"/>
          <w:i/>
          <w:szCs w:val="24"/>
        </w:rPr>
        <w:t>et al.</w:t>
      </w:r>
      <w:r w:rsidRPr="0032391C">
        <w:rPr>
          <w:rFonts w:asciiTheme="majorBidi" w:hAnsiTheme="majorBidi" w:cstheme="majorBidi"/>
          <w:szCs w:val="24"/>
        </w:rPr>
        <w:t>, 2022). Pharmacological inhibition of alpha glucosidase slows the breakdown of carbohydrates, delays intestinal glucose absorption, and reduces the glycemic load following meals (Nahar and Rahman, 2020). This mechanism underlies the clinical effectiveness of standard alpha glucosidase inhibitors such as acarbose and miglitol, although these synthetic drugs often cause gastrointestinal discomfort due to fermentation of unabsorbed carbohydrates in the colon (Bakhti and Sadaoui, 2022).</w:t>
      </w:r>
    </w:p>
    <w:p w14:paraId="1F922B5E" w14:textId="2FB54EE9"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biochemical basis for alpha glucosidase inhibition involves the interaction of inhibitory molecules with the enzyme’s active site or allosteric sites, leading to reduced substrate binding </w:t>
      </w:r>
      <w:r w:rsidRPr="0032391C">
        <w:rPr>
          <w:rFonts w:asciiTheme="majorBidi" w:hAnsiTheme="majorBidi" w:cstheme="majorBidi"/>
          <w:szCs w:val="24"/>
        </w:rPr>
        <w:lastRenderedPageBreak/>
        <w:t xml:space="preserve">or diminished catalytic turnover (Usman and Bello, 2021). Competitive inhibitors structurally resemble natural substrates and prevent their access to the active site, while noncompetitive inhibitors bind to sites distinct from the catalytic region and modulate enzyme function without directly competing with substrates (Moussa and Taleb, 2023). Many natural plant compounds, especially phenolics, flavonoids, tannins, and terpenoids, exert their effects through competitive or mixed-type inhibition, contributing to the antidiabetic potential of various herbal preparations (Adekunle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45968B04" w14:textId="3C118B68"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Yeast derived alpha glucosidase serves as a widely accepted model enzyme in in vitro inhibition studies because its catalytic features closely resemble those of mammalian intestinal alpha glucosidase, although it exists in a simpler and more accessible form (Rahman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The enzyme can be extracted efficiently by suspending baker's yeast in phosphate buffer, followed by centrifugation to obtain a crude enzyme solution suitable for spectrophotometric assays (Patel and Sharma, 2021). The most common substrate used in laboratory settings is p-nitrophenyl-alpha-D-glucopyranoside (pNPG), which releases a yellow chromophore, p-nitrophenol, upon enzymatic cleavage and allows real-time quantification of enzyme activity (Li </w:t>
      </w:r>
      <w:r w:rsidR="00B6491B" w:rsidRPr="00B6491B">
        <w:rPr>
          <w:rFonts w:asciiTheme="majorBidi" w:hAnsiTheme="majorBidi" w:cstheme="majorBidi"/>
          <w:i/>
          <w:szCs w:val="24"/>
        </w:rPr>
        <w:t>et al.</w:t>
      </w:r>
      <w:r w:rsidRPr="0032391C">
        <w:rPr>
          <w:rFonts w:asciiTheme="majorBidi" w:hAnsiTheme="majorBidi" w:cstheme="majorBidi"/>
          <w:szCs w:val="24"/>
        </w:rPr>
        <w:t>, 2023). Plant extracts tested against alpha glucosidase typically inhibit the rate of p-nitrophenol formation, and the extent of inhibition reflects their therapeutic potential (Ayeni and Okonkwo, 2021).</w:t>
      </w:r>
    </w:p>
    <w:p w14:paraId="3B5FF870" w14:textId="7D023654"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theoretical basis for comparing multiple plant extracts lies in the principle that different botanical species possess varying compositions and concentrations of bioactive compounds, leading to distinct inhibitory capacities (Fasakin and Ojo, 2022). Factors such as solvent polarity, plant part used, extraction temperature, and environmental conditions influence the phytochemical profile of each extract and, consequently, its enzyme inhibitory activity (Ogunyinka and Balogun, 2021). Methanol is widely regarded as an efficient extraction solvent because it dissolves a broad spectrum of polar and moderately nonpolar phytochemicals that </w:t>
      </w:r>
      <w:r w:rsidRPr="0032391C">
        <w:rPr>
          <w:rFonts w:asciiTheme="majorBidi" w:hAnsiTheme="majorBidi" w:cstheme="majorBidi"/>
          <w:szCs w:val="24"/>
        </w:rPr>
        <w:lastRenderedPageBreak/>
        <w:t xml:space="preserve">are known to modulate digestive enzymes (Rashid </w:t>
      </w:r>
      <w:r w:rsidR="00B6491B" w:rsidRPr="00B6491B">
        <w:rPr>
          <w:rFonts w:asciiTheme="majorBidi" w:hAnsiTheme="majorBidi" w:cstheme="majorBidi"/>
          <w:i/>
          <w:szCs w:val="24"/>
        </w:rPr>
        <w:t>et al.</w:t>
      </w:r>
      <w:r w:rsidRPr="0032391C">
        <w:rPr>
          <w:rFonts w:asciiTheme="majorBidi" w:hAnsiTheme="majorBidi" w:cstheme="majorBidi"/>
          <w:szCs w:val="24"/>
        </w:rPr>
        <w:t>, 2020). Comparative studies allow researchers to identify the most potent extracts, explore dose response patterns, and determine IC₅₀ values, which represent the concentration required to inhibit 50 percent of enzyme activity (Hussain and Javed, 2023).</w:t>
      </w:r>
    </w:p>
    <w:p w14:paraId="021B137B" w14:textId="77777777" w:rsidR="0032391C" w:rsidRPr="0032391C" w:rsidRDefault="0032391C" w:rsidP="00695C1A">
      <w:pPr>
        <w:pStyle w:val="Heading1"/>
      </w:pPr>
      <w:bookmarkStart w:id="13" w:name="_Toc216811066"/>
      <w:r w:rsidRPr="0032391C">
        <w:t>2.1.1 Carbohydrate Metabolism and Postprandial Glucose Regulation</w:t>
      </w:r>
      <w:bookmarkEnd w:id="13"/>
    </w:p>
    <w:p w14:paraId="63C7033D" w14:textId="543AF29B"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Carbohydrate metabolism encompasses the biochemical pathways that convert dietary carbohydrates into glucose and other metabolites essential for cellular energy production, growth, and physiological stability (Garcia and Monteiro, 2021). After ingestion, polysaccharides such as starch are subject to enzymatic digestion beginning in the mouth through salivary amylase, which initiates the hydrolysis of alpha-1,4 glycosidic bonds into shorter oligosaccharides (Nazir </w:t>
      </w:r>
      <w:r w:rsidR="00B6491B" w:rsidRPr="00B6491B">
        <w:rPr>
          <w:rFonts w:asciiTheme="majorBidi" w:hAnsiTheme="majorBidi" w:cstheme="majorBidi"/>
          <w:i/>
          <w:szCs w:val="24"/>
        </w:rPr>
        <w:t>et al.</w:t>
      </w:r>
      <w:r w:rsidRPr="0032391C">
        <w:rPr>
          <w:rFonts w:asciiTheme="majorBidi" w:hAnsiTheme="majorBidi" w:cstheme="majorBidi"/>
          <w:szCs w:val="24"/>
        </w:rPr>
        <w:t>, 2022). This process continues in the small intestine through the action of pancreatic alpha amylase, which further digests starch into maltose, maltotriose, and alpha limit dextrins that serve as substrates for brush border enzymes (Kumar and Singh, 2023). These early steps are essential because they create the disaccharide intermediates required for final glucose release during intestinal absorption (Ramos and Vieira, 2021).</w:t>
      </w:r>
    </w:p>
    <w:p w14:paraId="64D425C9" w14:textId="654FED8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terminal phase of carbohydrate digestion occurs at the luminal surface of the small intestine, where membrane bound hydrolases, including maltase, sucrase, lactase, and alpha glucosidase, catalyze the breakdown of disaccharides into absorbable monosaccharides (Zhang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2020). Glucose released from these reactions is transported into enterocytes via sodium dependent glucose transporter 1 (SGLT1), while fructose is absorbed through GLUT5, highlighting the coordinated regulation of carbohydrate uptake at the epithelial barrier (Miyazaki and Aoki, 2023). Once inside enterocytes, glucose enters the bloodstream via GLUT2, contributing directly to postprandial glycemia (Farooq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2021). The rate at which glucose appears in circulation is influenced not only by the efficiency of digestive enzymes but </w:t>
      </w:r>
      <w:r w:rsidRPr="0032391C">
        <w:rPr>
          <w:rFonts w:asciiTheme="majorBidi" w:hAnsiTheme="majorBidi" w:cstheme="majorBidi"/>
          <w:szCs w:val="24"/>
        </w:rPr>
        <w:lastRenderedPageBreak/>
        <w:t xml:space="preserve">also by gastric emptying, intestinal motility, and hormonal responses triggered by nutrient sensing (Chaudhary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39BA6CB5" w14:textId="4CD0F7F1"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Postprandial glucose regulation relies on an intricate interplay of insulin secretion, hepatic glucose uptake, and peripheral tissue responsiveness (Ali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In healthy individuals, the rapid rise in circulating glucose after a meal stimulates pancreatic beta cells to release insulin, which promotes glucose uptake in muscle and adipose tissue through translocation of GLUT4 transporters to the cell membrane (Okafor and Ezegwui, 2021). Insulin also suppresses hepatic gluconeogenesis and glycogenolysis, helping restore glucose balance within a short time frame (Khan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However, in type 2 diabetes mellitus, insulin resistance and impaired beta cell function disrupt this feedback </w:t>
      </w:r>
      <w:r w:rsidR="007777FB" w:rsidRPr="007777FB">
        <w:rPr>
          <w:rFonts w:asciiTheme="majorBidi" w:hAnsiTheme="majorBidi" w:cstheme="majorBidi"/>
          <w:szCs w:val="24"/>
        </w:rPr>
        <w:t>system</w:t>
      </w:r>
      <w:r w:rsidRPr="0032391C">
        <w:rPr>
          <w:rFonts w:asciiTheme="majorBidi" w:hAnsiTheme="majorBidi" w:cstheme="majorBidi"/>
          <w:szCs w:val="24"/>
        </w:rPr>
        <w:t>, causing prolonged elevation of postprandial glucose and contributing to oxidative stress and endothelial injury (Moussa and Taleb, 2023). Persistent hyperglycemia accelerates the formation of advanced glycation end products, which exacerbate inflammation and heighten the risk of long-term complications such as nephropathy, neuropathy, and cardiovascular disease (Nahar and Rahman, 2020).</w:t>
      </w:r>
    </w:p>
    <w:p w14:paraId="7F1777D7" w14:textId="4F597B3F" w:rsidR="0032391C" w:rsidRDefault="0032391C" w:rsidP="00695C1A">
      <w:pPr>
        <w:jc w:val="both"/>
        <w:rPr>
          <w:rFonts w:asciiTheme="majorBidi" w:hAnsiTheme="majorBidi" w:cstheme="majorBidi"/>
          <w:szCs w:val="24"/>
        </w:rPr>
      </w:pPr>
      <w:r w:rsidRPr="0032391C">
        <w:rPr>
          <w:rFonts w:asciiTheme="majorBidi" w:hAnsiTheme="majorBidi" w:cstheme="majorBidi"/>
          <w:szCs w:val="24"/>
        </w:rPr>
        <w:t xml:space="preserve">Therapeutic strategies aimed at lowering postprandial glucose often target early digestive processes, particularly the enzymatic steps that liberate glucose from dietary carbohydrates (Bakhti and Sadaoui, 2022). Inhibiting enzymes like alpha glucosidase slows the rate of glucose appearance in the bloodstream and reduces the glycemic burden on pancreatic beta cells (Mensah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This biochemical approach is especially valuable for individuals whose postprandial glucose spikes occur despite fasting normoglycemia, a condition increasingly recognized as an early marker of metabolic dysfunction (Ezeani and Okoye, 2020). Plant derived inhibitors are of growing interest because they may modulate enzyme activity through mild, reversible interactions that minimize gastrointestinal side effects commonly observed in synthetic drugs (Adekunle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w:t>
      </w:r>
    </w:p>
    <w:p w14:paraId="31CE38DC" w14:textId="77777777" w:rsidR="00695C1A" w:rsidRPr="0032391C" w:rsidRDefault="00695C1A" w:rsidP="00695C1A">
      <w:pPr>
        <w:jc w:val="both"/>
        <w:rPr>
          <w:rFonts w:asciiTheme="majorBidi" w:hAnsiTheme="majorBidi" w:cstheme="majorBidi"/>
          <w:szCs w:val="24"/>
        </w:rPr>
      </w:pPr>
    </w:p>
    <w:p w14:paraId="425D7269" w14:textId="77777777" w:rsidR="0032391C" w:rsidRPr="0032391C" w:rsidRDefault="0032391C" w:rsidP="00695C1A">
      <w:pPr>
        <w:pStyle w:val="Heading1"/>
      </w:pPr>
      <w:bookmarkStart w:id="14" w:name="_Toc216811067"/>
      <w:r w:rsidRPr="0032391C">
        <w:lastRenderedPageBreak/>
        <w:t>2.1.2 Alpha Glucosidase: Structure, Function, and Catalytic Mechanism</w:t>
      </w:r>
      <w:bookmarkEnd w:id="14"/>
    </w:p>
    <w:p w14:paraId="15FAF100" w14:textId="7D4F0F58"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Alpha glucosidase is a key exoglycosidase located on the brush border membrane of the small intestine, where it catalyzes the terminal step of carbohydrate digestion by hydrolyzing alpha-1,4 glycosidic linkages at the non-reducing ends of oligosaccharides and disaccharides to yield free glucose (Li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2023). The enzyme belongs to the glycoside hydrolase family, predominantly classified within the GH31 family, which contains structurally related enzymes that share conserved catalytic residues and functional domains (Zhang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2020). In humans, alpha glucosidase exists as part of a larger multi-enzyme complex that includes maltase glucoamylase and sucrase isomaltase, both of which contribute to the final hydrolysis of dietary carbohydrate intermediates (Miyazaki and Aoki, 2023). These enzymes are anchored to the apical membrane of enterocytes through transmembrane domains, allowing efficient substrate interaction in the intestinal lumen (Farooq </w:t>
      </w:r>
      <w:r w:rsidR="00B6491B" w:rsidRPr="00B6491B">
        <w:rPr>
          <w:rFonts w:asciiTheme="majorBidi" w:hAnsiTheme="majorBidi" w:cstheme="majorBidi"/>
          <w:i/>
          <w:szCs w:val="24"/>
        </w:rPr>
        <w:t>et al.</w:t>
      </w:r>
      <w:r w:rsidRPr="0032391C">
        <w:rPr>
          <w:rFonts w:asciiTheme="majorBidi" w:hAnsiTheme="majorBidi" w:cstheme="majorBidi"/>
          <w:szCs w:val="24"/>
        </w:rPr>
        <w:t>, 2021).</w:t>
      </w:r>
    </w:p>
    <w:p w14:paraId="56FC5215" w14:textId="3FFDA8B4"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Structurally, alpha glucosidase contains a catalytic domain characterized by a (β/α)_</w:t>
      </w:r>
      <w:r w:rsidR="008845CD" w:rsidRPr="0032391C">
        <w:rPr>
          <w:rFonts w:asciiTheme="majorBidi" w:hAnsiTheme="majorBidi" w:cstheme="majorBidi"/>
          <w:szCs w:val="24"/>
        </w:rPr>
        <w:t>8-barrel</w:t>
      </w:r>
      <w:r w:rsidRPr="0032391C">
        <w:rPr>
          <w:rFonts w:asciiTheme="majorBidi" w:hAnsiTheme="majorBidi" w:cstheme="majorBidi"/>
          <w:szCs w:val="24"/>
        </w:rPr>
        <w:t xml:space="preserve"> fold, which forms the core architecture responsible for substrate binding and catalysis (Kumar and Singh, 2023). The active site typically contains two key acidic residues, often an aspartate and a glutamate, that serve as the nucleophile and proton donor during glycosidic bond cleavage (Usman and Bello, 2021). The enzyme follows a classical double displacement or retaining mechanism, in which the glycosidic bond is cleaved through the formation of a covalent glycosyl intermediate, followed by hydrolysis of the intermediate to release glucose (Moussa and Taleb, 2023). This catalytic process ensures that the enzyme retains the anomeric configuration of the glucose product, which is essential for efficient absorption via intestinal glucose transporters (Nazir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28E5DB9A" w14:textId="225A0062"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functionality of alpha glucosidase is influenced by factors such as pH, temperature, and substrate concentration, with optimal activity typically occurring under mildly acidic to neutral conditions characteristic of the small intestinal environment (Ramos and Vieira, 2021). The </w:t>
      </w:r>
      <w:r w:rsidRPr="0032391C">
        <w:rPr>
          <w:rFonts w:asciiTheme="majorBidi" w:hAnsiTheme="majorBidi" w:cstheme="majorBidi"/>
          <w:szCs w:val="24"/>
        </w:rPr>
        <w:lastRenderedPageBreak/>
        <w:t xml:space="preserve">enzyme’s efficiency determines the rate at which glucose becomes available for absorption, making it a critical regulator of postprandial glycemia (Chaudhary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Because the catalytic site of alpha glucosidase accommodates a broad range of oligosaccharide substrates, it is also susceptible to inhibition by structurally diverse molecules, including synthetic inhibitors and plant derived phytochemicals (Li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2023). Compounds that resemble natural substrates often act as competitive inhibitors, binding to the active site and blocking access to carbohydrate molecules (Adekunle </w:t>
      </w:r>
      <w:r w:rsidR="00B6491B" w:rsidRPr="00B6491B">
        <w:rPr>
          <w:rFonts w:asciiTheme="majorBidi" w:hAnsiTheme="majorBidi" w:cstheme="majorBidi"/>
          <w:i/>
          <w:szCs w:val="24"/>
        </w:rPr>
        <w:t>et al.</w:t>
      </w:r>
      <w:r w:rsidRPr="0032391C">
        <w:rPr>
          <w:rFonts w:asciiTheme="majorBidi" w:hAnsiTheme="majorBidi" w:cstheme="majorBidi"/>
          <w:szCs w:val="24"/>
        </w:rPr>
        <w:t>, 2022). In contrast, polyphenols, tannins, and terpenoids may exert noncompetitive or mixed-type inhibition by interacting at peripheral or allosteric regions that modulate catalytic turnover (Hussain and Javed, 2023).</w:t>
      </w:r>
    </w:p>
    <w:p w14:paraId="152672F9" w14:textId="3B302DB4"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Yeast alpha glucosidase, commonly derived from </w:t>
      </w:r>
      <w:r w:rsidRPr="0032391C">
        <w:rPr>
          <w:rFonts w:asciiTheme="majorBidi" w:hAnsiTheme="majorBidi" w:cstheme="majorBidi"/>
          <w:i/>
          <w:iCs/>
          <w:szCs w:val="24"/>
        </w:rPr>
        <w:t>Saccharomyces cerevisiae</w:t>
      </w:r>
      <w:r w:rsidRPr="0032391C">
        <w:rPr>
          <w:rFonts w:asciiTheme="majorBidi" w:hAnsiTheme="majorBidi" w:cstheme="majorBidi"/>
          <w:szCs w:val="24"/>
        </w:rPr>
        <w:t xml:space="preserve">, shares significant functional similarity with mammalian intestinal alpha glucosidase, which explains its widespread use in in vitro inhibitory studies (Rahman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Although yeast and mammalian enzymes differ in their exact amino acid sequences and glycosylation patterns, both follow the same catalytic mechanism and respond to a comparable spectrum of inhibitors (Patel and Sharma, 2021). This similarity allows researchers to use yeast enzyme assays as an accessible and </w:t>
      </w:r>
      <w:r w:rsidR="008845CD" w:rsidRPr="0032391C">
        <w:rPr>
          <w:rFonts w:asciiTheme="majorBidi" w:hAnsiTheme="majorBidi" w:cstheme="majorBidi"/>
          <w:szCs w:val="24"/>
        </w:rPr>
        <w:t>cost-effective</w:t>
      </w:r>
      <w:r w:rsidRPr="0032391C">
        <w:rPr>
          <w:rFonts w:asciiTheme="majorBidi" w:hAnsiTheme="majorBidi" w:cstheme="majorBidi"/>
          <w:szCs w:val="24"/>
        </w:rPr>
        <w:t xml:space="preserve"> model for screening potential antidiabetic compounds, particularly in resource limited settings where purified mammalian enzymes are expensive or difficult to procure (Ogunyinka and Balogun, 2021). The chromogenic substrate p-nitrophenyl-alpha-D-glucopyranoside (pNPG) is frequently employed in such assays because its hydrolysis releases p-nitrophenol, which can be quantified through spectrophotometry, enabling accurate measurement of enzyme activity and inhibition (Ayeni and Okonkwo, 2021).</w:t>
      </w:r>
    </w:p>
    <w:p w14:paraId="7F156DA1" w14:textId="79C49319" w:rsidR="00695C1A" w:rsidRPr="0032391C" w:rsidRDefault="0032391C" w:rsidP="00695C1A">
      <w:pPr>
        <w:jc w:val="both"/>
        <w:rPr>
          <w:rFonts w:asciiTheme="majorBidi" w:hAnsiTheme="majorBidi" w:cstheme="majorBidi"/>
          <w:szCs w:val="24"/>
        </w:rPr>
      </w:pPr>
      <w:r w:rsidRPr="0032391C">
        <w:rPr>
          <w:rFonts w:asciiTheme="majorBidi" w:hAnsiTheme="majorBidi" w:cstheme="majorBidi"/>
          <w:szCs w:val="24"/>
        </w:rPr>
        <w:t xml:space="preserve">Understanding the structure and catalytic mechanism of alpha glucosidase is essential for interpreting how plant extracts influence enzymatic activity and for identifying the types of phytochemicals likely responsible for observed inhibitory effects (Sambo and Ibrahim, 2023). </w:t>
      </w:r>
    </w:p>
    <w:p w14:paraId="11528FE8" w14:textId="60316BA8" w:rsidR="0032391C" w:rsidRPr="0032391C" w:rsidRDefault="0032391C" w:rsidP="0032391C">
      <w:pPr>
        <w:jc w:val="both"/>
        <w:rPr>
          <w:rFonts w:asciiTheme="majorBidi" w:hAnsiTheme="majorBidi" w:cstheme="majorBidi"/>
          <w:szCs w:val="24"/>
        </w:rPr>
      </w:pPr>
    </w:p>
    <w:p w14:paraId="27676E5B" w14:textId="77777777" w:rsidR="0032391C" w:rsidRPr="0032391C" w:rsidRDefault="0032391C" w:rsidP="00695C1A">
      <w:pPr>
        <w:pStyle w:val="Heading1"/>
      </w:pPr>
      <w:bookmarkStart w:id="15" w:name="_Toc216811068"/>
      <w:r w:rsidRPr="0032391C">
        <w:lastRenderedPageBreak/>
        <w:t>2.1.3 Mechanisms of Alpha Glucosidase Inhibition</w:t>
      </w:r>
      <w:bookmarkEnd w:id="15"/>
    </w:p>
    <w:p w14:paraId="46015FF1" w14:textId="4D99225D"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inhibition of alpha glucosidase represents one of the most effective biochemical strategies for reducing postprandial hyperglycemia, and the mechanisms underlying this inhibition involve a range of molecular interactions between the enzyme and various inhibitory compounds (Li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2023). Alpha glucosidase inhibitors function by decreasing the rate at which glucose is liberated from oligosaccharides and disaccharides during intestinal digestion, thereby delaying glucose absorption and smoothing the postprandial glycemic curve (Chaudhary </w:t>
      </w:r>
      <w:r w:rsidR="00B6491B" w:rsidRPr="00B6491B">
        <w:rPr>
          <w:rFonts w:asciiTheme="majorBidi" w:hAnsiTheme="majorBidi" w:cstheme="majorBidi"/>
          <w:i/>
          <w:szCs w:val="24"/>
        </w:rPr>
        <w:t>et al.</w:t>
      </w:r>
      <w:r w:rsidRPr="0032391C">
        <w:rPr>
          <w:rFonts w:asciiTheme="majorBidi" w:hAnsiTheme="majorBidi" w:cstheme="majorBidi"/>
          <w:szCs w:val="24"/>
        </w:rPr>
        <w:t>, 2022). The fundamental modes of inhibition are typically categorized as competitive, noncompetitive, uncompetitive, and mixed type, each defined by the nature of interaction between the inhibitor, the enzyme, and the enzyme–substrate complex (Usman and Bello, 2021).</w:t>
      </w:r>
    </w:p>
    <w:p w14:paraId="3DCA73F2" w14:textId="457BF4C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Competitive inhibition occurs when inhibitory molecules structurally resemble natural substrates and bind directly to the active site of alpha glucosidase, preventing substrate access and thereby reducing catalytic turnover (Moussa and Taleb, 2023). Synthetic antidiabetic drugs such as acarbose and miglitol exemplify this mechanism, as their sugar mimicking structures allow them to occupy the catalytic pocket with high affinity (Bakhti and Sadaoui, 2022). Many plant derived compounds, especially flavonoids and glycosides, also employ competitive mechanisms owing to their conformational resemblance to carbohydrate substrates (Adekunle </w:t>
      </w:r>
      <w:r w:rsidR="00B6491B" w:rsidRPr="00B6491B">
        <w:rPr>
          <w:rFonts w:asciiTheme="majorBidi" w:hAnsiTheme="majorBidi" w:cstheme="majorBidi"/>
          <w:i/>
          <w:szCs w:val="24"/>
        </w:rPr>
        <w:t>et al.</w:t>
      </w:r>
      <w:r w:rsidRPr="0032391C">
        <w:rPr>
          <w:rFonts w:asciiTheme="majorBidi" w:hAnsiTheme="majorBidi" w:cstheme="majorBidi"/>
          <w:szCs w:val="24"/>
        </w:rPr>
        <w:t>, 2022). In competitive inhibition, increasing the substrate concentration can partially overcome the inhibitory effect, which is reflected experimentally by increased Km values while Vmax remains unchanged (Hussain and Javed, 2023).</w:t>
      </w:r>
    </w:p>
    <w:p w14:paraId="1ACEEB20" w14:textId="665B618A"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Noncompetitive inhibition occurs when inhibitors bind to regions other than the active site, such as allosteric domains, and alter the enzyme’s catalytic properties without directly obstructing substrate binding (Rashid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2020). This mechanism is common among polyphenols, tannins, and terpenoids, whose bulky or aromatic structures often lack the </w:t>
      </w:r>
      <w:r w:rsidRPr="0032391C">
        <w:rPr>
          <w:rFonts w:asciiTheme="majorBidi" w:hAnsiTheme="majorBidi" w:cstheme="majorBidi"/>
          <w:szCs w:val="24"/>
        </w:rPr>
        <w:lastRenderedPageBreak/>
        <w:t>geometric similarity required for active site binding but can modulate enzyme conformation or dynamics (Ogunyinka and Balogun, 2021). In noncompetitive inhibition, Vmax typically decreases while Km remains unchanged, indicating that enzyme molecules are rendered catalytically inactive regardless of substrate concentration (Kumar and Singh, 2023).</w:t>
      </w:r>
    </w:p>
    <w:p w14:paraId="0F1EE6CC" w14:textId="223B5E23"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Mixed type inhibition combines features of both competitive and noncompetitive mechanisms, with inhibitors capable of binding either to the free enzyme or the enzyme–substrate complex, though with differing affinities (Nazir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This mode of inhibition is frequently seen in crude plant extracts, where multiple phytochemicals act simultaneously on different binding sites (Ayeni and Okonkwo, 2021). Mixed inhibition results in alterations in both Km and Vmax, reflecting the complex interaction between inhibitors and the enzyme </w:t>
      </w:r>
      <w:r w:rsidR="007777FB" w:rsidRPr="007777FB">
        <w:rPr>
          <w:rFonts w:asciiTheme="majorBidi" w:hAnsiTheme="majorBidi" w:cstheme="majorBidi"/>
          <w:szCs w:val="24"/>
        </w:rPr>
        <w:t>system</w:t>
      </w:r>
      <w:r w:rsidRPr="0032391C">
        <w:rPr>
          <w:rFonts w:asciiTheme="majorBidi" w:hAnsiTheme="majorBidi" w:cstheme="majorBidi"/>
          <w:szCs w:val="24"/>
        </w:rPr>
        <w:t xml:space="preserve"> (Miyazaki and Aoki, 2023). Uncompetitive inhibition, although less common, involves inhibitor binding exclusively to the enzyme–substrate complex, leading to reductions in both Km and Vmax; this mechanism is occasionally reported in plant extract studies where certain secondary metabolites stabilize the enzyme–substrate complex in an inactive state (Farooq </w:t>
      </w:r>
      <w:r w:rsidR="00B6491B" w:rsidRPr="00B6491B">
        <w:rPr>
          <w:rFonts w:asciiTheme="majorBidi" w:hAnsiTheme="majorBidi" w:cstheme="majorBidi"/>
          <w:i/>
          <w:szCs w:val="24"/>
        </w:rPr>
        <w:t>et al.</w:t>
      </w:r>
      <w:r w:rsidRPr="0032391C">
        <w:rPr>
          <w:rFonts w:asciiTheme="majorBidi" w:hAnsiTheme="majorBidi" w:cstheme="majorBidi"/>
          <w:szCs w:val="24"/>
        </w:rPr>
        <w:t>, 2021).</w:t>
      </w:r>
    </w:p>
    <w:p w14:paraId="2F88CE1E" w14:textId="6BC4F25F"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In addition to classical kinetic mechanisms, several phytochemicals inhibit alpha glucosidase through redox mediated interactions or protein precipitation effects (Mensah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Tannins, for instance, can form hydrogen bonds and hydrophobic interactions with protein surfaces, leading to partial denaturation or reduced flexibility of the catalytic domain (Boadi and Asase, 2020). Flavonoids often interact through π–π stacking with aromatic residues near the active site, thereby altering substrate access or catalytic precision (Otimenyin </w:t>
      </w:r>
      <w:r w:rsidR="00B6491B" w:rsidRPr="00B6491B">
        <w:rPr>
          <w:rFonts w:asciiTheme="majorBidi" w:hAnsiTheme="majorBidi" w:cstheme="majorBidi"/>
          <w:i/>
          <w:szCs w:val="24"/>
        </w:rPr>
        <w:t>et al.</w:t>
      </w:r>
      <w:r w:rsidRPr="0032391C">
        <w:rPr>
          <w:rFonts w:asciiTheme="majorBidi" w:hAnsiTheme="majorBidi" w:cstheme="majorBidi"/>
          <w:szCs w:val="24"/>
        </w:rPr>
        <w:t>, 2022). The inhibition potency of plant extracts is further influenced by factors such as solvent polarity, phytochemical concentration, and the synergistic action of multiple compounds present within the extract (Sambo and Ibrahim, 2023).</w:t>
      </w:r>
    </w:p>
    <w:p w14:paraId="5F065B80" w14:textId="11CDE5D2" w:rsidR="0032391C" w:rsidRPr="0032391C" w:rsidRDefault="0032391C" w:rsidP="00695C1A">
      <w:pPr>
        <w:jc w:val="both"/>
        <w:rPr>
          <w:rFonts w:asciiTheme="majorBidi" w:hAnsiTheme="majorBidi" w:cstheme="majorBidi"/>
          <w:szCs w:val="24"/>
        </w:rPr>
      </w:pPr>
      <w:r w:rsidRPr="0032391C">
        <w:rPr>
          <w:rFonts w:asciiTheme="majorBidi" w:hAnsiTheme="majorBidi" w:cstheme="majorBidi"/>
          <w:szCs w:val="24"/>
        </w:rPr>
        <w:t xml:space="preserve">Understanding these mechanisms is crucial for interpreting inhibition data obtained from plant extracts, particularly because crude extracts typically contain diverse mixtures of </w:t>
      </w:r>
      <w:r w:rsidRPr="0032391C">
        <w:rPr>
          <w:rFonts w:asciiTheme="majorBidi" w:hAnsiTheme="majorBidi" w:cstheme="majorBidi"/>
          <w:szCs w:val="24"/>
        </w:rPr>
        <w:lastRenderedPageBreak/>
        <w:t xml:space="preserve">phytochemicals whose combined effects may not fit a single classical inhibition model (Rahman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w:t>
      </w:r>
    </w:p>
    <w:p w14:paraId="11F11D69" w14:textId="77777777" w:rsidR="0032391C" w:rsidRPr="0032391C" w:rsidRDefault="0032391C" w:rsidP="00695C1A">
      <w:pPr>
        <w:pStyle w:val="Heading1"/>
      </w:pPr>
      <w:bookmarkStart w:id="16" w:name="_Toc216811069"/>
      <w:r w:rsidRPr="0032391C">
        <w:t>2.2 Medicinal Plants with Antidiabetic Potential</w:t>
      </w:r>
      <w:bookmarkEnd w:id="16"/>
    </w:p>
    <w:p w14:paraId="6A020BCD" w14:textId="55464F0A"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Medicinal plants have long been recognized as valuable sources of therapeutic agents for managing diabetes and related metabolic disorders, particularly in regions where conventional pharmaceuticals are either inaccessible or poorly tolerated (Adebayo and Omodamiro, 2022). The antidiabetic potential of these plants arises from their rich content of secondary metabolites that modulate key biochemical pathways involved in glucose homeostasis, insulin sensitivity, oxidative stress, and digestive enzyme activity (Adekunle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Many plant species contain bioactive compounds such as flavonoids, tannins, phenolic acids, alkaloids, and terpenoids that contribute to hypoglycemic effects through diverse molecular mechanisms (Mensah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6B8B9C53"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One widely studied mechanism involves the inhibition of carbohydrate hydrolyzing enzymes such as alpha amylase and alpha glucosidase, which slows digestion and reduces postprandial glucose surges (Nahar and Rahman, 2020). Plants rich in polyphenols, including flavonols, catechins, and anthocyanins, demonstrate strong inhibitory effects on these enzymes due to their ability to interact with the catalytic or allosteric regions of the proteins (Hussain and Javed, 2023). This property has placed botanical extracts at the forefront of natural product research aimed at discovering safer alternatives to synthetic enzyme inhibitors such as acarbose, whose gastrointestinal side effects limit long term compliance (Bakhti and Sadaoui, 2022).</w:t>
      </w:r>
    </w:p>
    <w:p w14:paraId="65F908B9" w14:textId="60DB2F8E"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Beyond enzyme inhibition, several medicinal plants exert complementary biochemical activities that enhance their antidiabetic potential. Many species promote insulin secretion from pancreatic beta cells through modulation of calcium channels and oxidative pathways (Ogunyinka and Balogun, 2021). Others improve insulin sensitivity by enhancing GLUT4 translocation, activating AMP activated protein kinase (AMPK), or reducing inflammatory </w:t>
      </w:r>
      <w:r w:rsidRPr="0032391C">
        <w:rPr>
          <w:rFonts w:asciiTheme="majorBidi" w:hAnsiTheme="majorBidi" w:cstheme="majorBidi"/>
          <w:szCs w:val="24"/>
        </w:rPr>
        <w:lastRenderedPageBreak/>
        <w:t xml:space="preserve">cytokines that impair insulin signaling (Ezeani and Okoye, 2020). Phytochemicals such as quercetin, rutin, gallic acid, and chlorogenic acid have been shown to modulate oxidative stress by scavenging reactive oxygen species, thereby protecting pancreatic and peripheral tissues from diabetes related damage (Moussa and Taleb, 2023). These multifunctional effects strengthen the therapeutic relevance of plant extracts in managing both the biochemical and pathophysiological aspects of diabetes mellitus (Khan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1DD082B1" w14:textId="712D39F4"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African medicinal plants are particularly noteworthy for their diversity of bioactive compounds and their long history of use in traditional medicine (Boadi and Asase, 2020). Species such as </w:t>
      </w:r>
      <w:r w:rsidR="0041235F" w:rsidRPr="0041235F">
        <w:rPr>
          <w:rFonts w:asciiTheme="majorBidi" w:hAnsiTheme="majorBidi" w:cstheme="majorBidi"/>
          <w:i/>
          <w:szCs w:val="24"/>
        </w:rPr>
        <w:t>Vernonia amygdalina</w:t>
      </w:r>
      <w:r w:rsidRPr="0032391C">
        <w:rPr>
          <w:rFonts w:asciiTheme="majorBidi" w:hAnsiTheme="majorBidi" w:cstheme="majorBidi"/>
          <w:szCs w:val="24"/>
        </w:rPr>
        <w:t xml:space="preserve">, </w:t>
      </w:r>
      <w:r w:rsidR="0041235F" w:rsidRPr="0041235F">
        <w:rPr>
          <w:rFonts w:asciiTheme="majorBidi" w:hAnsiTheme="majorBidi" w:cstheme="majorBidi"/>
          <w:i/>
          <w:szCs w:val="24"/>
        </w:rPr>
        <w:t>Ficus sycomorus</w:t>
      </w:r>
      <w:r w:rsidRPr="0032391C">
        <w:rPr>
          <w:rFonts w:asciiTheme="majorBidi" w:hAnsiTheme="majorBidi" w:cstheme="majorBidi"/>
          <w:szCs w:val="24"/>
        </w:rPr>
        <w:t xml:space="preserve">, </w:t>
      </w:r>
      <w:r w:rsidR="0041235F" w:rsidRPr="0041235F">
        <w:rPr>
          <w:rFonts w:asciiTheme="majorBidi" w:hAnsiTheme="majorBidi" w:cstheme="majorBidi"/>
          <w:i/>
          <w:szCs w:val="24"/>
        </w:rPr>
        <w:t>Khaya senegalensis</w:t>
      </w:r>
      <w:r w:rsidRPr="0032391C">
        <w:rPr>
          <w:rFonts w:asciiTheme="majorBidi" w:hAnsiTheme="majorBidi" w:cstheme="majorBidi"/>
          <w:szCs w:val="24"/>
        </w:rPr>
        <w:t xml:space="preserve">, and </w:t>
      </w:r>
      <w:r w:rsidR="0041235F" w:rsidRPr="0041235F">
        <w:rPr>
          <w:rFonts w:asciiTheme="majorBidi" w:hAnsiTheme="majorBidi" w:cstheme="majorBidi"/>
          <w:i/>
          <w:szCs w:val="24"/>
        </w:rPr>
        <w:t>Cassia nigricans</w:t>
      </w:r>
      <w:r w:rsidRPr="0032391C">
        <w:rPr>
          <w:rFonts w:asciiTheme="majorBidi" w:hAnsiTheme="majorBidi" w:cstheme="majorBidi"/>
          <w:szCs w:val="24"/>
        </w:rPr>
        <w:t xml:space="preserve"> have been widely studied for their antihyperglycemic activity and show promising inhibitory effects on digestive enzymes as well as lipid regulating properties (Ojo and Kareem, 2023). </w:t>
      </w:r>
      <w:r w:rsidR="0041235F" w:rsidRPr="0041235F">
        <w:rPr>
          <w:rFonts w:asciiTheme="majorBidi" w:hAnsiTheme="majorBidi" w:cstheme="majorBidi"/>
          <w:i/>
          <w:szCs w:val="24"/>
        </w:rPr>
        <w:t>Vernonia amygdalina</w:t>
      </w:r>
      <w:r w:rsidRPr="0032391C">
        <w:rPr>
          <w:rFonts w:asciiTheme="majorBidi" w:hAnsiTheme="majorBidi" w:cstheme="majorBidi"/>
          <w:szCs w:val="24"/>
        </w:rPr>
        <w:t xml:space="preserve">, for instance, contains sesquiterpene lactones and flavonoids that inhibit alpha glucosidase and reduce glucose absorption in vitro (Otimenyin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w:t>
      </w:r>
      <w:r w:rsidR="0041235F" w:rsidRPr="0041235F">
        <w:rPr>
          <w:rFonts w:asciiTheme="majorBidi" w:hAnsiTheme="majorBidi" w:cstheme="majorBidi"/>
          <w:i/>
          <w:szCs w:val="24"/>
        </w:rPr>
        <w:t>Khaya senegalensis</w:t>
      </w:r>
      <w:r w:rsidRPr="0032391C">
        <w:rPr>
          <w:rFonts w:asciiTheme="majorBidi" w:hAnsiTheme="majorBidi" w:cstheme="majorBidi"/>
          <w:szCs w:val="24"/>
        </w:rPr>
        <w:t xml:space="preserve">, a Meliaceae species, is rich in limonoids and tannins that demonstrate both alpha amylase and alpha glucosidase inhibition, contributing to strong antidiabetic profiles in animal and enzymatic models (Sambo and Ibrahim, 2023). Ficus species, including </w:t>
      </w:r>
      <w:r w:rsidR="0041235F" w:rsidRPr="0041235F">
        <w:rPr>
          <w:rFonts w:asciiTheme="majorBidi" w:hAnsiTheme="majorBidi" w:cstheme="majorBidi"/>
          <w:i/>
          <w:szCs w:val="24"/>
        </w:rPr>
        <w:t>Ficus carica</w:t>
      </w:r>
      <w:r w:rsidRPr="0032391C">
        <w:rPr>
          <w:rFonts w:asciiTheme="majorBidi" w:hAnsiTheme="majorBidi" w:cstheme="majorBidi"/>
          <w:szCs w:val="24"/>
        </w:rPr>
        <w:t xml:space="preserve"> and </w:t>
      </w:r>
      <w:r w:rsidR="0041235F" w:rsidRPr="0041235F">
        <w:rPr>
          <w:rFonts w:asciiTheme="majorBidi" w:hAnsiTheme="majorBidi" w:cstheme="majorBidi"/>
          <w:i/>
          <w:szCs w:val="24"/>
        </w:rPr>
        <w:t>Ficus sycomorus</w:t>
      </w:r>
      <w:r w:rsidRPr="0032391C">
        <w:rPr>
          <w:rFonts w:asciiTheme="majorBidi" w:hAnsiTheme="majorBidi" w:cstheme="majorBidi"/>
          <w:szCs w:val="24"/>
        </w:rPr>
        <w:t xml:space="preserve">, possess phenolics and lignans known to modulate glucose metabolism through inhibition of digestive enzymes and enhancement of antioxidant capacity (Rahman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63327FD7" w14:textId="2D92590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Furthermore, medicinal plants contribute to diabetes management by improving lipid metabolism and reducing hyperlipidemia, an important complication in individuals with insulin resistance (Chukwuma and Ugwu, 2021). Certain flavonoids regulate hepatic lipid synthesis pathways, while saponins and alkaloids can reduce cholesterol absorption and enhance bile acid secretion (Ramos and Vieira, 2021). The combined modulation of glycemic and lipid pathways provides a multifaceted therapeutic advantage that synthetic drugs rarely match </w:t>
      </w:r>
      <w:r w:rsidRPr="0032391C">
        <w:rPr>
          <w:rFonts w:asciiTheme="majorBidi" w:hAnsiTheme="majorBidi" w:cstheme="majorBidi"/>
          <w:szCs w:val="24"/>
        </w:rPr>
        <w:lastRenderedPageBreak/>
        <w:t xml:space="preserve">(Mensah </w:t>
      </w:r>
      <w:r w:rsidR="00B6491B" w:rsidRPr="00B6491B">
        <w:rPr>
          <w:rFonts w:asciiTheme="majorBidi" w:hAnsiTheme="majorBidi" w:cstheme="majorBidi"/>
          <w:i/>
          <w:szCs w:val="24"/>
        </w:rPr>
        <w:t>et al.</w:t>
      </w:r>
      <w:r w:rsidRPr="0032391C">
        <w:rPr>
          <w:rFonts w:asciiTheme="majorBidi" w:hAnsiTheme="majorBidi" w:cstheme="majorBidi"/>
          <w:szCs w:val="24"/>
        </w:rPr>
        <w:t>, 2022). For populations with limited access to modern healthcare, these attributes make plant-based therapies not only culturally relevant but also scientifically promising (Akinola and Fadare, 2021).</w:t>
      </w:r>
    </w:p>
    <w:p w14:paraId="651C0ED9" w14:textId="7E81555A" w:rsidR="0032391C" w:rsidRPr="0032391C" w:rsidRDefault="0032391C" w:rsidP="00695C1A">
      <w:pPr>
        <w:jc w:val="both"/>
        <w:rPr>
          <w:rFonts w:asciiTheme="majorBidi" w:hAnsiTheme="majorBidi" w:cstheme="majorBidi"/>
          <w:szCs w:val="24"/>
        </w:rPr>
      </w:pPr>
      <w:r w:rsidRPr="0032391C">
        <w:rPr>
          <w:rFonts w:asciiTheme="majorBidi" w:hAnsiTheme="majorBidi" w:cstheme="majorBidi"/>
          <w:szCs w:val="24"/>
        </w:rPr>
        <w:t xml:space="preserve">The rising global interest in natural inhibitors of alpha glucosidase is driven by the need for safer, </w:t>
      </w:r>
      <w:r w:rsidR="008845CD" w:rsidRPr="0032391C">
        <w:rPr>
          <w:rFonts w:asciiTheme="majorBidi" w:hAnsiTheme="majorBidi" w:cstheme="majorBidi"/>
          <w:szCs w:val="24"/>
        </w:rPr>
        <w:t>cost-effective</w:t>
      </w:r>
      <w:r w:rsidRPr="0032391C">
        <w:rPr>
          <w:rFonts w:asciiTheme="majorBidi" w:hAnsiTheme="majorBidi" w:cstheme="majorBidi"/>
          <w:szCs w:val="24"/>
        </w:rPr>
        <w:t xml:space="preserve"> antidiabetic agents with minimal side effects (Ali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The diversity of bioactive metabolites in medicinal plants enhances their potential as reservoirs for novel compounds that could be isolated, characterized, and developed into standardized therapeutic agents (Ogunleye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2023). </w:t>
      </w:r>
    </w:p>
    <w:p w14:paraId="00728190" w14:textId="4D6C3052" w:rsidR="0032391C" w:rsidRPr="0032391C" w:rsidRDefault="0032391C" w:rsidP="00695C1A">
      <w:pPr>
        <w:pStyle w:val="Heading1"/>
      </w:pPr>
      <w:bookmarkStart w:id="17" w:name="_Toc216811070"/>
      <w:r w:rsidRPr="0032391C">
        <w:t>2.3 Overview of Selected Plant Samples</w:t>
      </w:r>
      <w:bookmarkEnd w:id="17"/>
      <w:r w:rsidRPr="0032391C">
        <w:t xml:space="preserve"> </w:t>
      </w:r>
    </w:p>
    <w:p w14:paraId="43E125EA" w14:textId="25914B4D"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selected plant extracts investigated in this study represent a diverse group of botanicals traditionally used across West Africa for the management of metabolic disorders, infectious diseases, and inflammatory conditions (Boadi and Asase, 2020). Their inclusion in this comparative analysis is based on documented reports of phytochemical richness, especially phenolic compounds, flavonoids, tannins, and alkaloids, which are frequently associated with alpha glucosidase inhibitory activity (Mensah </w:t>
      </w:r>
      <w:r w:rsidR="00B6491B" w:rsidRPr="00B6491B">
        <w:rPr>
          <w:rFonts w:asciiTheme="majorBidi" w:hAnsiTheme="majorBidi" w:cstheme="majorBidi"/>
          <w:i/>
          <w:szCs w:val="24"/>
        </w:rPr>
        <w:t>et al.</w:t>
      </w:r>
      <w:r w:rsidRPr="0032391C">
        <w:rPr>
          <w:rFonts w:asciiTheme="majorBidi" w:hAnsiTheme="majorBidi" w:cstheme="majorBidi"/>
          <w:szCs w:val="24"/>
        </w:rPr>
        <w:t>, 2022). Understanding their ethnomedicinal relevance and phytochemical composition provides a scientific basis for evaluating their potential as natural antihyperglycemic agents.</w:t>
      </w:r>
    </w:p>
    <w:p w14:paraId="2F78491E" w14:textId="73085BC5" w:rsidR="0032391C" w:rsidRPr="0032391C" w:rsidRDefault="00130EC1" w:rsidP="007F6263">
      <w:pPr>
        <w:jc w:val="both"/>
        <w:rPr>
          <w:rFonts w:asciiTheme="majorBidi" w:hAnsiTheme="majorBidi" w:cstheme="majorBidi"/>
          <w:szCs w:val="24"/>
        </w:rPr>
      </w:pPr>
      <w:r w:rsidRPr="00130EC1">
        <w:rPr>
          <w:rFonts w:asciiTheme="majorBidi" w:hAnsiTheme="majorBidi" w:cstheme="majorBidi"/>
          <w:i/>
          <w:szCs w:val="24"/>
        </w:rPr>
        <w:t>Diospyros mespiliformis</w:t>
      </w:r>
      <w:r w:rsidR="0032391C" w:rsidRPr="0032391C">
        <w:rPr>
          <w:rFonts w:asciiTheme="majorBidi" w:hAnsiTheme="majorBidi" w:cstheme="majorBidi"/>
          <w:szCs w:val="24"/>
        </w:rPr>
        <w:t xml:space="preserve">, also known as </w:t>
      </w:r>
      <w:r w:rsidR="008845CD">
        <w:rPr>
          <w:rFonts w:asciiTheme="majorBidi" w:hAnsiTheme="majorBidi" w:cstheme="majorBidi"/>
          <w:szCs w:val="24"/>
        </w:rPr>
        <w:t>African Ebony</w:t>
      </w:r>
      <w:r w:rsidR="0032391C" w:rsidRPr="0032391C">
        <w:rPr>
          <w:rFonts w:asciiTheme="majorBidi" w:hAnsiTheme="majorBidi" w:cstheme="majorBidi"/>
          <w:szCs w:val="24"/>
        </w:rPr>
        <w:t xml:space="preserve">, is a widespread medicinal plant in West and Central Africa, valued for its antioxidant, antimicrobial, and glucose lowering properties (Okoli and Udeh, 2021). The leaves contain abundant flavonoids, triterpenoids, and tannins which exhibit strong enzyme inhibitory effects in vitro (Ojo and Kareem, 2023). Studies indicate that extracts from this species can suppress carbohydrate hydrolyzing enzymes and reduce postprandial hyperglycemia, suggesting potential activity against alpha glucosidase (Adebayo and Omodamiro, 2022). Its long history of use in traditional medicine for treating </w:t>
      </w:r>
      <w:r w:rsidR="0032391C" w:rsidRPr="0032391C">
        <w:rPr>
          <w:rFonts w:asciiTheme="majorBidi" w:hAnsiTheme="majorBidi" w:cstheme="majorBidi"/>
          <w:szCs w:val="24"/>
        </w:rPr>
        <w:lastRenderedPageBreak/>
        <w:t xml:space="preserve">fever, gastrointestinal disorders, and metabolic syndromes underscores its therapeutic relevance (Bello </w:t>
      </w:r>
      <w:r w:rsidR="00B6491B" w:rsidRPr="00B6491B">
        <w:rPr>
          <w:rFonts w:asciiTheme="majorBidi" w:hAnsiTheme="majorBidi" w:cstheme="majorBidi"/>
          <w:i/>
          <w:szCs w:val="24"/>
        </w:rPr>
        <w:t>et al.</w:t>
      </w:r>
      <w:r w:rsidR="0032391C" w:rsidRPr="0032391C">
        <w:rPr>
          <w:rFonts w:asciiTheme="majorBidi" w:hAnsiTheme="majorBidi" w:cstheme="majorBidi"/>
          <w:szCs w:val="24"/>
        </w:rPr>
        <w:t>, 2021).</w:t>
      </w:r>
    </w:p>
    <w:p w14:paraId="0BFF42CE" w14:textId="4FAFDE22" w:rsidR="0032391C" w:rsidRPr="0032391C" w:rsidRDefault="0041235F" w:rsidP="007F6263">
      <w:pPr>
        <w:jc w:val="both"/>
        <w:rPr>
          <w:rFonts w:asciiTheme="majorBidi" w:hAnsiTheme="majorBidi" w:cstheme="majorBidi"/>
          <w:szCs w:val="24"/>
        </w:rPr>
      </w:pPr>
      <w:r w:rsidRPr="0041235F">
        <w:rPr>
          <w:rFonts w:asciiTheme="majorBidi" w:hAnsiTheme="majorBidi" w:cstheme="majorBidi"/>
          <w:i/>
          <w:iCs/>
          <w:szCs w:val="24"/>
        </w:rPr>
        <w:t>Cassia nigricans</w:t>
      </w:r>
      <w:r w:rsidR="0032391C" w:rsidRPr="0032391C">
        <w:rPr>
          <w:rFonts w:asciiTheme="majorBidi" w:hAnsiTheme="majorBidi" w:cstheme="majorBidi"/>
          <w:szCs w:val="24"/>
        </w:rPr>
        <w:t xml:space="preserve"> is a Leguminosae plant widely used in northern Nigeria for managing fever, infections, and metabolic disorders (Abdullahi </w:t>
      </w:r>
      <w:r w:rsidR="00B6491B" w:rsidRPr="00B6491B">
        <w:rPr>
          <w:rFonts w:asciiTheme="majorBidi" w:hAnsiTheme="majorBidi" w:cstheme="majorBidi"/>
          <w:i/>
          <w:szCs w:val="24"/>
        </w:rPr>
        <w:t>et al.</w:t>
      </w:r>
      <w:r w:rsidR="0032391C" w:rsidRPr="0032391C">
        <w:rPr>
          <w:rFonts w:asciiTheme="majorBidi" w:hAnsiTheme="majorBidi" w:cstheme="majorBidi"/>
          <w:szCs w:val="24"/>
        </w:rPr>
        <w:t xml:space="preserve">, 2023). Phytochemical screenings reveal the presence of anthraquinones, flavonoids, and tannins, compounds commonly associated with inhibition of alpha amylase and alpha glucosidase (Rahman </w:t>
      </w:r>
      <w:r w:rsidR="00B6491B" w:rsidRPr="00B6491B">
        <w:rPr>
          <w:rFonts w:asciiTheme="majorBidi" w:hAnsiTheme="majorBidi" w:cstheme="majorBidi"/>
          <w:i/>
          <w:szCs w:val="24"/>
        </w:rPr>
        <w:t>et al.</w:t>
      </w:r>
      <w:r w:rsidR="0032391C" w:rsidRPr="0032391C">
        <w:rPr>
          <w:rFonts w:asciiTheme="majorBidi" w:hAnsiTheme="majorBidi" w:cstheme="majorBidi"/>
          <w:szCs w:val="24"/>
        </w:rPr>
        <w:t xml:space="preserve">, 2022). Several in vivo studies demonstrate that </w:t>
      </w:r>
      <w:r w:rsidR="0032391C" w:rsidRPr="0032391C">
        <w:rPr>
          <w:rFonts w:asciiTheme="majorBidi" w:hAnsiTheme="majorBidi" w:cstheme="majorBidi"/>
          <w:i/>
          <w:iCs/>
          <w:szCs w:val="24"/>
        </w:rPr>
        <w:t>Cassia</w:t>
      </w:r>
      <w:r w:rsidR="0032391C" w:rsidRPr="0032391C">
        <w:rPr>
          <w:rFonts w:asciiTheme="majorBidi" w:hAnsiTheme="majorBidi" w:cstheme="majorBidi"/>
          <w:szCs w:val="24"/>
        </w:rPr>
        <w:t xml:space="preserve"> species reduce fasting glucose, improve lipid profiles, and enhance antioxidant status, thus supporting their use in managing diabetes mellitus (Ali </w:t>
      </w:r>
      <w:r w:rsidR="00B6491B" w:rsidRPr="00B6491B">
        <w:rPr>
          <w:rFonts w:asciiTheme="majorBidi" w:hAnsiTheme="majorBidi" w:cstheme="majorBidi"/>
          <w:i/>
          <w:szCs w:val="24"/>
        </w:rPr>
        <w:t>et al.</w:t>
      </w:r>
      <w:r w:rsidR="0032391C" w:rsidRPr="0032391C">
        <w:rPr>
          <w:rFonts w:asciiTheme="majorBidi" w:hAnsiTheme="majorBidi" w:cstheme="majorBidi"/>
          <w:szCs w:val="24"/>
        </w:rPr>
        <w:t>, 2022). These findings justify its inclusion in the comparative evaluation of enzyme inhibitory activity.</w:t>
      </w:r>
    </w:p>
    <w:p w14:paraId="5AB2856B" w14:textId="35579A8F" w:rsidR="0032391C" w:rsidRPr="0032391C" w:rsidRDefault="0041235F" w:rsidP="007F6263">
      <w:pPr>
        <w:jc w:val="both"/>
        <w:rPr>
          <w:rFonts w:asciiTheme="majorBidi" w:hAnsiTheme="majorBidi" w:cstheme="majorBidi"/>
          <w:szCs w:val="24"/>
        </w:rPr>
      </w:pPr>
      <w:r w:rsidRPr="0041235F">
        <w:rPr>
          <w:rFonts w:asciiTheme="majorBidi" w:hAnsiTheme="majorBidi" w:cstheme="majorBidi"/>
          <w:i/>
          <w:iCs/>
          <w:szCs w:val="24"/>
        </w:rPr>
        <w:t>Khaya senegalensis</w:t>
      </w:r>
      <w:r w:rsidR="0032391C" w:rsidRPr="0032391C">
        <w:rPr>
          <w:rFonts w:asciiTheme="majorBidi" w:hAnsiTheme="majorBidi" w:cstheme="majorBidi"/>
          <w:szCs w:val="24"/>
        </w:rPr>
        <w:t xml:space="preserve">, a member of the Meliaceae family, has been extensively studied for its medicinal properties, particularly its limonoids, tannins, and saponins that contribute to antimalarial, </w:t>
      </w:r>
      <w:r w:rsidR="00695C1A" w:rsidRPr="0032391C">
        <w:rPr>
          <w:rFonts w:asciiTheme="majorBidi" w:hAnsiTheme="majorBidi" w:cstheme="majorBidi"/>
          <w:szCs w:val="24"/>
        </w:rPr>
        <w:t>anti-inflammatory</w:t>
      </w:r>
      <w:r w:rsidR="0032391C" w:rsidRPr="0032391C">
        <w:rPr>
          <w:rFonts w:asciiTheme="majorBidi" w:hAnsiTheme="majorBidi" w:cstheme="majorBidi"/>
          <w:szCs w:val="24"/>
        </w:rPr>
        <w:t xml:space="preserve">, and antidiabetic effects (Sambo and Ibrahim, 2023). Extracts of its </w:t>
      </w:r>
      <w:r w:rsidRPr="0041235F">
        <w:rPr>
          <w:rFonts w:asciiTheme="majorBidi" w:hAnsiTheme="majorBidi" w:cstheme="majorBidi"/>
          <w:szCs w:val="24"/>
        </w:rPr>
        <w:t>Stem</w:t>
      </w:r>
      <w:r w:rsidR="0032391C" w:rsidRPr="0032391C">
        <w:rPr>
          <w:rFonts w:asciiTheme="majorBidi" w:hAnsiTheme="majorBidi" w:cstheme="majorBidi"/>
          <w:szCs w:val="24"/>
        </w:rPr>
        <w:t xml:space="preserve"> bark exhibit potent inhibitory activity against alpha amylase and alpha glucosidase, reducing glucose absorption and modulating carbohydrate digestion (Ogunleye </w:t>
      </w:r>
      <w:r w:rsidR="00B6491B" w:rsidRPr="00B6491B">
        <w:rPr>
          <w:rFonts w:asciiTheme="majorBidi" w:hAnsiTheme="majorBidi" w:cstheme="majorBidi"/>
          <w:i/>
          <w:szCs w:val="24"/>
        </w:rPr>
        <w:t>et al.</w:t>
      </w:r>
      <w:r w:rsidR="0032391C" w:rsidRPr="0032391C">
        <w:rPr>
          <w:rFonts w:asciiTheme="majorBidi" w:hAnsiTheme="majorBidi" w:cstheme="majorBidi"/>
          <w:szCs w:val="24"/>
        </w:rPr>
        <w:t>, 2023). The plant is traditionally used to treat hypertension, diabetes, and gastrointestinal ailments, and its strong phytochemical profile makes it one of the most promising natural enzyme inhibitors in West African ethnomedicine (Boadi and Asase, 2020).</w:t>
      </w:r>
    </w:p>
    <w:p w14:paraId="0DB536A3" w14:textId="3A3C4C5C" w:rsidR="0032391C" w:rsidRPr="0032391C" w:rsidRDefault="0041235F" w:rsidP="007F6263">
      <w:pPr>
        <w:jc w:val="both"/>
        <w:rPr>
          <w:rFonts w:asciiTheme="majorBidi" w:hAnsiTheme="majorBidi" w:cstheme="majorBidi"/>
          <w:szCs w:val="24"/>
        </w:rPr>
      </w:pPr>
      <w:r w:rsidRPr="0041235F">
        <w:rPr>
          <w:rFonts w:asciiTheme="majorBidi" w:hAnsiTheme="majorBidi" w:cstheme="majorBidi"/>
          <w:i/>
          <w:iCs/>
          <w:szCs w:val="24"/>
        </w:rPr>
        <w:t>Ficus carica</w:t>
      </w:r>
      <w:r w:rsidR="0032391C" w:rsidRPr="0032391C">
        <w:rPr>
          <w:rFonts w:asciiTheme="majorBidi" w:hAnsiTheme="majorBidi" w:cstheme="majorBidi"/>
          <w:szCs w:val="24"/>
        </w:rPr>
        <w:t xml:space="preserve">, commonly known as fig, is renowned for its nutritional and therapeutic properties. Rich in phenolic acids, flavonoids, and lignans, the plant has demonstrated strong antioxidant and antihyperglycemic effects in both animal and enzymatic studies (Adekunle </w:t>
      </w:r>
      <w:r w:rsidR="00B6491B" w:rsidRPr="00B6491B">
        <w:rPr>
          <w:rFonts w:asciiTheme="majorBidi" w:hAnsiTheme="majorBidi" w:cstheme="majorBidi"/>
          <w:i/>
          <w:szCs w:val="24"/>
        </w:rPr>
        <w:t>et al.</w:t>
      </w:r>
      <w:r w:rsidR="0032391C" w:rsidRPr="0032391C">
        <w:rPr>
          <w:rFonts w:asciiTheme="majorBidi" w:hAnsiTheme="majorBidi" w:cstheme="majorBidi"/>
          <w:szCs w:val="24"/>
        </w:rPr>
        <w:t xml:space="preserve">, 2022). Extracts of its leaves and fruit inhibit alpha glucosidase through competitive and </w:t>
      </w:r>
      <w:r w:rsidR="00695C1A" w:rsidRPr="0032391C">
        <w:rPr>
          <w:rFonts w:asciiTheme="majorBidi" w:hAnsiTheme="majorBidi" w:cstheme="majorBidi"/>
          <w:szCs w:val="24"/>
        </w:rPr>
        <w:t>non-competitive</w:t>
      </w:r>
      <w:r w:rsidR="0032391C" w:rsidRPr="0032391C">
        <w:rPr>
          <w:rFonts w:asciiTheme="majorBidi" w:hAnsiTheme="majorBidi" w:cstheme="majorBidi"/>
          <w:szCs w:val="24"/>
        </w:rPr>
        <w:t xml:space="preserve"> mechanisms, reducing carbohydrate digestion and postprandial glucose levels (Hussain and Javed, 2023). Its global use in traditional medicine for metabolic, cardiovascular, and inflammatory conditions supports its relevance to natural diabetes therapeutics.</w:t>
      </w:r>
    </w:p>
    <w:p w14:paraId="7BFDB9BE" w14:textId="0F8598C5" w:rsidR="0032391C" w:rsidRPr="0032391C" w:rsidRDefault="0041235F" w:rsidP="007F6263">
      <w:pPr>
        <w:jc w:val="both"/>
        <w:rPr>
          <w:rFonts w:asciiTheme="majorBidi" w:hAnsiTheme="majorBidi" w:cstheme="majorBidi"/>
          <w:szCs w:val="24"/>
        </w:rPr>
      </w:pPr>
      <w:r w:rsidRPr="0041235F">
        <w:rPr>
          <w:rFonts w:asciiTheme="majorBidi" w:hAnsiTheme="majorBidi" w:cstheme="majorBidi"/>
          <w:i/>
          <w:iCs/>
          <w:szCs w:val="24"/>
        </w:rPr>
        <w:lastRenderedPageBreak/>
        <w:t>Vernonia amygdalina</w:t>
      </w:r>
      <w:r w:rsidR="0032391C" w:rsidRPr="0032391C">
        <w:rPr>
          <w:rFonts w:asciiTheme="majorBidi" w:hAnsiTheme="majorBidi" w:cstheme="majorBidi"/>
          <w:szCs w:val="24"/>
        </w:rPr>
        <w:t xml:space="preserve">, is one of the most widely researched African medicinal plants for diabetes management. It contains sesquiterpene lactones, alkaloids, and flavonoids that exert glucose lowering effects through insulin sensitization, antioxidant modulation, and digestive enzyme inhibition (Otimenyin </w:t>
      </w:r>
      <w:r w:rsidR="00B6491B" w:rsidRPr="00B6491B">
        <w:rPr>
          <w:rFonts w:asciiTheme="majorBidi" w:hAnsiTheme="majorBidi" w:cstheme="majorBidi"/>
          <w:i/>
          <w:szCs w:val="24"/>
        </w:rPr>
        <w:t>et al.</w:t>
      </w:r>
      <w:r w:rsidR="0032391C" w:rsidRPr="0032391C">
        <w:rPr>
          <w:rFonts w:asciiTheme="majorBidi" w:hAnsiTheme="majorBidi" w:cstheme="majorBidi"/>
          <w:szCs w:val="24"/>
        </w:rPr>
        <w:t>, 2022). Numerous in vitro studies report significant suppression of alpha glucosidase and alpha amylase activity, making it a prominent therapeutic candidate for regulating postprandial glucose (Ojo and Kareem, 2023). Its widespread availability and culinary use further enhance its appeal as a safe and accessible natural antidiabetic agent.</w:t>
      </w:r>
    </w:p>
    <w:p w14:paraId="4FCBA682" w14:textId="77836407" w:rsidR="0032391C" w:rsidRPr="0032391C" w:rsidRDefault="0041235F" w:rsidP="007F6263">
      <w:pPr>
        <w:jc w:val="both"/>
        <w:rPr>
          <w:rFonts w:asciiTheme="majorBidi" w:hAnsiTheme="majorBidi" w:cstheme="majorBidi"/>
          <w:szCs w:val="24"/>
        </w:rPr>
      </w:pPr>
      <w:r w:rsidRPr="0041235F">
        <w:rPr>
          <w:rFonts w:asciiTheme="majorBidi" w:hAnsiTheme="majorBidi" w:cstheme="majorBidi"/>
          <w:i/>
          <w:iCs/>
          <w:szCs w:val="24"/>
        </w:rPr>
        <w:t>Ficus sycomorus</w:t>
      </w:r>
      <w:r w:rsidR="0032391C" w:rsidRPr="0032391C">
        <w:rPr>
          <w:rFonts w:asciiTheme="majorBidi" w:hAnsiTheme="majorBidi" w:cstheme="majorBidi"/>
          <w:szCs w:val="24"/>
        </w:rPr>
        <w:t xml:space="preserve">, also known as the sycamore fig, contains phenolic compounds, sterols, and triterpenoids known for their antioxidant and metabolic regulatory properties (Rahman </w:t>
      </w:r>
      <w:r w:rsidR="00B6491B" w:rsidRPr="00B6491B">
        <w:rPr>
          <w:rFonts w:asciiTheme="majorBidi" w:hAnsiTheme="majorBidi" w:cstheme="majorBidi"/>
          <w:i/>
          <w:szCs w:val="24"/>
        </w:rPr>
        <w:t>et al.</w:t>
      </w:r>
      <w:r w:rsidR="0032391C" w:rsidRPr="0032391C">
        <w:rPr>
          <w:rFonts w:asciiTheme="majorBidi" w:hAnsiTheme="majorBidi" w:cstheme="majorBidi"/>
          <w:szCs w:val="24"/>
        </w:rPr>
        <w:t xml:space="preserve">, 2022). Extracts of this species exhibit glucose lowering effects by inhibiting carbohydrate hydrolyzing enzymes and improving peripheral glucose utilization (Akinola and Fadare, 2021). Traditional applications include treatment of diabetes, digestive disorders, infections, and inflammation, indicating a broad pharmacological profile consistent with the phytochemical attributes identified in recent analytical studies (Bello </w:t>
      </w:r>
      <w:r w:rsidR="00B6491B" w:rsidRPr="00B6491B">
        <w:rPr>
          <w:rFonts w:asciiTheme="majorBidi" w:hAnsiTheme="majorBidi" w:cstheme="majorBidi"/>
          <w:i/>
          <w:szCs w:val="24"/>
        </w:rPr>
        <w:t>et al.</w:t>
      </w:r>
      <w:r w:rsidR="0032391C" w:rsidRPr="0032391C">
        <w:rPr>
          <w:rFonts w:asciiTheme="majorBidi" w:hAnsiTheme="majorBidi" w:cstheme="majorBidi"/>
          <w:szCs w:val="24"/>
        </w:rPr>
        <w:t>, 2021).</w:t>
      </w:r>
    </w:p>
    <w:p w14:paraId="51D2DA97" w14:textId="5C13BEEF" w:rsidR="0032391C" w:rsidRPr="0032391C" w:rsidRDefault="0032391C" w:rsidP="00695C1A">
      <w:pPr>
        <w:pStyle w:val="Heading1"/>
      </w:pPr>
      <w:bookmarkStart w:id="18" w:name="_Toc216811071"/>
      <w:r w:rsidRPr="0032391C">
        <w:t>2.4 Alpha Glucosidase Inhibitors</w:t>
      </w:r>
      <w:bookmarkEnd w:id="18"/>
      <w:r w:rsidRPr="0032391C">
        <w:t xml:space="preserve"> </w:t>
      </w:r>
    </w:p>
    <w:p w14:paraId="2118A368" w14:textId="3B40D8B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Alpha glucosidase inhibitors constitute an important therapeutic class used to regulate postprandial hyperglycemia by delaying the hydrolysis of dietary carbohydrates and slowing intestinal glucose absorption (Ali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These agents act at the brush border of the small intestine, where they bind to alpha glucosidase and prevent the rapid conversion of disaccharides and oligosaccharides into absorbable glucose, thereby reducing the sharp glycemic rise that typically follows carbohydrate ingestion (Khan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By modulating the early phase of glucose digestion, alpha glucosidase inhibitors complement other antihyperglycemic drugs that target insulin secretion or peripheral glucose uptake, offering a </w:t>
      </w:r>
      <w:r w:rsidRPr="0032391C">
        <w:rPr>
          <w:rFonts w:asciiTheme="majorBidi" w:hAnsiTheme="majorBidi" w:cstheme="majorBidi"/>
          <w:szCs w:val="24"/>
        </w:rPr>
        <w:lastRenderedPageBreak/>
        <w:t>mechanism that directly reduces the metabolic burden on pancreatic beta cells (Moussa and Taleb, 2023).</w:t>
      </w:r>
    </w:p>
    <w:p w14:paraId="49418A5F" w14:textId="77777777"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t>Synthetic Alpha Glucosidase Inhibitors</w:t>
      </w:r>
    </w:p>
    <w:p w14:paraId="72664430" w14:textId="746D801B"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most widely used synthetic inhibitors include acarbose, miglitol, and voglibose. These compounds were developed based on microbial metabolites produced by </w:t>
      </w:r>
      <w:r w:rsidRPr="0032391C">
        <w:rPr>
          <w:rFonts w:asciiTheme="majorBidi" w:hAnsiTheme="majorBidi" w:cstheme="majorBidi"/>
          <w:i/>
          <w:iCs/>
          <w:szCs w:val="24"/>
        </w:rPr>
        <w:t>Actinoplanes</w:t>
      </w:r>
      <w:r w:rsidRPr="0032391C">
        <w:rPr>
          <w:rFonts w:asciiTheme="majorBidi" w:hAnsiTheme="majorBidi" w:cstheme="majorBidi"/>
          <w:szCs w:val="24"/>
        </w:rPr>
        <w:t xml:space="preserve"> and </w:t>
      </w:r>
      <w:r w:rsidRPr="0032391C">
        <w:rPr>
          <w:rFonts w:asciiTheme="majorBidi" w:hAnsiTheme="majorBidi" w:cstheme="majorBidi"/>
          <w:i/>
          <w:iCs/>
          <w:szCs w:val="24"/>
        </w:rPr>
        <w:t>Streptomyces</w:t>
      </w:r>
      <w:r w:rsidRPr="0032391C">
        <w:rPr>
          <w:rFonts w:asciiTheme="majorBidi" w:hAnsiTheme="majorBidi" w:cstheme="majorBidi"/>
          <w:szCs w:val="24"/>
        </w:rPr>
        <w:t xml:space="preserve"> species and were optimized for high affinity binding to the active site of alpha glucosidase (Bakhti and Sadaoui, 2022). Acarbose, the first clinically approved inhibitor, is a pseudo-tetrasaccharide that competes with natural substrates for the catalytic pocket of the enzyme, slowing glucose release in the small intestine (Ezeani and Okoye, 2020). Miglitol and voglibose exhibit similar mechanisms but differ in molecular size and intestinal absorption patterns, with miglitol being </w:t>
      </w:r>
      <w:r w:rsidR="007777FB" w:rsidRPr="007777FB">
        <w:rPr>
          <w:rFonts w:asciiTheme="majorBidi" w:hAnsiTheme="majorBidi" w:cstheme="majorBidi"/>
          <w:szCs w:val="24"/>
        </w:rPr>
        <w:t>system</w:t>
      </w:r>
      <w:r w:rsidRPr="0032391C">
        <w:rPr>
          <w:rFonts w:asciiTheme="majorBidi" w:hAnsiTheme="majorBidi" w:cstheme="majorBidi"/>
          <w:szCs w:val="24"/>
        </w:rPr>
        <w:t>ically absorbed while voglibose remains largely unabsorbed (Hussain and Javed, 2023). These pharmacokinetic differences influence their potency and side effect profiles.</w:t>
      </w:r>
    </w:p>
    <w:p w14:paraId="5852D1EF" w14:textId="2F29E0DC"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Although synthetic inhibitors effectively lower postprandial glucose and improve glycated hemoglobin levels, they are often associated with gastrointestinal discomfort, including flatulence, diarrhea, and abdominal pain resulting from fermentation of undigested carbohydrates by colonic bacteria (Nazir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These adverse effects contribute to poor adherence among patients and drive the search for alternative agents that provide comparable enzyme inhibition with fewer side effects (Chaudhary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The limitations of synthetic options have prompted intensive exploration of plant derived inhibitors that may act more gently on the gastrointestinal tract due to their complex phytochemical matrices (Adekunle </w:t>
      </w:r>
      <w:r w:rsidR="00B6491B" w:rsidRPr="00B6491B">
        <w:rPr>
          <w:rFonts w:asciiTheme="majorBidi" w:hAnsiTheme="majorBidi" w:cstheme="majorBidi"/>
          <w:i/>
          <w:szCs w:val="24"/>
        </w:rPr>
        <w:t>et al.</w:t>
      </w:r>
      <w:r w:rsidRPr="0032391C">
        <w:rPr>
          <w:rFonts w:asciiTheme="majorBidi" w:hAnsiTheme="majorBidi" w:cstheme="majorBidi"/>
          <w:szCs w:val="24"/>
        </w:rPr>
        <w:t>, 2022).</w:t>
      </w:r>
    </w:p>
    <w:p w14:paraId="7C4C9842" w14:textId="77777777"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t>Natural Sources of Alpha Glucosidase Inhibitors</w:t>
      </w:r>
    </w:p>
    <w:p w14:paraId="217A2566" w14:textId="436CA7F3"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Plants represent the largest natural reservoir of alpha glucosidase inhibitors, with numerous species demonstrating potent activity in vitro and in vivo (Mensah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Many natural </w:t>
      </w:r>
      <w:r w:rsidRPr="0032391C">
        <w:rPr>
          <w:rFonts w:asciiTheme="majorBidi" w:hAnsiTheme="majorBidi" w:cstheme="majorBidi"/>
          <w:szCs w:val="24"/>
        </w:rPr>
        <w:lastRenderedPageBreak/>
        <w:t xml:space="preserve">inhibitors are polyphenolic compounds that interact with the enzyme through hydrogen bonding, hydrophobic interactions, or reversible conformational modulation (Okafor and Ezegwui, 2021). Flavonoids such as quercetin, kaempferol, rutin, and catechins consistently demonstrate strong inhibitory potential, primarily due to their ability to bind to both the catalytic pocket and peripheral allosteric sites (Farooq </w:t>
      </w:r>
      <w:r w:rsidR="00B6491B" w:rsidRPr="00B6491B">
        <w:rPr>
          <w:rFonts w:asciiTheme="majorBidi" w:hAnsiTheme="majorBidi" w:cstheme="majorBidi"/>
          <w:i/>
          <w:szCs w:val="24"/>
        </w:rPr>
        <w:t>et al.</w:t>
      </w:r>
      <w:r w:rsidRPr="0032391C">
        <w:rPr>
          <w:rFonts w:asciiTheme="majorBidi" w:hAnsiTheme="majorBidi" w:cstheme="majorBidi"/>
          <w:szCs w:val="24"/>
        </w:rPr>
        <w:t>, 2021). Their multivalent binding properties often result in mixed-type or non-competitive inhibition, producing a controlled and sustained reduction in enzyme activity (Garcia and Monteiro, 2021).</w:t>
      </w:r>
    </w:p>
    <w:p w14:paraId="65F972A0"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Tannins and phenolic acids also contribute significantly to natural enzyme inhibition. Hydrolysable tannins such as gallic acid derivatives and condensed tannins like procyanidins have exhibited measurable potency in suppressing alpha glucosidase activity at low concentrations (Ramos and Vieira, 2021). These compounds often display synergistic interactions when present in complex mixtures, suggesting that whole plant extracts may offer therapeutic advantages not observed with isolated compounds (Chukwuma and Ugwu, 2021). Alkaloids, saponins, and terpenoids provide additional inhibitory mechanisms by affecting enzyme conformation or interfering with substrate binding (Sambo and Ibrahim, 2023).</w:t>
      </w:r>
    </w:p>
    <w:p w14:paraId="2DAF4349" w14:textId="52A7645F"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A growing body of research highlights the potency of African medicinal plants as natural sources of alpha glucosidase inhibitors. Species such as </w:t>
      </w:r>
      <w:r w:rsidR="0041235F" w:rsidRPr="0041235F">
        <w:rPr>
          <w:rFonts w:asciiTheme="majorBidi" w:hAnsiTheme="majorBidi" w:cstheme="majorBidi"/>
          <w:i/>
          <w:iCs/>
          <w:szCs w:val="24"/>
        </w:rPr>
        <w:t>Vernonia amygdalina</w:t>
      </w:r>
      <w:r w:rsidRPr="0032391C">
        <w:rPr>
          <w:rFonts w:asciiTheme="majorBidi" w:hAnsiTheme="majorBidi" w:cstheme="majorBidi"/>
          <w:szCs w:val="24"/>
        </w:rPr>
        <w:t xml:space="preserve">, </w:t>
      </w:r>
      <w:r w:rsidR="0041235F" w:rsidRPr="0041235F">
        <w:rPr>
          <w:rFonts w:asciiTheme="majorBidi" w:hAnsiTheme="majorBidi" w:cstheme="majorBidi"/>
          <w:i/>
          <w:iCs/>
          <w:szCs w:val="24"/>
        </w:rPr>
        <w:t>Khaya senegalensis</w:t>
      </w:r>
      <w:r w:rsidRPr="0032391C">
        <w:rPr>
          <w:rFonts w:asciiTheme="majorBidi" w:hAnsiTheme="majorBidi" w:cstheme="majorBidi"/>
          <w:szCs w:val="24"/>
        </w:rPr>
        <w:t xml:space="preserve">, </w:t>
      </w:r>
      <w:r w:rsidR="0041235F" w:rsidRPr="0041235F">
        <w:rPr>
          <w:rFonts w:asciiTheme="majorBidi" w:hAnsiTheme="majorBidi" w:cstheme="majorBidi"/>
          <w:i/>
          <w:iCs/>
          <w:szCs w:val="24"/>
        </w:rPr>
        <w:t>Cassia nigricans</w:t>
      </w:r>
      <w:r w:rsidRPr="0032391C">
        <w:rPr>
          <w:rFonts w:asciiTheme="majorBidi" w:hAnsiTheme="majorBidi" w:cstheme="majorBidi"/>
          <w:szCs w:val="24"/>
        </w:rPr>
        <w:t xml:space="preserve">, and several </w:t>
      </w:r>
      <w:r w:rsidRPr="0032391C">
        <w:rPr>
          <w:rFonts w:asciiTheme="majorBidi" w:hAnsiTheme="majorBidi" w:cstheme="majorBidi"/>
          <w:i/>
          <w:iCs/>
          <w:szCs w:val="24"/>
        </w:rPr>
        <w:t>Ficus</w:t>
      </w:r>
      <w:r w:rsidRPr="0032391C">
        <w:rPr>
          <w:rFonts w:asciiTheme="majorBidi" w:hAnsiTheme="majorBidi" w:cstheme="majorBidi"/>
          <w:szCs w:val="24"/>
        </w:rPr>
        <w:t xml:space="preserve"> species have been shown to exhibit significant inhibitory effects on digestive enzymes due to their abundance of flavonoids and phenolic compounds (Rahman </w:t>
      </w:r>
      <w:r w:rsidR="00B6491B" w:rsidRPr="00B6491B">
        <w:rPr>
          <w:rFonts w:asciiTheme="majorBidi" w:hAnsiTheme="majorBidi" w:cstheme="majorBidi"/>
          <w:i/>
          <w:szCs w:val="24"/>
        </w:rPr>
        <w:t>et al.</w:t>
      </w:r>
      <w:r w:rsidRPr="0032391C">
        <w:rPr>
          <w:rFonts w:asciiTheme="majorBidi" w:hAnsiTheme="majorBidi" w:cstheme="majorBidi"/>
          <w:szCs w:val="24"/>
        </w:rPr>
        <w:t>, 2022). Because these plants combine antioxidant effects with enzyme inhibition, they may provide broader protection against oxidative stress induced pancreatic damage, a feature that synthetic inhibitors do not address (Akinola and Fadare, 2021).</w:t>
      </w:r>
    </w:p>
    <w:p w14:paraId="37B51539" w14:textId="1348246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interest in natural inhibitors extends beyond their clinical potential. They offer opportunities for discovering novel lead compounds that could be modified into safer, more </w:t>
      </w:r>
      <w:r w:rsidRPr="0032391C">
        <w:rPr>
          <w:rFonts w:asciiTheme="majorBidi" w:hAnsiTheme="majorBidi" w:cstheme="majorBidi"/>
          <w:szCs w:val="24"/>
        </w:rPr>
        <w:lastRenderedPageBreak/>
        <w:t xml:space="preserve">effective drugs (Ogunleye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2023). Investigations into </w:t>
      </w:r>
      <w:r w:rsidR="008845CD" w:rsidRPr="0032391C">
        <w:rPr>
          <w:rFonts w:asciiTheme="majorBidi" w:hAnsiTheme="majorBidi" w:cstheme="majorBidi"/>
          <w:szCs w:val="24"/>
        </w:rPr>
        <w:t>plant-based</w:t>
      </w:r>
      <w:r w:rsidRPr="0032391C">
        <w:rPr>
          <w:rFonts w:asciiTheme="majorBidi" w:hAnsiTheme="majorBidi" w:cstheme="majorBidi"/>
          <w:szCs w:val="24"/>
        </w:rPr>
        <w:t xml:space="preserve"> inhibitors also align with global efforts to promote complementary and integrative medicine, particularly in low resource settings where access to synthetic drugs may be limited (Boadi and Asase, 2020).</w:t>
      </w:r>
    </w:p>
    <w:p w14:paraId="38FBED0C" w14:textId="77777777"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t>Relevance to the Current Study</w:t>
      </w:r>
    </w:p>
    <w:p w14:paraId="33C1A7D2" w14:textId="4CE9986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Because plant extracts often contain multiple classes of bioactive compounds with overlapping mechanisms, comparative evaluation is essential for determining relative potency and therapeutic value. This study evaluates seven plant samples using a standardized in vitro assay to quantify their inhibitory activity on yeast derived alpha glucosidase. By comparing their potency, the study seeks to identify promising candidates for further pharmacological development and to expand scientific understanding of African medicinal plants as natural antidiabetic agents.</w:t>
      </w:r>
    </w:p>
    <w:p w14:paraId="43584508" w14:textId="5DC777E0" w:rsidR="0032391C" w:rsidRPr="0032391C" w:rsidRDefault="0032391C" w:rsidP="0032391C">
      <w:pPr>
        <w:jc w:val="both"/>
        <w:rPr>
          <w:rFonts w:asciiTheme="majorBidi" w:hAnsiTheme="majorBidi" w:cstheme="majorBidi"/>
          <w:szCs w:val="24"/>
        </w:rPr>
      </w:pPr>
    </w:p>
    <w:p w14:paraId="55D1028A" w14:textId="07426874"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br w:type="page"/>
      </w:r>
    </w:p>
    <w:p w14:paraId="5B68D554" w14:textId="77777777" w:rsidR="00695C1A" w:rsidRDefault="00695C1A" w:rsidP="00695C1A">
      <w:pPr>
        <w:pStyle w:val="Heading1"/>
        <w:jc w:val="center"/>
      </w:pPr>
      <w:bookmarkStart w:id="19" w:name="_Toc216811072"/>
      <w:r>
        <w:lastRenderedPageBreak/>
        <w:t>CHAPTER THREE</w:t>
      </w:r>
      <w:bookmarkEnd w:id="19"/>
    </w:p>
    <w:p w14:paraId="13F14D69" w14:textId="77777777" w:rsidR="00695C1A" w:rsidRDefault="00695C1A" w:rsidP="00695C1A">
      <w:pPr>
        <w:pStyle w:val="Heading1"/>
      </w:pPr>
      <w:bookmarkStart w:id="20" w:name="_Toc216811073"/>
      <w:r>
        <w:t>3.0 Materials and Methods</w:t>
      </w:r>
      <w:bookmarkEnd w:id="20"/>
    </w:p>
    <w:p w14:paraId="715ADA8C" w14:textId="0A778D31" w:rsidR="0032391C" w:rsidRPr="0032391C" w:rsidRDefault="0032391C" w:rsidP="00E64DD5">
      <w:pPr>
        <w:pStyle w:val="Heading1"/>
        <w:rPr>
          <w:bCs/>
          <w:szCs w:val="24"/>
        </w:rPr>
      </w:pPr>
      <w:bookmarkStart w:id="21" w:name="_Toc216811074"/>
      <w:r w:rsidRPr="0032391C">
        <w:t xml:space="preserve">3.1 </w:t>
      </w:r>
      <w:r w:rsidRPr="0032391C">
        <w:rPr>
          <w:bCs/>
          <w:szCs w:val="24"/>
        </w:rPr>
        <w:t>Materials, Reagents, and Instruments</w:t>
      </w:r>
      <w:bookmarkEnd w:id="21"/>
    </w:p>
    <w:p w14:paraId="457F111D" w14:textId="1BC10965" w:rsidR="0032391C" w:rsidRPr="0032391C" w:rsidRDefault="0032391C" w:rsidP="00E64DD5">
      <w:pPr>
        <w:jc w:val="both"/>
        <w:rPr>
          <w:rFonts w:asciiTheme="majorBidi" w:hAnsiTheme="majorBidi" w:cstheme="majorBidi"/>
          <w:szCs w:val="24"/>
        </w:rPr>
      </w:pPr>
      <w:r w:rsidRPr="0032391C">
        <w:rPr>
          <w:rFonts w:asciiTheme="majorBidi" w:hAnsiTheme="majorBidi" w:cstheme="majorBidi"/>
          <w:szCs w:val="24"/>
        </w:rPr>
        <w:t xml:space="preserve">The materials and reagents used in this study were selected to ensure reliable extraction of phytochemicals and accurate assessment of alpha glucosidase inhibitory activity. All chemicals were of analytical grade, while the instruments were calibrated prior to use to ensure measurement precision. The reagents included absolute methanol for plant extraction, 50 mM phosphate buffer (pH 7.0) for enzyme preparation, maltose substrate, and commercially sourced yeast-derived alpha glucosidase. Distilled water was used throughout for solution preparation, washing, and dilutions. The instruments comprised a UV–Visible spectrophotometer, water bath, analytical balance, and rotary evaporator, all essential for extraction, incubation, and absorbance determination. </w:t>
      </w:r>
    </w:p>
    <w:p w14:paraId="0D5134F7" w14:textId="77777777"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t>Table 3.1: Materials and Reagents Used in the Study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91"/>
        <w:gridCol w:w="2925"/>
        <w:gridCol w:w="2811"/>
      </w:tblGrid>
      <w:tr w:rsidR="0032391C" w:rsidRPr="0032391C" w14:paraId="2EBBFB03" w14:textId="77777777" w:rsidTr="00E64DD5">
        <w:trPr>
          <w:tblHeader/>
          <w:tblCellSpacing w:w="15" w:type="dxa"/>
        </w:trPr>
        <w:tc>
          <w:tcPr>
            <w:tcW w:w="0" w:type="auto"/>
            <w:tcBorders>
              <w:top w:val="single" w:sz="4" w:space="0" w:color="auto"/>
              <w:bottom w:val="single" w:sz="4" w:space="0" w:color="auto"/>
            </w:tcBorders>
            <w:vAlign w:val="center"/>
            <w:hideMark/>
          </w:tcPr>
          <w:p w14:paraId="7F69950F" w14:textId="77777777" w:rsidR="0032391C" w:rsidRPr="0032391C" w:rsidRDefault="0032391C" w:rsidP="00E64DD5">
            <w:pPr>
              <w:jc w:val="center"/>
              <w:rPr>
                <w:rFonts w:asciiTheme="majorBidi" w:hAnsiTheme="majorBidi" w:cstheme="majorBidi"/>
                <w:b/>
                <w:bCs/>
                <w:szCs w:val="24"/>
              </w:rPr>
            </w:pPr>
            <w:r w:rsidRPr="0032391C">
              <w:rPr>
                <w:rFonts w:asciiTheme="majorBidi" w:hAnsiTheme="majorBidi" w:cstheme="majorBidi"/>
                <w:b/>
                <w:bCs/>
                <w:szCs w:val="24"/>
              </w:rPr>
              <w:t>Material/Reagent</w:t>
            </w:r>
          </w:p>
        </w:tc>
        <w:tc>
          <w:tcPr>
            <w:tcW w:w="0" w:type="auto"/>
            <w:tcBorders>
              <w:top w:val="single" w:sz="4" w:space="0" w:color="auto"/>
              <w:bottom w:val="single" w:sz="4" w:space="0" w:color="auto"/>
            </w:tcBorders>
            <w:vAlign w:val="center"/>
            <w:hideMark/>
          </w:tcPr>
          <w:p w14:paraId="10885C89" w14:textId="77777777" w:rsidR="0032391C" w:rsidRPr="0032391C" w:rsidRDefault="0032391C" w:rsidP="00E64DD5">
            <w:pPr>
              <w:jc w:val="center"/>
              <w:rPr>
                <w:rFonts w:asciiTheme="majorBidi" w:hAnsiTheme="majorBidi" w:cstheme="majorBidi"/>
                <w:b/>
                <w:bCs/>
                <w:szCs w:val="24"/>
              </w:rPr>
            </w:pPr>
            <w:r w:rsidRPr="0032391C">
              <w:rPr>
                <w:rFonts w:asciiTheme="majorBidi" w:hAnsiTheme="majorBidi" w:cstheme="majorBidi"/>
                <w:b/>
                <w:bCs/>
                <w:szCs w:val="24"/>
              </w:rPr>
              <w:t>Description</w:t>
            </w:r>
          </w:p>
        </w:tc>
        <w:tc>
          <w:tcPr>
            <w:tcW w:w="0" w:type="auto"/>
            <w:tcBorders>
              <w:top w:val="single" w:sz="4" w:space="0" w:color="auto"/>
              <w:bottom w:val="single" w:sz="4" w:space="0" w:color="auto"/>
            </w:tcBorders>
            <w:vAlign w:val="center"/>
            <w:hideMark/>
          </w:tcPr>
          <w:p w14:paraId="5A529F74" w14:textId="77777777" w:rsidR="0032391C" w:rsidRPr="0032391C" w:rsidRDefault="0032391C" w:rsidP="00E64DD5">
            <w:pPr>
              <w:jc w:val="center"/>
              <w:rPr>
                <w:rFonts w:asciiTheme="majorBidi" w:hAnsiTheme="majorBidi" w:cstheme="majorBidi"/>
                <w:b/>
                <w:bCs/>
                <w:szCs w:val="24"/>
              </w:rPr>
            </w:pPr>
            <w:r w:rsidRPr="0032391C">
              <w:rPr>
                <w:rFonts w:asciiTheme="majorBidi" w:hAnsiTheme="majorBidi" w:cstheme="majorBidi"/>
                <w:b/>
                <w:bCs/>
                <w:szCs w:val="24"/>
              </w:rPr>
              <w:t>Manufacturer</w:t>
            </w:r>
          </w:p>
        </w:tc>
      </w:tr>
      <w:tr w:rsidR="0032391C" w:rsidRPr="0032391C" w14:paraId="70F9E00E" w14:textId="77777777" w:rsidTr="0032391C">
        <w:trPr>
          <w:tblCellSpacing w:w="15" w:type="dxa"/>
        </w:trPr>
        <w:tc>
          <w:tcPr>
            <w:tcW w:w="0" w:type="auto"/>
            <w:vAlign w:val="center"/>
            <w:hideMark/>
          </w:tcPr>
          <w:p w14:paraId="7C995BB5"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Absolute Methanol</w:t>
            </w:r>
          </w:p>
        </w:tc>
        <w:tc>
          <w:tcPr>
            <w:tcW w:w="0" w:type="auto"/>
            <w:vAlign w:val="center"/>
            <w:hideMark/>
          </w:tcPr>
          <w:p w14:paraId="226022BF"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Extraction solvent (analytical grade)</w:t>
            </w:r>
          </w:p>
        </w:tc>
        <w:tc>
          <w:tcPr>
            <w:tcW w:w="0" w:type="auto"/>
            <w:vAlign w:val="center"/>
            <w:hideMark/>
          </w:tcPr>
          <w:p w14:paraId="5D21B3C1"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Sigma-Aldrich, Germany</w:t>
            </w:r>
          </w:p>
        </w:tc>
      </w:tr>
      <w:tr w:rsidR="0032391C" w:rsidRPr="0032391C" w14:paraId="5EB7BEE2" w14:textId="77777777" w:rsidTr="0032391C">
        <w:trPr>
          <w:tblCellSpacing w:w="15" w:type="dxa"/>
        </w:trPr>
        <w:tc>
          <w:tcPr>
            <w:tcW w:w="0" w:type="auto"/>
            <w:vAlign w:val="center"/>
            <w:hideMark/>
          </w:tcPr>
          <w:p w14:paraId="3D157D56"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Yeast Alpha Glucosidase</w:t>
            </w:r>
          </w:p>
        </w:tc>
        <w:tc>
          <w:tcPr>
            <w:tcW w:w="0" w:type="auto"/>
            <w:vAlign w:val="center"/>
            <w:hideMark/>
          </w:tcPr>
          <w:p w14:paraId="7C7616A5"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Source enzyme for inhibition assay</w:t>
            </w:r>
          </w:p>
        </w:tc>
        <w:tc>
          <w:tcPr>
            <w:tcW w:w="0" w:type="auto"/>
            <w:vAlign w:val="center"/>
            <w:hideMark/>
          </w:tcPr>
          <w:p w14:paraId="594F9FF1"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Sigma-Aldrich, Germany</w:t>
            </w:r>
          </w:p>
        </w:tc>
      </w:tr>
      <w:tr w:rsidR="0032391C" w:rsidRPr="0032391C" w14:paraId="4C84307A" w14:textId="77777777" w:rsidTr="0032391C">
        <w:trPr>
          <w:tblCellSpacing w:w="15" w:type="dxa"/>
        </w:trPr>
        <w:tc>
          <w:tcPr>
            <w:tcW w:w="0" w:type="auto"/>
            <w:vAlign w:val="center"/>
            <w:hideMark/>
          </w:tcPr>
          <w:p w14:paraId="4A22D83D"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Maltose</w:t>
            </w:r>
          </w:p>
        </w:tc>
        <w:tc>
          <w:tcPr>
            <w:tcW w:w="0" w:type="auto"/>
            <w:vAlign w:val="center"/>
            <w:hideMark/>
          </w:tcPr>
          <w:p w14:paraId="35CE8AD5"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Substrate for enzyme assay</w:t>
            </w:r>
          </w:p>
        </w:tc>
        <w:tc>
          <w:tcPr>
            <w:tcW w:w="0" w:type="auto"/>
            <w:vAlign w:val="center"/>
            <w:hideMark/>
          </w:tcPr>
          <w:p w14:paraId="4FB0CBB8"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BDH Chemicals, UK</w:t>
            </w:r>
          </w:p>
        </w:tc>
      </w:tr>
      <w:tr w:rsidR="0032391C" w:rsidRPr="0032391C" w14:paraId="23653930" w14:textId="77777777" w:rsidTr="0032391C">
        <w:trPr>
          <w:tblCellSpacing w:w="15" w:type="dxa"/>
        </w:trPr>
        <w:tc>
          <w:tcPr>
            <w:tcW w:w="0" w:type="auto"/>
            <w:vAlign w:val="center"/>
            <w:hideMark/>
          </w:tcPr>
          <w:p w14:paraId="0644A1F9"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50 mM Phosphate Buffer (pH 7)</w:t>
            </w:r>
          </w:p>
        </w:tc>
        <w:tc>
          <w:tcPr>
            <w:tcW w:w="0" w:type="auto"/>
            <w:vAlign w:val="center"/>
            <w:hideMark/>
          </w:tcPr>
          <w:p w14:paraId="12068548"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Enzyme and reaction buffer</w:t>
            </w:r>
          </w:p>
        </w:tc>
        <w:tc>
          <w:tcPr>
            <w:tcW w:w="0" w:type="auto"/>
            <w:vAlign w:val="center"/>
            <w:hideMark/>
          </w:tcPr>
          <w:p w14:paraId="1F33DAFF"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Prepared in-lab using BDH reagents</w:t>
            </w:r>
          </w:p>
        </w:tc>
      </w:tr>
      <w:tr w:rsidR="0032391C" w:rsidRPr="0032391C" w14:paraId="0A19387E" w14:textId="77777777" w:rsidTr="0032391C">
        <w:trPr>
          <w:tblCellSpacing w:w="15" w:type="dxa"/>
        </w:trPr>
        <w:tc>
          <w:tcPr>
            <w:tcW w:w="0" w:type="auto"/>
            <w:vAlign w:val="center"/>
            <w:hideMark/>
          </w:tcPr>
          <w:p w14:paraId="7D4FA406"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Distilled Water</w:t>
            </w:r>
          </w:p>
        </w:tc>
        <w:tc>
          <w:tcPr>
            <w:tcW w:w="0" w:type="auto"/>
            <w:vAlign w:val="center"/>
            <w:hideMark/>
          </w:tcPr>
          <w:p w14:paraId="73548638"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Solvent for dilutions</w:t>
            </w:r>
          </w:p>
        </w:tc>
        <w:tc>
          <w:tcPr>
            <w:tcW w:w="0" w:type="auto"/>
            <w:vAlign w:val="center"/>
            <w:hideMark/>
          </w:tcPr>
          <w:p w14:paraId="0CADFEEB"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In-house laboratory supply</w:t>
            </w:r>
          </w:p>
        </w:tc>
      </w:tr>
      <w:tr w:rsidR="0032391C" w:rsidRPr="0032391C" w14:paraId="05424EA6" w14:textId="77777777" w:rsidTr="0032391C">
        <w:trPr>
          <w:tblCellSpacing w:w="15" w:type="dxa"/>
        </w:trPr>
        <w:tc>
          <w:tcPr>
            <w:tcW w:w="0" w:type="auto"/>
            <w:vAlign w:val="center"/>
            <w:hideMark/>
          </w:tcPr>
          <w:p w14:paraId="0498F951"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Whatman Filter Paper No. 1</w:t>
            </w:r>
          </w:p>
        </w:tc>
        <w:tc>
          <w:tcPr>
            <w:tcW w:w="0" w:type="auto"/>
            <w:vAlign w:val="center"/>
            <w:hideMark/>
          </w:tcPr>
          <w:p w14:paraId="7BA14D19"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Filtration of extracts</w:t>
            </w:r>
          </w:p>
        </w:tc>
        <w:tc>
          <w:tcPr>
            <w:tcW w:w="0" w:type="auto"/>
            <w:vAlign w:val="center"/>
            <w:hideMark/>
          </w:tcPr>
          <w:p w14:paraId="7617AC85"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Whatman, UK</w:t>
            </w:r>
          </w:p>
        </w:tc>
      </w:tr>
      <w:tr w:rsidR="0032391C" w:rsidRPr="0032391C" w14:paraId="111C2338" w14:textId="77777777" w:rsidTr="0032391C">
        <w:trPr>
          <w:tblCellSpacing w:w="15" w:type="dxa"/>
        </w:trPr>
        <w:tc>
          <w:tcPr>
            <w:tcW w:w="0" w:type="auto"/>
            <w:vAlign w:val="center"/>
            <w:hideMark/>
          </w:tcPr>
          <w:p w14:paraId="5BCFF22C"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lastRenderedPageBreak/>
              <w:t>Plant Samples (A–G)</w:t>
            </w:r>
          </w:p>
        </w:tc>
        <w:tc>
          <w:tcPr>
            <w:tcW w:w="0" w:type="auto"/>
            <w:vAlign w:val="center"/>
            <w:hideMark/>
          </w:tcPr>
          <w:p w14:paraId="538A60D8"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Air-dried and powdered plant materials</w:t>
            </w:r>
          </w:p>
        </w:tc>
        <w:tc>
          <w:tcPr>
            <w:tcW w:w="0" w:type="auto"/>
            <w:vAlign w:val="center"/>
            <w:hideMark/>
          </w:tcPr>
          <w:p w14:paraId="7EB216A8"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Collected locally, UDUS Forest</w:t>
            </w:r>
          </w:p>
        </w:tc>
      </w:tr>
      <w:tr w:rsidR="0032391C" w:rsidRPr="0032391C" w14:paraId="4E0479F1" w14:textId="77777777" w:rsidTr="00E64DD5">
        <w:trPr>
          <w:tblCellSpacing w:w="15" w:type="dxa"/>
        </w:trPr>
        <w:tc>
          <w:tcPr>
            <w:tcW w:w="0" w:type="auto"/>
            <w:tcBorders>
              <w:bottom w:val="single" w:sz="4" w:space="0" w:color="auto"/>
            </w:tcBorders>
            <w:vAlign w:val="center"/>
            <w:hideMark/>
          </w:tcPr>
          <w:p w14:paraId="7F7FDC4E"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Glassware (Test tubes, Beakers, Cuvettes)</w:t>
            </w:r>
          </w:p>
        </w:tc>
        <w:tc>
          <w:tcPr>
            <w:tcW w:w="0" w:type="auto"/>
            <w:tcBorders>
              <w:bottom w:val="single" w:sz="4" w:space="0" w:color="auto"/>
            </w:tcBorders>
            <w:vAlign w:val="center"/>
            <w:hideMark/>
          </w:tcPr>
          <w:p w14:paraId="673388AE"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Assay and measurement</w:t>
            </w:r>
          </w:p>
        </w:tc>
        <w:tc>
          <w:tcPr>
            <w:tcW w:w="0" w:type="auto"/>
            <w:tcBorders>
              <w:bottom w:val="single" w:sz="4" w:space="0" w:color="auto"/>
            </w:tcBorders>
            <w:vAlign w:val="center"/>
            <w:hideMark/>
          </w:tcPr>
          <w:p w14:paraId="3F0F6E3A"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Pyrex, USA</w:t>
            </w:r>
          </w:p>
        </w:tc>
      </w:tr>
    </w:tbl>
    <w:p w14:paraId="1CC6E859" w14:textId="42345DDB" w:rsidR="0032391C" w:rsidRPr="0032391C" w:rsidRDefault="0032391C" w:rsidP="0032391C">
      <w:pPr>
        <w:jc w:val="both"/>
        <w:rPr>
          <w:rFonts w:asciiTheme="majorBidi" w:hAnsiTheme="majorBidi" w:cstheme="majorBidi"/>
          <w:szCs w:val="24"/>
        </w:rPr>
      </w:pPr>
    </w:p>
    <w:p w14:paraId="15CC50FD" w14:textId="77777777"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t>Table 3.2: Instruments and Equipment Used in the Study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31"/>
        <w:gridCol w:w="3026"/>
        <w:gridCol w:w="3070"/>
      </w:tblGrid>
      <w:tr w:rsidR="0032391C" w:rsidRPr="0032391C" w14:paraId="618420A2" w14:textId="77777777" w:rsidTr="00E64DD5">
        <w:trPr>
          <w:tblHeader/>
          <w:tblCellSpacing w:w="15" w:type="dxa"/>
        </w:trPr>
        <w:tc>
          <w:tcPr>
            <w:tcW w:w="0" w:type="auto"/>
            <w:tcBorders>
              <w:top w:val="single" w:sz="4" w:space="0" w:color="auto"/>
              <w:bottom w:val="single" w:sz="4" w:space="0" w:color="auto"/>
            </w:tcBorders>
            <w:vAlign w:val="center"/>
            <w:hideMark/>
          </w:tcPr>
          <w:p w14:paraId="5A4BA54B" w14:textId="77777777" w:rsidR="0032391C" w:rsidRPr="0032391C" w:rsidRDefault="0032391C" w:rsidP="00E64DD5">
            <w:pPr>
              <w:jc w:val="center"/>
              <w:rPr>
                <w:rFonts w:asciiTheme="majorBidi" w:hAnsiTheme="majorBidi" w:cstheme="majorBidi"/>
                <w:b/>
                <w:bCs/>
                <w:szCs w:val="24"/>
              </w:rPr>
            </w:pPr>
            <w:r w:rsidRPr="0032391C">
              <w:rPr>
                <w:rFonts w:asciiTheme="majorBidi" w:hAnsiTheme="majorBidi" w:cstheme="majorBidi"/>
                <w:b/>
                <w:bCs/>
                <w:szCs w:val="24"/>
              </w:rPr>
              <w:t>Instrument/Equipment</w:t>
            </w:r>
          </w:p>
        </w:tc>
        <w:tc>
          <w:tcPr>
            <w:tcW w:w="0" w:type="auto"/>
            <w:tcBorders>
              <w:top w:val="single" w:sz="4" w:space="0" w:color="auto"/>
              <w:bottom w:val="single" w:sz="4" w:space="0" w:color="auto"/>
            </w:tcBorders>
            <w:vAlign w:val="center"/>
            <w:hideMark/>
          </w:tcPr>
          <w:p w14:paraId="23110E9B" w14:textId="77777777" w:rsidR="0032391C" w:rsidRPr="0032391C" w:rsidRDefault="0032391C" w:rsidP="00E64DD5">
            <w:pPr>
              <w:jc w:val="center"/>
              <w:rPr>
                <w:rFonts w:asciiTheme="majorBidi" w:hAnsiTheme="majorBidi" w:cstheme="majorBidi"/>
                <w:b/>
                <w:bCs/>
                <w:szCs w:val="24"/>
              </w:rPr>
            </w:pPr>
            <w:r w:rsidRPr="0032391C">
              <w:rPr>
                <w:rFonts w:asciiTheme="majorBidi" w:hAnsiTheme="majorBidi" w:cstheme="majorBidi"/>
                <w:b/>
                <w:bCs/>
                <w:szCs w:val="24"/>
              </w:rPr>
              <w:t>Purpose</w:t>
            </w:r>
          </w:p>
        </w:tc>
        <w:tc>
          <w:tcPr>
            <w:tcW w:w="0" w:type="auto"/>
            <w:tcBorders>
              <w:top w:val="single" w:sz="4" w:space="0" w:color="auto"/>
              <w:bottom w:val="single" w:sz="4" w:space="0" w:color="auto"/>
            </w:tcBorders>
            <w:vAlign w:val="center"/>
            <w:hideMark/>
          </w:tcPr>
          <w:p w14:paraId="606A1A69" w14:textId="77777777" w:rsidR="0032391C" w:rsidRPr="0032391C" w:rsidRDefault="0032391C" w:rsidP="00E64DD5">
            <w:pPr>
              <w:jc w:val="center"/>
              <w:rPr>
                <w:rFonts w:asciiTheme="majorBidi" w:hAnsiTheme="majorBidi" w:cstheme="majorBidi"/>
                <w:b/>
                <w:bCs/>
                <w:szCs w:val="24"/>
              </w:rPr>
            </w:pPr>
            <w:r w:rsidRPr="0032391C">
              <w:rPr>
                <w:rFonts w:asciiTheme="majorBidi" w:hAnsiTheme="majorBidi" w:cstheme="majorBidi"/>
                <w:b/>
                <w:bCs/>
                <w:szCs w:val="24"/>
              </w:rPr>
              <w:t>Manufacturer</w:t>
            </w:r>
          </w:p>
        </w:tc>
      </w:tr>
      <w:tr w:rsidR="0032391C" w:rsidRPr="0032391C" w14:paraId="7E89FFE7" w14:textId="77777777" w:rsidTr="0032391C">
        <w:trPr>
          <w:tblCellSpacing w:w="15" w:type="dxa"/>
        </w:trPr>
        <w:tc>
          <w:tcPr>
            <w:tcW w:w="0" w:type="auto"/>
            <w:vAlign w:val="center"/>
            <w:hideMark/>
          </w:tcPr>
          <w:p w14:paraId="24E4D5AC"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UV–Visible Spectrophotometer</w:t>
            </w:r>
          </w:p>
        </w:tc>
        <w:tc>
          <w:tcPr>
            <w:tcW w:w="0" w:type="auto"/>
            <w:vAlign w:val="center"/>
            <w:hideMark/>
          </w:tcPr>
          <w:p w14:paraId="79E5F3C2"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Absorbance measurement at 500 nm</w:t>
            </w:r>
          </w:p>
        </w:tc>
        <w:tc>
          <w:tcPr>
            <w:tcW w:w="0" w:type="auto"/>
            <w:vAlign w:val="center"/>
            <w:hideMark/>
          </w:tcPr>
          <w:p w14:paraId="05C5563C"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Jenway 7305, UK</w:t>
            </w:r>
          </w:p>
        </w:tc>
      </w:tr>
      <w:tr w:rsidR="0032391C" w:rsidRPr="0032391C" w14:paraId="497094C3" w14:textId="77777777" w:rsidTr="0032391C">
        <w:trPr>
          <w:tblCellSpacing w:w="15" w:type="dxa"/>
        </w:trPr>
        <w:tc>
          <w:tcPr>
            <w:tcW w:w="0" w:type="auto"/>
            <w:vAlign w:val="center"/>
            <w:hideMark/>
          </w:tcPr>
          <w:p w14:paraId="0F2B4565"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Rotary Evaporator</w:t>
            </w:r>
          </w:p>
        </w:tc>
        <w:tc>
          <w:tcPr>
            <w:tcW w:w="0" w:type="auto"/>
            <w:vAlign w:val="center"/>
            <w:hideMark/>
          </w:tcPr>
          <w:p w14:paraId="0A11EC91"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Concentration of methanolic extracts</w:t>
            </w:r>
          </w:p>
        </w:tc>
        <w:tc>
          <w:tcPr>
            <w:tcW w:w="0" w:type="auto"/>
            <w:vAlign w:val="center"/>
            <w:hideMark/>
          </w:tcPr>
          <w:p w14:paraId="6CAD24FB"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Büchi Rotavapor R-210, Switzerland</w:t>
            </w:r>
          </w:p>
        </w:tc>
      </w:tr>
      <w:tr w:rsidR="0032391C" w:rsidRPr="0032391C" w14:paraId="31DEE6D8" w14:textId="77777777" w:rsidTr="0032391C">
        <w:trPr>
          <w:tblCellSpacing w:w="15" w:type="dxa"/>
        </w:trPr>
        <w:tc>
          <w:tcPr>
            <w:tcW w:w="0" w:type="auto"/>
            <w:vAlign w:val="center"/>
            <w:hideMark/>
          </w:tcPr>
          <w:p w14:paraId="7F07E61C"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Analytical Balance</w:t>
            </w:r>
          </w:p>
        </w:tc>
        <w:tc>
          <w:tcPr>
            <w:tcW w:w="0" w:type="auto"/>
            <w:vAlign w:val="center"/>
            <w:hideMark/>
          </w:tcPr>
          <w:p w14:paraId="6D13C83D"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Sample and reagent weighing</w:t>
            </w:r>
          </w:p>
        </w:tc>
        <w:tc>
          <w:tcPr>
            <w:tcW w:w="0" w:type="auto"/>
            <w:vAlign w:val="center"/>
            <w:hideMark/>
          </w:tcPr>
          <w:p w14:paraId="2AF5C6F8"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Mettler Toledo, USA</w:t>
            </w:r>
          </w:p>
        </w:tc>
      </w:tr>
      <w:tr w:rsidR="0032391C" w:rsidRPr="0032391C" w14:paraId="53127936" w14:textId="77777777" w:rsidTr="0032391C">
        <w:trPr>
          <w:tblCellSpacing w:w="15" w:type="dxa"/>
        </w:trPr>
        <w:tc>
          <w:tcPr>
            <w:tcW w:w="0" w:type="auto"/>
            <w:vAlign w:val="center"/>
            <w:hideMark/>
          </w:tcPr>
          <w:p w14:paraId="4F4AC2A3"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Mortar and Pestle</w:t>
            </w:r>
          </w:p>
        </w:tc>
        <w:tc>
          <w:tcPr>
            <w:tcW w:w="0" w:type="auto"/>
            <w:vAlign w:val="center"/>
            <w:hideMark/>
          </w:tcPr>
          <w:p w14:paraId="0219BCB6"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Grinding of dried plant samples</w:t>
            </w:r>
          </w:p>
        </w:tc>
        <w:tc>
          <w:tcPr>
            <w:tcW w:w="0" w:type="auto"/>
            <w:vAlign w:val="center"/>
            <w:hideMark/>
          </w:tcPr>
          <w:p w14:paraId="30694F43"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Local laboratory supply</w:t>
            </w:r>
          </w:p>
        </w:tc>
      </w:tr>
      <w:tr w:rsidR="0032391C" w:rsidRPr="0032391C" w14:paraId="5348E7E7" w14:textId="77777777" w:rsidTr="0032391C">
        <w:trPr>
          <w:tblCellSpacing w:w="15" w:type="dxa"/>
        </w:trPr>
        <w:tc>
          <w:tcPr>
            <w:tcW w:w="0" w:type="auto"/>
            <w:vAlign w:val="center"/>
            <w:hideMark/>
          </w:tcPr>
          <w:p w14:paraId="06C0DC1F"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Water Bath</w:t>
            </w:r>
          </w:p>
        </w:tc>
        <w:tc>
          <w:tcPr>
            <w:tcW w:w="0" w:type="auto"/>
            <w:vAlign w:val="center"/>
            <w:hideMark/>
          </w:tcPr>
          <w:p w14:paraId="2FC93A06"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Incubation of enzyme reactions</w:t>
            </w:r>
          </w:p>
        </w:tc>
        <w:tc>
          <w:tcPr>
            <w:tcW w:w="0" w:type="auto"/>
            <w:vAlign w:val="center"/>
            <w:hideMark/>
          </w:tcPr>
          <w:p w14:paraId="55C3CAD3"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Memmert GmbH, Germany</w:t>
            </w:r>
          </w:p>
        </w:tc>
      </w:tr>
      <w:tr w:rsidR="0032391C" w:rsidRPr="0032391C" w14:paraId="6FEDF89D" w14:textId="77777777" w:rsidTr="0032391C">
        <w:trPr>
          <w:tblCellSpacing w:w="15" w:type="dxa"/>
        </w:trPr>
        <w:tc>
          <w:tcPr>
            <w:tcW w:w="0" w:type="auto"/>
            <w:vAlign w:val="center"/>
            <w:hideMark/>
          </w:tcPr>
          <w:p w14:paraId="2EF56E4C"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Refrigerator (4°C)</w:t>
            </w:r>
          </w:p>
        </w:tc>
        <w:tc>
          <w:tcPr>
            <w:tcW w:w="0" w:type="auto"/>
            <w:vAlign w:val="center"/>
            <w:hideMark/>
          </w:tcPr>
          <w:p w14:paraId="18952A3C"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Storage of enzyme and extracts</w:t>
            </w:r>
          </w:p>
        </w:tc>
        <w:tc>
          <w:tcPr>
            <w:tcW w:w="0" w:type="auto"/>
            <w:vAlign w:val="center"/>
            <w:hideMark/>
          </w:tcPr>
          <w:p w14:paraId="2D82045C"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Haier Thermocool, China</w:t>
            </w:r>
          </w:p>
        </w:tc>
      </w:tr>
      <w:tr w:rsidR="0032391C" w:rsidRPr="0032391C" w14:paraId="763F955E" w14:textId="77777777" w:rsidTr="00E64DD5">
        <w:trPr>
          <w:tblCellSpacing w:w="15" w:type="dxa"/>
        </w:trPr>
        <w:tc>
          <w:tcPr>
            <w:tcW w:w="0" w:type="auto"/>
            <w:tcBorders>
              <w:bottom w:val="single" w:sz="4" w:space="0" w:color="auto"/>
            </w:tcBorders>
            <w:vAlign w:val="center"/>
            <w:hideMark/>
          </w:tcPr>
          <w:p w14:paraId="17678BE9"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pH Meter</w:t>
            </w:r>
          </w:p>
        </w:tc>
        <w:tc>
          <w:tcPr>
            <w:tcW w:w="0" w:type="auto"/>
            <w:tcBorders>
              <w:bottom w:val="single" w:sz="4" w:space="0" w:color="auto"/>
            </w:tcBorders>
            <w:vAlign w:val="center"/>
            <w:hideMark/>
          </w:tcPr>
          <w:p w14:paraId="7A6F1A45"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Adjustment of buffer pH</w:t>
            </w:r>
          </w:p>
        </w:tc>
        <w:tc>
          <w:tcPr>
            <w:tcW w:w="0" w:type="auto"/>
            <w:tcBorders>
              <w:bottom w:val="single" w:sz="4" w:space="0" w:color="auto"/>
            </w:tcBorders>
            <w:vAlign w:val="center"/>
            <w:hideMark/>
          </w:tcPr>
          <w:p w14:paraId="134FC4DA"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Hanna Instruments, Romania</w:t>
            </w:r>
          </w:p>
        </w:tc>
      </w:tr>
    </w:tbl>
    <w:p w14:paraId="7CA522FB" w14:textId="241B5075" w:rsidR="0032391C" w:rsidRPr="0032391C" w:rsidRDefault="0032391C" w:rsidP="0032391C">
      <w:pPr>
        <w:jc w:val="both"/>
        <w:rPr>
          <w:rFonts w:asciiTheme="majorBidi" w:hAnsiTheme="majorBidi" w:cstheme="majorBidi"/>
          <w:szCs w:val="24"/>
        </w:rPr>
      </w:pPr>
    </w:p>
    <w:p w14:paraId="069AF8F7" w14:textId="77777777" w:rsidR="00A81DF3" w:rsidRDefault="00A81DF3">
      <w:pPr>
        <w:rPr>
          <w:rFonts w:asciiTheme="majorBidi" w:eastAsiaTheme="majorEastAsia" w:hAnsiTheme="majorBidi" w:cstheme="majorBidi"/>
          <w:b/>
          <w:szCs w:val="32"/>
        </w:rPr>
      </w:pPr>
      <w:r>
        <w:br w:type="page"/>
      </w:r>
    </w:p>
    <w:p w14:paraId="5974D5FD" w14:textId="1691DFC7" w:rsidR="0032391C" w:rsidRPr="0032391C" w:rsidRDefault="0032391C" w:rsidP="00A81DF3">
      <w:pPr>
        <w:pStyle w:val="Heading1"/>
        <w:rPr>
          <w:bCs/>
          <w:szCs w:val="24"/>
        </w:rPr>
      </w:pPr>
      <w:bookmarkStart w:id="22" w:name="_Toc216811075"/>
      <w:r w:rsidRPr="0032391C">
        <w:lastRenderedPageBreak/>
        <w:t>3.</w:t>
      </w:r>
      <w:r w:rsidR="00A81DF3">
        <w:t>2</w:t>
      </w:r>
      <w:r w:rsidRPr="0032391C">
        <w:t xml:space="preserve"> </w:t>
      </w:r>
      <w:r w:rsidRPr="0032391C">
        <w:rPr>
          <w:bCs/>
          <w:szCs w:val="24"/>
        </w:rPr>
        <w:t>Sample Collection and Preparation</w:t>
      </w:r>
      <w:bookmarkEnd w:id="22"/>
    </w:p>
    <w:p w14:paraId="72423947" w14:textId="374F6040" w:rsidR="0032391C" w:rsidRPr="0032391C" w:rsidRDefault="0032391C" w:rsidP="00650232">
      <w:pPr>
        <w:jc w:val="both"/>
        <w:rPr>
          <w:rFonts w:asciiTheme="majorBidi" w:hAnsiTheme="majorBidi" w:cstheme="majorBidi"/>
          <w:szCs w:val="24"/>
        </w:rPr>
      </w:pPr>
      <w:r w:rsidRPr="0032391C">
        <w:rPr>
          <w:rFonts w:asciiTheme="majorBidi" w:hAnsiTheme="majorBidi" w:cstheme="majorBidi"/>
          <w:szCs w:val="24"/>
        </w:rPr>
        <w:t xml:space="preserve">The plant materials used in this study were collected from the local forest area within the premises of Usmanu Danfodiyo University, Sokoto. These plants are common species within the region and are well recognized by the local community, which made formal botanical authentication unnecessary due to the clarity of their identity and their frequent use in traditional practices. The collected samples included </w:t>
      </w:r>
      <w:r w:rsidR="00130EC1" w:rsidRPr="00130EC1">
        <w:rPr>
          <w:rFonts w:asciiTheme="majorBidi" w:hAnsiTheme="majorBidi" w:cstheme="majorBidi"/>
          <w:i/>
          <w:szCs w:val="24"/>
        </w:rPr>
        <w:t>Diospyros mespiliformis</w:t>
      </w:r>
      <w:r w:rsidRPr="0032391C">
        <w:rPr>
          <w:rFonts w:asciiTheme="majorBidi" w:hAnsiTheme="majorBidi" w:cstheme="majorBidi"/>
          <w:szCs w:val="24"/>
        </w:rPr>
        <w:t xml:space="preserve"> (Sample A), </w:t>
      </w:r>
      <w:r w:rsidR="0041235F" w:rsidRPr="0041235F">
        <w:rPr>
          <w:rFonts w:asciiTheme="majorBidi" w:hAnsiTheme="majorBidi" w:cstheme="majorBidi"/>
          <w:szCs w:val="24"/>
        </w:rPr>
        <w:t>Stem</w:t>
      </w:r>
      <w:r w:rsidRPr="0032391C">
        <w:rPr>
          <w:rFonts w:asciiTheme="majorBidi" w:hAnsiTheme="majorBidi" w:cstheme="majorBidi"/>
          <w:szCs w:val="24"/>
        </w:rPr>
        <w:t xml:space="preserve"> bark of </w:t>
      </w:r>
      <w:r w:rsidR="00130EC1" w:rsidRPr="00130EC1">
        <w:rPr>
          <w:rFonts w:asciiTheme="majorBidi" w:hAnsiTheme="majorBidi" w:cstheme="majorBidi"/>
          <w:i/>
          <w:szCs w:val="24"/>
        </w:rPr>
        <w:t>Diospyros mespiliformis</w:t>
      </w:r>
      <w:r w:rsidRPr="0032391C">
        <w:rPr>
          <w:rFonts w:asciiTheme="majorBidi" w:hAnsiTheme="majorBidi" w:cstheme="majorBidi"/>
          <w:szCs w:val="24"/>
        </w:rPr>
        <w:t xml:space="preserve"> (Sample B), </w:t>
      </w:r>
      <w:r w:rsidR="0041235F" w:rsidRPr="0041235F">
        <w:rPr>
          <w:rFonts w:asciiTheme="majorBidi" w:hAnsiTheme="majorBidi" w:cstheme="majorBidi"/>
          <w:i/>
          <w:szCs w:val="24"/>
        </w:rPr>
        <w:t>Cassia nigricans</w:t>
      </w:r>
      <w:r w:rsidRPr="0032391C">
        <w:rPr>
          <w:rFonts w:asciiTheme="majorBidi" w:hAnsiTheme="majorBidi" w:cstheme="majorBidi"/>
          <w:szCs w:val="24"/>
        </w:rPr>
        <w:t xml:space="preserve"> (Sample C), </w:t>
      </w:r>
      <w:r w:rsidR="0041235F" w:rsidRPr="0041235F">
        <w:rPr>
          <w:rFonts w:asciiTheme="majorBidi" w:hAnsiTheme="majorBidi" w:cstheme="majorBidi"/>
          <w:i/>
          <w:szCs w:val="24"/>
        </w:rPr>
        <w:t>Khaya senegalensis</w:t>
      </w:r>
      <w:r w:rsidRPr="0032391C">
        <w:rPr>
          <w:rFonts w:asciiTheme="majorBidi" w:hAnsiTheme="majorBidi" w:cstheme="majorBidi"/>
          <w:szCs w:val="24"/>
        </w:rPr>
        <w:t xml:space="preserve"> (Sample D), </w:t>
      </w:r>
      <w:r w:rsidR="0041235F" w:rsidRPr="0041235F">
        <w:rPr>
          <w:rFonts w:asciiTheme="majorBidi" w:hAnsiTheme="majorBidi" w:cstheme="majorBidi"/>
          <w:i/>
          <w:szCs w:val="24"/>
        </w:rPr>
        <w:t>Ficus carica</w:t>
      </w:r>
      <w:r w:rsidRPr="0032391C">
        <w:rPr>
          <w:rFonts w:asciiTheme="majorBidi" w:hAnsiTheme="majorBidi" w:cstheme="majorBidi"/>
          <w:szCs w:val="24"/>
        </w:rPr>
        <w:t xml:space="preserve"> (Sample E), </w:t>
      </w:r>
      <w:r w:rsidR="00650232" w:rsidRPr="0041235F">
        <w:rPr>
          <w:rFonts w:asciiTheme="majorBidi" w:hAnsiTheme="majorBidi" w:cstheme="majorBidi"/>
          <w:i/>
          <w:iCs/>
          <w:szCs w:val="24"/>
        </w:rPr>
        <w:t>Vernonia amygdalina</w:t>
      </w:r>
      <w:r w:rsidR="00650232" w:rsidRPr="0032391C">
        <w:rPr>
          <w:rFonts w:asciiTheme="majorBidi" w:hAnsiTheme="majorBidi" w:cstheme="majorBidi"/>
          <w:szCs w:val="24"/>
        </w:rPr>
        <w:t xml:space="preserve"> </w:t>
      </w:r>
      <w:r w:rsidRPr="0032391C">
        <w:rPr>
          <w:rFonts w:asciiTheme="majorBidi" w:hAnsiTheme="majorBidi" w:cstheme="majorBidi"/>
          <w:szCs w:val="24"/>
        </w:rPr>
        <w:t xml:space="preserve">(Sample F), and </w:t>
      </w:r>
      <w:r w:rsidR="0041235F" w:rsidRPr="0041235F">
        <w:rPr>
          <w:rFonts w:asciiTheme="majorBidi" w:hAnsiTheme="majorBidi" w:cstheme="majorBidi"/>
          <w:i/>
          <w:szCs w:val="24"/>
        </w:rPr>
        <w:t>Ficus sycomorus</w:t>
      </w:r>
      <w:r w:rsidRPr="0032391C">
        <w:rPr>
          <w:rFonts w:asciiTheme="majorBidi" w:hAnsiTheme="majorBidi" w:cstheme="majorBidi"/>
          <w:szCs w:val="24"/>
        </w:rPr>
        <w:t xml:space="preserve"> (Sample G). Each fresh sample was collected in clean, labeled polyethylene bags to prevent contamination and was transported immediately to the Biochemistry Laboratory of the Department of Biochemistry and Molecular Biology, Usmanu Danfodiyo University, Sokoto, where the study was conducted.</w:t>
      </w:r>
    </w:p>
    <w:p w14:paraId="719C47FC" w14:textId="4B1FBCD2"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In the laboratory, the samples were first sorted to remove debris, soil particles, or damaged parts. They were then spread on clean trays and air dried at room temperature to preserve heat sensitive phytochemicals and maintain extract integrity, consistent with standard phytochemical preparation procedures reported in recent enzymological research (Ahmed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2021). The </w:t>
      </w:r>
      <w:r w:rsidR="007777FB" w:rsidRPr="0032391C">
        <w:rPr>
          <w:rFonts w:asciiTheme="majorBidi" w:hAnsiTheme="majorBidi" w:cstheme="majorBidi"/>
          <w:szCs w:val="24"/>
        </w:rPr>
        <w:t>air-drying</w:t>
      </w:r>
      <w:r w:rsidRPr="0032391C">
        <w:rPr>
          <w:rFonts w:asciiTheme="majorBidi" w:hAnsiTheme="majorBidi" w:cstheme="majorBidi"/>
          <w:szCs w:val="24"/>
        </w:rPr>
        <w:t xml:space="preserve"> process continued until each sample achieved a constant weight. Dried samples were then ground using a clean mortar and pestle to obtain uniform coarse powder. The powdered materials were passed through a fine mesh sieve to ensure homogeneity and to facilitate efficient solvent penetration during extraction. The powders were stored in airtight containers and kept in a cool, dry environment until required for methanolic extraction.</w:t>
      </w:r>
    </w:p>
    <w:p w14:paraId="63B44907" w14:textId="75A3DACC" w:rsidR="0032391C" w:rsidRPr="0032391C" w:rsidRDefault="0032391C" w:rsidP="00E96B7F">
      <w:pPr>
        <w:pStyle w:val="Heading1"/>
      </w:pPr>
      <w:bookmarkStart w:id="23" w:name="_Toc216811076"/>
      <w:r w:rsidRPr="0032391C">
        <w:t>3.</w:t>
      </w:r>
      <w:r w:rsidR="00E96B7F">
        <w:t>3</w:t>
      </w:r>
      <w:r w:rsidRPr="0032391C">
        <w:t xml:space="preserve"> Extraction of Plant Materials</w:t>
      </w:r>
      <w:bookmarkEnd w:id="23"/>
    </w:p>
    <w:p w14:paraId="16628D1A" w14:textId="58F0239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Extraction of the plant materials was carried out using the maceration method with absolute methanol as the extracting solvent. This method was selected because it is effective for recovering both polar and moderately non-polar phytochemicals while preserving thermolabile </w:t>
      </w:r>
      <w:r w:rsidRPr="0032391C">
        <w:rPr>
          <w:rFonts w:asciiTheme="majorBidi" w:hAnsiTheme="majorBidi" w:cstheme="majorBidi"/>
          <w:szCs w:val="24"/>
        </w:rPr>
        <w:lastRenderedPageBreak/>
        <w:t xml:space="preserve">constituents, in agreement with recent methodological recommendations for plant based enzymatic inhibitor studies (Okoli </w:t>
      </w:r>
      <w:r w:rsidR="00B6491B" w:rsidRPr="00B6491B">
        <w:rPr>
          <w:rFonts w:asciiTheme="majorBidi" w:hAnsiTheme="majorBidi" w:cstheme="majorBidi"/>
          <w:i/>
          <w:szCs w:val="24"/>
        </w:rPr>
        <w:t>et al.</w:t>
      </w:r>
      <w:r w:rsidRPr="0032391C">
        <w:rPr>
          <w:rFonts w:asciiTheme="majorBidi" w:hAnsiTheme="majorBidi" w:cstheme="majorBidi"/>
          <w:szCs w:val="24"/>
        </w:rPr>
        <w:t>, 2022). For each plant sample, a measured quantity of the air dried and powdered material was transferred into a clean conical flask and completely immersed in absolute methanol. The mixture was sealed and left to stand at room temperature with intermittent shaking to enhance solvent penetration and phytochemical diffusion.</w:t>
      </w:r>
    </w:p>
    <w:p w14:paraId="5DCBE613"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The maceration period allowed sufficient time for soluble constituents to be released into the methanol, producing a concentrated extract mixture. After completion of the soaking period, the mixture was filtered first through muslin cloth and subsequently through Whatman No. 1 filter paper to remove insoluble residues and obtain a clear filtrate. The filtrate was then concentrated to dryness using a rotary evaporator under reduced pressure. This process ensured efficient solvent removal at low temperature, thereby preventing degradation of heat sensitive compounds known to influence alpha glucosidase inhibition.</w:t>
      </w:r>
    </w:p>
    <w:p w14:paraId="3463B461" w14:textId="39E02700" w:rsidR="0032391C" w:rsidRPr="0032391C" w:rsidRDefault="0032391C" w:rsidP="00E96B7F">
      <w:pPr>
        <w:jc w:val="both"/>
        <w:rPr>
          <w:rFonts w:asciiTheme="majorBidi" w:hAnsiTheme="majorBidi" w:cstheme="majorBidi"/>
          <w:szCs w:val="24"/>
        </w:rPr>
      </w:pPr>
      <w:r w:rsidRPr="0032391C">
        <w:rPr>
          <w:rFonts w:asciiTheme="majorBidi" w:hAnsiTheme="majorBidi" w:cstheme="majorBidi"/>
          <w:szCs w:val="24"/>
        </w:rPr>
        <w:t xml:space="preserve">The resulting crude methanolic extracts were collected in labeled glass containers, corresponding to Samples A through G, and stored at 4°C until needed for subsequent preparation of extract dilutions and enzymatic assays. </w:t>
      </w:r>
    </w:p>
    <w:p w14:paraId="700BC6B3" w14:textId="5D9E005D" w:rsidR="0032391C" w:rsidRPr="0032391C" w:rsidRDefault="0032391C" w:rsidP="00E96B7F">
      <w:pPr>
        <w:pStyle w:val="Heading1"/>
      </w:pPr>
      <w:bookmarkStart w:id="24" w:name="_Toc216811077"/>
      <w:r w:rsidRPr="0032391C">
        <w:t>3.</w:t>
      </w:r>
      <w:r w:rsidR="00E96B7F">
        <w:t>4</w:t>
      </w:r>
      <w:r w:rsidRPr="0032391C">
        <w:t xml:space="preserve"> Preparation of Enzyme and Substrate Solutions</w:t>
      </w:r>
      <w:bookmarkEnd w:id="24"/>
    </w:p>
    <w:p w14:paraId="0ED2BC96" w14:textId="3552D0F2"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enzyme used in this study was yeast derived alpha glucosidase, prepared according to standard enzymological procedures to ensure stability and optimal catalytic performance. A stock enzyme solution was prepared by dissolving the enzyme in 50 mM phosphate buffer at pH 7.0. This buffer </w:t>
      </w:r>
      <w:r w:rsidR="007777FB" w:rsidRPr="007777FB">
        <w:rPr>
          <w:rFonts w:asciiTheme="majorBidi" w:hAnsiTheme="majorBidi" w:cstheme="majorBidi"/>
          <w:szCs w:val="24"/>
        </w:rPr>
        <w:t>system</w:t>
      </w:r>
      <w:r w:rsidRPr="0032391C">
        <w:rPr>
          <w:rFonts w:asciiTheme="majorBidi" w:hAnsiTheme="majorBidi" w:cstheme="majorBidi"/>
          <w:szCs w:val="24"/>
        </w:rPr>
        <w:t xml:space="preserve"> was chosen to mimic physiological pH conditions and maintain the structural integrity of the enzyme, consistent with widely accepted assay protocols (Kim </w:t>
      </w:r>
      <w:r w:rsidR="00B6491B" w:rsidRPr="00B6491B">
        <w:rPr>
          <w:rFonts w:asciiTheme="majorBidi" w:hAnsiTheme="majorBidi" w:cstheme="majorBidi"/>
          <w:i/>
          <w:szCs w:val="24"/>
        </w:rPr>
        <w:t>et al.</w:t>
      </w:r>
      <w:r w:rsidRPr="0032391C">
        <w:rPr>
          <w:rFonts w:asciiTheme="majorBidi" w:hAnsiTheme="majorBidi" w:cstheme="majorBidi"/>
          <w:szCs w:val="24"/>
        </w:rPr>
        <w:t>, 2021). The solution was gently mixed to ensure complete dissolution, and the prepared enzyme stock was stored on ice throughout experimental procedures to minimize loss of activity.</w:t>
      </w:r>
    </w:p>
    <w:p w14:paraId="45998E33" w14:textId="46CBD68E" w:rsidR="0032391C" w:rsidRPr="0032391C" w:rsidRDefault="0032391C" w:rsidP="003D6D02">
      <w:pPr>
        <w:jc w:val="both"/>
        <w:rPr>
          <w:rFonts w:asciiTheme="majorBidi" w:hAnsiTheme="majorBidi" w:cstheme="majorBidi"/>
          <w:szCs w:val="24"/>
        </w:rPr>
      </w:pPr>
      <w:r w:rsidRPr="0032391C">
        <w:rPr>
          <w:rFonts w:asciiTheme="majorBidi" w:hAnsiTheme="majorBidi" w:cstheme="majorBidi"/>
          <w:szCs w:val="24"/>
        </w:rPr>
        <w:t xml:space="preserve">The substrate, maltose, was selected due to its established role as a specific disaccharide substrate for alpha glucosidase. A maltose solution was prepared by dissolving the required </w:t>
      </w:r>
      <w:r w:rsidRPr="0032391C">
        <w:rPr>
          <w:rFonts w:asciiTheme="majorBidi" w:hAnsiTheme="majorBidi" w:cstheme="majorBidi"/>
          <w:szCs w:val="24"/>
        </w:rPr>
        <w:lastRenderedPageBreak/>
        <w:t>amount of substrate in</w:t>
      </w:r>
      <w:r w:rsidR="003D6D02">
        <w:rPr>
          <w:rFonts w:asciiTheme="majorBidi" w:hAnsiTheme="majorBidi" w:cstheme="majorBidi"/>
          <w:szCs w:val="24"/>
        </w:rPr>
        <w:t xml:space="preserve"> distilled water</w:t>
      </w:r>
      <w:r w:rsidRPr="0032391C">
        <w:rPr>
          <w:rFonts w:asciiTheme="majorBidi" w:hAnsiTheme="majorBidi" w:cstheme="majorBidi"/>
          <w:szCs w:val="24"/>
        </w:rPr>
        <w:t xml:space="preserve">. The solution was mixed until fully dissolved, ensuring a uniform substrate concentration during all assay runs. </w:t>
      </w:r>
    </w:p>
    <w:p w14:paraId="2EF10DD9"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Both enzyme and substrate solutions were equilibrated to room temperature before use to maintain consistent reaction conditions. All glassware used in solution preparation was thoroughly cleaned and rinsed with distilled water to prevent contamination that could interfere with enzyme kinetics. The prepared solutions were used immediately in subsequent inhibition assays to guarantee accurate and reproducible results.</w:t>
      </w:r>
    </w:p>
    <w:p w14:paraId="0534291E" w14:textId="4432ED1D" w:rsidR="0032391C" w:rsidRPr="0032391C" w:rsidRDefault="0032391C" w:rsidP="003D6D02">
      <w:pPr>
        <w:pStyle w:val="Heading1"/>
      </w:pPr>
      <w:bookmarkStart w:id="25" w:name="_Toc216811078"/>
      <w:r w:rsidRPr="0032391C">
        <w:t>3.</w:t>
      </w:r>
      <w:r w:rsidR="003D6D02">
        <w:t>5</w:t>
      </w:r>
      <w:r w:rsidRPr="0032391C">
        <w:t xml:space="preserve"> Experimental Procedure for Alpha Glucosidase Inhibition Assay</w:t>
      </w:r>
      <w:bookmarkEnd w:id="25"/>
    </w:p>
    <w:p w14:paraId="3D1A2610" w14:textId="055F092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inhibitory activity of the methanolic plant extracts on alpha glucosidase was evaluated using an in vitro colorimetric assay based on maltose hydrolysis. The procedure was adapted from standard enzymatic inhibition protocols with modifications suited to the reaction conditions of this study (Chaudhary </w:t>
      </w:r>
      <w:r w:rsidR="00B6491B" w:rsidRPr="00B6491B">
        <w:rPr>
          <w:rFonts w:asciiTheme="majorBidi" w:hAnsiTheme="majorBidi" w:cstheme="majorBidi"/>
          <w:i/>
          <w:szCs w:val="24"/>
        </w:rPr>
        <w:t>et al.</w:t>
      </w:r>
      <w:r w:rsidRPr="0032391C">
        <w:rPr>
          <w:rFonts w:asciiTheme="majorBidi" w:hAnsiTheme="majorBidi" w:cstheme="majorBidi"/>
          <w:szCs w:val="24"/>
        </w:rPr>
        <w:t>, 2022). All experiments were conducted at room temperature in the Biochemistry Laboratory of the Department of Biochemistry and Molecular Biology, Usmanu Danfodiyo University Sokoto.</w:t>
      </w:r>
    </w:p>
    <w:p w14:paraId="2F32F633"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Serial dilutions of each plant extract were prepared to obtain six working concentrations, namely 100 mg/ml, 50 mg/ml, 25 mg/ml, 12.5 mg/ml, 6.25 mg/ml, and 3.125 mg/ml. For each concentration, a reaction mixture containing 900 µl of 50 mM phosphate buffer (pH 7.0), 200 µl of the extract, and 200 µl of the enzyme solution was prepared in clean test tubes. The mixture was incubated for 5 minutes to allow interaction between the enzyme and potential inhibitory components present in the extracts. Subsequently, 200 µl of maltose substrate solution was added to initiate the reaction, followed by a second incubation period of 5 minutes.</w:t>
      </w:r>
    </w:p>
    <w:p w14:paraId="511BD9D1"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blank control was prepared under the same conditions, except that the plant extract was replaced with distilled water, ensuring that any absorbance changes resulted solely from enzyme activity in the absence of inhibition. Each concentration of every plant extract was assayed in triplicate to ensure reproducibility and minimize experimental error. After </w:t>
      </w:r>
      <w:r w:rsidRPr="0032391C">
        <w:rPr>
          <w:rFonts w:asciiTheme="majorBidi" w:hAnsiTheme="majorBidi" w:cstheme="majorBidi"/>
          <w:szCs w:val="24"/>
        </w:rPr>
        <w:lastRenderedPageBreak/>
        <w:t>incubation, the absorbance of each reaction mixture was measured at 500 nm using a UV Visible spectrophotometer. This wavelength was selected based on the colorimetric properties of the reaction product and is consistent with established alpha glucosidase inhibition assays (Moussa and Taleb, 2023).</w:t>
      </w:r>
    </w:p>
    <w:p w14:paraId="4939528B" w14:textId="30C2F292" w:rsidR="0032391C" w:rsidRPr="0032391C" w:rsidRDefault="0032391C" w:rsidP="003D6D02">
      <w:pPr>
        <w:jc w:val="both"/>
        <w:rPr>
          <w:rFonts w:asciiTheme="majorBidi" w:hAnsiTheme="majorBidi" w:cstheme="majorBidi"/>
          <w:szCs w:val="24"/>
        </w:rPr>
      </w:pPr>
      <w:r w:rsidRPr="0032391C">
        <w:rPr>
          <w:rFonts w:asciiTheme="majorBidi" w:hAnsiTheme="majorBidi" w:cstheme="majorBidi"/>
          <w:szCs w:val="24"/>
        </w:rPr>
        <w:t xml:space="preserve">The absorbance readings obtained from each triplicate were recorded and later used to calculate percentage inhibition relative to the blank. </w:t>
      </w:r>
    </w:p>
    <w:p w14:paraId="2D69B7B4" w14:textId="5E7BE771" w:rsidR="0032391C" w:rsidRPr="0032391C" w:rsidRDefault="0032391C" w:rsidP="003D6D02">
      <w:pPr>
        <w:pStyle w:val="Heading1"/>
      </w:pPr>
      <w:bookmarkStart w:id="26" w:name="_Toc216811079"/>
      <w:r w:rsidRPr="0032391C">
        <w:t>3.</w:t>
      </w:r>
      <w:r w:rsidR="003D6D02">
        <w:t>6</w:t>
      </w:r>
      <w:r w:rsidRPr="0032391C">
        <w:t xml:space="preserve"> Data Analysis</w:t>
      </w:r>
      <w:bookmarkEnd w:id="26"/>
    </w:p>
    <w:p w14:paraId="4BB93F52" w14:textId="70066729"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Data analysis was performed in two complementary stages: first, conversion of raw absorbance readings into percentage inhibition and estimation of dose–response parameters (IC₅₀) for each plant extract; second, statistical comparison of inhibitory potency among extracts using one-way analysis of variance (ANOVA) and </w:t>
      </w:r>
      <w:r w:rsidR="00730F87">
        <w:rPr>
          <w:rFonts w:asciiTheme="majorBidi" w:hAnsiTheme="majorBidi" w:cstheme="majorBidi"/>
          <w:szCs w:val="24"/>
        </w:rPr>
        <w:t xml:space="preserve">Tukey’s </w:t>
      </w:r>
      <w:r w:rsidRPr="0032391C">
        <w:rPr>
          <w:rFonts w:asciiTheme="majorBidi" w:hAnsiTheme="majorBidi" w:cstheme="majorBidi"/>
          <w:szCs w:val="24"/>
        </w:rPr>
        <w:t>post hoc test. The blank (no-inhibitor) absorbance used in all inhibition calculations was 0.006, as recorded during the assays.</w:t>
      </w:r>
    </w:p>
    <w:p w14:paraId="1CBEF8D8" w14:textId="77777777" w:rsidR="0032391C" w:rsidRDefault="0032391C" w:rsidP="0032391C">
      <w:pPr>
        <w:jc w:val="both"/>
        <w:rPr>
          <w:rFonts w:asciiTheme="majorBidi" w:hAnsiTheme="majorBidi" w:cstheme="majorBidi"/>
          <w:szCs w:val="24"/>
        </w:rPr>
      </w:pPr>
      <w:r w:rsidRPr="0032391C">
        <w:rPr>
          <w:rFonts w:asciiTheme="majorBidi" w:hAnsiTheme="majorBidi" w:cstheme="majorBidi"/>
          <w:szCs w:val="24"/>
        </w:rPr>
        <w:t>Percentage inhibition was calculated for each individual replicate and concentration using the standard formula:</w:t>
      </w:r>
    </w:p>
    <w:p w14:paraId="4D64858F" w14:textId="1262A047" w:rsidR="00730F87" w:rsidRPr="0032391C" w:rsidRDefault="00730F87" w:rsidP="0032391C">
      <w:pPr>
        <w:jc w:val="both"/>
        <w:rPr>
          <w:rFonts w:asciiTheme="majorBidi" w:hAnsiTheme="majorBidi" w:cstheme="majorBidi"/>
          <w:szCs w:val="24"/>
        </w:rPr>
      </w:pPr>
      <m:oMathPara>
        <m:oMath>
          <m:r>
            <w:rPr>
              <w:rFonts w:ascii="Cambria Math" w:hAnsi="Cambria Math" w:cstheme="majorBidi"/>
              <w:szCs w:val="24"/>
            </w:rPr>
            <m:t xml:space="preserve">Percentage Inhibition </m:t>
          </m:r>
          <m:d>
            <m:dPr>
              <m:ctrlPr>
                <w:rPr>
                  <w:rFonts w:ascii="Cambria Math" w:hAnsi="Cambria Math" w:cstheme="majorBidi"/>
                  <w:i/>
                  <w:szCs w:val="24"/>
                </w:rPr>
              </m:ctrlPr>
            </m:dPr>
            <m:e>
              <m:r>
                <w:rPr>
                  <w:rFonts w:ascii="Cambria Math" w:hAnsi="Cambria Math" w:cstheme="majorBidi"/>
                  <w:szCs w:val="24"/>
                </w:rPr>
                <m:t>%</m:t>
              </m:r>
            </m:e>
          </m:d>
          <m:r>
            <w:rPr>
              <w:rFonts w:ascii="Cambria Math" w:hAnsi="Cambria Math" w:cstheme="majorBidi"/>
              <w:szCs w:val="24"/>
            </w:rPr>
            <m:t xml:space="preserve">= </m:t>
          </m:r>
          <m:f>
            <m:fPr>
              <m:ctrlPr>
                <w:rPr>
                  <w:rFonts w:ascii="Cambria Math" w:hAnsi="Cambria Math" w:cstheme="majorBidi"/>
                  <w:i/>
                  <w:szCs w:val="24"/>
                </w:rPr>
              </m:ctrlPr>
            </m:fPr>
            <m:num>
              <m:r>
                <w:rPr>
                  <w:rFonts w:ascii="Cambria Math" w:hAnsi="Cambria Math" w:cstheme="majorBidi"/>
                  <w:szCs w:val="24"/>
                </w:rPr>
                <m:t>Abs of blank-Abs of sample</m:t>
              </m:r>
            </m:num>
            <m:den>
              <m:r>
                <w:rPr>
                  <w:rFonts w:ascii="Cambria Math" w:hAnsi="Cambria Math" w:cstheme="majorBidi"/>
                  <w:szCs w:val="24"/>
                </w:rPr>
                <m:t>Abs of blank</m:t>
              </m:r>
            </m:den>
          </m:f>
          <m:r>
            <w:rPr>
              <w:rFonts w:ascii="Cambria Math" w:hAnsi="Cambria Math" w:cstheme="majorBidi"/>
              <w:szCs w:val="24"/>
            </w:rPr>
            <m:t xml:space="preserve"> x 100</m:t>
          </m:r>
        </m:oMath>
      </m:oMathPara>
    </w:p>
    <w:p w14:paraId="44388267" w14:textId="4A00990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This formula was applied to each triplicate reading to obtain replicate percent-inhibition values, and these replicate values were then used to compute the mean ± standard deviation for each concentration of each extract. Percent inhibition was the primary observable used to construct dose–response curves and to generate IC₅₀ estimates (Li </w:t>
      </w:r>
      <w:r w:rsidR="00B6491B" w:rsidRPr="00B6491B">
        <w:rPr>
          <w:rFonts w:asciiTheme="majorBidi" w:hAnsiTheme="majorBidi" w:cstheme="majorBidi"/>
          <w:i/>
          <w:szCs w:val="24"/>
        </w:rPr>
        <w:t>et al.</w:t>
      </w:r>
      <w:r w:rsidRPr="0032391C">
        <w:rPr>
          <w:rFonts w:asciiTheme="majorBidi" w:hAnsiTheme="majorBidi" w:cstheme="majorBidi"/>
          <w:szCs w:val="24"/>
        </w:rPr>
        <w:t>, 2023).</w:t>
      </w:r>
    </w:p>
    <w:p w14:paraId="46EF7F70" w14:textId="27CF22FF"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IC₅₀ (the inhibitor concentration that produces 50% inhibition) for each extract was obtained by fitting the concentration-response data to a four-parameter logistic model (variable slope) using nonlinear regression. The modelling approach </w:t>
      </w:r>
      <w:r w:rsidR="00730F87">
        <w:rPr>
          <w:rFonts w:asciiTheme="majorBidi" w:hAnsiTheme="majorBidi" w:cstheme="majorBidi"/>
          <w:szCs w:val="24"/>
        </w:rPr>
        <w:t xml:space="preserve">used </w:t>
      </w:r>
      <w:r w:rsidRPr="0032391C">
        <w:rPr>
          <w:rFonts w:asciiTheme="majorBidi" w:hAnsiTheme="majorBidi" w:cstheme="majorBidi"/>
          <w:szCs w:val="24"/>
        </w:rPr>
        <w:t xml:space="preserve">is the “log(inhibitor) vs. response — variable slope” fit because it reliably describes sigmoidal dose–response behaviour for crude extracts and yields an IC₅₀ with 95% confidence intervals and goodness-of-fit statistics (R², residuals) that aid interpretation. Prior to fitting, concentrations were entered in linear units </w:t>
      </w:r>
      <w:r w:rsidRPr="0032391C">
        <w:rPr>
          <w:rFonts w:asciiTheme="majorBidi" w:hAnsiTheme="majorBidi" w:cstheme="majorBidi"/>
          <w:szCs w:val="24"/>
        </w:rPr>
        <w:lastRenderedPageBreak/>
        <w:t xml:space="preserve">(mg/ml) and GraphPad Prism </w:t>
      </w:r>
      <w:r w:rsidR="00730F87">
        <w:rPr>
          <w:rFonts w:asciiTheme="majorBidi" w:hAnsiTheme="majorBidi" w:cstheme="majorBidi"/>
          <w:szCs w:val="24"/>
        </w:rPr>
        <w:t>(Version 10.2)</w:t>
      </w:r>
      <w:r w:rsidRPr="0032391C">
        <w:rPr>
          <w:rFonts w:asciiTheme="majorBidi" w:hAnsiTheme="majorBidi" w:cstheme="majorBidi"/>
          <w:szCs w:val="24"/>
        </w:rPr>
        <w:t xml:space="preserve"> software was </w:t>
      </w:r>
      <w:r w:rsidR="00730F87">
        <w:rPr>
          <w:rFonts w:asciiTheme="majorBidi" w:hAnsiTheme="majorBidi" w:cstheme="majorBidi"/>
          <w:szCs w:val="24"/>
        </w:rPr>
        <w:t xml:space="preserve">used </w:t>
      </w:r>
      <w:r w:rsidRPr="0032391C">
        <w:rPr>
          <w:rFonts w:asciiTheme="majorBidi" w:hAnsiTheme="majorBidi" w:cstheme="majorBidi"/>
          <w:szCs w:val="24"/>
        </w:rPr>
        <w:t>to plot the x-axis on a logarithmic scale; this transformation stabilizes variance and linearizes the mid-portion of the sigmoid for a more robust IC₅₀ estimate.</w:t>
      </w:r>
    </w:p>
    <w:p w14:paraId="3DC65F43" w14:textId="6428DD29" w:rsidR="0032391C" w:rsidRPr="0032391C" w:rsidRDefault="0032391C" w:rsidP="0032391C">
      <w:pPr>
        <w:jc w:val="both"/>
        <w:rPr>
          <w:rFonts w:asciiTheme="majorBidi" w:hAnsiTheme="majorBidi" w:cstheme="majorBidi"/>
          <w:szCs w:val="24"/>
        </w:rPr>
      </w:pPr>
    </w:p>
    <w:p w14:paraId="19ADE004" w14:textId="01B42280"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br w:type="page"/>
      </w:r>
    </w:p>
    <w:p w14:paraId="2DE5DD88" w14:textId="305996A5" w:rsidR="0032391C" w:rsidRPr="0032391C" w:rsidRDefault="0032391C" w:rsidP="00730F87">
      <w:pPr>
        <w:pStyle w:val="Heading1"/>
        <w:jc w:val="center"/>
      </w:pPr>
      <w:bookmarkStart w:id="27" w:name="_Toc216811080"/>
      <w:r w:rsidRPr="0032391C">
        <w:lastRenderedPageBreak/>
        <w:t>CHAPTER FOUR</w:t>
      </w:r>
      <w:bookmarkEnd w:id="27"/>
    </w:p>
    <w:p w14:paraId="66706719" w14:textId="285832C3" w:rsidR="0032391C" w:rsidRPr="0032391C" w:rsidRDefault="0032391C" w:rsidP="000855A2">
      <w:pPr>
        <w:pStyle w:val="Heading1"/>
        <w:jc w:val="center"/>
      </w:pPr>
      <w:bookmarkStart w:id="28" w:name="_Toc216811081"/>
      <w:r w:rsidRPr="0032391C">
        <w:t>RESULTS</w:t>
      </w:r>
      <w:r w:rsidR="00730F87">
        <w:t xml:space="preserve">, </w:t>
      </w:r>
      <w:r w:rsidRPr="0032391C">
        <w:t>DISCUSSION</w:t>
      </w:r>
      <w:r w:rsidR="00730F87">
        <w:t>, CONCLUSION AND RECOMMENDATION</w:t>
      </w:r>
      <w:bookmarkEnd w:id="28"/>
    </w:p>
    <w:p w14:paraId="013008DF" w14:textId="77777777" w:rsidR="0032391C" w:rsidRPr="0032391C" w:rsidRDefault="0032391C" w:rsidP="00730F87">
      <w:pPr>
        <w:pStyle w:val="Heading1"/>
      </w:pPr>
      <w:bookmarkStart w:id="29" w:name="_Toc216811082"/>
      <w:r w:rsidRPr="0032391C">
        <w:t>4.1 Results</w:t>
      </w:r>
      <w:bookmarkEnd w:id="29"/>
    </w:p>
    <w:p w14:paraId="2AD0FDDF" w14:textId="77777777" w:rsidR="0032391C" w:rsidRPr="0032391C" w:rsidRDefault="0032391C" w:rsidP="00730F87">
      <w:pPr>
        <w:pStyle w:val="Heading1"/>
      </w:pPr>
      <w:bookmarkStart w:id="30" w:name="_Toc214903432"/>
      <w:bookmarkStart w:id="31" w:name="_Toc216811083"/>
      <w:r w:rsidRPr="0032391C">
        <w:t>4.1.1 IC50 estimation from nonlinear regression</w:t>
      </w:r>
      <w:bookmarkEnd w:id="30"/>
      <w:bookmarkEnd w:id="31"/>
    </w:p>
    <w:p w14:paraId="2EA829F5" w14:textId="2C48CAF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Nonlinear regression using a four-parameter logistic model produced IC50 estimates for all seven methanolic extracts. Several fits were unstable, and some IC50 values fell far outside biological ranges, which often indicates poor dose–response behavior or lack of measurable inhibition wit</w:t>
      </w:r>
      <w:r w:rsidR="00EB57CD">
        <w:rPr>
          <w:rFonts w:asciiTheme="majorBidi" w:hAnsiTheme="majorBidi" w:cstheme="majorBidi"/>
          <w:szCs w:val="24"/>
        </w:rPr>
        <w:t xml:space="preserve">hin the tested concentrations. </w:t>
      </w:r>
    </w:p>
    <w:p w14:paraId="045E6819" w14:textId="77777777"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t>Table 4.1. IC50 values and logistic‐fit parameters for Samples A–G</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3960"/>
        <w:gridCol w:w="2430"/>
      </w:tblGrid>
      <w:tr w:rsidR="00EB57CD" w:rsidRPr="0032391C" w14:paraId="48BC416A" w14:textId="77777777" w:rsidTr="0057513E">
        <w:trPr>
          <w:tblHeader/>
          <w:tblCellSpacing w:w="15" w:type="dxa"/>
          <w:jc w:val="center"/>
        </w:trPr>
        <w:tc>
          <w:tcPr>
            <w:tcW w:w="3915" w:type="dxa"/>
            <w:tcBorders>
              <w:top w:val="single" w:sz="4" w:space="0" w:color="auto"/>
              <w:bottom w:val="single" w:sz="4" w:space="0" w:color="auto"/>
            </w:tcBorders>
            <w:vAlign w:val="center"/>
            <w:hideMark/>
          </w:tcPr>
          <w:p w14:paraId="34CC38DF" w14:textId="77777777" w:rsidR="00EB57CD" w:rsidRPr="0032391C" w:rsidRDefault="00EB57CD" w:rsidP="00730F87">
            <w:pPr>
              <w:jc w:val="center"/>
              <w:rPr>
                <w:rFonts w:asciiTheme="majorBidi" w:hAnsiTheme="majorBidi" w:cstheme="majorBidi"/>
                <w:b/>
                <w:bCs/>
                <w:szCs w:val="24"/>
              </w:rPr>
            </w:pPr>
            <w:r w:rsidRPr="0032391C">
              <w:rPr>
                <w:rFonts w:asciiTheme="majorBidi" w:hAnsiTheme="majorBidi" w:cstheme="majorBidi"/>
                <w:b/>
                <w:bCs/>
                <w:szCs w:val="24"/>
              </w:rPr>
              <w:t>Sample</w:t>
            </w:r>
          </w:p>
        </w:tc>
        <w:tc>
          <w:tcPr>
            <w:tcW w:w="2385" w:type="dxa"/>
            <w:tcBorders>
              <w:top w:val="single" w:sz="4" w:space="0" w:color="auto"/>
              <w:bottom w:val="single" w:sz="4" w:space="0" w:color="auto"/>
            </w:tcBorders>
            <w:vAlign w:val="center"/>
            <w:hideMark/>
          </w:tcPr>
          <w:p w14:paraId="19AEA489" w14:textId="77777777" w:rsidR="00EB57CD" w:rsidRPr="0032391C" w:rsidRDefault="00EB57CD" w:rsidP="00730F87">
            <w:pPr>
              <w:jc w:val="center"/>
              <w:rPr>
                <w:rFonts w:asciiTheme="majorBidi" w:hAnsiTheme="majorBidi" w:cstheme="majorBidi"/>
                <w:b/>
                <w:bCs/>
                <w:szCs w:val="24"/>
              </w:rPr>
            </w:pPr>
            <w:r w:rsidRPr="0032391C">
              <w:rPr>
                <w:rFonts w:asciiTheme="majorBidi" w:hAnsiTheme="majorBidi" w:cstheme="majorBidi"/>
                <w:b/>
                <w:bCs/>
                <w:szCs w:val="24"/>
              </w:rPr>
              <w:t>IC50 (mg/ml)</w:t>
            </w:r>
          </w:p>
        </w:tc>
      </w:tr>
      <w:tr w:rsidR="00EB57CD" w:rsidRPr="0032391C" w14:paraId="7BDF53A8" w14:textId="77777777" w:rsidTr="0057513E">
        <w:trPr>
          <w:tblCellSpacing w:w="15" w:type="dxa"/>
          <w:jc w:val="center"/>
        </w:trPr>
        <w:tc>
          <w:tcPr>
            <w:tcW w:w="3915" w:type="dxa"/>
            <w:vAlign w:val="center"/>
            <w:hideMark/>
          </w:tcPr>
          <w:p w14:paraId="792661F6" w14:textId="05AED6DA" w:rsidR="00EB57CD" w:rsidRPr="0032391C" w:rsidRDefault="0057513E" w:rsidP="00730F87">
            <w:pPr>
              <w:rPr>
                <w:rFonts w:asciiTheme="majorBidi" w:hAnsiTheme="majorBidi" w:cstheme="majorBidi"/>
                <w:szCs w:val="24"/>
              </w:rPr>
            </w:pPr>
            <w:r w:rsidRPr="0057513E">
              <w:rPr>
                <w:rFonts w:asciiTheme="majorBidi" w:hAnsiTheme="majorBidi" w:cstheme="majorBidi"/>
                <w:iCs/>
                <w:szCs w:val="24"/>
              </w:rPr>
              <w:t xml:space="preserve">Leaves of </w:t>
            </w:r>
            <w:r w:rsidR="00130EC1" w:rsidRPr="00130EC1">
              <w:rPr>
                <w:rFonts w:asciiTheme="majorBidi" w:hAnsiTheme="majorBidi" w:cstheme="majorBidi"/>
                <w:i/>
                <w:szCs w:val="24"/>
              </w:rPr>
              <w:t>Diospyros mespiliformis</w:t>
            </w:r>
          </w:p>
        </w:tc>
        <w:tc>
          <w:tcPr>
            <w:tcW w:w="2385" w:type="dxa"/>
            <w:vAlign w:val="center"/>
            <w:hideMark/>
          </w:tcPr>
          <w:p w14:paraId="50890E21" w14:textId="77777777" w:rsidR="00EB57CD" w:rsidRPr="0032391C" w:rsidRDefault="00EB57CD" w:rsidP="00730F87">
            <w:pPr>
              <w:jc w:val="center"/>
              <w:rPr>
                <w:rFonts w:asciiTheme="majorBidi" w:hAnsiTheme="majorBidi" w:cstheme="majorBidi"/>
                <w:szCs w:val="24"/>
              </w:rPr>
            </w:pPr>
            <w:r w:rsidRPr="0032391C">
              <w:rPr>
                <w:rFonts w:asciiTheme="majorBidi" w:hAnsiTheme="majorBidi" w:cstheme="majorBidi"/>
                <w:szCs w:val="24"/>
              </w:rPr>
              <w:t>7.99 × 10¹¹</w:t>
            </w:r>
          </w:p>
        </w:tc>
      </w:tr>
      <w:tr w:rsidR="00EB57CD" w:rsidRPr="0032391C" w14:paraId="7D001AF1" w14:textId="77777777" w:rsidTr="0057513E">
        <w:trPr>
          <w:tblCellSpacing w:w="15" w:type="dxa"/>
          <w:jc w:val="center"/>
        </w:trPr>
        <w:tc>
          <w:tcPr>
            <w:tcW w:w="3915" w:type="dxa"/>
            <w:vAlign w:val="center"/>
            <w:hideMark/>
          </w:tcPr>
          <w:p w14:paraId="41995881" w14:textId="36A59EC8" w:rsidR="00EB57CD" w:rsidRPr="0032391C" w:rsidRDefault="00EB57CD" w:rsidP="0057513E">
            <w:pPr>
              <w:rPr>
                <w:rFonts w:asciiTheme="majorBidi" w:hAnsiTheme="majorBidi" w:cstheme="majorBidi"/>
                <w:szCs w:val="24"/>
              </w:rPr>
            </w:pPr>
            <w:r w:rsidRPr="0041235F">
              <w:rPr>
                <w:rFonts w:asciiTheme="majorBidi" w:hAnsiTheme="majorBidi" w:cstheme="majorBidi"/>
                <w:szCs w:val="24"/>
              </w:rPr>
              <w:t>Stem</w:t>
            </w:r>
            <w:r w:rsidRPr="0032391C">
              <w:rPr>
                <w:rFonts w:asciiTheme="majorBidi" w:hAnsiTheme="majorBidi" w:cstheme="majorBidi"/>
                <w:szCs w:val="24"/>
              </w:rPr>
              <w:t xml:space="preserve"> bark</w:t>
            </w:r>
            <w:r w:rsidR="0057513E">
              <w:rPr>
                <w:rFonts w:asciiTheme="majorBidi" w:hAnsiTheme="majorBidi" w:cstheme="majorBidi"/>
                <w:szCs w:val="24"/>
              </w:rPr>
              <w:t xml:space="preserve"> of </w:t>
            </w:r>
            <w:r w:rsidR="0057513E" w:rsidRPr="00130EC1">
              <w:rPr>
                <w:rFonts w:asciiTheme="majorBidi" w:hAnsiTheme="majorBidi" w:cstheme="majorBidi"/>
                <w:i/>
                <w:szCs w:val="24"/>
              </w:rPr>
              <w:t>Diospyros mespiliformis</w:t>
            </w:r>
          </w:p>
        </w:tc>
        <w:tc>
          <w:tcPr>
            <w:tcW w:w="2385" w:type="dxa"/>
            <w:vAlign w:val="center"/>
            <w:hideMark/>
          </w:tcPr>
          <w:p w14:paraId="32E52C19" w14:textId="77777777" w:rsidR="00EB57CD" w:rsidRPr="0032391C" w:rsidRDefault="00EB57CD" w:rsidP="00730F87">
            <w:pPr>
              <w:jc w:val="center"/>
              <w:rPr>
                <w:rFonts w:asciiTheme="majorBidi" w:hAnsiTheme="majorBidi" w:cstheme="majorBidi"/>
                <w:szCs w:val="24"/>
              </w:rPr>
            </w:pPr>
            <w:r w:rsidRPr="0032391C">
              <w:rPr>
                <w:rFonts w:asciiTheme="majorBidi" w:hAnsiTheme="majorBidi" w:cstheme="majorBidi"/>
                <w:szCs w:val="24"/>
              </w:rPr>
              <w:t>5.34 × 10¹⁰</w:t>
            </w:r>
          </w:p>
        </w:tc>
      </w:tr>
      <w:tr w:rsidR="00EB57CD" w:rsidRPr="0032391C" w14:paraId="5A6815A3" w14:textId="77777777" w:rsidTr="0057513E">
        <w:trPr>
          <w:tblCellSpacing w:w="15" w:type="dxa"/>
          <w:jc w:val="center"/>
        </w:trPr>
        <w:tc>
          <w:tcPr>
            <w:tcW w:w="3915" w:type="dxa"/>
            <w:vAlign w:val="center"/>
            <w:hideMark/>
          </w:tcPr>
          <w:p w14:paraId="081688A3" w14:textId="7AFFECA9" w:rsidR="00EB57CD" w:rsidRPr="0032391C" w:rsidRDefault="00EB57CD" w:rsidP="00730F87">
            <w:pPr>
              <w:rPr>
                <w:rFonts w:asciiTheme="majorBidi" w:hAnsiTheme="majorBidi" w:cstheme="majorBidi"/>
                <w:szCs w:val="24"/>
              </w:rPr>
            </w:pPr>
            <w:r w:rsidRPr="0041235F">
              <w:rPr>
                <w:rFonts w:asciiTheme="majorBidi" w:hAnsiTheme="majorBidi" w:cstheme="majorBidi"/>
                <w:i/>
                <w:szCs w:val="24"/>
              </w:rPr>
              <w:t>Cassia nigricans</w:t>
            </w:r>
          </w:p>
        </w:tc>
        <w:tc>
          <w:tcPr>
            <w:tcW w:w="2385" w:type="dxa"/>
            <w:vAlign w:val="center"/>
            <w:hideMark/>
          </w:tcPr>
          <w:p w14:paraId="63849D12" w14:textId="77777777" w:rsidR="00EB57CD" w:rsidRPr="0032391C" w:rsidRDefault="00EB57CD" w:rsidP="00730F87">
            <w:pPr>
              <w:jc w:val="center"/>
              <w:rPr>
                <w:rFonts w:asciiTheme="majorBidi" w:hAnsiTheme="majorBidi" w:cstheme="majorBidi"/>
                <w:szCs w:val="24"/>
              </w:rPr>
            </w:pPr>
            <w:r w:rsidRPr="0032391C">
              <w:rPr>
                <w:rFonts w:asciiTheme="majorBidi" w:hAnsiTheme="majorBidi" w:cstheme="majorBidi"/>
                <w:szCs w:val="24"/>
              </w:rPr>
              <w:t>1.22 × 10⁵²</w:t>
            </w:r>
          </w:p>
        </w:tc>
      </w:tr>
      <w:tr w:rsidR="00EB57CD" w:rsidRPr="0032391C" w14:paraId="27143E18" w14:textId="77777777" w:rsidTr="0057513E">
        <w:trPr>
          <w:tblCellSpacing w:w="15" w:type="dxa"/>
          <w:jc w:val="center"/>
        </w:trPr>
        <w:tc>
          <w:tcPr>
            <w:tcW w:w="3915" w:type="dxa"/>
            <w:vAlign w:val="center"/>
            <w:hideMark/>
          </w:tcPr>
          <w:p w14:paraId="6612E594" w14:textId="198F40D6" w:rsidR="00EB57CD" w:rsidRPr="0032391C" w:rsidRDefault="00EB57CD" w:rsidP="00730F87">
            <w:pPr>
              <w:rPr>
                <w:rFonts w:asciiTheme="majorBidi" w:hAnsiTheme="majorBidi" w:cstheme="majorBidi"/>
                <w:szCs w:val="24"/>
              </w:rPr>
            </w:pPr>
            <w:r w:rsidRPr="0041235F">
              <w:rPr>
                <w:rFonts w:asciiTheme="majorBidi" w:hAnsiTheme="majorBidi" w:cstheme="majorBidi"/>
                <w:i/>
                <w:szCs w:val="24"/>
              </w:rPr>
              <w:t>Khaya senegalensis</w:t>
            </w:r>
          </w:p>
        </w:tc>
        <w:tc>
          <w:tcPr>
            <w:tcW w:w="2385" w:type="dxa"/>
            <w:vAlign w:val="center"/>
            <w:hideMark/>
          </w:tcPr>
          <w:p w14:paraId="7DFE5706" w14:textId="77777777" w:rsidR="00EB57CD" w:rsidRPr="0032391C" w:rsidRDefault="00EB57CD" w:rsidP="00730F87">
            <w:pPr>
              <w:jc w:val="center"/>
              <w:rPr>
                <w:rFonts w:asciiTheme="majorBidi" w:hAnsiTheme="majorBidi" w:cstheme="majorBidi"/>
                <w:szCs w:val="24"/>
              </w:rPr>
            </w:pPr>
            <w:r w:rsidRPr="0032391C">
              <w:rPr>
                <w:rFonts w:asciiTheme="majorBidi" w:hAnsiTheme="majorBidi" w:cstheme="majorBidi"/>
                <w:szCs w:val="24"/>
              </w:rPr>
              <w:t>5.56 × 10¹³</w:t>
            </w:r>
          </w:p>
        </w:tc>
      </w:tr>
      <w:tr w:rsidR="00EB57CD" w:rsidRPr="0032391C" w14:paraId="647C5410" w14:textId="77777777" w:rsidTr="0057513E">
        <w:trPr>
          <w:tblCellSpacing w:w="15" w:type="dxa"/>
          <w:jc w:val="center"/>
        </w:trPr>
        <w:tc>
          <w:tcPr>
            <w:tcW w:w="3915" w:type="dxa"/>
            <w:vAlign w:val="center"/>
            <w:hideMark/>
          </w:tcPr>
          <w:p w14:paraId="4E9EE5E6" w14:textId="28B47042" w:rsidR="00EB57CD" w:rsidRPr="0032391C" w:rsidRDefault="00EB57CD" w:rsidP="00730F87">
            <w:pPr>
              <w:rPr>
                <w:rFonts w:asciiTheme="majorBidi" w:hAnsiTheme="majorBidi" w:cstheme="majorBidi"/>
                <w:szCs w:val="24"/>
              </w:rPr>
            </w:pPr>
            <w:r w:rsidRPr="0041235F">
              <w:rPr>
                <w:rFonts w:asciiTheme="majorBidi" w:hAnsiTheme="majorBidi" w:cstheme="majorBidi"/>
                <w:i/>
                <w:szCs w:val="24"/>
              </w:rPr>
              <w:t>Ficus carica</w:t>
            </w:r>
          </w:p>
        </w:tc>
        <w:tc>
          <w:tcPr>
            <w:tcW w:w="2385" w:type="dxa"/>
            <w:vAlign w:val="center"/>
            <w:hideMark/>
          </w:tcPr>
          <w:p w14:paraId="40E697D3" w14:textId="77777777" w:rsidR="00EB57CD" w:rsidRPr="0032391C" w:rsidRDefault="00EB57CD" w:rsidP="00730F87">
            <w:pPr>
              <w:jc w:val="center"/>
              <w:rPr>
                <w:rFonts w:asciiTheme="majorBidi" w:hAnsiTheme="majorBidi" w:cstheme="majorBidi"/>
                <w:szCs w:val="24"/>
              </w:rPr>
            </w:pPr>
            <w:r w:rsidRPr="0032391C">
              <w:rPr>
                <w:rFonts w:asciiTheme="majorBidi" w:hAnsiTheme="majorBidi" w:cstheme="majorBidi"/>
                <w:szCs w:val="24"/>
              </w:rPr>
              <w:t>8.31 × 10⁻¹⁷⁸</w:t>
            </w:r>
          </w:p>
        </w:tc>
      </w:tr>
      <w:tr w:rsidR="00EB57CD" w:rsidRPr="0032391C" w14:paraId="6C903009" w14:textId="77777777" w:rsidTr="0057513E">
        <w:trPr>
          <w:tblCellSpacing w:w="15" w:type="dxa"/>
          <w:jc w:val="center"/>
        </w:trPr>
        <w:tc>
          <w:tcPr>
            <w:tcW w:w="3915" w:type="dxa"/>
            <w:vAlign w:val="center"/>
            <w:hideMark/>
          </w:tcPr>
          <w:p w14:paraId="10B1DB1B" w14:textId="5008BC89" w:rsidR="00EB57CD" w:rsidRPr="0032391C" w:rsidRDefault="00EB050E" w:rsidP="00730F87">
            <w:pPr>
              <w:rPr>
                <w:rFonts w:asciiTheme="majorBidi" w:hAnsiTheme="majorBidi" w:cstheme="majorBidi"/>
                <w:szCs w:val="24"/>
              </w:rPr>
            </w:pPr>
            <w:r w:rsidRPr="0041235F">
              <w:rPr>
                <w:rFonts w:asciiTheme="majorBidi" w:hAnsiTheme="majorBidi" w:cstheme="majorBidi"/>
                <w:i/>
                <w:iCs/>
                <w:szCs w:val="24"/>
              </w:rPr>
              <w:t>Vernonia amygdalina</w:t>
            </w:r>
            <w:r w:rsidRPr="0032391C">
              <w:rPr>
                <w:rFonts w:asciiTheme="majorBidi" w:hAnsiTheme="majorBidi" w:cstheme="majorBidi"/>
                <w:szCs w:val="24"/>
              </w:rPr>
              <w:t xml:space="preserve"> </w:t>
            </w:r>
          </w:p>
        </w:tc>
        <w:tc>
          <w:tcPr>
            <w:tcW w:w="2385" w:type="dxa"/>
            <w:vAlign w:val="center"/>
            <w:hideMark/>
          </w:tcPr>
          <w:p w14:paraId="122F66DD" w14:textId="77777777" w:rsidR="00EB57CD" w:rsidRPr="0032391C" w:rsidRDefault="00EB57CD" w:rsidP="00730F87">
            <w:pPr>
              <w:jc w:val="center"/>
              <w:rPr>
                <w:rFonts w:asciiTheme="majorBidi" w:hAnsiTheme="majorBidi" w:cstheme="majorBidi"/>
                <w:szCs w:val="24"/>
              </w:rPr>
            </w:pPr>
            <w:r w:rsidRPr="0032391C">
              <w:rPr>
                <w:rFonts w:asciiTheme="majorBidi" w:hAnsiTheme="majorBidi" w:cstheme="majorBidi"/>
                <w:szCs w:val="24"/>
              </w:rPr>
              <w:t>9.96 × 10²⁶</w:t>
            </w:r>
          </w:p>
        </w:tc>
      </w:tr>
      <w:tr w:rsidR="00EB57CD" w:rsidRPr="0032391C" w14:paraId="6074A34E" w14:textId="77777777" w:rsidTr="0057513E">
        <w:trPr>
          <w:tblCellSpacing w:w="15" w:type="dxa"/>
          <w:jc w:val="center"/>
        </w:trPr>
        <w:tc>
          <w:tcPr>
            <w:tcW w:w="3915" w:type="dxa"/>
            <w:tcBorders>
              <w:bottom w:val="single" w:sz="4" w:space="0" w:color="auto"/>
            </w:tcBorders>
            <w:vAlign w:val="center"/>
            <w:hideMark/>
          </w:tcPr>
          <w:p w14:paraId="728FAF3F" w14:textId="5E1AF149" w:rsidR="00EB57CD" w:rsidRPr="0032391C" w:rsidRDefault="00EB57CD" w:rsidP="00730F87">
            <w:pPr>
              <w:rPr>
                <w:rFonts w:asciiTheme="majorBidi" w:hAnsiTheme="majorBidi" w:cstheme="majorBidi"/>
                <w:szCs w:val="24"/>
              </w:rPr>
            </w:pPr>
            <w:r w:rsidRPr="0041235F">
              <w:rPr>
                <w:rFonts w:asciiTheme="majorBidi" w:hAnsiTheme="majorBidi" w:cstheme="majorBidi"/>
                <w:i/>
                <w:szCs w:val="24"/>
              </w:rPr>
              <w:t>Ficus sycomorus</w:t>
            </w:r>
          </w:p>
        </w:tc>
        <w:tc>
          <w:tcPr>
            <w:tcW w:w="2385" w:type="dxa"/>
            <w:tcBorders>
              <w:bottom w:val="single" w:sz="4" w:space="0" w:color="auto"/>
            </w:tcBorders>
            <w:vAlign w:val="center"/>
            <w:hideMark/>
          </w:tcPr>
          <w:p w14:paraId="0D42E5F9" w14:textId="77777777" w:rsidR="00EB57CD" w:rsidRPr="0032391C" w:rsidRDefault="00EB57CD" w:rsidP="00730F87">
            <w:pPr>
              <w:jc w:val="center"/>
              <w:rPr>
                <w:rFonts w:asciiTheme="majorBidi" w:hAnsiTheme="majorBidi" w:cstheme="majorBidi"/>
                <w:szCs w:val="24"/>
              </w:rPr>
            </w:pPr>
            <w:r w:rsidRPr="0032391C">
              <w:rPr>
                <w:rFonts w:asciiTheme="majorBidi" w:hAnsiTheme="majorBidi" w:cstheme="majorBidi"/>
                <w:szCs w:val="24"/>
              </w:rPr>
              <w:t>Unstable</w:t>
            </w:r>
          </w:p>
        </w:tc>
      </w:tr>
    </w:tbl>
    <w:p w14:paraId="2C8D546D" w14:textId="77777777" w:rsidR="00730F87" w:rsidRDefault="00730F87" w:rsidP="0032391C">
      <w:pPr>
        <w:jc w:val="both"/>
        <w:rPr>
          <w:rFonts w:asciiTheme="majorBidi" w:hAnsiTheme="majorBidi" w:cstheme="majorBidi"/>
          <w:b/>
          <w:bCs/>
          <w:szCs w:val="24"/>
        </w:rPr>
      </w:pPr>
    </w:p>
    <w:p w14:paraId="47FD1DBD" w14:textId="77777777" w:rsidR="00730F87" w:rsidRDefault="00730F87" w:rsidP="0032391C">
      <w:pPr>
        <w:jc w:val="both"/>
        <w:rPr>
          <w:rFonts w:asciiTheme="majorBidi" w:hAnsiTheme="majorBidi" w:cstheme="majorBidi"/>
          <w:b/>
          <w:bCs/>
          <w:szCs w:val="24"/>
        </w:rPr>
      </w:pPr>
    </w:p>
    <w:p w14:paraId="5193A512" w14:textId="77777777" w:rsidR="00730F87" w:rsidRDefault="00730F87" w:rsidP="0032391C">
      <w:pPr>
        <w:jc w:val="both"/>
        <w:rPr>
          <w:rFonts w:asciiTheme="majorBidi" w:hAnsiTheme="majorBidi" w:cstheme="majorBidi"/>
          <w:b/>
          <w:bCs/>
          <w:szCs w:val="24"/>
        </w:rPr>
      </w:pPr>
    </w:p>
    <w:p w14:paraId="414F5A28" w14:textId="260BE21F" w:rsidR="004325E0" w:rsidRDefault="004325E0" w:rsidP="004325E0">
      <w:pPr>
        <w:jc w:val="both"/>
        <w:rPr>
          <w:rFonts w:asciiTheme="majorBidi" w:hAnsiTheme="majorBidi" w:cstheme="majorBidi"/>
          <w:b/>
          <w:bCs/>
          <w:szCs w:val="24"/>
        </w:rPr>
      </w:pPr>
      <w:r>
        <w:rPr>
          <w:noProof/>
        </w:rPr>
        <w:lastRenderedPageBreak/>
        <w:drawing>
          <wp:inline distT="0" distB="0" distL="0" distR="0" wp14:anchorId="162BFA44" wp14:editId="7B363BCC">
            <wp:extent cx="2658223" cy="2070571"/>
            <wp:effectExtent l="0" t="0" r="8890" b="6350"/>
            <wp:docPr id="134486678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866785" name="Picture 8"/>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658223" cy="2070571"/>
                    </a:xfrm>
                    <a:prstGeom prst="rect">
                      <a:avLst/>
                    </a:prstGeom>
                    <a:noFill/>
                    <a:ln>
                      <a:noFill/>
                    </a:ln>
                  </pic:spPr>
                </pic:pic>
              </a:graphicData>
            </a:graphic>
          </wp:inline>
        </w:drawing>
      </w:r>
      <w:r>
        <w:rPr>
          <w:noProof/>
        </w:rPr>
        <w:drawing>
          <wp:inline distT="0" distB="0" distL="0" distR="0" wp14:anchorId="31898BF4" wp14:editId="7D492C52">
            <wp:extent cx="2554014" cy="1989400"/>
            <wp:effectExtent l="0" t="0" r="0" b="0"/>
            <wp:docPr id="2992534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53425"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554014" cy="1989400"/>
                    </a:xfrm>
                    <a:prstGeom prst="rect">
                      <a:avLst/>
                    </a:prstGeom>
                    <a:noFill/>
                    <a:ln>
                      <a:noFill/>
                    </a:ln>
                  </pic:spPr>
                </pic:pic>
              </a:graphicData>
            </a:graphic>
          </wp:inline>
        </w:drawing>
      </w:r>
    </w:p>
    <w:p w14:paraId="1CEB7A50" w14:textId="014DD30E" w:rsidR="004325E0" w:rsidRDefault="004325E0" w:rsidP="004325E0">
      <w:pPr>
        <w:jc w:val="both"/>
        <w:rPr>
          <w:rFonts w:asciiTheme="majorBidi" w:hAnsiTheme="majorBidi" w:cstheme="majorBidi"/>
          <w:b/>
          <w:bCs/>
          <w:szCs w:val="24"/>
        </w:rPr>
      </w:pPr>
      <w:r>
        <w:rPr>
          <w:noProof/>
        </w:rPr>
        <w:drawing>
          <wp:inline distT="0" distB="0" distL="0" distR="0" wp14:anchorId="531ABA83" wp14:editId="147F9378">
            <wp:extent cx="2565023" cy="1997975"/>
            <wp:effectExtent l="0" t="0" r="6985" b="2540"/>
            <wp:docPr id="15894032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403245" name="Picture 10"/>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565023" cy="1997975"/>
                    </a:xfrm>
                    <a:prstGeom prst="rect">
                      <a:avLst/>
                    </a:prstGeom>
                    <a:noFill/>
                    <a:ln>
                      <a:noFill/>
                    </a:ln>
                  </pic:spPr>
                </pic:pic>
              </a:graphicData>
            </a:graphic>
          </wp:inline>
        </w:drawing>
      </w:r>
      <w:r>
        <w:rPr>
          <w:noProof/>
        </w:rPr>
        <w:drawing>
          <wp:inline distT="0" distB="0" distL="0" distR="0" wp14:anchorId="683C99FD" wp14:editId="0F2EE122">
            <wp:extent cx="2502976" cy="1949645"/>
            <wp:effectExtent l="0" t="0" r="0" b="0"/>
            <wp:docPr id="81780276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80276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502976" cy="1949645"/>
                    </a:xfrm>
                    <a:prstGeom prst="rect">
                      <a:avLst/>
                    </a:prstGeom>
                    <a:noFill/>
                    <a:ln>
                      <a:noFill/>
                    </a:ln>
                  </pic:spPr>
                </pic:pic>
              </a:graphicData>
            </a:graphic>
          </wp:inline>
        </w:drawing>
      </w:r>
    </w:p>
    <w:p w14:paraId="223811B7" w14:textId="24E2741E" w:rsidR="004325E0" w:rsidRDefault="004325E0" w:rsidP="004325E0">
      <w:pPr>
        <w:jc w:val="both"/>
        <w:rPr>
          <w:rFonts w:asciiTheme="majorBidi" w:hAnsiTheme="majorBidi" w:cstheme="majorBidi"/>
          <w:b/>
          <w:bCs/>
          <w:szCs w:val="24"/>
        </w:rPr>
      </w:pPr>
      <w:r>
        <w:rPr>
          <w:noProof/>
        </w:rPr>
        <w:drawing>
          <wp:inline distT="0" distB="0" distL="0" distR="0" wp14:anchorId="62624321" wp14:editId="65051621">
            <wp:extent cx="2282650" cy="1778026"/>
            <wp:effectExtent l="0" t="0" r="3810" b="0"/>
            <wp:docPr id="84907988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079881"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282650" cy="1778026"/>
                    </a:xfrm>
                    <a:prstGeom prst="rect">
                      <a:avLst/>
                    </a:prstGeom>
                    <a:noFill/>
                    <a:ln>
                      <a:noFill/>
                    </a:ln>
                  </pic:spPr>
                </pic:pic>
              </a:graphicData>
            </a:graphic>
          </wp:inline>
        </w:drawing>
      </w:r>
      <w:r>
        <w:rPr>
          <w:noProof/>
        </w:rPr>
        <w:drawing>
          <wp:inline distT="0" distB="0" distL="0" distR="0" wp14:anchorId="74C9584A" wp14:editId="4276DCE5">
            <wp:extent cx="2412643" cy="1879282"/>
            <wp:effectExtent l="0" t="0" r="6985" b="6985"/>
            <wp:docPr id="184150041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50041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412643" cy="1879282"/>
                    </a:xfrm>
                    <a:prstGeom prst="rect">
                      <a:avLst/>
                    </a:prstGeom>
                    <a:noFill/>
                    <a:ln>
                      <a:noFill/>
                    </a:ln>
                  </pic:spPr>
                </pic:pic>
              </a:graphicData>
            </a:graphic>
          </wp:inline>
        </w:drawing>
      </w:r>
    </w:p>
    <w:p w14:paraId="376EF91F" w14:textId="5C900935" w:rsidR="004325E0" w:rsidRDefault="004F01ED" w:rsidP="0032391C">
      <w:pPr>
        <w:jc w:val="both"/>
        <w:rPr>
          <w:rFonts w:asciiTheme="majorBidi" w:hAnsiTheme="majorBidi" w:cstheme="majorBidi"/>
          <w:b/>
          <w:bCs/>
          <w:szCs w:val="24"/>
        </w:rPr>
      </w:pPr>
      <w:r>
        <w:rPr>
          <w:noProof/>
        </w:rPr>
        <mc:AlternateContent>
          <mc:Choice Requires="wps">
            <w:drawing>
              <wp:anchor distT="0" distB="0" distL="114300" distR="114300" simplePos="0" relativeHeight="251659264" behindDoc="0" locked="0" layoutInCell="1" allowOverlap="1" wp14:anchorId="1CBE0DEC" wp14:editId="4E34C1E2">
                <wp:simplePos x="0" y="0"/>
                <wp:positionH relativeFrom="column">
                  <wp:posOffset>2910205</wp:posOffset>
                </wp:positionH>
                <wp:positionV relativeFrom="paragraph">
                  <wp:posOffset>286695</wp:posOffset>
                </wp:positionV>
                <wp:extent cx="2753286" cy="1892595"/>
                <wp:effectExtent l="0" t="0" r="9525" b="0"/>
                <wp:wrapNone/>
                <wp:docPr id="1225704486" name="Text Box 1"/>
                <wp:cNvGraphicFramePr/>
                <a:graphic xmlns:a="http://schemas.openxmlformats.org/drawingml/2006/main">
                  <a:graphicData uri="http://schemas.microsoft.com/office/word/2010/wordprocessingShape">
                    <wps:wsp>
                      <wps:cNvSpPr txBox="1"/>
                      <wps:spPr>
                        <a:xfrm>
                          <a:off x="0" y="0"/>
                          <a:ext cx="2753286" cy="1892595"/>
                        </a:xfrm>
                        <a:prstGeom prst="rect">
                          <a:avLst/>
                        </a:prstGeom>
                        <a:solidFill>
                          <a:schemeClr val="lt1"/>
                        </a:solidFill>
                        <a:ln w="6350">
                          <a:noFill/>
                        </a:ln>
                      </wps:spPr>
                      <wps:txbx>
                        <w:txbxContent>
                          <w:p w14:paraId="32036349" w14:textId="4F9B5575" w:rsidR="004F01ED" w:rsidRPr="00F100AC" w:rsidRDefault="004F01ED" w:rsidP="004F01ED">
                            <w:pPr>
                              <w:jc w:val="center"/>
                              <w:rPr>
                                <w:rFonts w:asciiTheme="majorBidi" w:hAnsiTheme="majorBidi" w:cstheme="majorBidi"/>
                                <w:sz w:val="20"/>
                                <w:szCs w:val="20"/>
                              </w:rPr>
                            </w:pPr>
                            <w:r w:rsidRPr="00F100AC">
                              <w:rPr>
                                <w:rFonts w:asciiTheme="majorBidi" w:hAnsiTheme="majorBidi" w:cstheme="majorBidi"/>
                                <w:sz w:val="20"/>
                                <w:szCs w:val="20"/>
                              </w:rPr>
                              <w:t xml:space="preserve">Fig </w:t>
                            </w:r>
                            <w:r>
                              <w:rPr>
                                <w:rFonts w:asciiTheme="majorBidi" w:hAnsiTheme="majorBidi" w:cstheme="majorBidi"/>
                                <w:sz w:val="20"/>
                                <w:szCs w:val="20"/>
                              </w:rPr>
                              <w:t>4.</w:t>
                            </w:r>
                            <w:r w:rsidRPr="00F100AC">
                              <w:rPr>
                                <w:rFonts w:asciiTheme="majorBidi" w:hAnsiTheme="majorBidi" w:cstheme="majorBidi"/>
                                <w:sz w:val="20"/>
                                <w:szCs w:val="20"/>
                              </w:rPr>
                              <w:t xml:space="preserve">1A – </w:t>
                            </w:r>
                            <w:r>
                              <w:rPr>
                                <w:rFonts w:asciiTheme="majorBidi" w:hAnsiTheme="majorBidi" w:cstheme="majorBidi"/>
                                <w:sz w:val="20"/>
                                <w:szCs w:val="20"/>
                              </w:rPr>
                              <w:t>4.</w:t>
                            </w:r>
                            <w:r w:rsidRPr="00F100AC">
                              <w:rPr>
                                <w:rFonts w:asciiTheme="majorBidi" w:hAnsiTheme="majorBidi" w:cstheme="majorBidi"/>
                                <w:sz w:val="20"/>
                                <w:szCs w:val="20"/>
                              </w:rPr>
                              <w:t>1G: Graph of nonlinear regression of plant extracts</w:t>
                            </w:r>
                          </w:p>
                          <w:p w14:paraId="4704A436" w14:textId="77777777" w:rsidR="004F01ED" w:rsidRPr="00F100AC" w:rsidRDefault="004F01ED" w:rsidP="004F01ED">
                            <w:pPr>
                              <w:spacing w:line="240" w:lineRule="auto"/>
                              <w:jc w:val="center"/>
                              <w:rPr>
                                <w:rFonts w:asciiTheme="majorBidi" w:hAnsiTheme="majorBidi" w:cstheme="majorBidi"/>
                                <w:sz w:val="20"/>
                                <w:szCs w:val="20"/>
                              </w:rPr>
                            </w:pPr>
                            <w:r>
                              <w:rPr>
                                <w:rFonts w:asciiTheme="majorBidi" w:hAnsiTheme="majorBidi" w:cstheme="majorBidi"/>
                                <w:sz w:val="20"/>
                                <w:szCs w:val="20"/>
                              </w:rPr>
                              <w:t xml:space="preserve">Key: </w:t>
                            </w:r>
                            <w:r w:rsidRPr="00130EC1">
                              <w:rPr>
                                <w:rFonts w:asciiTheme="majorBidi" w:hAnsiTheme="majorBidi" w:cstheme="majorBidi"/>
                                <w:i/>
                                <w:sz w:val="20"/>
                                <w:szCs w:val="20"/>
                              </w:rPr>
                              <w:t>Diospyros mespiliformis</w:t>
                            </w:r>
                            <w:r w:rsidRPr="00F100AC">
                              <w:rPr>
                                <w:rFonts w:asciiTheme="majorBidi" w:hAnsiTheme="majorBidi" w:cstheme="majorBidi"/>
                                <w:sz w:val="20"/>
                                <w:szCs w:val="20"/>
                              </w:rPr>
                              <w:t xml:space="preserve"> </w:t>
                            </w:r>
                            <w:r>
                              <w:rPr>
                                <w:rFonts w:asciiTheme="majorBidi" w:hAnsiTheme="majorBidi" w:cstheme="majorBidi"/>
                                <w:sz w:val="20"/>
                                <w:szCs w:val="20"/>
                              </w:rPr>
                              <w:t xml:space="preserve">Leaves </w:t>
                            </w:r>
                            <w:r w:rsidRPr="00F100AC">
                              <w:rPr>
                                <w:rFonts w:asciiTheme="majorBidi" w:hAnsiTheme="majorBidi" w:cstheme="majorBidi"/>
                                <w:sz w:val="20"/>
                                <w:szCs w:val="20"/>
                              </w:rPr>
                              <w:t xml:space="preserve">(Sample A), Stem bark of </w:t>
                            </w:r>
                            <w:r w:rsidRPr="00130EC1">
                              <w:rPr>
                                <w:rFonts w:asciiTheme="majorBidi" w:hAnsiTheme="majorBidi" w:cstheme="majorBidi"/>
                                <w:i/>
                                <w:sz w:val="20"/>
                                <w:szCs w:val="20"/>
                              </w:rPr>
                              <w:t>Diospyros mespiliformis</w:t>
                            </w:r>
                            <w:r w:rsidRPr="00F100AC">
                              <w:rPr>
                                <w:rFonts w:asciiTheme="majorBidi" w:hAnsiTheme="majorBidi" w:cstheme="majorBidi"/>
                                <w:sz w:val="20"/>
                                <w:szCs w:val="20"/>
                              </w:rPr>
                              <w:t xml:space="preserve"> (Sample B), </w:t>
                            </w:r>
                            <w:r w:rsidRPr="00F100AC">
                              <w:rPr>
                                <w:rFonts w:asciiTheme="majorBidi" w:hAnsiTheme="majorBidi" w:cstheme="majorBidi"/>
                                <w:i/>
                                <w:sz w:val="20"/>
                                <w:szCs w:val="20"/>
                              </w:rPr>
                              <w:t>Cassia nigricans</w:t>
                            </w:r>
                            <w:r w:rsidRPr="00F100AC">
                              <w:rPr>
                                <w:rFonts w:asciiTheme="majorBidi" w:hAnsiTheme="majorBidi" w:cstheme="majorBidi"/>
                                <w:sz w:val="20"/>
                                <w:szCs w:val="20"/>
                              </w:rPr>
                              <w:t xml:space="preserve"> (Sample C), </w:t>
                            </w:r>
                            <w:r w:rsidRPr="00F100AC">
                              <w:rPr>
                                <w:rFonts w:asciiTheme="majorBidi" w:hAnsiTheme="majorBidi" w:cstheme="majorBidi"/>
                                <w:i/>
                                <w:sz w:val="20"/>
                                <w:szCs w:val="20"/>
                              </w:rPr>
                              <w:t>Khaya senegalensis</w:t>
                            </w:r>
                            <w:r w:rsidRPr="00F100AC">
                              <w:rPr>
                                <w:rFonts w:asciiTheme="majorBidi" w:hAnsiTheme="majorBidi" w:cstheme="majorBidi"/>
                                <w:sz w:val="20"/>
                                <w:szCs w:val="20"/>
                              </w:rPr>
                              <w:t xml:space="preserve"> (Sample D), </w:t>
                            </w:r>
                            <w:r w:rsidRPr="00F100AC">
                              <w:rPr>
                                <w:rFonts w:asciiTheme="majorBidi" w:hAnsiTheme="majorBidi" w:cstheme="majorBidi"/>
                                <w:i/>
                                <w:sz w:val="20"/>
                                <w:szCs w:val="20"/>
                              </w:rPr>
                              <w:t>Ficus carica</w:t>
                            </w:r>
                            <w:r w:rsidRPr="00F100AC">
                              <w:rPr>
                                <w:rFonts w:asciiTheme="majorBidi" w:hAnsiTheme="majorBidi" w:cstheme="majorBidi"/>
                                <w:sz w:val="20"/>
                                <w:szCs w:val="20"/>
                              </w:rPr>
                              <w:t xml:space="preserve"> (Sample E), </w:t>
                            </w:r>
                            <w:r w:rsidRPr="00F100AC">
                              <w:rPr>
                                <w:rFonts w:asciiTheme="majorBidi" w:hAnsiTheme="majorBidi" w:cstheme="majorBidi"/>
                                <w:i/>
                                <w:iCs/>
                                <w:sz w:val="20"/>
                                <w:szCs w:val="20"/>
                              </w:rPr>
                              <w:t>Vernonia amygdalina</w:t>
                            </w:r>
                            <w:r w:rsidRPr="00F100AC">
                              <w:rPr>
                                <w:rFonts w:asciiTheme="majorBidi" w:hAnsiTheme="majorBidi" w:cstheme="majorBidi"/>
                                <w:sz w:val="20"/>
                                <w:szCs w:val="20"/>
                              </w:rPr>
                              <w:t xml:space="preserve"> (Sample F), and </w:t>
                            </w:r>
                            <w:r w:rsidRPr="00F100AC">
                              <w:rPr>
                                <w:rFonts w:asciiTheme="majorBidi" w:hAnsiTheme="majorBidi" w:cstheme="majorBidi"/>
                                <w:i/>
                                <w:sz w:val="20"/>
                                <w:szCs w:val="20"/>
                              </w:rPr>
                              <w:t>Ficus sycomorus</w:t>
                            </w:r>
                            <w:r w:rsidRPr="00F100AC">
                              <w:rPr>
                                <w:rFonts w:asciiTheme="majorBidi" w:hAnsiTheme="majorBidi" w:cstheme="majorBidi"/>
                                <w:sz w:val="20"/>
                                <w:szCs w:val="20"/>
                              </w:rPr>
                              <w:t xml:space="preserve"> (Sample G)</w:t>
                            </w:r>
                          </w:p>
                          <w:p w14:paraId="1EC0B498" w14:textId="77777777" w:rsidR="004F01ED" w:rsidRDefault="004F01E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CBE0DEC" id="_x0000_t202" coordsize="21600,21600" o:spt="202" path="m,l,21600r21600,l21600,xe">
                <v:stroke joinstyle="miter"/>
                <v:path gradientshapeok="t" o:connecttype="rect"/>
              </v:shapetype>
              <v:shape id="Text Box 1" o:spid="_x0000_s1026" type="#_x0000_t202" style="position:absolute;left:0;text-align:left;margin-left:229.15pt;margin-top:22.55pt;width:216.8pt;height:149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" fillcolor="white [3201]" stroked="f" strokeweight=".5pt">
                <v:textbox>
                  <w:txbxContent>
                    <w:p w14:paraId="32036349" w14:textId="4F9B5575" w:rsidR="004F01ED" w:rsidRPr="00F100AC" w:rsidRDefault="004F01ED" w:rsidP="004F01ED">
                      <w:pPr>
                        <w:jc w:val="center"/>
                        <w:rPr>
                          <w:rFonts w:asciiTheme="majorBidi" w:hAnsiTheme="majorBidi" w:cstheme="majorBidi"/>
                          <w:sz w:val="20"/>
                          <w:szCs w:val="20"/>
                        </w:rPr>
                      </w:pPr>
                      <w:r w:rsidRPr="00F100AC">
                        <w:rPr>
                          <w:rFonts w:asciiTheme="majorBidi" w:hAnsiTheme="majorBidi" w:cstheme="majorBidi"/>
                          <w:sz w:val="20"/>
                          <w:szCs w:val="20"/>
                        </w:rPr>
                        <w:t xml:space="preserve">Fig </w:t>
                      </w:r>
                      <w:r>
                        <w:rPr>
                          <w:rFonts w:asciiTheme="majorBidi" w:hAnsiTheme="majorBidi" w:cstheme="majorBidi"/>
                          <w:sz w:val="20"/>
                          <w:szCs w:val="20"/>
                        </w:rPr>
                        <w:t>4.</w:t>
                      </w:r>
                      <w:r w:rsidRPr="00F100AC">
                        <w:rPr>
                          <w:rFonts w:asciiTheme="majorBidi" w:hAnsiTheme="majorBidi" w:cstheme="majorBidi"/>
                          <w:sz w:val="20"/>
                          <w:szCs w:val="20"/>
                        </w:rPr>
                        <w:t xml:space="preserve">1A – </w:t>
                      </w:r>
                      <w:r>
                        <w:rPr>
                          <w:rFonts w:asciiTheme="majorBidi" w:hAnsiTheme="majorBidi" w:cstheme="majorBidi"/>
                          <w:sz w:val="20"/>
                          <w:szCs w:val="20"/>
                        </w:rPr>
                        <w:t>4.</w:t>
                      </w:r>
                      <w:r w:rsidRPr="00F100AC">
                        <w:rPr>
                          <w:rFonts w:asciiTheme="majorBidi" w:hAnsiTheme="majorBidi" w:cstheme="majorBidi"/>
                          <w:sz w:val="20"/>
                          <w:szCs w:val="20"/>
                        </w:rPr>
                        <w:t>1G: Graph of nonlinear regression of plant extracts</w:t>
                      </w:r>
                    </w:p>
                    <w:p w14:paraId="4704A436" w14:textId="77777777" w:rsidR="004F01ED" w:rsidRPr="00F100AC" w:rsidRDefault="004F01ED" w:rsidP="004F01ED">
                      <w:pPr>
                        <w:spacing w:line="240" w:lineRule="auto"/>
                        <w:jc w:val="center"/>
                        <w:rPr>
                          <w:rFonts w:asciiTheme="majorBidi" w:hAnsiTheme="majorBidi" w:cstheme="majorBidi"/>
                          <w:sz w:val="20"/>
                          <w:szCs w:val="20"/>
                        </w:rPr>
                      </w:pPr>
                      <w:r>
                        <w:rPr>
                          <w:rFonts w:asciiTheme="majorBidi" w:hAnsiTheme="majorBidi" w:cstheme="majorBidi"/>
                          <w:sz w:val="20"/>
                          <w:szCs w:val="20"/>
                        </w:rPr>
                        <w:t xml:space="preserve">Key: </w:t>
                      </w:r>
                      <w:r w:rsidRPr="00130EC1">
                        <w:rPr>
                          <w:rFonts w:asciiTheme="majorBidi" w:hAnsiTheme="majorBidi" w:cstheme="majorBidi"/>
                          <w:i/>
                          <w:sz w:val="20"/>
                          <w:szCs w:val="20"/>
                        </w:rPr>
                        <w:t>Diospyros mespiliformis</w:t>
                      </w:r>
                      <w:r w:rsidRPr="00F100AC">
                        <w:rPr>
                          <w:rFonts w:asciiTheme="majorBidi" w:hAnsiTheme="majorBidi" w:cstheme="majorBidi"/>
                          <w:sz w:val="20"/>
                          <w:szCs w:val="20"/>
                        </w:rPr>
                        <w:t xml:space="preserve"> </w:t>
                      </w:r>
                      <w:r>
                        <w:rPr>
                          <w:rFonts w:asciiTheme="majorBidi" w:hAnsiTheme="majorBidi" w:cstheme="majorBidi"/>
                          <w:sz w:val="20"/>
                          <w:szCs w:val="20"/>
                        </w:rPr>
                        <w:t xml:space="preserve">Leaves </w:t>
                      </w:r>
                      <w:r w:rsidRPr="00F100AC">
                        <w:rPr>
                          <w:rFonts w:asciiTheme="majorBidi" w:hAnsiTheme="majorBidi" w:cstheme="majorBidi"/>
                          <w:sz w:val="20"/>
                          <w:szCs w:val="20"/>
                        </w:rPr>
                        <w:t xml:space="preserve">(Sample A), Stem bark of </w:t>
                      </w:r>
                      <w:r w:rsidRPr="00130EC1">
                        <w:rPr>
                          <w:rFonts w:asciiTheme="majorBidi" w:hAnsiTheme="majorBidi" w:cstheme="majorBidi"/>
                          <w:i/>
                          <w:sz w:val="20"/>
                          <w:szCs w:val="20"/>
                        </w:rPr>
                        <w:t>Diospyros mespiliformis</w:t>
                      </w:r>
                      <w:r w:rsidRPr="00F100AC">
                        <w:rPr>
                          <w:rFonts w:asciiTheme="majorBidi" w:hAnsiTheme="majorBidi" w:cstheme="majorBidi"/>
                          <w:sz w:val="20"/>
                          <w:szCs w:val="20"/>
                        </w:rPr>
                        <w:t xml:space="preserve"> (Sample B), </w:t>
                      </w:r>
                      <w:r w:rsidRPr="00F100AC">
                        <w:rPr>
                          <w:rFonts w:asciiTheme="majorBidi" w:hAnsiTheme="majorBidi" w:cstheme="majorBidi"/>
                          <w:i/>
                          <w:sz w:val="20"/>
                          <w:szCs w:val="20"/>
                        </w:rPr>
                        <w:t>Cassia nigricans</w:t>
                      </w:r>
                      <w:r w:rsidRPr="00F100AC">
                        <w:rPr>
                          <w:rFonts w:asciiTheme="majorBidi" w:hAnsiTheme="majorBidi" w:cstheme="majorBidi"/>
                          <w:sz w:val="20"/>
                          <w:szCs w:val="20"/>
                        </w:rPr>
                        <w:t xml:space="preserve"> (Sample C), </w:t>
                      </w:r>
                      <w:r w:rsidRPr="00F100AC">
                        <w:rPr>
                          <w:rFonts w:asciiTheme="majorBidi" w:hAnsiTheme="majorBidi" w:cstheme="majorBidi"/>
                          <w:i/>
                          <w:sz w:val="20"/>
                          <w:szCs w:val="20"/>
                        </w:rPr>
                        <w:t>Khaya senegalensis</w:t>
                      </w:r>
                      <w:r w:rsidRPr="00F100AC">
                        <w:rPr>
                          <w:rFonts w:asciiTheme="majorBidi" w:hAnsiTheme="majorBidi" w:cstheme="majorBidi"/>
                          <w:sz w:val="20"/>
                          <w:szCs w:val="20"/>
                        </w:rPr>
                        <w:t xml:space="preserve"> (Sample D), </w:t>
                      </w:r>
                      <w:r w:rsidRPr="00F100AC">
                        <w:rPr>
                          <w:rFonts w:asciiTheme="majorBidi" w:hAnsiTheme="majorBidi" w:cstheme="majorBidi"/>
                          <w:i/>
                          <w:sz w:val="20"/>
                          <w:szCs w:val="20"/>
                        </w:rPr>
                        <w:t>Ficus carica</w:t>
                      </w:r>
                      <w:r w:rsidRPr="00F100AC">
                        <w:rPr>
                          <w:rFonts w:asciiTheme="majorBidi" w:hAnsiTheme="majorBidi" w:cstheme="majorBidi"/>
                          <w:sz w:val="20"/>
                          <w:szCs w:val="20"/>
                        </w:rPr>
                        <w:t xml:space="preserve"> (Sample E), </w:t>
                      </w:r>
                      <w:r w:rsidRPr="00F100AC">
                        <w:rPr>
                          <w:rFonts w:asciiTheme="majorBidi" w:hAnsiTheme="majorBidi" w:cstheme="majorBidi"/>
                          <w:i/>
                          <w:iCs/>
                          <w:sz w:val="20"/>
                          <w:szCs w:val="20"/>
                        </w:rPr>
                        <w:t>Vernonia amygdalina</w:t>
                      </w:r>
                      <w:r w:rsidRPr="00F100AC">
                        <w:rPr>
                          <w:rFonts w:asciiTheme="majorBidi" w:hAnsiTheme="majorBidi" w:cstheme="majorBidi"/>
                          <w:sz w:val="20"/>
                          <w:szCs w:val="20"/>
                        </w:rPr>
                        <w:t xml:space="preserve"> (Sample F), and </w:t>
                      </w:r>
                      <w:r w:rsidRPr="00F100AC">
                        <w:rPr>
                          <w:rFonts w:asciiTheme="majorBidi" w:hAnsiTheme="majorBidi" w:cstheme="majorBidi"/>
                          <w:i/>
                          <w:sz w:val="20"/>
                          <w:szCs w:val="20"/>
                        </w:rPr>
                        <w:t>Ficus sycomorus</w:t>
                      </w:r>
                      <w:r w:rsidRPr="00F100AC">
                        <w:rPr>
                          <w:rFonts w:asciiTheme="majorBidi" w:hAnsiTheme="majorBidi" w:cstheme="majorBidi"/>
                          <w:sz w:val="20"/>
                          <w:szCs w:val="20"/>
                        </w:rPr>
                        <w:t xml:space="preserve"> (Sample G)</w:t>
                      </w:r>
                    </w:p>
                    <w:p w14:paraId="1EC0B498" w14:textId="77777777" w:rsidR="004F01ED" w:rsidRDefault="004F01ED"/>
                  </w:txbxContent>
                </v:textbox>
              </v:shape>
            </w:pict>
          </mc:Fallback>
        </mc:AlternateContent>
      </w:r>
      <w:r w:rsidR="004325E0">
        <w:rPr>
          <w:noProof/>
        </w:rPr>
        <w:drawing>
          <wp:inline distT="0" distB="0" distL="0" distR="0" wp14:anchorId="3391BBC7" wp14:editId="494A4CF3">
            <wp:extent cx="2349728" cy="1830275"/>
            <wp:effectExtent l="0" t="0" r="0" b="0"/>
            <wp:docPr id="131787912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879128" name="Picture 14"/>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349728" cy="1830275"/>
                    </a:xfrm>
                    <a:prstGeom prst="rect">
                      <a:avLst/>
                    </a:prstGeom>
                    <a:noFill/>
                    <a:ln>
                      <a:noFill/>
                    </a:ln>
                  </pic:spPr>
                </pic:pic>
              </a:graphicData>
            </a:graphic>
          </wp:inline>
        </w:drawing>
      </w:r>
    </w:p>
    <w:p w14:paraId="1775DDFA" w14:textId="77777777" w:rsidR="00F100AC" w:rsidRDefault="00F100AC" w:rsidP="00F100AC">
      <w:pPr>
        <w:spacing w:line="240" w:lineRule="auto"/>
        <w:jc w:val="center"/>
        <w:rPr>
          <w:rFonts w:asciiTheme="majorBidi" w:hAnsiTheme="majorBidi" w:cstheme="majorBidi"/>
          <w:szCs w:val="24"/>
        </w:rPr>
      </w:pPr>
    </w:p>
    <w:p w14:paraId="6889082A" w14:textId="77777777" w:rsidR="004F01ED" w:rsidRPr="004325E0" w:rsidRDefault="004F01ED" w:rsidP="00F100AC">
      <w:pPr>
        <w:spacing w:line="240" w:lineRule="auto"/>
        <w:jc w:val="center"/>
        <w:rPr>
          <w:rFonts w:asciiTheme="majorBidi" w:hAnsiTheme="majorBidi" w:cstheme="majorBidi"/>
          <w:szCs w:val="24"/>
        </w:rPr>
      </w:pPr>
    </w:p>
    <w:p w14:paraId="75A9D15B" w14:textId="28309283"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lastRenderedPageBreak/>
        <w:t>Interpretation of nonlinear regression</w:t>
      </w:r>
    </w:p>
    <w:p w14:paraId="0ED19117" w14:textId="240B54AF"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IC50 estimates varied widely, and several samples produced values too large or too small to interpret biologically. Such behavior usually appears when:</w:t>
      </w:r>
    </w:p>
    <w:p w14:paraId="18B7CABE" w14:textId="77777777" w:rsidR="0032391C" w:rsidRPr="0032391C" w:rsidRDefault="0032391C" w:rsidP="0032391C">
      <w:pPr>
        <w:numPr>
          <w:ilvl w:val="0"/>
          <w:numId w:val="1"/>
        </w:numPr>
        <w:jc w:val="both"/>
        <w:rPr>
          <w:rFonts w:asciiTheme="majorBidi" w:hAnsiTheme="majorBidi" w:cstheme="majorBidi"/>
          <w:szCs w:val="24"/>
        </w:rPr>
      </w:pPr>
      <w:r w:rsidRPr="0032391C">
        <w:rPr>
          <w:rFonts w:asciiTheme="majorBidi" w:hAnsiTheme="majorBidi" w:cstheme="majorBidi"/>
          <w:szCs w:val="24"/>
        </w:rPr>
        <w:t>The extract has weak or no inhibitory effect at tested concentrations.</w:t>
      </w:r>
    </w:p>
    <w:p w14:paraId="5DE99504" w14:textId="77777777" w:rsidR="0032391C" w:rsidRPr="0032391C" w:rsidRDefault="0032391C" w:rsidP="0032391C">
      <w:pPr>
        <w:numPr>
          <w:ilvl w:val="0"/>
          <w:numId w:val="1"/>
        </w:numPr>
        <w:jc w:val="both"/>
        <w:rPr>
          <w:rFonts w:asciiTheme="majorBidi" w:hAnsiTheme="majorBidi" w:cstheme="majorBidi"/>
          <w:szCs w:val="24"/>
        </w:rPr>
      </w:pPr>
      <w:r w:rsidRPr="0032391C">
        <w:rPr>
          <w:rFonts w:asciiTheme="majorBidi" w:hAnsiTheme="majorBidi" w:cstheme="majorBidi"/>
          <w:szCs w:val="24"/>
        </w:rPr>
        <w:t>The effective inhibitory range lies outside the tested concentration window.</w:t>
      </w:r>
    </w:p>
    <w:p w14:paraId="6506AAEB" w14:textId="77777777" w:rsidR="0032391C" w:rsidRPr="0032391C" w:rsidRDefault="0032391C" w:rsidP="0032391C">
      <w:pPr>
        <w:numPr>
          <w:ilvl w:val="0"/>
          <w:numId w:val="1"/>
        </w:numPr>
        <w:jc w:val="both"/>
        <w:rPr>
          <w:rFonts w:asciiTheme="majorBidi" w:hAnsiTheme="majorBidi" w:cstheme="majorBidi"/>
          <w:szCs w:val="24"/>
        </w:rPr>
      </w:pPr>
      <w:r w:rsidRPr="0032391C">
        <w:rPr>
          <w:rFonts w:asciiTheme="majorBidi" w:hAnsiTheme="majorBidi" w:cstheme="majorBidi"/>
          <w:szCs w:val="24"/>
        </w:rPr>
        <w:t>The curve lacks a clear sigmoidal transition.</w:t>
      </w:r>
    </w:p>
    <w:p w14:paraId="211A3B32" w14:textId="77777777" w:rsidR="0032391C" w:rsidRPr="0032391C" w:rsidRDefault="0032391C" w:rsidP="00730F87">
      <w:pPr>
        <w:pStyle w:val="Heading1"/>
      </w:pPr>
      <w:bookmarkStart w:id="32" w:name="_Toc216811084"/>
      <w:r w:rsidRPr="0032391C">
        <w:t>4.2 Discussion</w:t>
      </w:r>
      <w:bookmarkEnd w:id="32"/>
    </w:p>
    <w:p w14:paraId="53FC21D0" w14:textId="19A3B87B"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Methanolic plant extracts often contain a complex mixture of polyphenols, alkaloids, terpenoids, flavonoids, and other secondary metabolites that can interact with carbohydrate-hydrolyzing enzymes in different ways (Patel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2021). Inhibition of α-glucosidase is particularly relevant for controlling postprandial hyperglycemia, since the enzyme catalyzes the hydrolysis of terminal α-1,4-linked glucosides (Sun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Many plant-derived inhibitors, including phenolic acids, quercetin derivatives, and tannins, exhibit concentration-dependent, sigmoidal inhibition patterns under well-optimized assay conditions (Yin </w:t>
      </w:r>
      <w:r w:rsidR="00B6491B" w:rsidRPr="00B6491B">
        <w:rPr>
          <w:rFonts w:asciiTheme="majorBidi" w:hAnsiTheme="majorBidi" w:cstheme="majorBidi"/>
          <w:i/>
          <w:szCs w:val="24"/>
        </w:rPr>
        <w:t>et al.</w:t>
      </w:r>
      <w:r w:rsidRPr="0032391C">
        <w:rPr>
          <w:rFonts w:asciiTheme="majorBidi" w:hAnsiTheme="majorBidi" w:cstheme="majorBidi"/>
          <w:szCs w:val="24"/>
        </w:rPr>
        <w:t>, 2020). In contrast, the extracts in this study produced mostly shallow curves with low Hill slopes, suggesting that the extracts either exhibited weak inhibitory effects within the tested range or contained constituents that interacted with the enzyme in non-classical ways.</w:t>
      </w:r>
    </w:p>
    <w:p w14:paraId="0AAA17AF" w14:textId="0EF29B70"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IC₅₀ values ranged widely, from extremely small values (for </w:t>
      </w:r>
      <w:r w:rsidR="0041235F" w:rsidRPr="0041235F">
        <w:rPr>
          <w:rFonts w:asciiTheme="majorBidi" w:hAnsiTheme="majorBidi" w:cstheme="majorBidi"/>
          <w:i/>
          <w:szCs w:val="24"/>
        </w:rPr>
        <w:t>Ficus carica</w:t>
      </w:r>
      <w:r w:rsidRPr="0032391C">
        <w:rPr>
          <w:rFonts w:asciiTheme="majorBidi" w:hAnsiTheme="majorBidi" w:cstheme="majorBidi"/>
          <w:szCs w:val="24"/>
        </w:rPr>
        <w:t xml:space="preserve">) to astronomically large values (for </w:t>
      </w:r>
      <w:r w:rsidR="0041235F" w:rsidRPr="0041235F">
        <w:rPr>
          <w:rFonts w:asciiTheme="majorBidi" w:hAnsiTheme="majorBidi" w:cstheme="majorBidi"/>
          <w:i/>
          <w:szCs w:val="24"/>
        </w:rPr>
        <w:t>Cassia nigricans</w:t>
      </w:r>
      <w:r w:rsidRPr="0032391C">
        <w:rPr>
          <w:rFonts w:asciiTheme="majorBidi" w:hAnsiTheme="majorBidi" w:cstheme="majorBidi"/>
          <w:szCs w:val="24"/>
        </w:rPr>
        <w:t xml:space="preserve"> and </w:t>
      </w:r>
      <w:r w:rsidR="0041235F" w:rsidRPr="0041235F">
        <w:rPr>
          <w:rFonts w:asciiTheme="majorBidi" w:hAnsiTheme="majorBidi" w:cstheme="majorBidi"/>
          <w:i/>
          <w:szCs w:val="24"/>
        </w:rPr>
        <w:t>Khaya senegalensis</w:t>
      </w:r>
      <w:r w:rsidRPr="0032391C">
        <w:rPr>
          <w:rFonts w:asciiTheme="majorBidi" w:hAnsiTheme="majorBidi" w:cstheme="majorBidi"/>
          <w:szCs w:val="24"/>
        </w:rPr>
        <w:t xml:space="preserve">). Such extremes reflect the instability of curve fitting rather than true biological potency. These unstable fits likely resulted from the limited concentration range, variability in absorbance readings, and the chemical complexity of crude extracts. Previous studies on crude methanolic extracts have reported similar challenges, noting that poorly defined dose–response curves often arise when the extract concentration does not reach inhibitory saturation (Rahaman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2023). This </w:t>
      </w:r>
      <w:r w:rsidRPr="0032391C">
        <w:rPr>
          <w:rFonts w:asciiTheme="majorBidi" w:hAnsiTheme="majorBidi" w:cstheme="majorBidi"/>
          <w:szCs w:val="24"/>
        </w:rPr>
        <w:lastRenderedPageBreak/>
        <w:t>aligns with the present findings, in which the top and bottom asymptotes did not reliably anchor the logistic model.</w:t>
      </w:r>
    </w:p>
    <w:p w14:paraId="5D0CF3B1" w14:textId="164CC804"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Despite these limitations, some extracts showed more stable behavior than others. </w:t>
      </w:r>
      <w:r w:rsidR="00130EC1" w:rsidRPr="00130EC1">
        <w:rPr>
          <w:rFonts w:asciiTheme="majorBidi" w:hAnsiTheme="majorBidi" w:cstheme="majorBidi"/>
          <w:i/>
          <w:szCs w:val="24"/>
        </w:rPr>
        <w:t>Diospyros mespiliformis</w:t>
      </w:r>
      <w:r w:rsidRPr="0032391C">
        <w:rPr>
          <w:rFonts w:asciiTheme="majorBidi" w:hAnsiTheme="majorBidi" w:cstheme="majorBidi"/>
          <w:szCs w:val="24"/>
        </w:rPr>
        <w:t xml:space="preserve">, </w:t>
      </w:r>
      <w:r w:rsidR="0041235F" w:rsidRPr="0041235F">
        <w:rPr>
          <w:rFonts w:asciiTheme="majorBidi" w:hAnsiTheme="majorBidi" w:cstheme="majorBidi"/>
          <w:szCs w:val="24"/>
        </w:rPr>
        <w:t>Stem</w:t>
      </w:r>
      <w:r w:rsidRPr="0032391C">
        <w:rPr>
          <w:rFonts w:asciiTheme="majorBidi" w:hAnsiTheme="majorBidi" w:cstheme="majorBidi"/>
          <w:szCs w:val="24"/>
        </w:rPr>
        <w:t xml:space="preserve"> bark, </w:t>
      </w:r>
      <w:r w:rsidR="0041235F" w:rsidRPr="0041235F">
        <w:rPr>
          <w:rFonts w:asciiTheme="majorBidi" w:hAnsiTheme="majorBidi" w:cstheme="majorBidi"/>
          <w:i/>
          <w:szCs w:val="24"/>
        </w:rPr>
        <w:t>Khaya senegalensis</w:t>
      </w:r>
      <w:r w:rsidRPr="0032391C">
        <w:rPr>
          <w:rFonts w:asciiTheme="majorBidi" w:hAnsiTheme="majorBidi" w:cstheme="majorBidi"/>
          <w:szCs w:val="24"/>
        </w:rPr>
        <w:t xml:space="preserve">, and bitter leaf displayed reasonable top and bottom plateaus, which indicates that they may have measurable inhibitory effects that could be resolved with improved concentration spacing. Bitter leaf in particular is known to contain sesquiterpene lactones and flavonoids reported to inhibit α-glucosidase through mixed or noncompetitive mechanisms (Ogbuanu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2021). Similarly, species of Ficus have been reported to modulate carbohydrate metabolism through polyphenol-mediated enzyme inhibition (Barbosa </w:t>
      </w:r>
      <w:r w:rsidR="00B6491B" w:rsidRPr="00B6491B">
        <w:rPr>
          <w:rFonts w:asciiTheme="majorBidi" w:hAnsiTheme="majorBidi" w:cstheme="majorBidi"/>
          <w:i/>
          <w:szCs w:val="24"/>
        </w:rPr>
        <w:t>et al.</w:t>
      </w:r>
      <w:r w:rsidRPr="0032391C">
        <w:rPr>
          <w:rFonts w:asciiTheme="majorBidi" w:hAnsiTheme="majorBidi" w:cstheme="majorBidi"/>
          <w:szCs w:val="24"/>
        </w:rPr>
        <w:t>, 2023). The present findings neither confirm nor contradict these reports but instead highlight that crude extraction and limited assay conditions were insufficient for producing definitive potency rankings.</w:t>
      </w:r>
    </w:p>
    <w:p w14:paraId="54EDB932" w14:textId="35C296A6"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The lack of clear sigmoidal inhibition patterns suggests that the active constituents may be present at low abundance in the crude extracts. Fractionation, enrichment, or phytochemical purification could reveal hidden inhibitory activity, as shown in recent work where chromatographic partitioning greatly improved IC₅₀ precision in plant-based enzyme inhibition studies (Kim </w:t>
      </w:r>
      <w:r w:rsidR="00B6491B" w:rsidRPr="00B6491B">
        <w:rPr>
          <w:rFonts w:asciiTheme="majorBidi" w:hAnsiTheme="majorBidi" w:cstheme="majorBidi"/>
          <w:i/>
          <w:szCs w:val="24"/>
        </w:rPr>
        <w:t>et al.</w:t>
      </w:r>
      <w:r w:rsidRPr="0032391C">
        <w:rPr>
          <w:rFonts w:asciiTheme="majorBidi" w:hAnsiTheme="majorBidi" w:cstheme="majorBidi"/>
          <w:szCs w:val="24"/>
        </w:rPr>
        <w:t xml:space="preserve">, 2022). Furthermore, yeast α-glucosidase is highly sensitive to assay conditions such as pH, buffer strength, and substrate concentration, and small deviations can cause substantial shifts in enzyme kinetics (Wang </w:t>
      </w:r>
      <w:r w:rsidR="00B6491B" w:rsidRPr="00B6491B">
        <w:rPr>
          <w:rFonts w:asciiTheme="majorBidi" w:hAnsiTheme="majorBidi" w:cstheme="majorBidi"/>
          <w:i/>
          <w:szCs w:val="24"/>
        </w:rPr>
        <w:t>et al.</w:t>
      </w:r>
      <w:r w:rsidRPr="0032391C">
        <w:rPr>
          <w:rFonts w:asciiTheme="majorBidi" w:hAnsiTheme="majorBidi" w:cstheme="majorBidi"/>
          <w:szCs w:val="24"/>
        </w:rPr>
        <w:t>, 2021). Although the incubation time and buffer pH in this study were consistent with standard protocols, expanding the assay conditions and validating them against known inhibitors such as acarbose would strengthen future experiments.</w:t>
      </w:r>
    </w:p>
    <w:p w14:paraId="4ED6646F" w14:textId="1A0E8975" w:rsidR="0032391C" w:rsidRPr="0032391C" w:rsidRDefault="00730F87" w:rsidP="00730F87">
      <w:pPr>
        <w:jc w:val="both"/>
        <w:rPr>
          <w:rFonts w:asciiTheme="majorBidi" w:hAnsiTheme="majorBidi" w:cstheme="majorBidi"/>
          <w:szCs w:val="24"/>
        </w:rPr>
      </w:pPr>
      <w:r>
        <w:rPr>
          <w:rFonts w:asciiTheme="majorBidi" w:hAnsiTheme="majorBidi" w:cstheme="majorBidi"/>
          <w:szCs w:val="24"/>
        </w:rPr>
        <w:t>T</w:t>
      </w:r>
      <w:r w:rsidR="0032391C" w:rsidRPr="0032391C">
        <w:rPr>
          <w:rFonts w:asciiTheme="majorBidi" w:hAnsiTheme="majorBidi" w:cstheme="majorBidi"/>
          <w:szCs w:val="24"/>
        </w:rPr>
        <w:t xml:space="preserve">he study provides a preliminary comparative assessment of inhibitory effects among the selected plant extracts but shows that the current dataset is insufficient to establish definitive potency rankings or mechanistic conclusions. The results underscore the need for enhanced </w:t>
      </w:r>
      <w:r w:rsidR="0032391C" w:rsidRPr="0032391C">
        <w:rPr>
          <w:rFonts w:asciiTheme="majorBidi" w:hAnsiTheme="majorBidi" w:cstheme="majorBidi"/>
          <w:szCs w:val="24"/>
        </w:rPr>
        <w:lastRenderedPageBreak/>
        <w:t xml:space="preserve">methodological sensitivity, broader concentration ranges, and extract fractionation to obtain interpretable IC₅₀ values. </w:t>
      </w:r>
    </w:p>
    <w:p w14:paraId="11D7CA2C" w14:textId="77777777" w:rsidR="0032391C" w:rsidRPr="0032391C" w:rsidRDefault="0032391C" w:rsidP="00730F87">
      <w:pPr>
        <w:pStyle w:val="Heading1"/>
      </w:pPr>
      <w:bookmarkStart w:id="33" w:name="_Toc216811085"/>
      <w:r w:rsidRPr="0032391C">
        <w:t>4.3 Conclusion</w:t>
      </w:r>
      <w:bookmarkEnd w:id="33"/>
    </w:p>
    <w:p w14:paraId="1E73B747" w14:textId="296D248C" w:rsidR="0032391C" w:rsidRPr="0032391C" w:rsidRDefault="0032391C" w:rsidP="00D40706">
      <w:pPr>
        <w:jc w:val="both"/>
        <w:rPr>
          <w:rFonts w:asciiTheme="majorBidi" w:hAnsiTheme="majorBidi" w:cstheme="majorBidi"/>
          <w:szCs w:val="24"/>
        </w:rPr>
      </w:pPr>
      <w:r w:rsidRPr="0032391C">
        <w:rPr>
          <w:rFonts w:asciiTheme="majorBidi" w:hAnsiTheme="majorBidi" w:cstheme="majorBidi"/>
          <w:szCs w:val="24"/>
        </w:rPr>
        <w:t xml:space="preserve">This study set out to compare the inhibitory effects of seven methanolic plant extracts on the activity of yeast α-glucosidase. Although all extracts produced measurable absorbance changes during the assay, the nonlinear regression revealed that most dose–response curves lacked the sigmoidal pattern normally associated with stable IC₅₀ estimation. Several extracts, including </w:t>
      </w:r>
      <w:r w:rsidR="0041235F" w:rsidRPr="0041235F">
        <w:rPr>
          <w:rFonts w:asciiTheme="majorBidi" w:hAnsiTheme="majorBidi" w:cstheme="majorBidi"/>
          <w:i/>
          <w:szCs w:val="24"/>
        </w:rPr>
        <w:t>Cassia nigricans</w:t>
      </w:r>
      <w:r w:rsidRPr="0032391C">
        <w:rPr>
          <w:rFonts w:asciiTheme="majorBidi" w:hAnsiTheme="majorBidi" w:cstheme="majorBidi"/>
          <w:szCs w:val="24"/>
        </w:rPr>
        <w:t xml:space="preserve">, </w:t>
      </w:r>
      <w:r w:rsidR="0041235F" w:rsidRPr="0041235F">
        <w:rPr>
          <w:rFonts w:asciiTheme="majorBidi" w:hAnsiTheme="majorBidi" w:cstheme="majorBidi"/>
          <w:i/>
          <w:szCs w:val="24"/>
        </w:rPr>
        <w:t>Ficus carica</w:t>
      </w:r>
      <w:r w:rsidRPr="0032391C">
        <w:rPr>
          <w:rFonts w:asciiTheme="majorBidi" w:hAnsiTheme="majorBidi" w:cstheme="majorBidi"/>
          <w:szCs w:val="24"/>
        </w:rPr>
        <w:t xml:space="preserve">, and </w:t>
      </w:r>
      <w:r w:rsidR="0041235F" w:rsidRPr="0041235F">
        <w:rPr>
          <w:rFonts w:asciiTheme="majorBidi" w:hAnsiTheme="majorBidi" w:cstheme="majorBidi"/>
          <w:i/>
          <w:szCs w:val="24"/>
        </w:rPr>
        <w:t>Ficus sycomorus</w:t>
      </w:r>
      <w:r w:rsidRPr="0032391C">
        <w:rPr>
          <w:rFonts w:asciiTheme="majorBidi" w:hAnsiTheme="majorBidi" w:cstheme="majorBidi"/>
          <w:szCs w:val="24"/>
        </w:rPr>
        <w:t xml:space="preserve">, generated unstable fits, which indicated that the tested concentration range did not adequately capture their inhibitory behavior or that their active components were present at very low levels. Extracts such as </w:t>
      </w:r>
      <w:r w:rsidR="00130EC1" w:rsidRPr="00130EC1">
        <w:rPr>
          <w:rFonts w:asciiTheme="majorBidi" w:hAnsiTheme="majorBidi" w:cstheme="majorBidi"/>
          <w:i/>
          <w:szCs w:val="24"/>
        </w:rPr>
        <w:t>Diospyros mespiliformis</w:t>
      </w:r>
      <w:r w:rsidRPr="0032391C">
        <w:rPr>
          <w:rFonts w:asciiTheme="majorBidi" w:hAnsiTheme="majorBidi" w:cstheme="majorBidi"/>
          <w:szCs w:val="24"/>
        </w:rPr>
        <w:t xml:space="preserve">, </w:t>
      </w:r>
      <w:r w:rsidR="00DA0724" w:rsidRPr="0041235F">
        <w:rPr>
          <w:rFonts w:asciiTheme="majorBidi" w:hAnsiTheme="majorBidi" w:cstheme="majorBidi"/>
          <w:i/>
          <w:szCs w:val="24"/>
        </w:rPr>
        <w:t>Khaya senegalensis</w:t>
      </w:r>
      <w:r w:rsidR="00DA0724" w:rsidRPr="0032391C">
        <w:rPr>
          <w:rFonts w:asciiTheme="majorBidi" w:hAnsiTheme="majorBidi" w:cstheme="majorBidi"/>
          <w:szCs w:val="24"/>
        </w:rPr>
        <w:t xml:space="preserve"> </w:t>
      </w:r>
      <w:r w:rsidR="00DA0724">
        <w:rPr>
          <w:rFonts w:asciiTheme="majorBidi" w:hAnsiTheme="majorBidi" w:cstheme="majorBidi"/>
          <w:szCs w:val="24"/>
        </w:rPr>
        <w:t xml:space="preserve">, </w:t>
      </w:r>
      <w:r w:rsidR="00DA0724" w:rsidRPr="00DA0724">
        <w:rPr>
          <w:rFonts w:asciiTheme="majorBidi" w:hAnsiTheme="majorBidi" w:cstheme="majorBidi"/>
          <w:szCs w:val="24"/>
        </w:rPr>
        <w:t>and</w:t>
      </w:r>
      <w:r w:rsidR="00DA0724">
        <w:rPr>
          <w:rFonts w:asciiTheme="majorBidi" w:hAnsiTheme="majorBidi" w:cstheme="majorBidi"/>
          <w:i/>
          <w:iCs/>
          <w:szCs w:val="24"/>
        </w:rPr>
        <w:t xml:space="preserve"> </w:t>
      </w:r>
      <w:r w:rsidR="00D40706" w:rsidRPr="00D40706">
        <w:rPr>
          <w:rFonts w:asciiTheme="majorBidi" w:hAnsiTheme="majorBidi" w:cstheme="majorBidi"/>
          <w:i/>
          <w:iCs/>
          <w:szCs w:val="24"/>
        </w:rPr>
        <w:t>Vernonia amygdalina</w:t>
      </w:r>
      <w:r w:rsidRPr="0032391C">
        <w:rPr>
          <w:rFonts w:asciiTheme="majorBidi" w:hAnsiTheme="majorBidi" w:cstheme="majorBidi"/>
          <w:szCs w:val="24"/>
        </w:rPr>
        <w:t xml:space="preserve"> displayed more consistent upper and lower plateaus, suggesting that they contained constituents capable of interacting with the enzyme, although not in a way that allowed precise potency ranking under the conditions applied.</w:t>
      </w:r>
    </w:p>
    <w:p w14:paraId="584AE899" w14:textId="7F66CF34"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The combined findings show that while the seven plants have the potential to influence α-glucosidase activity, the present assay conditions were not sufficient to define their potency or compare their inhibitory strengths with confidence.</w:t>
      </w:r>
    </w:p>
    <w:p w14:paraId="659D9B5F" w14:textId="77777777" w:rsidR="0032391C" w:rsidRPr="0032391C" w:rsidRDefault="0032391C" w:rsidP="0032391C">
      <w:pPr>
        <w:jc w:val="both"/>
        <w:rPr>
          <w:rFonts w:asciiTheme="majorBidi" w:hAnsiTheme="majorBidi" w:cstheme="majorBidi"/>
          <w:b/>
          <w:bCs/>
          <w:szCs w:val="24"/>
        </w:rPr>
      </w:pPr>
      <w:r w:rsidRPr="0032391C">
        <w:rPr>
          <w:rFonts w:asciiTheme="majorBidi" w:hAnsiTheme="majorBidi" w:cstheme="majorBidi"/>
          <w:b/>
          <w:bCs/>
          <w:szCs w:val="24"/>
        </w:rPr>
        <w:t>4.4 Recommendations</w:t>
      </w:r>
    </w:p>
    <w:p w14:paraId="6A5E7023" w14:textId="77777777"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t xml:space="preserve">Future work should establish a more reliable concentration gradient that spans a wider range, so the full inhibitory curve can be captured with clearer transitions between minimal and maximal effect. The extracts should be fractionated or chromatographically enriched, because crude preparations often dilute the bioactive compounds to levels that are too low for accurate IC₅₀ determination. The use of a standard inhibitor such as acarbose should be incorporated into every assay run, both as a validation step and as a benchmark for interpreting plant-derived inhibition. Replicating the assays with additional substrate concentrations, strict kinetic </w:t>
      </w:r>
      <w:r w:rsidRPr="0032391C">
        <w:rPr>
          <w:rFonts w:asciiTheme="majorBidi" w:hAnsiTheme="majorBidi" w:cstheme="majorBidi"/>
          <w:szCs w:val="24"/>
        </w:rPr>
        <w:lastRenderedPageBreak/>
        <w:t>controls, and alternative enzyme sources may also improve curve stability. Improvements in extraction quality, such as solvent partitioning or purification by column chromatography, would help isolate the compounds responsible for any inhibitory effect and permit clearer mechanistic interpretation. These refinements will allow future studies to generate reproducible, biologically meaningful IC₅₀ values and accurately compare the inhibitory potential of the selected plant species.</w:t>
      </w:r>
    </w:p>
    <w:p w14:paraId="728722CA" w14:textId="6ED55F66" w:rsidR="0032391C" w:rsidRPr="0032391C" w:rsidRDefault="0032391C" w:rsidP="0032391C">
      <w:pPr>
        <w:jc w:val="both"/>
        <w:rPr>
          <w:rFonts w:asciiTheme="majorBidi" w:hAnsiTheme="majorBidi" w:cstheme="majorBidi"/>
          <w:szCs w:val="24"/>
        </w:rPr>
      </w:pPr>
    </w:p>
    <w:p w14:paraId="769C37ED" w14:textId="55D27298" w:rsidR="0032391C" w:rsidRPr="0032391C" w:rsidRDefault="0032391C" w:rsidP="0032391C">
      <w:pPr>
        <w:jc w:val="both"/>
        <w:rPr>
          <w:rFonts w:asciiTheme="majorBidi" w:hAnsiTheme="majorBidi" w:cstheme="majorBidi"/>
          <w:szCs w:val="24"/>
        </w:rPr>
      </w:pPr>
      <w:r w:rsidRPr="0032391C">
        <w:rPr>
          <w:rFonts w:asciiTheme="majorBidi" w:hAnsiTheme="majorBidi" w:cstheme="majorBidi"/>
          <w:szCs w:val="24"/>
        </w:rPr>
        <w:br w:type="page"/>
      </w:r>
    </w:p>
    <w:p w14:paraId="4E65C895" w14:textId="4ABFA0CB" w:rsidR="0032391C" w:rsidRPr="0032391C" w:rsidRDefault="00730F87" w:rsidP="00730F87">
      <w:pPr>
        <w:pStyle w:val="Heading1"/>
      </w:pPr>
      <w:bookmarkStart w:id="34" w:name="_Toc216811086"/>
      <w:r w:rsidRPr="0032391C">
        <w:lastRenderedPageBreak/>
        <w:t>References</w:t>
      </w:r>
      <w:bookmarkEnd w:id="34"/>
      <w:r w:rsidRPr="0032391C">
        <w:t xml:space="preserve"> </w:t>
      </w:r>
    </w:p>
    <w:p w14:paraId="269620CD" w14:textId="618957C1"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Abdel-Hamid, M., El-Moselhy, T., </w:t>
      </w:r>
      <w:r w:rsidR="002402DA">
        <w:rPr>
          <w:rFonts w:asciiTheme="majorBidi" w:hAnsiTheme="majorBidi" w:cstheme="majorBidi"/>
          <w:szCs w:val="24"/>
        </w:rPr>
        <w:t>and</w:t>
      </w:r>
      <w:r w:rsidRPr="0032391C">
        <w:rPr>
          <w:rFonts w:asciiTheme="majorBidi" w:hAnsiTheme="majorBidi" w:cstheme="majorBidi"/>
          <w:szCs w:val="24"/>
        </w:rPr>
        <w:t xml:space="preserve"> Hussein, A. (2018). Antidiabetic effects of plant-derived polyphenols through modulation of α-glucosidase and α-amylase. </w:t>
      </w:r>
      <w:r w:rsidRPr="0032391C">
        <w:rPr>
          <w:rFonts w:asciiTheme="majorBidi" w:hAnsiTheme="majorBidi" w:cstheme="majorBidi"/>
          <w:i/>
          <w:iCs/>
          <w:szCs w:val="24"/>
        </w:rPr>
        <w:t>Journal of Food Biochemistry, 42</w:t>
      </w:r>
      <w:r w:rsidRPr="0032391C">
        <w:rPr>
          <w:rFonts w:asciiTheme="majorBidi" w:hAnsiTheme="majorBidi" w:cstheme="majorBidi"/>
          <w:szCs w:val="24"/>
        </w:rPr>
        <w:t xml:space="preserve">(6), e12501. </w:t>
      </w:r>
      <w:hyperlink r:id="rId16" w:history="1">
        <w:r w:rsidRPr="0032391C">
          <w:rPr>
            <w:rStyle w:val="Hyperlink"/>
            <w:rFonts w:asciiTheme="majorBidi" w:hAnsiTheme="majorBidi" w:cstheme="majorBidi"/>
            <w:szCs w:val="24"/>
          </w:rPr>
          <w:t>https://doi.org/10.1111/jfbc.12501</w:t>
        </w:r>
      </w:hyperlink>
    </w:p>
    <w:p w14:paraId="68752A38" w14:textId="13B15404"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Abdullahi, S., Bello, M., </w:t>
      </w:r>
      <w:r w:rsidR="002402DA">
        <w:rPr>
          <w:rFonts w:asciiTheme="majorBidi" w:hAnsiTheme="majorBidi" w:cstheme="majorBidi"/>
          <w:szCs w:val="24"/>
        </w:rPr>
        <w:t>and</w:t>
      </w:r>
      <w:r w:rsidRPr="006517EC">
        <w:rPr>
          <w:rFonts w:asciiTheme="majorBidi" w:hAnsiTheme="majorBidi" w:cstheme="majorBidi"/>
          <w:szCs w:val="24"/>
        </w:rPr>
        <w:t xml:space="preserve"> Yusuf, A. (2023). Ethnobotanical uses and phytochemistry of </w:t>
      </w:r>
      <w:r w:rsidR="0041235F" w:rsidRPr="0041235F">
        <w:rPr>
          <w:rFonts w:asciiTheme="majorBidi" w:hAnsiTheme="majorBidi" w:cstheme="majorBidi"/>
          <w:i/>
          <w:szCs w:val="24"/>
        </w:rPr>
        <w:t>Cassia nigricans</w:t>
      </w:r>
      <w:r w:rsidRPr="006517EC">
        <w:rPr>
          <w:rFonts w:asciiTheme="majorBidi" w:hAnsiTheme="majorBidi" w:cstheme="majorBidi"/>
          <w:szCs w:val="24"/>
        </w:rPr>
        <w:t xml:space="preserve"> in northern Nigeria. Journal of Ethnobiology and Ethnomedicine, 19(1), 12–22.</w:t>
      </w:r>
    </w:p>
    <w:p w14:paraId="71E186B3" w14:textId="7899E8F4"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Abdulrahman, A., </w:t>
      </w:r>
      <w:r w:rsidR="002402DA">
        <w:rPr>
          <w:rFonts w:asciiTheme="majorBidi" w:hAnsiTheme="majorBidi" w:cstheme="majorBidi"/>
          <w:szCs w:val="24"/>
        </w:rPr>
        <w:t>and</w:t>
      </w:r>
      <w:r w:rsidRPr="006517EC">
        <w:rPr>
          <w:rFonts w:asciiTheme="majorBidi" w:hAnsiTheme="majorBidi" w:cstheme="majorBidi"/>
          <w:szCs w:val="24"/>
        </w:rPr>
        <w:t xml:space="preserve"> Musa, H. (2021). Phytochemicals and antidiabetic potential of West African medicinal plants. African Journal of Biochemistry Research, 15(2), 45–59.</w:t>
      </w:r>
    </w:p>
    <w:p w14:paraId="73F9717E" w14:textId="3F5A777A"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Adebayo, A. A., </w:t>
      </w:r>
      <w:r w:rsidR="002402DA">
        <w:rPr>
          <w:rFonts w:asciiTheme="majorBidi" w:hAnsiTheme="majorBidi" w:cstheme="majorBidi"/>
          <w:szCs w:val="24"/>
        </w:rPr>
        <w:t>and</w:t>
      </w:r>
      <w:r w:rsidRPr="006517EC">
        <w:rPr>
          <w:rFonts w:asciiTheme="majorBidi" w:hAnsiTheme="majorBidi" w:cstheme="majorBidi"/>
          <w:szCs w:val="24"/>
        </w:rPr>
        <w:t xml:space="preserve"> Omodamiro, O. A. (2022). Traditional use and pharmacological validation of Nigerian medicinal plants used in diabetes. Journal of Herbal Medicine, 35, 100558.</w:t>
      </w:r>
    </w:p>
    <w:p w14:paraId="4383E157" w14:textId="77777777"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Adefegha, S. A. (2018). Functional foods and nutraceuticals as dietary intervention in chronic diseases. </w:t>
      </w:r>
      <w:r w:rsidRPr="0032391C">
        <w:rPr>
          <w:rFonts w:asciiTheme="majorBidi" w:hAnsiTheme="majorBidi" w:cstheme="majorBidi"/>
          <w:i/>
          <w:iCs/>
          <w:szCs w:val="24"/>
        </w:rPr>
        <w:t>Journal of Food Measurement and Characterization, 12</w:t>
      </w:r>
      <w:r w:rsidRPr="0032391C">
        <w:rPr>
          <w:rFonts w:asciiTheme="majorBidi" w:hAnsiTheme="majorBidi" w:cstheme="majorBidi"/>
          <w:szCs w:val="24"/>
        </w:rPr>
        <w:t>(1), 346–361.*</w:t>
      </w:r>
    </w:p>
    <w:p w14:paraId="3568961B" w14:textId="646DA9C8"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Adekunle, O., Adetunji, O., </w:t>
      </w:r>
      <w:r w:rsidR="002402DA">
        <w:rPr>
          <w:rFonts w:asciiTheme="majorBidi" w:hAnsiTheme="majorBidi" w:cstheme="majorBidi"/>
          <w:szCs w:val="24"/>
        </w:rPr>
        <w:t>and</w:t>
      </w:r>
      <w:r w:rsidRPr="006517EC">
        <w:rPr>
          <w:rFonts w:asciiTheme="majorBidi" w:hAnsiTheme="majorBidi" w:cstheme="majorBidi"/>
          <w:szCs w:val="24"/>
        </w:rPr>
        <w:t xml:space="preserve"> Olusola, T. (2022). Flavonoids and tannins as inhibitors of carbohydrate-hydrolysing enzymes: implications for diabetes management. Phytotherapy Research, 36(4), 1420–1432.</w:t>
      </w:r>
    </w:p>
    <w:p w14:paraId="085358F0" w14:textId="3E735562"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Akinola, O., </w:t>
      </w:r>
      <w:r w:rsidR="002402DA">
        <w:rPr>
          <w:rFonts w:asciiTheme="majorBidi" w:hAnsiTheme="majorBidi" w:cstheme="majorBidi"/>
          <w:szCs w:val="24"/>
        </w:rPr>
        <w:t>and</w:t>
      </w:r>
      <w:r w:rsidRPr="006517EC">
        <w:rPr>
          <w:rFonts w:asciiTheme="majorBidi" w:hAnsiTheme="majorBidi" w:cstheme="majorBidi"/>
          <w:szCs w:val="24"/>
        </w:rPr>
        <w:t xml:space="preserve"> Fadare, D. (2021). Health </w:t>
      </w:r>
      <w:r w:rsidR="007777FB" w:rsidRPr="007777FB">
        <w:rPr>
          <w:rFonts w:asciiTheme="majorBidi" w:hAnsiTheme="majorBidi" w:cstheme="majorBidi"/>
          <w:szCs w:val="24"/>
        </w:rPr>
        <w:t>system</w:t>
      </w:r>
      <w:r w:rsidRPr="006517EC">
        <w:rPr>
          <w:rFonts w:asciiTheme="majorBidi" w:hAnsiTheme="majorBidi" w:cstheme="majorBidi"/>
          <w:szCs w:val="24"/>
        </w:rPr>
        <w:t xml:space="preserve"> barriers to diabetes care in West Africa: an integrative review. Global Health Research and Policy, 6(1), 11.</w:t>
      </w:r>
    </w:p>
    <w:p w14:paraId="00879B79" w14:textId="2319AA5B"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Ali, R., Khan, S., </w:t>
      </w:r>
      <w:r w:rsidR="002402DA">
        <w:rPr>
          <w:rFonts w:asciiTheme="majorBidi" w:hAnsiTheme="majorBidi" w:cstheme="majorBidi"/>
          <w:szCs w:val="24"/>
        </w:rPr>
        <w:t>and</w:t>
      </w:r>
      <w:r w:rsidRPr="006517EC">
        <w:rPr>
          <w:rFonts w:asciiTheme="majorBidi" w:hAnsiTheme="majorBidi" w:cstheme="majorBidi"/>
          <w:szCs w:val="24"/>
        </w:rPr>
        <w:t xml:space="preserve"> Ahmed, F. (2022). Postprandial glucose control: role of α-glucosidase inhibitors. Clinical Diabetes and Endocrinology, 8(1), 5.</w:t>
      </w:r>
    </w:p>
    <w:p w14:paraId="6D6431D8" w14:textId="35FF1BD8"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Ayeni, O., </w:t>
      </w:r>
      <w:r w:rsidR="002402DA">
        <w:rPr>
          <w:rFonts w:asciiTheme="majorBidi" w:hAnsiTheme="majorBidi" w:cstheme="majorBidi"/>
          <w:szCs w:val="24"/>
        </w:rPr>
        <w:t>and</w:t>
      </w:r>
      <w:r w:rsidRPr="006517EC">
        <w:rPr>
          <w:rFonts w:asciiTheme="majorBidi" w:hAnsiTheme="majorBidi" w:cstheme="majorBidi"/>
          <w:szCs w:val="24"/>
        </w:rPr>
        <w:t xml:space="preserve"> Okonkwo, C. (2021). Spectrophotometric methods for α-glucosidase inhibition assays: best practices and pitfalls. Analytical Biochemistry, 611, 113989.</w:t>
      </w:r>
    </w:p>
    <w:p w14:paraId="37D910D9" w14:textId="12591024"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Bakhti, A., </w:t>
      </w:r>
      <w:r w:rsidR="002402DA">
        <w:rPr>
          <w:rFonts w:asciiTheme="majorBidi" w:hAnsiTheme="majorBidi" w:cstheme="majorBidi"/>
          <w:szCs w:val="24"/>
        </w:rPr>
        <w:t>and</w:t>
      </w:r>
      <w:r w:rsidRPr="006517EC">
        <w:rPr>
          <w:rFonts w:asciiTheme="majorBidi" w:hAnsiTheme="majorBidi" w:cstheme="majorBidi"/>
          <w:szCs w:val="24"/>
        </w:rPr>
        <w:t xml:space="preserve"> Sadaoui, G. (2022). Clinical pharmacology and adverse effects of synthetic α-glucosidase inhibitors. Diabetes Therapy, 13(3), 461–476.</w:t>
      </w:r>
    </w:p>
    <w:p w14:paraId="1D683112" w14:textId="3ABFED37"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lastRenderedPageBreak/>
        <w:t xml:space="preserve">Barbosa, R. B., Silva, P. M., Costa, L. C., </w:t>
      </w:r>
      <w:r w:rsidR="002402DA">
        <w:rPr>
          <w:rFonts w:asciiTheme="majorBidi" w:hAnsiTheme="majorBidi" w:cstheme="majorBidi"/>
          <w:szCs w:val="24"/>
        </w:rPr>
        <w:t>and</w:t>
      </w:r>
      <w:r w:rsidRPr="0032391C">
        <w:rPr>
          <w:rFonts w:asciiTheme="majorBidi" w:hAnsiTheme="majorBidi" w:cstheme="majorBidi"/>
          <w:szCs w:val="24"/>
        </w:rPr>
        <w:t xml:space="preserve"> Martins, A. G. (2023). Polyphenol-rich extracts of </w:t>
      </w:r>
      <w:r w:rsidRPr="0032391C">
        <w:rPr>
          <w:rFonts w:asciiTheme="majorBidi" w:hAnsiTheme="majorBidi" w:cstheme="majorBidi"/>
          <w:i/>
          <w:iCs/>
          <w:szCs w:val="24"/>
        </w:rPr>
        <w:t>Ficus</w:t>
      </w:r>
      <w:r w:rsidRPr="0032391C">
        <w:rPr>
          <w:rFonts w:asciiTheme="majorBidi" w:hAnsiTheme="majorBidi" w:cstheme="majorBidi"/>
          <w:szCs w:val="24"/>
        </w:rPr>
        <w:t xml:space="preserve"> species and their modulatory effects on carbohydrate-hydrolyzing enzymes. </w:t>
      </w:r>
      <w:r w:rsidRPr="0032391C">
        <w:rPr>
          <w:rFonts w:asciiTheme="majorBidi" w:hAnsiTheme="majorBidi" w:cstheme="majorBidi"/>
          <w:i/>
          <w:iCs/>
          <w:szCs w:val="24"/>
        </w:rPr>
        <w:t>Journal of Ethnopharmacology, 312</w:t>
      </w:r>
      <w:r w:rsidRPr="0032391C">
        <w:rPr>
          <w:rFonts w:asciiTheme="majorBidi" w:hAnsiTheme="majorBidi" w:cstheme="majorBidi"/>
          <w:szCs w:val="24"/>
        </w:rPr>
        <w:t xml:space="preserve">, 116437. </w:t>
      </w:r>
      <w:hyperlink r:id="rId17" w:history="1">
        <w:r w:rsidRPr="0032391C">
          <w:rPr>
            <w:rStyle w:val="Hyperlink"/>
            <w:rFonts w:asciiTheme="majorBidi" w:hAnsiTheme="majorBidi" w:cstheme="majorBidi"/>
            <w:szCs w:val="24"/>
          </w:rPr>
          <w:t>https://doi.org/10.1016/j.jep.2023.116437</w:t>
        </w:r>
      </w:hyperlink>
    </w:p>
    <w:p w14:paraId="4E376A6C" w14:textId="351E25AD"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Bello, K., Ibrahim, G., </w:t>
      </w:r>
      <w:r w:rsidR="002402DA">
        <w:rPr>
          <w:rFonts w:asciiTheme="majorBidi" w:hAnsiTheme="majorBidi" w:cstheme="majorBidi"/>
          <w:szCs w:val="24"/>
        </w:rPr>
        <w:t>and</w:t>
      </w:r>
      <w:r w:rsidRPr="006517EC">
        <w:rPr>
          <w:rFonts w:asciiTheme="majorBidi" w:hAnsiTheme="majorBidi" w:cstheme="majorBidi"/>
          <w:szCs w:val="24"/>
        </w:rPr>
        <w:t xml:space="preserve"> Abdullahi, M. (2021). Ethnopharmacology of Diospyros mespiliformis: uses, phytochemistry and biological activities. Journal of Medicinal Plants Research, 15(7), 160–171.</w:t>
      </w:r>
    </w:p>
    <w:p w14:paraId="3EFA8B73" w14:textId="46925B2B"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Boadi, W., </w:t>
      </w:r>
      <w:r w:rsidR="002402DA">
        <w:rPr>
          <w:rFonts w:asciiTheme="majorBidi" w:hAnsiTheme="majorBidi" w:cstheme="majorBidi"/>
          <w:szCs w:val="24"/>
        </w:rPr>
        <w:t>and</w:t>
      </w:r>
      <w:r w:rsidRPr="006517EC">
        <w:rPr>
          <w:rFonts w:asciiTheme="majorBidi" w:hAnsiTheme="majorBidi" w:cstheme="majorBidi"/>
          <w:szCs w:val="24"/>
        </w:rPr>
        <w:t xml:space="preserve"> Asase, A. (2020). African medicinal plants: an overview of ethnobotanical uses and pharmacological potential. African Journal of Traditional, Complementary and Alternative Medicines, 17(3), 1–14.</w:t>
      </w:r>
    </w:p>
    <w:p w14:paraId="2CC488EE" w14:textId="2767090B"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Chakrabarti, R., Rajagopalan, R., </w:t>
      </w:r>
      <w:r w:rsidR="002402DA">
        <w:rPr>
          <w:rFonts w:asciiTheme="majorBidi" w:hAnsiTheme="majorBidi" w:cstheme="majorBidi"/>
          <w:szCs w:val="24"/>
        </w:rPr>
        <w:t>and</w:t>
      </w:r>
      <w:r w:rsidRPr="0032391C">
        <w:rPr>
          <w:rFonts w:asciiTheme="majorBidi" w:hAnsiTheme="majorBidi" w:cstheme="majorBidi"/>
          <w:szCs w:val="24"/>
        </w:rPr>
        <w:t xml:space="preserve"> Mukherjee, S. (2020). Enzyme inhibitory potential of medicinal plants used traditionally for diabetes. </w:t>
      </w:r>
      <w:r w:rsidRPr="0032391C">
        <w:rPr>
          <w:rFonts w:asciiTheme="majorBidi" w:hAnsiTheme="majorBidi" w:cstheme="majorBidi"/>
          <w:i/>
          <w:iCs/>
          <w:szCs w:val="24"/>
        </w:rPr>
        <w:t>Phytomedicine, 78</w:t>
      </w:r>
      <w:r w:rsidRPr="0032391C">
        <w:rPr>
          <w:rFonts w:asciiTheme="majorBidi" w:hAnsiTheme="majorBidi" w:cstheme="majorBidi"/>
          <w:szCs w:val="24"/>
        </w:rPr>
        <w:t>, 153310.*</w:t>
      </w:r>
    </w:p>
    <w:p w14:paraId="0AC5D740" w14:textId="4CFEAC9F"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Chaudhary, S., Gupta, P., </w:t>
      </w:r>
      <w:r w:rsidR="002402DA">
        <w:rPr>
          <w:rFonts w:asciiTheme="majorBidi" w:hAnsiTheme="majorBidi" w:cstheme="majorBidi"/>
          <w:szCs w:val="24"/>
        </w:rPr>
        <w:t>and</w:t>
      </w:r>
      <w:r w:rsidRPr="006517EC">
        <w:rPr>
          <w:rFonts w:asciiTheme="majorBidi" w:hAnsiTheme="majorBidi" w:cstheme="majorBidi"/>
          <w:szCs w:val="24"/>
        </w:rPr>
        <w:t xml:space="preserve"> Mehta, R. (2022). In vitro evaluation of α-glucosidase inhibitors: standardization and application. Experimental and Therapeutic Medicine, 23(4), 374.</w:t>
      </w:r>
    </w:p>
    <w:p w14:paraId="62DF5BFC" w14:textId="3990E287"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Chukwuma, C., </w:t>
      </w:r>
      <w:r w:rsidR="002402DA">
        <w:rPr>
          <w:rFonts w:asciiTheme="majorBidi" w:hAnsiTheme="majorBidi" w:cstheme="majorBidi"/>
          <w:szCs w:val="24"/>
        </w:rPr>
        <w:t>and</w:t>
      </w:r>
      <w:r w:rsidRPr="006517EC">
        <w:rPr>
          <w:rFonts w:asciiTheme="majorBidi" w:hAnsiTheme="majorBidi" w:cstheme="majorBidi"/>
          <w:szCs w:val="24"/>
        </w:rPr>
        <w:t xml:space="preserve"> Ugwu, E. (2021). Phytochemicals from indigenous plants and their effect on carbohydrate metabolism. Journal of Applied Biochemistry, 12(2), 87–98.</w:t>
      </w:r>
    </w:p>
    <w:p w14:paraId="2DD8B30E" w14:textId="24FA7A78"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Ezeani, I., </w:t>
      </w:r>
      <w:r w:rsidR="002402DA">
        <w:rPr>
          <w:rFonts w:asciiTheme="majorBidi" w:hAnsiTheme="majorBidi" w:cstheme="majorBidi"/>
          <w:szCs w:val="24"/>
        </w:rPr>
        <w:t>and</w:t>
      </w:r>
      <w:r w:rsidRPr="006517EC">
        <w:rPr>
          <w:rFonts w:asciiTheme="majorBidi" w:hAnsiTheme="majorBidi" w:cstheme="majorBidi"/>
          <w:szCs w:val="24"/>
        </w:rPr>
        <w:t xml:space="preserve"> Okoye, P. (2020). Comparative evaluation of plant extracts on digestive enzyme inhibition. Nigerian Journal of Biochemistry and Molecular Biology, 35(1), 12–24.</w:t>
      </w:r>
    </w:p>
    <w:p w14:paraId="6D59F820" w14:textId="7EED9591"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Farooq, A., Khan, M., </w:t>
      </w:r>
      <w:r w:rsidR="002402DA">
        <w:rPr>
          <w:rFonts w:asciiTheme="majorBidi" w:hAnsiTheme="majorBidi" w:cstheme="majorBidi"/>
          <w:szCs w:val="24"/>
        </w:rPr>
        <w:t>and</w:t>
      </w:r>
      <w:r w:rsidRPr="006517EC">
        <w:rPr>
          <w:rFonts w:asciiTheme="majorBidi" w:hAnsiTheme="majorBidi" w:cstheme="majorBidi"/>
          <w:szCs w:val="24"/>
        </w:rPr>
        <w:t xml:space="preserve"> Sadiq, A. (2021). Postprandial hyperglycemia, oxidative stress and vascular complications: mechanistic links. Cardiovascular Diabetology, 20(1), 234.</w:t>
      </w:r>
    </w:p>
    <w:p w14:paraId="2F90CDE0" w14:textId="5ACA8346"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Fasakin, O., </w:t>
      </w:r>
      <w:r w:rsidR="002402DA">
        <w:rPr>
          <w:rFonts w:asciiTheme="majorBidi" w:hAnsiTheme="majorBidi" w:cstheme="majorBidi"/>
          <w:szCs w:val="24"/>
        </w:rPr>
        <w:t>and</w:t>
      </w:r>
      <w:r w:rsidRPr="006517EC">
        <w:rPr>
          <w:rFonts w:asciiTheme="majorBidi" w:hAnsiTheme="majorBidi" w:cstheme="majorBidi"/>
          <w:szCs w:val="24"/>
        </w:rPr>
        <w:t xml:space="preserve"> Ojo, A. (2022). Solvent polarity and extraction yield of bioactive compounds from medicinal plants. Journal of Natural Products Research, 16(2), 101–114.</w:t>
      </w:r>
    </w:p>
    <w:p w14:paraId="6136D3BA" w14:textId="7563FA02"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Garcia, L., </w:t>
      </w:r>
      <w:r w:rsidR="002402DA">
        <w:rPr>
          <w:rFonts w:asciiTheme="majorBidi" w:hAnsiTheme="majorBidi" w:cstheme="majorBidi"/>
          <w:szCs w:val="24"/>
        </w:rPr>
        <w:t>and</w:t>
      </w:r>
      <w:r w:rsidRPr="006517EC">
        <w:rPr>
          <w:rFonts w:asciiTheme="majorBidi" w:hAnsiTheme="majorBidi" w:cstheme="majorBidi"/>
          <w:szCs w:val="24"/>
        </w:rPr>
        <w:t xml:space="preserve"> Monteiro, J. (2021). Carbohydrate digestion and absorption: a molecular perspective. Molecular Metabolism, 43, 101096.</w:t>
      </w:r>
    </w:p>
    <w:p w14:paraId="0F65801B" w14:textId="6661C49B"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lastRenderedPageBreak/>
        <w:t xml:space="preserve">Hardy, L. W., </w:t>
      </w:r>
      <w:r w:rsidR="002402DA">
        <w:rPr>
          <w:rFonts w:asciiTheme="majorBidi" w:hAnsiTheme="majorBidi" w:cstheme="majorBidi"/>
          <w:szCs w:val="24"/>
        </w:rPr>
        <w:t>and</w:t>
      </w:r>
      <w:r w:rsidRPr="0032391C">
        <w:rPr>
          <w:rFonts w:asciiTheme="majorBidi" w:hAnsiTheme="majorBidi" w:cstheme="majorBidi"/>
          <w:szCs w:val="24"/>
        </w:rPr>
        <w:t xml:space="preserve"> Holland, D. R. (2018). Structure and catalytic mechanism of yeast α-glucosidase. </w:t>
      </w:r>
      <w:r w:rsidRPr="0032391C">
        <w:rPr>
          <w:rFonts w:asciiTheme="majorBidi" w:hAnsiTheme="majorBidi" w:cstheme="majorBidi"/>
          <w:i/>
          <w:iCs/>
          <w:szCs w:val="24"/>
        </w:rPr>
        <w:t>Biochemical Journal, 475</w:t>
      </w:r>
      <w:r w:rsidRPr="0032391C">
        <w:rPr>
          <w:rFonts w:asciiTheme="majorBidi" w:hAnsiTheme="majorBidi" w:cstheme="majorBidi"/>
          <w:szCs w:val="24"/>
        </w:rPr>
        <w:t xml:space="preserve">(2), 205–219. </w:t>
      </w:r>
      <w:hyperlink r:id="rId18" w:history="1">
        <w:r w:rsidRPr="0032391C">
          <w:rPr>
            <w:rStyle w:val="Hyperlink"/>
            <w:rFonts w:asciiTheme="majorBidi" w:hAnsiTheme="majorBidi" w:cstheme="majorBidi"/>
            <w:szCs w:val="24"/>
          </w:rPr>
          <w:t>https://doi.org/10.1042/BCJ20170691</w:t>
        </w:r>
      </w:hyperlink>
    </w:p>
    <w:p w14:paraId="764ABC10" w14:textId="22E3DA35"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Hossain, M., </w:t>
      </w:r>
      <w:r w:rsidR="002402DA">
        <w:rPr>
          <w:rFonts w:asciiTheme="majorBidi" w:hAnsiTheme="majorBidi" w:cstheme="majorBidi"/>
          <w:szCs w:val="24"/>
        </w:rPr>
        <w:t>and</w:t>
      </w:r>
      <w:r w:rsidRPr="006517EC">
        <w:rPr>
          <w:rFonts w:asciiTheme="majorBidi" w:hAnsiTheme="majorBidi" w:cstheme="majorBidi"/>
          <w:szCs w:val="24"/>
        </w:rPr>
        <w:t xml:space="preserve"> Rahman, M. (2022). Practical guide to enzyme inhibition assays for natural products research. Methods in Enzymology, 653, 231–254.</w:t>
      </w:r>
    </w:p>
    <w:p w14:paraId="2C1DAB6C" w14:textId="4531B199"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Hussain, M., </w:t>
      </w:r>
      <w:r w:rsidR="002402DA">
        <w:rPr>
          <w:rFonts w:asciiTheme="majorBidi" w:hAnsiTheme="majorBidi" w:cstheme="majorBidi"/>
          <w:szCs w:val="24"/>
        </w:rPr>
        <w:t>and</w:t>
      </w:r>
      <w:r w:rsidRPr="006517EC">
        <w:rPr>
          <w:rFonts w:asciiTheme="majorBidi" w:hAnsiTheme="majorBidi" w:cstheme="majorBidi"/>
          <w:szCs w:val="24"/>
        </w:rPr>
        <w:t xml:space="preserve"> Javed, A. (2023). Nonlinear regression fitting of dose–response curves: best practices and model selection. Journal of Pharmacological Methods, 28(1), 45–62.</w:t>
      </w:r>
    </w:p>
    <w:p w14:paraId="09462096" w14:textId="57603B8A"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Ibrahim, M., </w:t>
      </w:r>
      <w:r w:rsidR="002402DA">
        <w:rPr>
          <w:rFonts w:asciiTheme="majorBidi" w:hAnsiTheme="majorBidi" w:cstheme="majorBidi"/>
          <w:szCs w:val="24"/>
        </w:rPr>
        <w:t>and</w:t>
      </w:r>
      <w:r w:rsidRPr="006517EC">
        <w:rPr>
          <w:rFonts w:asciiTheme="majorBidi" w:hAnsiTheme="majorBidi" w:cstheme="majorBidi"/>
          <w:szCs w:val="24"/>
        </w:rPr>
        <w:t xml:space="preserve"> Musa, S. (2023). Best practices for storage and handling of crude plant extracts for enzymatic assays. Phytochemical Bulletin, 8(1), 34–42.</w:t>
      </w:r>
    </w:p>
    <w:p w14:paraId="625CBF81" w14:textId="77777777"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International Diabetes Federation. (2021). </w:t>
      </w:r>
      <w:r w:rsidRPr="0032391C">
        <w:rPr>
          <w:rFonts w:asciiTheme="majorBidi" w:hAnsiTheme="majorBidi" w:cstheme="majorBidi"/>
          <w:i/>
          <w:iCs/>
          <w:szCs w:val="24"/>
        </w:rPr>
        <w:t>IDF Diabetes Atlas (10th ed.).</w:t>
      </w:r>
      <w:r w:rsidRPr="0032391C">
        <w:rPr>
          <w:rFonts w:asciiTheme="majorBidi" w:hAnsiTheme="majorBidi" w:cstheme="majorBidi"/>
          <w:szCs w:val="24"/>
        </w:rPr>
        <w:t xml:space="preserve"> Brussels, Belgium: IDF.</w:t>
      </w:r>
    </w:p>
    <w:p w14:paraId="75B487B1" w14:textId="1A4E2E3A"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Ishikawa, A., Yamamoto, M., </w:t>
      </w:r>
      <w:r w:rsidR="002402DA">
        <w:rPr>
          <w:rFonts w:asciiTheme="majorBidi" w:hAnsiTheme="majorBidi" w:cstheme="majorBidi"/>
          <w:szCs w:val="24"/>
        </w:rPr>
        <w:t>and</w:t>
      </w:r>
      <w:r w:rsidRPr="0032391C">
        <w:rPr>
          <w:rFonts w:asciiTheme="majorBidi" w:hAnsiTheme="majorBidi" w:cstheme="majorBidi"/>
          <w:szCs w:val="24"/>
        </w:rPr>
        <w:t xml:space="preserve"> Iseki, K. (2020). Enzymatic pathways involved in postprandial glucose regulation. </w:t>
      </w:r>
      <w:r w:rsidRPr="0032391C">
        <w:rPr>
          <w:rFonts w:asciiTheme="majorBidi" w:hAnsiTheme="majorBidi" w:cstheme="majorBidi"/>
          <w:i/>
          <w:iCs/>
          <w:szCs w:val="24"/>
        </w:rPr>
        <w:t>Metabolism Research Reviews, 36</w:t>
      </w:r>
      <w:r w:rsidRPr="0032391C">
        <w:rPr>
          <w:rFonts w:asciiTheme="majorBidi" w:hAnsiTheme="majorBidi" w:cstheme="majorBidi"/>
          <w:szCs w:val="24"/>
        </w:rPr>
        <w:t>(3), e3245.*</w:t>
      </w:r>
    </w:p>
    <w:p w14:paraId="29C68A50" w14:textId="5419705C"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Khan, S., Ali, M., </w:t>
      </w:r>
      <w:r w:rsidR="002402DA">
        <w:rPr>
          <w:rFonts w:asciiTheme="majorBidi" w:hAnsiTheme="majorBidi" w:cstheme="majorBidi"/>
          <w:szCs w:val="24"/>
        </w:rPr>
        <w:t>and</w:t>
      </w:r>
      <w:r w:rsidRPr="006517EC">
        <w:rPr>
          <w:rFonts w:asciiTheme="majorBidi" w:hAnsiTheme="majorBidi" w:cstheme="majorBidi"/>
          <w:szCs w:val="24"/>
        </w:rPr>
        <w:t xml:space="preserve"> Rahman, Q. (2022). Glucose homeostasis and molecular targets for diabetes therapy. Endocrine Reviews, 43(2), 201–224.</w:t>
      </w:r>
    </w:p>
    <w:p w14:paraId="40B4E007" w14:textId="4B4AF8B9"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Kim, J., Park, S. E., </w:t>
      </w:r>
      <w:r w:rsidR="002402DA">
        <w:rPr>
          <w:rFonts w:asciiTheme="majorBidi" w:hAnsiTheme="majorBidi" w:cstheme="majorBidi"/>
          <w:szCs w:val="24"/>
        </w:rPr>
        <w:t>and</w:t>
      </w:r>
      <w:r w:rsidRPr="0032391C">
        <w:rPr>
          <w:rFonts w:asciiTheme="majorBidi" w:hAnsiTheme="majorBidi" w:cstheme="majorBidi"/>
          <w:szCs w:val="24"/>
        </w:rPr>
        <w:t xml:space="preserve"> Son, H. (2022). Improving phytochemical enzyme-inhibition profiling through chromatographic fractionation. </w:t>
      </w:r>
      <w:r w:rsidRPr="0032391C">
        <w:rPr>
          <w:rFonts w:asciiTheme="majorBidi" w:hAnsiTheme="majorBidi" w:cstheme="majorBidi"/>
          <w:i/>
          <w:iCs/>
          <w:szCs w:val="24"/>
        </w:rPr>
        <w:t>Phytochemistry Letters, 51</w:t>
      </w:r>
      <w:r w:rsidRPr="0032391C">
        <w:rPr>
          <w:rFonts w:asciiTheme="majorBidi" w:hAnsiTheme="majorBidi" w:cstheme="majorBidi"/>
          <w:szCs w:val="24"/>
        </w:rPr>
        <w:t xml:space="preserve">, 82–89. </w:t>
      </w:r>
      <w:hyperlink r:id="rId19" w:history="1">
        <w:r w:rsidRPr="0032391C">
          <w:rPr>
            <w:rStyle w:val="Hyperlink"/>
            <w:rFonts w:asciiTheme="majorBidi" w:hAnsiTheme="majorBidi" w:cstheme="majorBidi"/>
            <w:szCs w:val="24"/>
          </w:rPr>
          <w:t>https://doi.org/10.1016/j.phytol.2022.03.014</w:t>
        </w:r>
      </w:hyperlink>
    </w:p>
    <w:p w14:paraId="73B6318B" w14:textId="7CC98615"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Kim, Y. H., Lee, J. K., </w:t>
      </w:r>
      <w:r w:rsidR="002402DA">
        <w:rPr>
          <w:rFonts w:asciiTheme="majorBidi" w:hAnsiTheme="majorBidi" w:cstheme="majorBidi"/>
          <w:szCs w:val="24"/>
        </w:rPr>
        <w:t>and</w:t>
      </w:r>
      <w:r w:rsidRPr="006517EC">
        <w:rPr>
          <w:rFonts w:asciiTheme="majorBidi" w:hAnsiTheme="majorBidi" w:cstheme="majorBidi"/>
          <w:szCs w:val="24"/>
        </w:rPr>
        <w:t xml:space="preserve"> Park, S. M. (2021). Yeast α-glucosidase extraction and assay optimization for inhibitor screening. Journal of Enzyme Inhibition, 36(1), 789–798.</w:t>
      </w:r>
    </w:p>
    <w:p w14:paraId="2F978CDF" w14:textId="0EDC04B8"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Kumar, R., Singh, V., </w:t>
      </w:r>
      <w:r w:rsidR="002402DA">
        <w:rPr>
          <w:rFonts w:asciiTheme="majorBidi" w:hAnsiTheme="majorBidi" w:cstheme="majorBidi"/>
          <w:szCs w:val="24"/>
        </w:rPr>
        <w:t>and</w:t>
      </w:r>
      <w:r w:rsidRPr="006517EC">
        <w:rPr>
          <w:rFonts w:asciiTheme="majorBidi" w:hAnsiTheme="majorBidi" w:cstheme="majorBidi"/>
          <w:szCs w:val="24"/>
        </w:rPr>
        <w:t xml:space="preserve"> Sharma, P. (2021). Yeast as a model in α-glucosidase inhibition studies: advantages and limitations. Biotechnology Research International, 2021, 8823921.</w:t>
      </w:r>
    </w:p>
    <w:p w14:paraId="640405BA" w14:textId="0A333D8F"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Li, X., Zhao, L., </w:t>
      </w:r>
      <w:r w:rsidR="002402DA">
        <w:rPr>
          <w:rFonts w:asciiTheme="majorBidi" w:hAnsiTheme="majorBidi" w:cstheme="majorBidi"/>
          <w:szCs w:val="24"/>
        </w:rPr>
        <w:t>and</w:t>
      </w:r>
      <w:r w:rsidRPr="006517EC">
        <w:rPr>
          <w:rFonts w:asciiTheme="majorBidi" w:hAnsiTheme="majorBidi" w:cstheme="majorBidi"/>
          <w:szCs w:val="24"/>
        </w:rPr>
        <w:t xml:space="preserve"> Chen, Y. (2023). Colorimetric substrates and assay conditions for α-glucosidase enzymology. Analytical Methods in Enzymology, 12(3), 201–220.</w:t>
      </w:r>
    </w:p>
    <w:p w14:paraId="095C8BB0" w14:textId="5F627824"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lastRenderedPageBreak/>
        <w:t xml:space="preserve">Mathew, M., </w:t>
      </w:r>
      <w:r w:rsidR="002402DA">
        <w:rPr>
          <w:rFonts w:asciiTheme="majorBidi" w:hAnsiTheme="majorBidi" w:cstheme="majorBidi"/>
          <w:szCs w:val="24"/>
        </w:rPr>
        <w:t>and</w:t>
      </w:r>
      <w:r w:rsidRPr="0032391C">
        <w:rPr>
          <w:rFonts w:asciiTheme="majorBidi" w:hAnsiTheme="majorBidi" w:cstheme="majorBidi"/>
          <w:szCs w:val="24"/>
        </w:rPr>
        <w:t xml:space="preserve"> Subramanian, S. (2014). In vitro evaluation of anti-diabetic potentials of polyphenols from medicinal plants. </w:t>
      </w:r>
      <w:r w:rsidRPr="0032391C">
        <w:rPr>
          <w:rFonts w:asciiTheme="majorBidi" w:hAnsiTheme="majorBidi" w:cstheme="majorBidi"/>
          <w:i/>
          <w:iCs/>
          <w:szCs w:val="24"/>
        </w:rPr>
        <w:t>Journal of Clinical and Diagnostic Research, 8</w:t>
      </w:r>
      <w:r w:rsidRPr="0032391C">
        <w:rPr>
          <w:rFonts w:asciiTheme="majorBidi" w:hAnsiTheme="majorBidi" w:cstheme="majorBidi"/>
          <w:szCs w:val="24"/>
        </w:rPr>
        <w:t>(9), HC01–HC03.</w:t>
      </w:r>
    </w:p>
    <w:p w14:paraId="25B0C675" w14:textId="46E6B048"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Miyazaki, H., </w:t>
      </w:r>
      <w:r w:rsidR="002402DA">
        <w:rPr>
          <w:rFonts w:asciiTheme="majorBidi" w:hAnsiTheme="majorBidi" w:cstheme="majorBidi"/>
          <w:szCs w:val="24"/>
        </w:rPr>
        <w:t>and</w:t>
      </w:r>
      <w:r w:rsidRPr="006517EC">
        <w:rPr>
          <w:rFonts w:asciiTheme="majorBidi" w:hAnsiTheme="majorBidi" w:cstheme="majorBidi"/>
          <w:szCs w:val="24"/>
        </w:rPr>
        <w:t xml:space="preserve"> Aoki, Y. (2023). Brush border enzymes and intestinal glucose absorption in health and disease. Gastroenterology Research and Practice, 2023, Article ID 987654.</w:t>
      </w:r>
    </w:p>
    <w:p w14:paraId="09BA4B1A" w14:textId="408429E1"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Moghadam, A., Sadeghi, H., </w:t>
      </w:r>
      <w:r w:rsidR="002402DA">
        <w:rPr>
          <w:rFonts w:asciiTheme="majorBidi" w:hAnsiTheme="majorBidi" w:cstheme="majorBidi"/>
          <w:szCs w:val="24"/>
        </w:rPr>
        <w:t>and</w:t>
      </w:r>
      <w:r w:rsidRPr="006517EC">
        <w:rPr>
          <w:rFonts w:asciiTheme="majorBidi" w:hAnsiTheme="majorBidi" w:cstheme="majorBidi"/>
          <w:szCs w:val="24"/>
        </w:rPr>
        <w:t xml:space="preserve"> Pour, N. (2020). Enzymatic control of carbohydrate digestion: α-glucosidase as a therapeutic target. International Journal of Biological Sciences, 16(7), 1203–1214.</w:t>
      </w:r>
    </w:p>
    <w:p w14:paraId="4ADFDAB1" w14:textId="329A8019"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Moussa, R., </w:t>
      </w:r>
      <w:r w:rsidR="002402DA">
        <w:rPr>
          <w:rFonts w:asciiTheme="majorBidi" w:hAnsiTheme="majorBidi" w:cstheme="majorBidi"/>
          <w:szCs w:val="24"/>
        </w:rPr>
        <w:t>and</w:t>
      </w:r>
      <w:r w:rsidRPr="006517EC">
        <w:rPr>
          <w:rFonts w:asciiTheme="majorBidi" w:hAnsiTheme="majorBidi" w:cstheme="majorBidi"/>
          <w:szCs w:val="24"/>
        </w:rPr>
        <w:t xml:space="preserve"> Taleb, K. (2023). Statistical approaches to interpreting IC50 in natural product research. Journal of Natural Product Statistics, 5(1), 12–27.</w:t>
      </w:r>
    </w:p>
    <w:p w14:paraId="08D5A5A0" w14:textId="314E3627"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Nahar, N., </w:t>
      </w:r>
      <w:r w:rsidR="002402DA">
        <w:rPr>
          <w:rFonts w:asciiTheme="majorBidi" w:hAnsiTheme="majorBidi" w:cstheme="majorBidi"/>
          <w:szCs w:val="24"/>
        </w:rPr>
        <w:t>and</w:t>
      </w:r>
      <w:r w:rsidRPr="006517EC">
        <w:rPr>
          <w:rFonts w:asciiTheme="majorBidi" w:hAnsiTheme="majorBidi" w:cstheme="majorBidi"/>
          <w:szCs w:val="24"/>
        </w:rPr>
        <w:t xml:space="preserve"> Rahman, A. (2020). Plant-derived α-glucosidase inhibitors: a </w:t>
      </w:r>
      <w:r w:rsidR="007777FB" w:rsidRPr="007777FB">
        <w:rPr>
          <w:rFonts w:asciiTheme="majorBidi" w:hAnsiTheme="majorBidi" w:cstheme="majorBidi"/>
          <w:szCs w:val="24"/>
        </w:rPr>
        <w:t>system</w:t>
      </w:r>
      <w:r w:rsidRPr="006517EC">
        <w:rPr>
          <w:rFonts w:asciiTheme="majorBidi" w:hAnsiTheme="majorBidi" w:cstheme="majorBidi"/>
          <w:szCs w:val="24"/>
        </w:rPr>
        <w:t>atic review. Phytopharmacology, 10(2), 67–82.</w:t>
      </w:r>
    </w:p>
    <w:p w14:paraId="073F9F21" w14:textId="71236117"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Nazir, S., Ahmed, R., </w:t>
      </w:r>
      <w:r w:rsidR="002402DA">
        <w:rPr>
          <w:rFonts w:asciiTheme="majorBidi" w:hAnsiTheme="majorBidi" w:cstheme="majorBidi"/>
          <w:szCs w:val="24"/>
        </w:rPr>
        <w:t>and</w:t>
      </w:r>
      <w:r w:rsidRPr="006517EC">
        <w:rPr>
          <w:rFonts w:asciiTheme="majorBidi" w:hAnsiTheme="majorBidi" w:cstheme="majorBidi"/>
          <w:szCs w:val="24"/>
        </w:rPr>
        <w:t xml:space="preserve"> Khan, T. (2022). Salivary and pancreatic amylase: roles in early carbohydrate digestion. Digestive Enzymology, 4(2), 55–64.</w:t>
      </w:r>
    </w:p>
    <w:p w14:paraId="2EC86AB7" w14:textId="33FB8C3B"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Nugraha, D., Hidayat, A., </w:t>
      </w:r>
      <w:r w:rsidR="002402DA">
        <w:rPr>
          <w:rFonts w:asciiTheme="majorBidi" w:hAnsiTheme="majorBidi" w:cstheme="majorBidi"/>
          <w:szCs w:val="24"/>
        </w:rPr>
        <w:t>and</w:t>
      </w:r>
      <w:r w:rsidRPr="006517EC">
        <w:rPr>
          <w:rFonts w:asciiTheme="majorBidi" w:hAnsiTheme="majorBidi" w:cstheme="majorBidi"/>
          <w:szCs w:val="24"/>
        </w:rPr>
        <w:t xml:space="preserve"> Siregar, E. (2020). Side effects and tolerability of acarbose and related α-glucosidase inhibitors. Clinical Therapeutics, 42(8), 1528–1539.</w:t>
      </w:r>
    </w:p>
    <w:p w14:paraId="59B2AB05" w14:textId="23F6554B"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Nwosu, C., Eze, U., </w:t>
      </w:r>
      <w:r w:rsidR="002402DA">
        <w:rPr>
          <w:rFonts w:asciiTheme="majorBidi" w:hAnsiTheme="majorBidi" w:cstheme="majorBidi"/>
          <w:szCs w:val="24"/>
        </w:rPr>
        <w:t>and</w:t>
      </w:r>
      <w:r w:rsidRPr="006517EC">
        <w:rPr>
          <w:rFonts w:asciiTheme="majorBidi" w:hAnsiTheme="majorBidi" w:cstheme="majorBidi"/>
          <w:szCs w:val="24"/>
        </w:rPr>
        <w:t xml:space="preserve"> Obi, K. (2022). Patient adherence to α-glucosidase inhibitor therapy in resource-limited settings. Diabetes Care in Practice, 7(1), 22–29.</w:t>
      </w:r>
    </w:p>
    <w:p w14:paraId="3657D607" w14:textId="0A13B94A"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Ogbuanu, C. C., Nwodo, U. U., </w:t>
      </w:r>
      <w:r w:rsidR="002402DA">
        <w:rPr>
          <w:rFonts w:asciiTheme="majorBidi" w:hAnsiTheme="majorBidi" w:cstheme="majorBidi"/>
          <w:szCs w:val="24"/>
        </w:rPr>
        <w:t>and</w:t>
      </w:r>
      <w:r w:rsidRPr="0032391C">
        <w:rPr>
          <w:rFonts w:asciiTheme="majorBidi" w:hAnsiTheme="majorBidi" w:cstheme="majorBidi"/>
          <w:szCs w:val="24"/>
        </w:rPr>
        <w:t xml:space="preserve"> Okoye, J. I. (2021). Alpha-glucosidase inhibitory properties of </w:t>
      </w:r>
      <w:r w:rsidR="0041235F" w:rsidRPr="0041235F">
        <w:rPr>
          <w:rFonts w:asciiTheme="majorBidi" w:hAnsiTheme="majorBidi" w:cstheme="majorBidi"/>
          <w:i/>
          <w:iCs/>
          <w:szCs w:val="24"/>
        </w:rPr>
        <w:t>Vernonia amygdalina</w:t>
      </w:r>
      <w:r w:rsidRPr="0032391C">
        <w:rPr>
          <w:rFonts w:asciiTheme="majorBidi" w:hAnsiTheme="majorBidi" w:cstheme="majorBidi"/>
          <w:szCs w:val="24"/>
        </w:rPr>
        <w:t xml:space="preserve"> fractions. </w:t>
      </w:r>
      <w:r w:rsidRPr="0032391C">
        <w:rPr>
          <w:rFonts w:asciiTheme="majorBidi" w:hAnsiTheme="majorBidi" w:cstheme="majorBidi"/>
          <w:i/>
          <w:iCs/>
          <w:szCs w:val="24"/>
        </w:rPr>
        <w:t>Biochemistry Research International, 2021</w:t>
      </w:r>
      <w:r w:rsidRPr="0032391C">
        <w:rPr>
          <w:rFonts w:asciiTheme="majorBidi" w:hAnsiTheme="majorBidi" w:cstheme="majorBidi"/>
          <w:szCs w:val="24"/>
        </w:rPr>
        <w:t xml:space="preserve">, 6625403. </w:t>
      </w:r>
      <w:hyperlink r:id="rId20" w:history="1">
        <w:r w:rsidRPr="0032391C">
          <w:rPr>
            <w:rStyle w:val="Hyperlink"/>
            <w:rFonts w:asciiTheme="majorBidi" w:hAnsiTheme="majorBidi" w:cstheme="majorBidi"/>
            <w:szCs w:val="24"/>
          </w:rPr>
          <w:t>https://doi.org/10.1155/2021/6625403</w:t>
        </w:r>
      </w:hyperlink>
    </w:p>
    <w:p w14:paraId="62BAA401" w14:textId="7AC67E59"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Ogunleye, O., Adeyemi, O., </w:t>
      </w:r>
      <w:r w:rsidR="002402DA">
        <w:rPr>
          <w:rFonts w:asciiTheme="majorBidi" w:hAnsiTheme="majorBidi" w:cstheme="majorBidi"/>
          <w:szCs w:val="24"/>
        </w:rPr>
        <w:t>and</w:t>
      </w:r>
      <w:r w:rsidRPr="006517EC">
        <w:rPr>
          <w:rFonts w:asciiTheme="majorBidi" w:hAnsiTheme="majorBidi" w:cstheme="majorBidi"/>
          <w:szCs w:val="24"/>
        </w:rPr>
        <w:t xml:space="preserve"> Babalola, O. (2023). Phytochemical screening and bioactivity of </w:t>
      </w:r>
      <w:r w:rsidR="0041235F" w:rsidRPr="0041235F">
        <w:rPr>
          <w:rFonts w:asciiTheme="majorBidi" w:hAnsiTheme="majorBidi" w:cstheme="majorBidi"/>
          <w:i/>
          <w:szCs w:val="24"/>
        </w:rPr>
        <w:t>Khaya senegalensis</w:t>
      </w:r>
      <w:r w:rsidRPr="006517EC">
        <w:rPr>
          <w:rFonts w:asciiTheme="majorBidi" w:hAnsiTheme="majorBidi" w:cstheme="majorBidi"/>
          <w:szCs w:val="24"/>
        </w:rPr>
        <w:t xml:space="preserve"> extracts. Journal of Medicinal Plant Research, 17(3), 145–156.</w:t>
      </w:r>
    </w:p>
    <w:p w14:paraId="2D32B5EC" w14:textId="50807811"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lastRenderedPageBreak/>
        <w:t xml:space="preserve">Ogunyinka, O., </w:t>
      </w:r>
      <w:r w:rsidR="002402DA">
        <w:rPr>
          <w:rFonts w:asciiTheme="majorBidi" w:hAnsiTheme="majorBidi" w:cstheme="majorBidi"/>
          <w:szCs w:val="24"/>
        </w:rPr>
        <w:t>and</w:t>
      </w:r>
      <w:r w:rsidRPr="006517EC">
        <w:rPr>
          <w:rFonts w:asciiTheme="majorBidi" w:hAnsiTheme="majorBidi" w:cstheme="majorBidi"/>
          <w:szCs w:val="24"/>
        </w:rPr>
        <w:t xml:space="preserve"> Balogun, A. (2021). Influence of solvent </w:t>
      </w:r>
      <w:r w:rsidR="007777FB" w:rsidRPr="007777FB">
        <w:rPr>
          <w:rFonts w:asciiTheme="majorBidi" w:hAnsiTheme="majorBidi" w:cstheme="majorBidi"/>
          <w:szCs w:val="24"/>
        </w:rPr>
        <w:t>system</w:t>
      </w:r>
      <w:r w:rsidRPr="006517EC">
        <w:rPr>
          <w:rFonts w:asciiTheme="majorBidi" w:hAnsiTheme="majorBidi" w:cstheme="majorBidi"/>
          <w:szCs w:val="24"/>
        </w:rPr>
        <w:t>s on extraction of phytochemicals from Nigerian medicinal plants. Journal of Natural Medicines, 75(2), 389–401.</w:t>
      </w:r>
    </w:p>
    <w:p w14:paraId="0D79E65F" w14:textId="4E3CD141"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Ojo, O., </w:t>
      </w:r>
      <w:r w:rsidR="002402DA">
        <w:rPr>
          <w:rFonts w:asciiTheme="majorBidi" w:hAnsiTheme="majorBidi" w:cstheme="majorBidi"/>
          <w:szCs w:val="24"/>
        </w:rPr>
        <w:t>and</w:t>
      </w:r>
      <w:r w:rsidRPr="006517EC">
        <w:rPr>
          <w:rFonts w:asciiTheme="majorBidi" w:hAnsiTheme="majorBidi" w:cstheme="majorBidi"/>
          <w:szCs w:val="24"/>
        </w:rPr>
        <w:t xml:space="preserve"> Kareem, M. (2023). Comparative antidiabetic potential of Cassia species: in vitro and in vivo studies. Pharmacognosy Journal, 15(2), 102–114.</w:t>
      </w:r>
    </w:p>
    <w:p w14:paraId="18877081" w14:textId="1059E159"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Okafor, J., </w:t>
      </w:r>
      <w:r w:rsidR="002402DA">
        <w:rPr>
          <w:rFonts w:asciiTheme="majorBidi" w:hAnsiTheme="majorBidi" w:cstheme="majorBidi"/>
          <w:szCs w:val="24"/>
        </w:rPr>
        <w:t>and</w:t>
      </w:r>
      <w:r w:rsidRPr="006517EC">
        <w:rPr>
          <w:rFonts w:asciiTheme="majorBidi" w:hAnsiTheme="majorBidi" w:cstheme="majorBidi"/>
          <w:szCs w:val="24"/>
        </w:rPr>
        <w:t xml:space="preserve"> Ezegwui, H. (2021). Diabetes prevalence and risk factors in sub-Saharan Africa: a review. Public Health in Africa, 12(1), 33–44.</w:t>
      </w:r>
    </w:p>
    <w:p w14:paraId="1EF3BBDD" w14:textId="65321C01"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Okoli, E., </w:t>
      </w:r>
      <w:r w:rsidR="002402DA">
        <w:rPr>
          <w:rFonts w:asciiTheme="majorBidi" w:hAnsiTheme="majorBidi" w:cstheme="majorBidi"/>
          <w:szCs w:val="24"/>
        </w:rPr>
        <w:t>and</w:t>
      </w:r>
      <w:r w:rsidRPr="006517EC">
        <w:rPr>
          <w:rFonts w:asciiTheme="majorBidi" w:hAnsiTheme="majorBidi" w:cstheme="majorBidi"/>
          <w:szCs w:val="24"/>
        </w:rPr>
        <w:t xml:space="preserve"> Udeh, C. (2021). Antioxidant and antimicrobial activities of Diospyros mespiliformis: a review. Journal of Ethnopharmacology, 267, 113592.</w:t>
      </w:r>
    </w:p>
    <w:p w14:paraId="077ACD34" w14:textId="3410D5B8"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Otimenyin, S., Afolabi, T., </w:t>
      </w:r>
      <w:r w:rsidR="002402DA">
        <w:rPr>
          <w:rFonts w:asciiTheme="majorBidi" w:hAnsiTheme="majorBidi" w:cstheme="majorBidi"/>
          <w:szCs w:val="24"/>
        </w:rPr>
        <w:t>and</w:t>
      </w:r>
      <w:r w:rsidRPr="006517EC">
        <w:rPr>
          <w:rFonts w:asciiTheme="majorBidi" w:hAnsiTheme="majorBidi" w:cstheme="majorBidi"/>
          <w:szCs w:val="24"/>
        </w:rPr>
        <w:t xml:space="preserve"> Peters, M. (2022). Phytochemical composition and enzyme inhibition activity of selected West African medicinal plants. Journal of Ethnopharmacology, 290, 115048.</w:t>
      </w:r>
    </w:p>
    <w:p w14:paraId="0D1EF50C" w14:textId="302E9D14"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Patel, K., </w:t>
      </w:r>
      <w:r w:rsidR="002402DA">
        <w:rPr>
          <w:rFonts w:asciiTheme="majorBidi" w:hAnsiTheme="majorBidi" w:cstheme="majorBidi"/>
          <w:szCs w:val="24"/>
        </w:rPr>
        <w:t>and</w:t>
      </w:r>
      <w:r w:rsidRPr="006517EC">
        <w:rPr>
          <w:rFonts w:asciiTheme="majorBidi" w:hAnsiTheme="majorBidi" w:cstheme="majorBidi"/>
          <w:szCs w:val="24"/>
        </w:rPr>
        <w:t xml:space="preserve"> Sharma, A. (2021). Standard methods for α-glucosidase inhibition assays using PNPG and maltose substrates. MethodsX, 8, 101329.</w:t>
      </w:r>
    </w:p>
    <w:p w14:paraId="77AB86D4" w14:textId="2951D117"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Patel, T., Rana, R., </w:t>
      </w:r>
      <w:r w:rsidR="002402DA">
        <w:rPr>
          <w:rFonts w:asciiTheme="majorBidi" w:hAnsiTheme="majorBidi" w:cstheme="majorBidi"/>
          <w:szCs w:val="24"/>
        </w:rPr>
        <w:t>and</w:t>
      </w:r>
      <w:r w:rsidRPr="0032391C">
        <w:rPr>
          <w:rFonts w:asciiTheme="majorBidi" w:hAnsiTheme="majorBidi" w:cstheme="majorBidi"/>
          <w:szCs w:val="24"/>
        </w:rPr>
        <w:t xml:space="preserve"> Shah, P. (2021). Phytochemical inhibitors of digestive enzymes: A review. </w:t>
      </w:r>
      <w:r w:rsidRPr="0032391C">
        <w:rPr>
          <w:rFonts w:asciiTheme="majorBidi" w:hAnsiTheme="majorBidi" w:cstheme="majorBidi"/>
          <w:i/>
          <w:iCs/>
          <w:szCs w:val="24"/>
        </w:rPr>
        <w:t>Critical Reviews in Food Science and Nutrition, 61</w:t>
      </w:r>
      <w:r w:rsidRPr="0032391C">
        <w:rPr>
          <w:rFonts w:asciiTheme="majorBidi" w:hAnsiTheme="majorBidi" w:cstheme="majorBidi"/>
          <w:szCs w:val="24"/>
        </w:rPr>
        <w:t xml:space="preserve">(14), 2350–2367. </w:t>
      </w:r>
      <w:hyperlink r:id="rId21" w:history="1">
        <w:r w:rsidRPr="0032391C">
          <w:rPr>
            <w:rStyle w:val="Hyperlink"/>
            <w:rFonts w:asciiTheme="majorBidi" w:hAnsiTheme="majorBidi" w:cstheme="majorBidi"/>
            <w:szCs w:val="24"/>
          </w:rPr>
          <w:t>https://doi.org/10.1080/10408398.2020.1769044</w:t>
        </w:r>
      </w:hyperlink>
    </w:p>
    <w:p w14:paraId="0A605912" w14:textId="1E8DB5FB"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Rahaman, S. M., Akter, S., </w:t>
      </w:r>
      <w:r w:rsidR="002402DA">
        <w:rPr>
          <w:rFonts w:asciiTheme="majorBidi" w:hAnsiTheme="majorBidi" w:cstheme="majorBidi"/>
          <w:szCs w:val="24"/>
        </w:rPr>
        <w:t>and</w:t>
      </w:r>
      <w:r w:rsidRPr="0032391C">
        <w:rPr>
          <w:rFonts w:asciiTheme="majorBidi" w:hAnsiTheme="majorBidi" w:cstheme="majorBidi"/>
          <w:szCs w:val="24"/>
        </w:rPr>
        <w:t xml:space="preserve"> Khan, M. A. (2023). Challenges in IC₅₀ estimation from crude plant extracts. </w:t>
      </w:r>
      <w:r w:rsidRPr="0032391C">
        <w:rPr>
          <w:rFonts w:asciiTheme="majorBidi" w:hAnsiTheme="majorBidi" w:cstheme="majorBidi"/>
          <w:i/>
          <w:iCs/>
          <w:szCs w:val="24"/>
        </w:rPr>
        <w:t>Journal of Applied Biological Sciences, 17</w:t>
      </w:r>
      <w:r w:rsidRPr="0032391C">
        <w:rPr>
          <w:rFonts w:asciiTheme="majorBidi" w:hAnsiTheme="majorBidi" w:cstheme="majorBidi"/>
          <w:szCs w:val="24"/>
        </w:rPr>
        <w:t xml:space="preserve">(2), 19–28. </w:t>
      </w:r>
      <w:hyperlink r:id="rId22" w:history="1">
        <w:r w:rsidRPr="0032391C">
          <w:rPr>
            <w:rStyle w:val="Hyperlink"/>
            <w:rFonts w:asciiTheme="majorBidi" w:hAnsiTheme="majorBidi" w:cstheme="majorBidi"/>
            <w:szCs w:val="24"/>
          </w:rPr>
          <w:t>https://doi.org/10.5585/jabs.2023.1712</w:t>
        </w:r>
      </w:hyperlink>
    </w:p>
    <w:p w14:paraId="2D45CA4D" w14:textId="1FD75C87"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Rahid, S., Alam, M., </w:t>
      </w:r>
      <w:r w:rsidR="002402DA">
        <w:rPr>
          <w:rFonts w:asciiTheme="majorBidi" w:hAnsiTheme="majorBidi" w:cstheme="majorBidi"/>
          <w:szCs w:val="24"/>
        </w:rPr>
        <w:t>and</w:t>
      </w:r>
      <w:r w:rsidRPr="006517EC">
        <w:rPr>
          <w:rFonts w:asciiTheme="majorBidi" w:hAnsiTheme="majorBidi" w:cstheme="majorBidi"/>
          <w:szCs w:val="24"/>
        </w:rPr>
        <w:t xml:space="preserve"> Choudhury, M. (2020). Solvent polarity effects on recoverable phytochemical classes. Journal of Phytochemical Analysis, 7(1), 12–20.</w:t>
      </w:r>
    </w:p>
    <w:p w14:paraId="696EBFBE" w14:textId="7F654FD8"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Rahman, A., Islam, S., </w:t>
      </w:r>
      <w:r w:rsidR="002402DA">
        <w:rPr>
          <w:rFonts w:asciiTheme="majorBidi" w:hAnsiTheme="majorBidi" w:cstheme="majorBidi"/>
          <w:szCs w:val="24"/>
        </w:rPr>
        <w:t>and</w:t>
      </w:r>
      <w:r w:rsidRPr="006517EC">
        <w:rPr>
          <w:rFonts w:asciiTheme="majorBidi" w:hAnsiTheme="majorBidi" w:cstheme="majorBidi"/>
          <w:szCs w:val="24"/>
        </w:rPr>
        <w:t xml:space="preserve"> Hossain, M. (2022). Methodological considerations in enzyme inhibition assays using crude plant extracts. Journal of Pharmacological Methods, 18(2), 99–110.</w:t>
      </w:r>
    </w:p>
    <w:p w14:paraId="58BEB8B5" w14:textId="77519DCD"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lastRenderedPageBreak/>
        <w:t xml:space="preserve">Rahman, S., Akter, S., </w:t>
      </w:r>
      <w:r w:rsidR="002402DA">
        <w:rPr>
          <w:rFonts w:asciiTheme="majorBidi" w:hAnsiTheme="majorBidi" w:cstheme="majorBidi"/>
          <w:szCs w:val="24"/>
        </w:rPr>
        <w:t>and</w:t>
      </w:r>
      <w:r w:rsidRPr="006517EC">
        <w:rPr>
          <w:rFonts w:asciiTheme="majorBidi" w:hAnsiTheme="majorBidi" w:cstheme="majorBidi"/>
          <w:szCs w:val="24"/>
        </w:rPr>
        <w:t xml:space="preserve"> Khan, M. A. (2023). Challenges in IC50 estimation from crude plant extracts. Journal of Applied Biological Sciences, 17(2), 19–28.</w:t>
      </w:r>
    </w:p>
    <w:p w14:paraId="27C0EC0B" w14:textId="07EEB746"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Ramos, L., </w:t>
      </w:r>
      <w:r w:rsidR="002402DA">
        <w:rPr>
          <w:rFonts w:asciiTheme="majorBidi" w:hAnsiTheme="majorBidi" w:cstheme="majorBidi"/>
          <w:szCs w:val="24"/>
        </w:rPr>
        <w:t>and</w:t>
      </w:r>
      <w:r w:rsidRPr="006517EC">
        <w:rPr>
          <w:rFonts w:asciiTheme="majorBidi" w:hAnsiTheme="majorBidi" w:cstheme="majorBidi"/>
          <w:szCs w:val="24"/>
        </w:rPr>
        <w:t xml:space="preserve"> Vieira, P. (2021). Intestinal hydrolases and regulation of carbohydrate digestion. Frontiers in Physiology, 12, 643210.</w:t>
      </w:r>
    </w:p>
    <w:p w14:paraId="2F2C383D" w14:textId="652D8A7A"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Rani, R., </w:t>
      </w:r>
      <w:r w:rsidR="002402DA">
        <w:rPr>
          <w:rFonts w:asciiTheme="majorBidi" w:hAnsiTheme="majorBidi" w:cstheme="majorBidi"/>
          <w:szCs w:val="24"/>
        </w:rPr>
        <w:t>and</w:t>
      </w:r>
      <w:r w:rsidRPr="006517EC">
        <w:rPr>
          <w:rFonts w:asciiTheme="majorBidi" w:hAnsiTheme="majorBidi" w:cstheme="majorBidi"/>
          <w:szCs w:val="24"/>
        </w:rPr>
        <w:t xml:space="preserve"> Dhanabal, S. (2021). Advances in the development of α-glucosidase inhibitors. Drug Discovery Today, 26(4), 987–995.</w:t>
      </w:r>
    </w:p>
    <w:p w14:paraId="4E76589F" w14:textId="1BBB176E"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Rashid, M., Chowdhury, S., </w:t>
      </w:r>
      <w:r w:rsidR="002402DA">
        <w:rPr>
          <w:rFonts w:asciiTheme="majorBidi" w:hAnsiTheme="majorBidi" w:cstheme="majorBidi"/>
          <w:szCs w:val="24"/>
        </w:rPr>
        <w:t>and</w:t>
      </w:r>
      <w:r w:rsidRPr="006517EC">
        <w:rPr>
          <w:rFonts w:asciiTheme="majorBidi" w:hAnsiTheme="majorBidi" w:cstheme="majorBidi"/>
          <w:szCs w:val="24"/>
        </w:rPr>
        <w:t xml:space="preserve"> Hossain, A. (2020). Extraction solvents and yield of phenolic compounds: a comparative study. International Journal of Food Science, 55(3), 765–774.</w:t>
      </w:r>
    </w:p>
    <w:p w14:paraId="2D32AB26" w14:textId="5915F669"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Sambo, A., </w:t>
      </w:r>
      <w:r w:rsidR="002402DA">
        <w:rPr>
          <w:rFonts w:asciiTheme="majorBidi" w:hAnsiTheme="majorBidi" w:cstheme="majorBidi"/>
          <w:szCs w:val="24"/>
        </w:rPr>
        <w:t>and</w:t>
      </w:r>
      <w:r w:rsidRPr="006517EC">
        <w:rPr>
          <w:rFonts w:asciiTheme="majorBidi" w:hAnsiTheme="majorBidi" w:cstheme="majorBidi"/>
          <w:szCs w:val="24"/>
        </w:rPr>
        <w:t xml:space="preserve"> Ibrahim, M. (2023). Limonoids and antidiabetic activity of </w:t>
      </w:r>
      <w:r w:rsidR="0041235F" w:rsidRPr="0041235F">
        <w:rPr>
          <w:rFonts w:asciiTheme="majorBidi" w:hAnsiTheme="majorBidi" w:cstheme="majorBidi"/>
          <w:i/>
          <w:szCs w:val="24"/>
        </w:rPr>
        <w:t>Khaya senegalensis</w:t>
      </w:r>
      <w:r w:rsidRPr="006517EC">
        <w:rPr>
          <w:rFonts w:asciiTheme="majorBidi" w:hAnsiTheme="majorBidi" w:cstheme="majorBidi"/>
          <w:szCs w:val="24"/>
        </w:rPr>
        <w:t>: a phytochemical perspective. Natural Product Research, 37(5), 720–731.</w:t>
      </w:r>
    </w:p>
    <w:p w14:paraId="0BDC8D0D" w14:textId="65D3D91D"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Serrano, J., Puupponen-Pimiä, R., Dauer, A., Aura, A.-M., </w:t>
      </w:r>
      <w:r w:rsidR="002402DA">
        <w:rPr>
          <w:rFonts w:asciiTheme="majorBidi" w:hAnsiTheme="majorBidi" w:cstheme="majorBidi"/>
          <w:szCs w:val="24"/>
        </w:rPr>
        <w:t>and</w:t>
      </w:r>
      <w:r w:rsidRPr="0032391C">
        <w:rPr>
          <w:rFonts w:asciiTheme="majorBidi" w:hAnsiTheme="majorBidi" w:cstheme="majorBidi"/>
          <w:szCs w:val="24"/>
        </w:rPr>
        <w:t xml:space="preserve"> Saura-Calixto, F. (2009). Tannins: Current knowledge and future prospects. </w:t>
      </w:r>
      <w:r w:rsidRPr="0032391C">
        <w:rPr>
          <w:rFonts w:asciiTheme="majorBidi" w:hAnsiTheme="majorBidi" w:cstheme="majorBidi"/>
          <w:i/>
          <w:iCs/>
          <w:szCs w:val="24"/>
        </w:rPr>
        <w:t>Critical Reviews in Food Science and Nutrition, 49</w:t>
      </w:r>
      <w:r w:rsidRPr="0032391C">
        <w:rPr>
          <w:rFonts w:asciiTheme="majorBidi" w:hAnsiTheme="majorBidi" w:cstheme="majorBidi"/>
          <w:szCs w:val="24"/>
        </w:rPr>
        <w:t>(9), 740–755.*</w:t>
      </w:r>
    </w:p>
    <w:p w14:paraId="271BE0B3" w14:textId="41AC6463"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Serrano, J., Puupponen-Pimiä, R., Dauer, A., Aura, A.-M., </w:t>
      </w:r>
      <w:r w:rsidR="002402DA">
        <w:rPr>
          <w:rFonts w:asciiTheme="majorBidi" w:hAnsiTheme="majorBidi" w:cstheme="majorBidi"/>
          <w:szCs w:val="24"/>
        </w:rPr>
        <w:t>and</w:t>
      </w:r>
      <w:r w:rsidRPr="006517EC">
        <w:rPr>
          <w:rFonts w:asciiTheme="majorBidi" w:hAnsiTheme="majorBidi" w:cstheme="majorBidi"/>
          <w:szCs w:val="24"/>
        </w:rPr>
        <w:t xml:space="preserve"> Saura-Calixto, F. (2009). Tannins: current knowledge and future prospects. Critical Reviews in Food Science and Nutrition, 49(9), 740–755.</w:t>
      </w:r>
    </w:p>
    <w:p w14:paraId="7387F69C" w14:textId="04DB2B0F"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Sun, J., Zhao, S., </w:t>
      </w:r>
      <w:r w:rsidR="002402DA">
        <w:rPr>
          <w:rFonts w:asciiTheme="majorBidi" w:hAnsiTheme="majorBidi" w:cstheme="majorBidi"/>
          <w:szCs w:val="24"/>
        </w:rPr>
        <w:t>and</w:t>
      </w:r>
      <w:r w:rsidRPr="0032391C">
        <w:rPr>
          <w:rFonts w:asciiTheme="majorBidi" w:hAnsiTheme="majorBidi" w:cstheme="majorBidi"/>
          <w:szCs w:val="24"/>
        </w:rPr>
        <w:t xml:space="preserve"> Li, W. (2022). Alpha-glucosidase inhibitors: From therapeutic development to molecular mechanism. </w:t>
      </w:r>
      <w:r w:rsidRPr="0032391C">
        <w:rPr>
          <w:rFonts w:asciiTheme="majorBidi" w:hAnsiTheme="majorBidi" w:cstheme="majorBidi"/>
          <w:i/>
          <w:iCs/>
          <w:szCs w:val="24"/>
        </w:rPr>
        <w:t>Current Drug Targets, 23</w:t>
      </w:r>
      <w:r w:rsidRPr="0032391C">
        <w:rPr>
          <w:rFonts w:asciiTheme="majorBidi" w:hAnsiTheme="majorBidi" w:cstheme="majorBidi"/>
          <w:szCs w:val="24"/>
        </w:rPr>
        <w:t xml:space="preserve">(4), 300–315. </w:t>
      </w:r>
      <w:hyperlink r:id="rId23" w:history="1">
        <w:r w:rsidRPr="0032391C">
          <w:rPr>
            <w:rStyle w:val="Hyperlink"/>
            <w:rFonts w:asciiTheme="majorBidi" w:hAnsiTheme="majorBidi" w:cstheme="majorBidi"/>
            <w:szCs w:val="24"/>
          </w:rPr>
          <w:t>https://doi.org/10.2174/1389450122666210902101541</w:t>
        </w:r>
      </w:hyperlink>
    </w:p>
    <w:p w14:paraId="7D17B3B9" w14:textId="5D692B3B" w:rsidR="009C0866" w:rsidRPr="006517EC" w:rsidRDefault="009C0866" w:rsidP="009C0866">
      <w:pPr>
        <w:ind w:left="720" w:hanging="720"/>
        <w:jc w:val="both"/>
        <w:rPr>
          <w:rFonts w:asciiTheme="majorBidi" w:hAnsiTheme="majorBidi" w:cstheme="majorBidi"/>
          <w:szCs w:val="24"/>
        </w:rPr>
      </w:pPr>
      <w:r w:rsidRPr="006517EC">
        <w:rPr>
          <w:rFonts w:asciiTheme="majorBidi" w:hAnsiTheme="majorBidi" w:cstheme="majorBidi"/>
          <w:szCs w:val="24"/>
        </w:rPr>
        <w:t xml:space="preserve">Usman, L., </w:t>
      </w:r>
      <w:r w:rsidR="002402DA">
        <w:rPr>
          <w:rFonts w:asciiTheme="majorBidi" w:hAnsiTheme="majorBidi" w:cstheme="majorBidi"/>
          <w:szCs w:val="24"/>
        </w:rPr>
        <w:t>and</w:t>
      </w:r>
      <w:r w:rsidRPr="006517EC">
        <w:rPr>
          <w:rFonts w:asciiTheme="majorBidi" w:hAnsiTheme="majorBidi" w:cstheme="majorBidi"/>
          <w:szCs w:val="24"/>
        </w:rPr>
        <w:t xml:space="preserve"> Bello, H. (2021). Kinetic models and inhibition types for digestive enzymes. Biochemical Modelling, 6(2), 88–100.</w:t>
      </w:r>
    </w:p>
    <w:p w14:paraId="1156BF97" w14:textId="3E144222"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Wang, H., Lin, Y., </w:t>
      </w:r>
      <w:r w:rsidR="002402DA">
        <w:rPr>
          <w:rFonts w:asciiTheme="majorBidi" w:hAnsiTheme="majorBidi" w:cstheme="majorBidi"/>
          <w:szCs w:val="24"/>
        </w:rPr>
        <w:t>and</w:t>
      </w:r>
      <w:r w:rsidRPr="0032391C">
        <w:rPr>
          <w:rFonts w:asciiTheme="majorBidi" w:hAnsiTheme="majorBidi" w:cstheme="majorBidi"/>
          <w:szCs w:val="24"/>
        </w:rPr>
        <w:t xml:space="preserve"> Chen, X. (2021). Influence of assay conditions on yeast α-glucosidase kinetics and inhibitor evaluation. </w:t>
      </w:r>
      <w:r w:rsidRPr="0032391C">
        <w:rPr>
          <w:rFonts w:asciiTheme="majorBidi" w:hAnsiTheme="majorBidi" w:cstheme="majorBidi"/>
          <w:i/>
          <w:iCs/>
          <w:szCs w:val="24"/>
        </w:rPr>
        <w:t>International Journal of Biological Macromolecules, 183</w:t>
      </w:r>
      <w:r w:rsidRPr="0032391C">
        <w:rPr>
          <w:rFonts w:asciiTheme="majorBidi" w:hAnsiTheme="majorBidi" w:cstheme="majorBidi"/>
          <w:szCs w:val="24"/>
        </w:rPr>
        <w:t xml:space="preserve">, 1546–1554. </w:t>
      </w:r>
      <w:hyperlink r:id="rId24" w:history="1">
        <w:r w:rsidRPr="0032391C">
          <w:rPr>
            <w:rStyle w:val="Hyperlink"/>
            <w:rFonts w:asciiTheme="majorBidi" w:hAnsiTheme="majorBidi" w:cstheme="majorBidi"/>
            <w:szCs w:val="24"/>
          </w:rPr>
          <w:t>https://doi.org/10.1016/j.ijbiomac.2021.05.012</w:t>
        </w:r>
      </w:hyperlink>
    </w:p>
    <w:p w14:paraId="5D4F9784" w14:textId="77777777"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lastRenderedPageBreak/>
        <w:t xml:space="preserve">World Health Organization. (2021). </w:t>
      </w:r>
      <w:r w:rsidRPr="0032391C">
        <w:rPr>
          <w:rFonts w:asciiTheme="majorBidi" w:hAnsiTheme="majorBidi" w:cstheme="majorBidi"/>
          <w:i/>
          <w:iCs/>
          <w:szCs w:val="24"/>
        </w:rPr>
        <w:t>Global report on diabetes.</w:t>
      </w:r>
      <w:r w:rsidRPr="0032391C">
        <w:rPr>
          <w:rFonts w:asciiTheme="majorBidi" w:hAnsiTheme="majorBidi" w:cstheme="majorBidi"/>
          <w:szCs w:val="24"/>
        </w:rPr>
        <w:t xml:space="preserve"> WHO Press.</w:t>
      </w:r>
    </w:p>
    <w:p w14:paraId="0048625E" w14:textId="0AB9AA64" w:rsidR="009C0866" w:rsidRPr="0032391C"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Yin, X., Sun, Y., </w:t>
      </w:r>
      <w:r w:rsidR="002402DA">
        <w:rPr>
          <w:rFonts w:asciiTheme="majorBidi" w:hAnsiTheme="majorBidi" w:cstheme="majorBidi"/>
          <w:szCs w:val="24"/>
        </w:rPr>
        <w:t>and</w:t>
      </w:r>
      <w:r w:rsidRPr="0032391C">
        <w:rPr>
          <w:rFonts w:asciiTheme="majorBidi" w:hAnsiTheme="majorBidi" w:cstheme="majorBidi"/>
          <w:szCs w:val="24"/>
        </w:rPr>
        <w:t xml:space="preserve"> Zhu, H. (2020). Natural polyphenolic α-glucosidase inhibitors and their structure–activity relationships. </w:t>
      </w:r>
      <w:r w:rsidRPr="0032391C">
        <w:rPr>
          <w:rFonts w:asciiTheme="majorBidi" w:hAnsiTheme="majorBidi" w:cstheme="majorBidi"/>
          <w:i/>
          <w:iCs/>
          <w:szCs w:val="24"/>
        </w:rPr>
        <w:t>Food Chemistry, 326</w:t>
      </w:r>
      <w:r w:rsidRPr="0032391C">
        <w:rPr>
          <w:rFonts w:asciiTheme="majorBidi" w:hAnsiTheme="majorBidi" w:cstheme="majorBidi"/>
          <w:szCs w:val="24"/>
        </w:rPr>
        <w:t xml:space="preserve">, 126978. </w:t>
      </w:r>
      <w:hyperlink r:id="rId25" w:history="1">
        <w:r w:rsidRPr="0032391C">
          <w:rPr>
            <w:rStyle w:val="Hyperlink"/>
            <w:rFonts w:asciiTheme="majorBidi" w:hAnsiTheme="majorBidi" w:cstheme="majorBidi"/>
            <w:szCs w:val="24"/>
          </w:rPr>
          <w:t>https://doi.org/10.1016/j.foodchem.2020.126978</w:t>
        </w:r>
      </w:hyperlink>
    </w:p>
    <w:p w14:paraId="3249E0CE" w14:textId="64E438DA" w:rsidR="009C0866" w:rsidRDefault="009C0866" w:rsidP="00730F87">
      <w:pPr>
        <w:ind w:left="720" w:hanging="720"/>
        <w:jc w:val="both"/>
        <w:rPr>
          <w:rFonts w:asciiTheme="majorBidi" w:hAnsiTheme="majorBidi" w:cstheme="majorBidi"/>
          <w:szCs w:val="24"/>
        </w:rPr>
      </w:pPr>
      <w:r w:rsidRPr="0032391C">
        <w:rPr>
          <w:rFonts w:asciiTheme="majorBidi" w:hAnsiTheme="majorBidi" w:cstheme="majorBidi"/>
          <w:szCs w:val="24"/>
        </w:rPr>
        <w:t xml:space="preserve">Zhang, Q., </w:t>
      </w:r>
      <w:r w:rsidR="002402DA">
        <w:rPr>
          <w:rFonts w:asciiTheme="majorBidi" w:hAnsiTheme="majorBidi" w:cstheme="majorBidi"/>
          <w:szCs w:val="24"/>
        </w:rPr>
        <w:t>and</w:t>
      </w:r>
      <w:r w:rsidRPr="0032391C">
        <w:rPr>
          <w:rFonts w:asciiTheme="majorBidi" w:hAnsiTheme="majorBidi" w:cstheme="majorBidi"/>
          <w:szCs w:val="24"/>
        </w:rPr>
        <w:t xml:space="preserve"> Liu, J. (2021). Reliability of nonlinear regression in enzyme kinetic models and implications for IC₅₀ interpretation. </w:t>
      </w:r>
      <w:r w:rsidRPr="0032391C">
        <w:rPr>
          <w:rFonts w:asciiTheme="majorBidi" w:hAnsiTheme="majorBidi" w:cstheme="majorBidi"/>
          <w:i/>
          <w:iCs/>
          <w:szCs w:val="24"/>
        </w:rPr>
        <w:t>Journal of Enzyme Inhibition and Medicinal Chemistry, 36</w:t>
      </w:r>
      <w:r w:rsidRPr="0032391C">
        <w:rPr>
          <w:rFonts w:asciiTheme="majorBidi" w:hAnsiTheme="majorBidi" w:cstheme="majorBidi"/>
          <w:szCs w:val="24"/>
        </w:rPr>
        <w:t xml:space="preserve">(1), 1450–1459. </w:t>
      </w:r>
      <w:hyperlink r:id="rId26" w:history="1">
        <w:r w:rsidRPr="0032391C">
          <w:rPr>
            <w:rStyle w:val="Hyperlink"/>
            <w:rFonts w:asciiTheme="majorBidi" w:hAnsiTheme="majorBidi" w:cstheme="majorBidi"/>
            <w:szCs w:val="24"/>
          </w:rPr>
          <w:t>https://doi.org/10.1080/14756366.2021.1927482</w:t>
        </w:r>
      </w:hyperlink>
    </w:p>
    <w:p w14:paraId="5741FD40" w14:textId="1E974611" w:rsidR="009251CC" w:rsidRDefault="009251CC">
      <w:pPr>
        <w:rPr>
          <w:rFonts w:asciiTheme="majorBidi" w:hAnsiTheme="majorBidi" w:cstheme="majorBidi"/>
          <w:szCs w:val="24"/>
        </w:rPr>
      </w:pPr>
      <w:r>
        <w:rPr>
          <w:rFonts w:asciiTheme="majorBidi" w:hAnsiTheme="majorBidi" w:cstheme="majorBidi"/>
          <w:szCs w:val="24"/>
        </w:rPr>
        <w:br w:type="page"/>
      </w:r>
    </w:p>
    <w:p w14:paraId="2C67CEEC" w14:textId="2EF170B1" w:rsidR="009C0866" w:rsidRDefault="009251CC" w:rsidP="009251CC">
      <w:pPr>
        <w:pStyle w:val="Heading1"/>
        <w:jc w:val="center"/>
      </w:pPr>
      <w:bookmarkStart w:id="35" w:name="_Toc216811087"/>
      <w:r>
        <w:lastRenderedPageBreak/>
        <w:t>APPENDIX</w:t>
      </w:r>
      <w:bookmarkEnd w:id="35"/>
    </w:p>
    <w:p w14:paraId="79A7E05A" w14:textId="5EDCAD9B" w:rsidR="009251CC" w:rsidRPr="009251CC" w:rsidRDefault="009251CC" w:rsidP="009C0866">
      <w:pPr>
        <w:ind w:left="720" w:hanging="720"/>
        <w:jc w:val="both"/>
        <w:rPr>
          <w:rFonts w:asciiTheme="majorBidi" w:hAnsiTheme="majorBidi" w:cstheme="majorBidi"/>
          <w:b/>
          <w:bCs/>
          <w:szCs w:val="24"/>
        </w:rPr>
      </w:pPr>
      <w:r w:rsidRPr="009251CC">
        <w:rPr>
          <w:rFonts w:asciiTheme="majorBidi" w:hAnsiTheme="majorBidi" w:cstheme="majorBidi"/>
          <w:b/>
          <w:bCs/>
          <w:szCs w:val="24"/>
        </w:rPr>
        <w:t>APPENDIX I</w:t>
      </w:r>
      <w:r>
        <w:rPr>
          <w:rFonts w:asciiTheme="majorBidi" w:hAnsiTheme="majorBidi" w:cstheme="majorBidi"/>
          <w:b/>
          <w:bCs/>
          <w:szCs w:val="24"/>
        </w:rPr>
        <w:t>: Observed Data</w:t>
      </w:r>
    </w:p>
    <w:tbl>
      <w:tblPr>
        <w:tblW w:w="8161" w:type="dxa"/>
        <w:tblLook w:val="04A0" w:firstRow="1" w:lastRow="0" w:firstColumn="1" w:lastColumn="0" w:noHBand="0" w:noVBand="1"/>
      </w:tblPr>
      <w:tblGrid>
        <w:gridCol w:w="403"/>
        <w:gridCol w:w="2114"/>
        <w:gridCol w:w="1406"/>
        <w:gridCol w:w="870"/>
        <w:gridCol w:w="870"/>
        <w:gridCol w:w="870"/>
        <w:gridCol w:w="870"/>
        <w:gridCol w:w="875"/>
      </w:tblGrid>
      <w:tr w:rsidR="009251CC" w:rsidRPr="009251CC" w14:paraId="6D6AB601" w14:textId="77777777" w:rsidTr="009251CC">
        <w:trPr>
          <w:trHeight w:val="300"/>
        </w:trPr>
        <w:tc>
          <w:tcPr>
            <w:tcW w:w="2400"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A206CDC"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SAMPLE</w:t>
            </w:r>
          </w:p>
        </w:tc>
        <w:tc>
          <w:tcPr>
            <w:tcW w:w="5761" w:type="dxa"/>
            <w:gridSpan w:val="6"/>
            <w:tcBorders>
              <w:top w:val="single" w:sz="4" w:space="0" w:color="auto"/>
              <w:left w:val="nil"/>
              <w:bottom w:val="single" w:sz="4" w:space="0" w:color="auto"/>
              <w:right w:val="single" w:sz="4" w:space="0" w:color="auto"/>
            </w:tcBorders>
            <w:shd w:val="clear" w:color="auto" w:fill="auto"/>
            <w:noWrap/>
            <w:vAlign w:val="center"/>
            <w:hideMark/>
          </w:tcPr>
          <w:p w14:paraId="08FD030D"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CONCENTRATION (mg/ml)</w:t>
            </w:r>
          </w:p>
        </w:tc>
      </w:tr>
      <w:tr w:rsidR="009251CC" w:rsidRPr="009251CC" w14:paraId="18296D6C" w14:textId="77777777" w:rsidTr="009251CC">
        <w:trPr>
          <w:trHeight w:val="300"/>
        </w:trPr>
        <w:tc>
          <w:tcPr>
            <w:tcW w:w="2400" w:type="dxa"/>
            <w:gridSpan w:val="2"/>
            <w:vMerge/>
            <w:tcBorders>
              <w:top w:val="single" w:sz="4" w:space="0" w:color="auto"/>
              <w:left w:val="single" w:sz="4" w:space="0" w:color="auto"/>
              <w:bottom w:val="single" w:sz="4" w:space="0" w:color="000000"/>
              <w:right w:val="single" w:sz="4" w:space="0" w:color="000000"/>
            </w:tcBorders>
            <w:vAlign w:val="center"/>
            <w:hideMark/>
          </w:tcPr>
          <w:p w14:paraId="31D52B9E" w14:textId="77777777" w:rsidR="009251CC" w:rsidRPr="009251CC" w:rsidRDefault="009251CC" w:rsidP="009251CC">
            <w:pPr>
              <w:spacing w:line="240" w:lineRule="auto"/>
              <w:rPr>
                <w:rFonts w:ascii="Aptos Narrow" w:eastAsia="Times New Roman" w:hAnsi="Aptos Narrow" w:cs="Times New Roman"/>
                <w:b/>
                <w:bCs/>
                <w:color w:val="000000"/>
                <w:kern w:val="0"/>
                <w:szCs w:val="24"/>
                <w:lang w:val="en-GB" w:eastAsia="en-GB"/>
                <w14:ligatures w14:val="none"/>
              </w:rPr>
            </w:pPr>
          </w:p>
        </w:tc>
        <w:tc>
          <w:tcPr>
            <w:tcW w:w="1406" w:type="dxa"/>
            <w:tcBorders>
              <w:top w:val="nil"/>
              <w:left w:val="nil"/>
              <w:bottom w:val="single" w:sz="4" w:space="0" w:color="auto"/>
              <w:right w:val="single" w:sz="4" w:space="0" w:color="auto"/>
            </w:tcBorders>
            <w:shd w:val="clear" w:color="auto" w:fill="auto"/>
            <w:noWrap/>
            <w:vAlign w:val="center"/>
            <w:hideMark/>
          </w:tcPr>
          <w:p w14:paraId="59F70B90"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100</w:t>
            </w:r>
          </w:p>
        </w:tc>
        <w:tc>
          <w:tcPr>
            <w:tcW w:w="870" w:type="dxa"/>
            <w:tcBorders>
              <w:top w:val="nil"/>
              <w:left w:val="nil"/>
              <w:bottom w:val="single" w:sz="4" w:space="0" w:color="auto"/>
              <w:right w:val="single" w:sz="4" w:space="0" w:color="auto"/>
            </w:tcBorders>
            <w:shd w:val="clear" w:color="auto" w:fill="auto"/>
            <w:noWrap/>
            <w:vAlign w:val="center"/>
            <w:hideMark/>
          </w:tcPr>
          <w:p w14:paraId="758371DE"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50</w:t>
            </w:r>
          </w:p>
        </w:tc>
        <w:tc>
          <w:tcPr>
            <w:tcW w:w="870" w:type="dxa"/>
            <w:tcBorders>
              <w:top w:val="nil"/>
              <w:left w:val="nil"/>
              <w:bottom w:val="single" w:sz="4" w:space="0" w:color="auto"/>
              <w:right w:val="single" w:sz="4" w:space="0" w:color="auto"/>
            </w:tcBorders>
            <w:shd w:val="clear" w:color="auto" w:fill="auto"/>
            <w:noWrap/>
            <w:vAlign w:val="center"/>
            <w:hideMark/>
          </w:tcPr>
          <w:p w14:paraId="4EB45AB1"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25</w:t>
            </w:r>
          </w:p>
        </w:tc>
        <w:tc>
          <w:tcPr>
            <w:tcW w:w="870" w:type="dxa"/>
            <w:tcBorders>
              <w:top w:val="nil"/>
              <w:left w:val="nil"/>
              <w:bottom w:val="single" w:sz="4" w:space="0" w:color="auto"/>
              <w:right w:val="single" w:sz="4" w:space="0" w:color="auto"/>
            </w:tcBorders>
            <w:shd w:val="clear" w:color="auto" w:fill="auto"/>
            <w:noWrap/>
            <w:vAlign w:val="center"/>
            <w:hideMark/>
          </w:tcPr>
          <w:p w14:paraId="78081AAE"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12.5</w:t>
            </w:r>
          </w:p>
        </w:tc>
        <w:tc>
          <w:tcPr>
            <w:tcW w:w="870" w:type="dxa"/>
            <w:tcBorders>
              <w:top w:val="nil"/>
              <w:left w:val="nil"/>
              <w:bottom w:val="single" w:sz="4" w:space="0" w:color="auto"/>
              <w:right w:val="single" w:sz="4" w:space="0" w:color="auto"/>
            </w:tcBorders>
            <w:shd w:val="clear" w:color="auto" w:fill="auto"/>
            <w:noWrap/>
            <w:vAlign w:val="center"/>
            <w:hideMark/>
          </w:tcPr>
          <w:p w14:paraId="69F47201"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6.25</w:t>
            </w:r>
          </w:p>
        </w:tc>
        <w:tc>
          <w:tcPr>
            <w:tcW w:w="875" w:type="dxa"/>
            <w:tcBorders>
              <w:top w:val="nil"/>
              <w:left w:val="nil"/>
              <w:bottom w:val="single" w:sz="4" w:space="0" w:color="auto"/>
              <w:right w:val="single" w:sz="4" w:space="0" w:color="auto"/>
            </w:tcBorders>
            <w:shd w:val="clear" w:color="auto" w:fill="auto"/>
            <w:noWrap/>
            <w:vAlign w:val="center"/>
            <w:hideMark/>
          </w:tcPr>
          <w:p w14:paraId="61C686AC" w14:textId="77777777" w:rsidR="009251CC" w:rsidRPr="009251CC" w:rsidRDefault="009251CC" w:rsidP="009251CC">
            <w:pPr>
              <w:spacing w:line="240" w:lineRule="auto"/>
              <w:jc w:val="center"/>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3.125</w:t>
            </w:r>
          </w:p>
        </w:tc>
      </w:tr>
      <w:tr w:rsidR="009251CC" w:rsidRPr="009251CC" w14:paraId="3C38A4B4" w14:textId="77777777" w:rsidTr="009251CC">
        <w:trPr>
          <w:trHeight w:val="300"/>
        </w:trPr>
        <w:tc>
          <w:tcPr>
            <w:tcW w:w="28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57822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A</w:t>
            </w:r>
          </w:p>
        </w:tc>
        <w:tc>
          <w:tcPr>
            <w:tcW w:w="2114" w:type="dxa"/>
            <w:tcBorders>
              <w:top w:val="nil"/>
              <w:left w:val="nil"/>
              <w:bottom w:val="single" w:sz="4" w:space="0" w:color="auto"/>
              <w:right w:val="single" w:sz="4" w:space="0" w:color="auto"/>
            </w:tcBorders>
            <w:shd w:val="clear" w:color="auto" w:fill="auto"/>
            <w:noWrap/>
            <w:vAlign w:val="center"/>
            <w:hideMark/>
          </w:tcPr>
          <w:p w14:paraId="2028FBA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1st Replicate</w:t>
            </w:r>
          </w:p>
        </w:tc>
        <w:tc>
          <w:tcPr>
            <w:tcW w:w="1406" w:type="dxa"/>
            <w:tcBorders>
              <w:top w:val="nil"/>
              <w:left w:val="nil"/>
              <w:bottom w:val="single" w:sz="4" w:space="0" w:color="auto"/>
              <w:right w:val="single" w:sz="4" w:space="0" w:color="auto"/>
            </w:tcBorders>
            <w:shd w:val="clear" w:color="auto" w:fill="auto"/>
            <w:noWrap/>
            <w:vAlign w:val="center"/>
            <w:hideMark/>
          </w:tcPr>
          <w:p w14:paraId="5F4B9F5E"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0.539</w:t>
            </w:r>
          </w:p>
        </w:tc>
        <w:tc>
          <w:tcPr>
            <w:tcW w:w="870" w:type="dxa"/>
            <w:tcBorders>
              <w:top w:val="nil"/>
              <w:left w:val="nil"/>
              <w:bottom w:val="single" w:sz="4" w:space="0" w:color="auto"/>
              <w:right w:val="single" w:sz="4" w:space="0" w:color="auto"/>
            </w:tcBorders>
            <w:shd w:val="clear" w:color="auto" w:fill="auto"/>
            <w:noWrap/>
            <w:vAlign w:val="center"/>
            <w:hideMark/>
          </w:tcPr>
          <w:p w14:paraId="732DC79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1.85</w:t>
            </w:r>
          </w:p>
        </w:tc>
        <w:tc>
          <w:tcPr>
            <w:tcW w:w="870" w:type="dxa"/>
            <w:tcBorders>
              <w:top w:val="nil"/>
              <w:left w:val="nil"/>
              <w:bottom w:val="single" w:sz="4" w:space="0" w:color="auto"/>
              <w:right w:val="single" w:sz="4" w:space="0" w:color="auto"/>
            </w:tcBorders>
            <w:shd w:val="clear" w:color="auto" w:fill="auto"/>
            <w:noWrap/>
            <w:vAlign w:val="center"/>
            <w:hideMark/>
          </w:tcPr>
          <w:p w14:paraId="3E4EE20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1.26</w:t>
            </w:r>
          </w:p>
        </w:tc>
        <w:tc>
          <w:tcPr>
            <w:tcW w:w="870" w:type="dxa"/>
            <w:tcBorders>
              <w:top w:val="nil"/>
              <w:left w:val="nil"/>
              <w:bottom w:val="single" w:sz="4" w:space="0" w:color="auto"/>
              <w:right w:val="single" w:sz="4" w:space="0" w:color="auto"/>
            </w:tcBorders>
            <w:shd w:val="clear" w:color="auto" w:fill="auto"/>
            <w:noWrap/>
            <w:vAlign w:val="center"/>
            <w:hideMark/>
          </w:tcPr>
          <w:p w14:paraId="73419E86"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0.686</w:t>
            </w:r>
          </w:p>
        </w:tc>
        <w:tc>
          <w:tcPr>
            <w:tcW w:w="870" w:type="dxa"/>
            <w:tcBorders>
              <w:top w:val="nil"/>
              <w:left w:val="nil"/>
              <w:bottom w:val="single" w:sz="4" w:space="0" w:color="auto"/>
              <w:right w:val="single" w:sz="4" w:space="0" w:color="auto"/>
            </w:tcBorders>
            <w:shd w:val="clear" w:color="auto" w:fill="auto"/>
            <w:noWrap/>
            <w:vAlign w:val="center"/>
            <w:hideMark/>
          </w:tcPr>
          <w:p w14:paraId="376B6A2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0.424</w:t>
            </w:r>
          </w:p>
        </w:tc>
        <w:tc>
          <w:tcPr>
            <w:tcW w:w="875" w:type="dxa"/>
            <w:tcBorders>
              <w:top w:val="nil"/>
              <w:left w:val="nil"/>
              <w:bottom w:val="single" w:sz="4" w:space="0" w:color="auto"/>
              <w:right w:val="single" w:sz="4" w:space="0" w:color="auto"/>
            </w:tcBorders>
            <w:shd w:val="clear" w:color="auto" w:fill="auto"/>
            <w:noWrap/>
            <w:vAlign w:val="center"/>
            <w:hideMark/>
          </w:tcPr>
          <w:p w14:paraId="2ED4FE9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0.198</w:t>
            </w:r>
          </w:p>
        </w:tc>
      </w:tr>
      <w:tr w:rsidR="009251CC" w:rsidRPr="009251CC" w14:paraId="69D85500" w14:textId="77777777" w:rsidTr="009251CC">
        <w:trPr>
          <w:trHeight w:val="300"/>
        </w:trPr>
        <w:tc>
          <w:tcPr>
            <w:tcW w:w="286" w:type="dxa"/>
            <w:vMerge/>
            <w:tcBorders>
              <w:top w:val="nil"/>
              <w:left w:val="single" w:sz="4" w:space="0" w:color="auto"/>
              <w:bottom w:val="single" w:sz="4" w:space="0" w:color="000000"/>
              <w:right w:val="single" w:sz="4" w:space="0" w:color="auto"/>
            </w:tcBorders>
            <w:vAlign w:val="center"/>
            <w:hideMark/>
          </w:tcPr>
          <w:p w14:paraId="641354CC"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54A8F3E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2nd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70A2681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0.547</w:t>
            </w:r>
          </w:p>
        </w:tc>
        <w:tc>
          <w:tcPr>
            <w:tcW w:w="870" w:type="dxa"/>
            <w:tcBorders>
              <w:top w:val="nil"/>
              <w:left w:val="nil"/>
              <w:bottom w:val="single" w:sz="4" w:space="0" w:color="auto"/>
              <w:right w:val="single" w:sz="4" w:space="0" w:color="auto"/>
            </w:tcBorders>
            <w:shd w:val="clear" w:color="auto" w:fill="auto"/>
            <w:noWrap/>
            <w:vAlign w:val="center"/>
            <w:hideMark/>
          </w:tcPr>
          <w:p w14:paraId="218045E0"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1.855</w:t>
            </w:r>
          </w:p>
        </w:tc>
        <w:tc>
          <w:tcPr>
            <w:tcW w:w="870" w:type="dxa"/>
            <w:tcBorders>
              <w:top w:val="nil"/>
              <w:left w:val="nil"/>
              <w:bottom w:val="single" w:sz="4" w:space="0" w:color="auto"/>
              <w:right w:val="single" w:sz="4" w:space="0" w:color="auto"/>
            </w:tcBorders>
            <w:shd w:val="clear" w:color="auto" w:fill="auto"/>
            <w:noWrap/>
            <w:vAlign w:val="center"/>
            <w:hideMark/>
          </w:tcPr>
          <w:p w14:paraId="51055E3E"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1.268</w:t>
            </w:r>
          </w:p>
        </w:tc>
        <w:tc>
          <w:tcPr>
            <w:tcW w:w="870" w:type="dxa"/>
            <w:tcBorders>
              <w:top w:val="nil"/>
              <w:left w:val="nil"/>
              <w:bottom w:val="single" w:sz="4" w:space="0" w:color="auto"/>
              <w:right w:val="single" w:sz="4" w:space="0" w:color="auto"/>
            </w:tcBorders>
            <w:shd w:val="clear" w:color="auto" w:fill="auto"/>
            <w:noWrap/>
            <w:vAlign w:val="center"/>
            <w:hideMark/>
          </w:tcPr>
          <w:p w14:paraId="55FD4F62"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0.69</w:t>
            </w:r>
          </w:p>
        </w:tc>
        <w:tc>
          <w:tcPr>
            <w:tcW w:w="870" w:type="dxa"/>
            <w:tcBorders>
              <w:top w:val="nil"/>
              <w:left w:val="nil"/>
              <w:bottom w:val="single" w:sz="4" w:space="0" w:color="auto"/>
              <w:right w:val="single" w:sz="4" w:space="0" w:color="auto"/>
            </w:tcBorders>
            <w:shd w:val="clear" w:color="auto" w:fill="auto"/>
            <w:noWrap/>
            <w:vAlign w:val="center"/>
            <w:hideMark/>
          </w:tcPr>
          <w:p w14:paraId="71DB3AC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0.423</w:t>
            </w:r>
          </w:p>
        </w:tc>
        <w:tc>
          <w:tcPr>
            <w:tcW w:w="875" w:type="dxa"/>
            <w:tcBorders>
              <w:top w:val="nil"/>
              <w:left w:val="nil"/>
              <w:bottom w:val="single" w:sz="4" w:space="0" w:color="auto"/>
              <w:right w:val="single" w:sz="4" w:space="0" w:color="auto"/>
            </w:tcBorders>
            <w:shd w:val="clear" w:color="auto" w:fill="auto"/>
            <w:noWrap/>
            <w:vAlign w:val="center"/>
            <w:hideMark/>
          </w:tcPr>
          <w:p w14:paraId="026B4F92"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0.193</w:t>
            </w:r>
          </w:p>
        </w:tc>
      </w:tr>
      <w:tr w:rsidR="009251CC" w:rsidRPr="009251CC" w14:paraId="1B33C519" w14:textId="77777777" w:rsidTr="009251CC">
        <w:trPr>
          <w:trHeight w:val="300"/>
        </w:trPr>
        <w:tc>
          <w:tcPr>
            <w:tcW w:w="286" w:type="dxa"/>
            <w:vMerge/>
            <w:tcBorders>
              <w:top w:val="nil"/>
              <w:left w:val="single" w:sz="4" w:space="0" w:color="auto"/>
              <w:bottom w:val="single" w:sz="4" w:space="0" w:color="000000"/>
              <w:right w:val="single" w:sz="4" w:space="0" w:color="auto"/>
            </w:tcBorders>
            <w:vAlign w:val="center"/>
            <w:hideMark/>
          </w:tcPr>
          <w:p w14:paraId="2B41CD5A"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166FB2D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3rd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562C9DF9"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0.55</w:t>
            </w:r>
          </w:p>
        </w:tc>
        <w:tc>
          <w:tcPr>
            <w:tcW w:w="870" w:type="dxa"/>
            <w:tcBorders>
              <w:top w:val="nil"/>
              <w:left w:val="nil"/>
              <w:bottom w:val="single" w:sz="4" w:space="0" w:color="auto"/>
              <w:right w:val="single" w:sz="4" w:space="0" w:color="auto"/>
            </w:tcBorders>
            <w:shd w:val="clear" w:color="auto" w:fill="auto"/>
            <w:noWrap/>
            <w:vAlign w:val="center"/>
            <w:hideMark/>
          </w:tcPr>
          <w:p w14:paraId="08B53852"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1.864</w:t>
            </w:r>
          </w:p>
        </w:tc>
        <w:tc>
          <w:tcPr>
            <w:tcW w:w="870" w:type="dxa"/>
            <w:tcBorders>
              <w:top w:val="nil"/>
              <w:left w:val="nil"/>
              <w:bottom w:val="single" w:sz="4" w:space="0" w:color="auto"/>
              <w:right w:val="single" w:sz="4" w:space="0" w:color="auto"/>
            </w:tcBorders>
            <w:shd w:val="clear" w:color="auto" w:fill="auto"/>
            <w:noWrap/>
            <w:vAlign w:val="center"/>
            <w:hideMark/>
          </w:tcPr>
          <w:p w14:paraId="2B3E539E"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1.273</w:t>
            </w:r>
          </w:p>
        </w:tc>
        <w:tc>
          <w:tcPr>
            <w:tcW w:w="870" w:type="dxa"/>
            <w:tcBorders>
              <w:top w:val="nil"/>
              <w:left w:val="nil"/>
              <w:bottom w:val="single" w:sz="4" w:space="0" w:color="auto"/>
              <w:right w:val="single" w:sz="4" w:space="0" w:color="auto"/>
            </w:tcBorders>
            <w:shd w:val="clear" w:color="auto" w:fill="auto"/>
            <w:noWrap/>
            <w:vAlign w:val="center"/>
            <w:hideMark/>
          </w:tcPr>
          <w:p w14:paraId="111AA639"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0.689</w:t>
            </w:r>
          </w:p>
        </w:tc>
        <w:tc>
          <w:tcPr>
            <w:tcW w:w="870" w:type="dxa"/>
            <w:tcBorders>
              <w:top w:val="nil"/>
              <w:left w:val="nil"/>
              <w:bottom w:val="single" w:sz="4" w:space="0" w:color="auto"/>
              <w:right w:val="single" w:sz="4" w:space="0" w:color="auto"/>
            </w:tcBorders>
            <w:shd w:val="clear" w:color="auto" w:fill="auto"/>
            <w:noWrap/>
            <w:vAlign w:val="center"/>
            <w:hideMark/>
          </w:tcPr>
          <w:p w14:paraId="466799A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0.425</w:t>
            </w:r>
          </w:p>
        </w:tc>
        <w:tc>
          <w:tcPr>
            <w:tcW w:w="875" w:type="dxa"/>
            <w:tcBorders>
              <w:top w:val="nil"/>
              <w:left w:val="nil"/>
              <w:bottom w:val="single" w:sz="4" w:space="0" w:color="auto"/>
              <w:right w:val="single" w:sz="4" w:space="0" w:color="auto"/>
            </w:tcBorders>
            <w:shd w:val="clear" w:color="auto" w:fill="auto"/>
            <w:noWrap/>
            <w:vAlign w:val="center"/>
            <w:hideMark/>
          </w:tcPr>
          <w:p w14:paraId="0F7F217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0.197</w:t>
            </w:r>
          </w:p>
        </w:tc>
      </w:tr>
      <w:tr w:rsidR="009251CC" w:rsidRPr="009251CC" w14:paraId="370052FD" w14:textId="77777777" w:rsidTr="009251CC">
        <w:trPr>
          <w:trHeight w:val="300"/>
        </w:trPr>
        <w:tc>
          <w:tcPr>
            <w:tcW w:w="2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1D150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B</w:t>
            </w:r>
          </w:p>
        </w:tc>
        <w:tc>
          <w:tcPr>
            <w:tcW w:w="2114" w:type="dxa"/>
            <w:tcBorders>
              <w:top w:val="nil"/>
              <w:left w:val="nil"/>
              <w:bottom w:val="single" w:sz="4" w:space="0" w:color="auto"/>
              <w:right w:val="single" w:sz="4" w:space="0" w:color="auto"/>
            </w:tcBorders>
            <w:shd w:val="clear" w:color="auto" w:fill="auto"/>
            <w:noWrap/>
            <w:vAlign w:val="center"/>
            <w:hideMark/>
          </w:tcPr>
          <w:p w14:paraId="72BC187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1st Replicate</w:t>
            </w:r>
          </w:p>
        </w:tc>
        <w:tc>
          <w:tcPr>
            <w:tcW w:w="1406" w:type="dxa"/>
            <w:tcBorders>
              <w:top w:val="nil"/>
              <w:left w:val="nil"/>
              <w:bottom w:val="single" w:sz="4" w:space="0" w:color="auto"/>
              <w:right w:val="single" w:sz="4" w:space="0" w:color="auto"/>
            </w:tcBorders>
            <w:shd w:val="clear" w:color="auto" w:fill="auto"/>
            <w:noWrap/>
            <w:vAlign w:val="center"/>
            <w:hideMark/>
          </w:tcPr>
          <w:p w14:paraId="35044BA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0.765</w:t>
            </w:r>
          </w:p>
        </w:tc>
        <w:tc>
          <w:tcPr>
            <w:tcW w:w="870" w:type="dxa"/>
            <w:tcBorders>
              <w:top w:val="nil"/>
              <w:left w:val="nil"/>
              <w:bottom w:val="single" w:sz="4" w:space="0" w:color="auto"/>
              <w:right w:val="single" w:sz="4" w:space="0" w:color="auto"/>
            </w:tcBorders>
            <w:shd w:val="clear" w:color="auto" w:fill="auto"/>
            <w:noWrap/>
            <w:vAlign w:val="center"/>
            <w:hideMark/>
          </w:tcPr>
          <w:p w14:paraId="00D804C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0.568</w:t>
            </w:r>
          </w:p>
        </w:tc>
        <w:tc>
          <w:tcPr>
            <w:tcW w:w="870" w:type="dxa"/>
            <w:tcBorders>
              <w:top w:val="nil"/>
              <w:left w:val="nil"/>
              <w:bottom w:val="single" w:sz="4" w:space="0" w:color="auto"/>
              <w:right w:val="single" w:sz="4" w:space="0" w:color="auto"/>
            </w:tcBorders>
            <w:shd w:val="clear" w:color="auto" w:fill="auto"/>
            <w:noWrap/>
            <w:vAlign w:val="center"/>
            <w:hideMark/>
          </w:tcPr>
          <w:p w14:paraId="7A3C842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0.485</w:t>
            </w:r>
          </w:p>
        </w:tc>
        <w:tc>
          <w:tcPr>
            <w:tcW w:w="870" w:type="dxa"/>
            <w:tcBorders>
              <w:top w:val="nil"/>
              <w:left w:val="nil"/>
              <w:bottom w:val="single" w:sz="4" w:space="0" w:color="auto"/>
              <w:right w:val="single" w:sz="4" w:space="0" w:color="auto"/>
            </w:tcBorders>
            <w:shd w:val="clear" w:color="auto" w:fill="auto"/>
            <w:noWrap/>
            <w:vAlign w:val="center"/>
            <w:hideMark/>
          </w:tcPr>
          <w:p w14:paraId="7EA6FD5F"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0.515</w:t>
            </w:r>
          </w:p>
        </w:tc>
        <w:tc>
          <w:tcPr>
            <w:tcW w:w="870" w:type="dxa"/>
            <w:tcBorders>
              <w:top w:val="nil"/>
              <w:left w:val="nil"/>
              <w:bottom w:val="single" w:sz="4" w:space="0" w:color="auto"/>
              <w:right w:val="single" w:sz="4" w:space="0" w:color="auto"/>
            </w:tcBorders>
            <w:shd w:val="clear" w:color="auto" w:fill="auto"/>
            <w:noWrap/>
            <w:vAlign w:val="center"/>
            <w:hideMark/>
          </w:tcPr>
          <w:p w14:paraId="6753213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0.142</w:t>
            </w:r>
          </w:p>
        </w:tc>
        <w:tc>
          <w:tcPr>
            <w:tcW w:w="875" w:type="dxa"/>
            <w:tcBorders>
              <w:top w:val="nil"/>
              <w:left w:val="nil"/>
              <w:bottom w:val="single" w:sz="4" w:space="0" w:color="auto"/>
              <w:right w:val="single" w:sz="4" w:space="0" w:color="auto"/>
            </w:tcBorders>
            <w:shd w:val="clear" w:color="auto" w:fill="auto"/>
            <w:noWrap/>
            <w:vAlign w:val="center"/>
            <w:hideMark/>
          </w:tcPr>
          <w:p w14:paraId="7B2E36F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0.13</w:t>
            </w:r>
          </w:p>
        </w:tc>
      </w:tr>
      <w:tr w:rsidR="009251CC" w:rsidRPr="009251CC" w14:paraId="1F30613D"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227C8E0D"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1F624FE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2nd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19A04030"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0.758</w:t>
            </w:r>
          </w:p>
        </w:tc>
        <w:tc>
          <w:tcPr>
            <w:tcW w:w="870" w:type="dxa"/>
            <w:tcBorders>
              <w:top w:val="nil"/>
              <w:left w:val="nil"/>
              <w:bottom w:val="single" w:sz="4" w:space="0" w:color="auto"/>
              <w:right w:val="single" w:sz="4" w:space="0" w:color="auto"/>
            </w:tcBorders>
            <w:shd w:val="clear" w:color="auto" w:fill="auto"/>
            <w:noWrap/>
            <w:vAlign w:val="center"/>
            <w:hideMark/>
          </w:tcPr>
          <w:p w14:paraId="33CB412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0.582</w:t>
            </w:r>
          </w:p>
        </w:tc>
        <w:tc>
          <w:tcPr>
            <w:tcW w:w="870" w:type="dxa"/>
            <w:tcBorders>
              <w:top w:val="nil"/>
              <w:left w:val="nil"/>
              <w:bottom w:val="single" w:sz="4" w:space="0" w:color="auto"/>
              <w:right w:val="single" w:sz="4" w:space="0" w:color="auto"/>
            </w:tcBorders>
            <w:shd w:val="clear" w:color="auto" w:fill="auto"/>
            <w:noWrap/>
            <w:vAlign w:val="center"/>
            <w:hideMark/>
          </w:tcPr>
          <w:p w14:paraId="178FA5E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0.484</w:t>
            </w:r>
          </w:p>
        </w:tc>
        <w:tc>
          <w:tcPr>
            <w:tcW w:w="870" w:type="dxa"/>
            <w:tcBorders>
              <w:top w:val="nil"/>
              <w:left w:val="nil"/>
              <w:bottom w:val="single" w:sz="4" w:space="0" w:color="auto"/>
              <w:right w:val="single" w:sz="4" w:space="0" w:color="auto"/>
            </w:tcBorders>
            <w:shd w:val="clear" w:color="auto" w:fill="auto"/>
            <w:noWrap/>
            <w:vAlign w:val="center"/>
            <w:hideMark/>
          </w:tcPr>
          <w:p w14:paraId="7CDD3B61"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0.51</w:t>
            </w:r>
          </w:p>
        </w:tc>
        <w:tc>
          <w:tcPr>
            <w:tcW w:w="870" w:type="dxa"/>
            <w:tcBorders>
              <w:top w:val="nil"/>
              <w:left w:val="nil"/>
              <w:bottom w:val="single" w:sz="4" w:space="0" w:color="auto"/>
              <w:right w:val="single" w:sz="4" w:space="0" w:color="auto"/>
            </w:tcBorders>
            <w:shd w:val="clear" w:color="auto" w:fill="auto"/>
            <w:noWrap/>
            <w:vAlign w:val="center"/>
            <w:hideMark/>
          </w:tcPr>
          <w:p w14:paraId="4E3BE09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0.144</w:t>
            </w:r>
          </w:p>
        </w:tc>
        <w:tc>
          <w:tcPr>
            <w:tcW w:w="875" w:type="dxa"/>
            <w:tcBorders>
              <w:top w:val="nil"/>
              <w:left w:val="nil"/>
              <w:bottom w:val="single" w:sz="4" w:space="0" w:color="auto"/>
              <w:right w:val="single" w:sz="4" w:space="0" w:color="auto"/>
            </w:tcBorders>
            <w:shd w:val="clear" w:color="auto" w:fill="auto"/>
            <w:noWrap/>
            <w:vAlign w:val="center"/>
            <w:hideMark/>
          </w:tcPr>
          <w:p w14:paraId="6A24C1E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0.131</w:t>
            </w:r>
          </w:p>
        </w:tc>
      </w:tr>
      <w:tr w:rsidR="009251CC" w:rsidRPr="009251CC" w14:paraId="1299E4CD"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1E0F2738"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466062D0"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3rd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7ABBACB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0.757</w:t>
            </w:r>
          </w:p>
        </w:tc>
        <w:tc>
          <w:tcPr>
            <w:tcW w:w="870" w:type="dxa"/>
            <w:tcBorders>
              <w:top w:val="nil"/>
              <w:left w:val="nil"/>
              <w:bottom w:val="single" w:sz="4" w:space="0" w:color="auto"/>
              <w:right w:val="single" w:sz="4" w:space="0" w:color="auto"/>
            </w:tcBorders>
            <w:shd w:val="clear" w:color="auto" w:fill="auto"/>
            <w:noWrap/>
            <w:vAlign w:val="center"/>
            <w:hideMark/>
          </w:tcPr>
          <w:p w14:paraId="0CDEAD1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0.579</w:t>
            </w:r>
          </w:p>
        </w:tc>
        <w:tc>
          <w:tcPr>
            <w:tcW w:w="870" w:type="dxa"/>
            <w:tcBorders>
              <w:top w:val="nil"/>
              <w:left w:val="nil"/>
              <w:bottom w:val="single" w:sz="4" w:space="0" w:color="auto"/>
              <w:right w:val="single" w:sz="4" w:space="0" w:color="auto"/>
            </w:tcBorders>
            <w:shd w:val="clear" w:color="auto" w:fill="auto"/>
            <w:noWrap/>
            <w:vAlign w:val="center"/>
            <w:hideMark/>
          </w:tcPr>
          <w:p w14:paraId="55A2604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0.486</w:t>
            </w:r>
          </w:p>
        </w:tc>
        <w:tc>
          <w:tcPr>
            <w:tcW w:w="870" w:type="dxa"/>
            <w:tcBorders>
              <w:top w:val="nil"/>
              <w:left w:val="nil"/>
              <w:bottom w:val="single" w:sz="4" w:space="0" w:color="auto"/>
              <w:right w:val="single" w:sz="4" w:space="0" w:color="auto"/>
            </w:tcBorders>
            <w:shd w:val="clear" w:color="auto" w:fill="auto"/>
            <w:noWrap/>
            <w:vAlign w:val="center"/>
            <w:hideMark/>
          </w:tcPr>
          <w:p w14:paraId="515494B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0.508</w:t>
            </w:r>
          </w:p>
        </w:tc>
        <w:tc>
          <w:tcPr>
            <w:tcW w:w="870" w:type="dxa"/>
            <w:tcBorders>
              <w:top w:val="nil"/>
              <w:left w:val="nil"/>
              <w:bottom w:val="single" w:sz="4" w:space="0" w:color="auto"/>
              <w:right w:val="single" w:sz="4" w:space="0" w:color="auto"/>
            </w:tcBorders>
            <w:shd w:val="clear" w:color="auto" w:fill="auto"/>
            <w:noWrap/>
            <w:vAlign w:val="center"/>
            <w:hideMark/>
          </w:tcPr>
          <w:p w14:paraId="34D9A27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0.143</w:t>
            </w:r>
          </w:p>
        </w:tc>
        <w:tc>
          <w:tcPr>
            <w:tcW w:w="875" w:type="dxa"/>
            <w:tcBorders>
              <w:top w:val="nil"/>
              <w:left w:val="nil"/>
              <w:bottom w:val="single" w:sz="4" w:space="0" w:color="auto"/>
              <w:right w:val="single" w:sz="4" w:space="0" w:color="auto"/>
            </w:tcBorders>
            <w:shd w:val="clear" w:color="auto" w:fill="auto"/>
            <w:noWrap/>
            <w:vAlign w:val="center"/>
            <w:hideMark/>
          </w:tcPr>
          <w:p w14:paraId="1C3AB0B6"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0.13</w:t>
            </w:r>
          </w:p>
        </w:tc>
      </w:tr>
      <w:tr w:rsidR="009251CC" w:rsidRPr="009251CC" w14:paraId="428C8578" w14:textId="77777777" w:rsidTr="009251CC">
        <w:trPr>
          <w:trHeight w:val="300"/>
        </w:trPr>
        <w:tc>
          <w:tcPr>
            <w:tcW w:w="2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EB462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C</w:t>
            </w:r>
          </w:p>
        </w:tc>
        <w:tc>
          <w:tcPr>
            <w:tcW w:w="2114" w:type="dxa"/>
            <w:tcBorders>
              <w:top w:val="nil"/>
              <w:left w:val="nil"/>
              <w:bottom w:val="single" w:sz="4" w:space="0" w:color="auto"/>
              <w:right w:val="single" w:sz="4" w:space="0" w:color="auto"/>
            </w:tcBorders>
            <w:shd w:val="clear" w:color="auto" w:fill="auto"/>
            <w:noWrap/>
            <w:vAlign w:val="center"/>
            <w:hideMark/>
          </w:tcPr>
          <w:p w14:paraId="40EFB43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1st Replicate</w:t>
            </w:r>
          </w:p>
        </w:tc>
        <w:tc>
          <w:tcPr>
            <w:tcW w:w="1406" w:type="dxa"/>
            <w:tcBorders>
              <w:top w:val="nil"/>
              <w:left w:val="nil"/>
              <w:bottom w:val="single" w:sz="4" w:space="0" w:color="auto"/>
              <w:right w:val="single" w:sz="4" w:space="0" w:color="auto"/>
            </w:tcBorders>
            <w:shd w:val="clear" w:color="auto" w:fill="auto"/>
            <w:noWrap/>
            <w:vAlign w:val="center"/>
            <w:hideMark/>
          </w:tcPr>
          <w:p w14:paraId="46E17E9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0.577</w:t>
            </w:r>
          </w:p>
        </w:tc>
        <w:tc>
          <w:tcPr>
            <w:tcW w:w="870" w:type="dxa"/>
            <w:tcBorders>
              <w:top w:val="nil"/>
              <w:left w:val="nil"/>
              <w:bottom w:val="single" w:sz="4" w:space="0" w:color="auto"/>
              <w:right w:val="single" w:sz="4" w:space="0" w:color="auto"/>
            </w:tcBorders>
            <w:shd w:val="clear" w:color="auto" w:fill="auto"/>
            <w:noWrap/>
            <w:vAlign w:val="center"/>
            <w:hideMark/>
          </w:tcPr>
          <w:p w14:paraId="53C2542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0.338</w:t>
            </w:r>
          </w:p>
        </w:tc>
        <w:tc>
          <w:tcPr>
            <w:tcW w:w="870" w:type="dxa"/>
            <w:tcBorders>
              <w:top w:val="nil"/>
              <w:left w:val="nil"/>
              <w:bottom w:val="single" w:sz="4" w:space="0" w:color="auto"/>
              <w:right w:val="single" w:sz="4" w:space="0" w:color="auto"/>
            </w:tcBorders>
            <w:shd w:val="clear" w:color="auto" w:fill="auto"/>
            <w:noWrap/>
            <w:vAlign w:val="center"/>
            <w:hideMark/>
          </w:tcPr>
          <w:p w14:paraId="61241CB6"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0.222</w:t>
            </w:r>
          </w:p>
        </w:tc>
        <w:tc>
          <w:tcPr>
            <w:tcW w:w="870" w:type="dxa"/>
            <w:tcBorders>
              <w:top w:val="nil"/>
              <w:left w:val="nil"/>
              <w:bottom w:val="single" w:sz="4" w:space="0" w:color="auto"/>
              <w:right w:val="single" w:sz="4" w:space="0" w:color="auto"/>
            </w:tcBorders>
            <w:shd w:val="clear" w:color="auto" w:fill="auto"/>
            <w:noWrap/>
            <w:vAlign w:val="center"/>
            <w:hideMark/>
          </w:tcPr>
          <w:p w14:paraId="416E4E3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0.224</w:t>
            </w:r>
          </w:p>
        </w:tc>
        <w:tc>
          <w:tcPr>
            <w:tcW w:w="870" w:type="dxa"/>
            <w:tcBorders>
              <w:top w:val="nil"/>
              <w:left w:val="nil"/>
              <w:bottom w:val="single" w:sz="4" w:space="0" w:color="auto"/>
              <w:right w:val="single" w:sz="4" w:space="0" w:color="auto"/>
            </w:tcBorders>
            <w:shd w:val="clear" w:color="auto" w:fill="auto"/>
            <w:noWrap/>
            <w:vAlign w:val="center"/>
            <w:hideMark/>
          </w:tcPr>
          <w:p w14:paraId="3FBB03C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0.364</w:t>
            </w:r>
          </w:p>
        </w:tc>
        <w:tc>
          <w:tcPr>
            <w:tcW w:w="875" w:type="dxa"/>
            <w:tcBorders>
              <w:top w:val="nil"/>
              <w:left w:val="nil"/>
              <w:bottom w:val="single" w:sz="4" w:space="0" w:color="auto"/>
              <w:right w:val="single" w:sz="4" w:space="0" w:color="auto"/>
            </w:tcBorders>
            <w:shd w:val="clear" w:color="auto" w:fill="auto"/>
            <w:noWrap/>
            <w:vAlign w:val="center"/>
            <w:hideMark/>
          </w:tcPr>
          <w:p w14:paraId="048D79F6"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0.264</w:t>
            </w:r>
          </w:p>
        </w:tc>
      </w:tr>
      <w:tr w:rsidR="009251CC" w:rsidRPr="009251CC" w14:paraId="2330F0C5"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23E921CA"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41C20A0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2nd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4C0707CE"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0.581</w:t>
            </w:r>
          </w:p>
        </w:tc>
        <w:tc>
          <w:tcPr>
            <w:tcW w:w="870" w:type="dxa"/>
            <w:tcBorders>
              <w:top w:val="nil"/>
              <w:left w:val="nil"/>
              <w:bottom w:val="single" w:sz="4" w:space="0" w:color="auto"/>
              <w:right w:val="single" w:sz="4" w:space="0" w:color="auto"/>
            </w:tcBorders>
            <w:shd w:val="clear" w:color="auto" w:fill="auto"/>
            <w:noWrap/>
            <w:vAlign w:val="center"/>
            <w:hideMark/>
          </w:tcPr>
          <w:p w14:paraId="44C34732"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0.343</w:t>
            </w:r>
          </w:p>
        </w:tc>
        <w:tc>
          <w:tcPr>
            <w:tcW w:w="870" w:type="dxa"/>
            <w:tcBorders>
              <w:top w:val="nil"/>
              <w:left w:val="nil"/>
              <w:bottom w:val="single" w:sz="4" w:space="0" w:color="auto"/>
              <w:right w:val="single" w:sz="4" w:space="0" w:color="auto"/>
            </w:tcBorders>
            <w:shd w:val="clear" w:color="auto" w:fill="auto"/>
            <w:noWrap/>
            <w:vAlign w:val="center"/>
            <w:hideMark/>
          </w:tcPr>
          <w:p w14:paraId="128F2F72"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0.235</w:t>
            </w:r>
          </w:p>
        </w:tc>
        <w:tc>
          <w:tcPr>
            <w:tcW w:w="870" w:type="dxa"/>
            <w:tcBorders>
              <w:top w:val="nil"/>
              <w:left w:val="nil"/>
              <w:bottom w:val="single" w:sz="4" w:space="0" w:color="auto"/>
              <w:right w:val="single" w:sz="4" w:space="0" w:color="auto"/>
            </w:tcBorders>
            <w:shd w:val="clear" w:color="auto" w:fill="auto"/>
            <w:noWrap/>
            <w:vAlign w:val="center"/>
            <w:hideMark/>
          </w:tcPr>
          <w:p w14:paraId="1A1BD992"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0.243</w:t>
            </w:r>
          </w:p>
        </w:tc>
        <w:tc>
          <w:tcPr>
            <w:tcW w:w="870" w:type="dxa"/>
            <w:tcBorders>
              <w:top w:val="nil"/>
              <w:left w:val="nil"/>
              <w:bottom w:val="single" w:sz="4" w:space="0" w:color="auto"/>
              <w:right w:val="single" w:sz="4" w:space="0" w:color="auto"/>
            </w:tcBorders>
            <w:shd w:val="clear" w:color="auto" w:fill="auto"/>
            <w:noWrap/>
            <w:vAlign w:val="center"/>
            <w:hideMark/>
          </w:tcPr>
          <w:p w14:paraId="39766F8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0.374</w:t>
            </w:r>
          </w:p>
        </w:tc>
        <w:tc>
          <w:tcPr>
            <w:tcW w:w="875" w:type="dxa"/>
            <w:tcBorders>
              <w:top w:val="nil"/>
              <w:left w:val="nil"/>
              <w:bottom w:val="single" w:sz="4" w:space="0" w:color="auto"/>
              <w:right w:val="single" w:sz="4" w:space="0" w:color="auto"/>
            </w:tcBorders>
            <w:shd w:val="clear" w:color="auto" w:fill="auto"/>
            <w:noWrap/>
            <w:vAlign w:val="center"/>
            <w:hideMark/>
          </w:tcPr>
          <w:p w14:paraId="0FA0B44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0.197</w:t>
            </w:r>
          </w:p>
        </w:tc>
      </w:tr>
      <w:tr w:rsidR="009251CC" w:rsidRPr="009251CC" w14:paraId="1A2072B4"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27917B67"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1337DCF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3rd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61257CB9"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0.586</w:t>
            </w:r>
          </w:p>
        </w:tc>
        <w:tc>
          <w:tcPr>
            <w:tcW w:w="870" w:type="dxa"/>
            <w:tcBorders>
              <w:top w:val="nil"/>
              <w:left w:val="nil"/>
              <w:bottom w:val="single" w:sz="4" w:space="0" w:color="auto"/>
              <w:right w:val="single" w:sz="4" w:space="0" w:color="auto"/>
            </w:tcBorders>
            <w:shd w:val="clear" w:color="auto" w:fill="auto"/>
            <w:noWrap/>
            <w:vAlign w:val="center"/>
            <w:hideMark/>
          </w:tcPr>
          <w:p w14:paraId="762EA27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0.345</w:t>
            </w:r>
          </w:p>
        </w:tc>
        <w:tc>
          <w:tcPr>
            <w:tcW w:w="870" w:type="dxa"/>
            <w:tcBorders>
              <w:top w:val="nil"/>
              <w:left w:val="nil"/>
              <w:bottom w:val="single" w:sz="4" w:space="0" w:color="auto"/>
              <w:right w:val="single" w:sz="4" w:space="0" w:color="auto"/>
            </w:tcBorders>
            <w:shd w:val="clear" w:color="auto" w:fill="auto"/>
            <w:noWrap/>
            <w:vAlign w:val="center"/>
            <w:hideMark/>
          </w:tcPr>
          <w:p w14:paraId="761C9B1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0.257</w:t>
            </w:r>
          </w:p>
        </w:tc>
        <w:tc>
          <w:tcPr>
            <w:tcW w:w="870" w:type="dxa"/>
            <w:tcBorders>
              <w:top w:val="nil"/>
              <w:left w:val="nil"/>
              <w:bottom w:val="single" w:sz="4" w:space="0" w:color="auto"/>
              <w:right w:val="single" w:sz="4" w:space="0" w:color="auto"/>
            </w:tcBorders>
            <w:shd w:val="clear" w:color="auto" w:fill="auto"/>
            <w:noWrap/>
            <w:vAlign w:val="center"/>
            <w:hideMark/>
          </w:tcPr>
          <w:p w14:paraId="4276504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0.256</w:t>
            </w:r>
          </w:p>
        </w:tc>
        <w:tc>
          <w:tcPr>
            <w:tcW w:w="870" w:type="dxa"/>
            <w:tcBorders>
              <w:top w:val="nil"/>
              <w:left w:val="nil"/>
              <w:bottom w:val="single" w:sz="4" w:space="0" w:color="auto"/>
              <w:right w:val="single" w:sz="4" w:space="0" w:color="auto"/>
            </w:tcBorders>
            <w:shd w:val="clear" w:color="auto" w:fill="auto"/>
            <w:noWrap/>
            <w:vAlign w:val="center"/>
            <w:hideMark/>
          </w:tcPr>
          <w:p w14:paraId="4FF2203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0.367</w:t>
            </w:r>
          </w:p>
        </w:tc>
        <w:tc>
          <w:tcPr>
            <w:tcW w:w="875" w:type="dxa"/>
            <w:tcBorders>
              <w:top w:val="nil"/>
              <w:left w:val="nil"/>
              <w:bottom w:val="single" w:sz="4" w:space="0" w:color="auto"/>
              <w:right w:val="single" w:sz="4" w:space="0" w:color="auto"/>
            </w:tcBorders>
            <w:shd w:val="clear" w:color="auto" w:fill="auto"/>
            <w:noWrap/>
            <w:vAlign w:val="center"/>
            <w:hideMark/>
          </w:tcPr>
          <w:p w14:paraId="16CB8E5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0.142</w:t>
            </w:r>
          </w:p>
        </w:tc>
      </w:tr>
      <w:tr w:rsidR="009251CC" w:rsidRPr="009251CC" w14:paraId="52D645EC" w14:textId="77777777" w:rsidTr="009251CC">
        <w:trPr>
          <w:trHeight w:val="300"/>
        </w:trPr>
        <w:tc>
          <w:tcPr>
            <w:tcW w:w="2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DD27B9"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D</w:t>
            </w:r>
          </w:p>
        </w:tc>
        <w:tc>
          <w:tcPr>
            <w:tcW w:w="2114" w:type="dxa"/>
            <w:tcBorders>
              <w:top w:val="nil"/>
              <w:left w:val="nil"/>
              <w:bottom w:val="single" w:sz="4" w:space="0" w:color="auto"/>
              <w:right w:val="single" w:sz="4" w:space="0" w:color="auto"/>
            </w:tcBorders>
            <w:shd w:val="clear" w:color="auto" w:fill="auto"/>
            <w:noWrap/>
            <w:vAlign w:val="center"/>
            <w:hideMark/>
          </w:tcPr>
          <w:p w14:paraId="6449D73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1st Replicate</w:t>
            </w:r>
          </w:p>
        </w:tc>
        <w:tc>
          <w:tcPr>
            <w:tcW w:w="1406" w:type="dxa"/>
            <w:tcBorders>
              <w:top w:val="nil"/>
              <w:left w:val="nil"/>
              <w:bottom w:val="single" w:sz="4" w:space="0" w:color="auto"/>
              <w:right w:val="single" w:sz="4" w:space="0" w:color="auto"/>
            </w:tcBorders>
            <w:shd w:val="clear" w:color="auto" w:fill="auto"/>
            <w:noWrap/>
            <w:vAlign w:val="center"/>
            <w:hideMark/>
          </w:tcPr>
          <w:p w14:paraId="7FD2789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0.94</w:t>
            </w:r>
          </w:p>
        </w:tc>
        <w:tc>
          <w:tcPr>
            <w:tcW w:w="870" w:type="dxa"/>
            <w:tcBorders>
              <w:top w:val="nil"/>
              <w:left w:val="nil"/>
              <w:bottom w:val="single" w:sz="4" w:space="0" w:color="auto"/>
              <w:right w:val="single" w:sz="4" w:space="0" w:color="auto"/>
            </w:tcBorders>
            <w:shd w:val="clear" w:color="auto" w:fill="auto"/>
            <w:noWrap/>
            <w:vAlign w:val="center"/>
            <w:hideMark/>
          </w:tcPr>
          <w:p w14:paraId="48689B8F"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0.862</w:t>
            </w:r>
          </w:p>
        </w:tc>
        <w:tc>
          <w:tcPr>
            <w:tcW w:w="870" w:type="dxa"/>
            <w:tcBorders>
              <w:top w:val="nil"/>
              <w:left w:val="nil"/>
              <w:bottom w:val="single" w:sz="4" w:space="0" w:color="auto"/>
              <w:right w:val="single" w:sz="4" w:space="0" w:color="auto"/>
            </w:tcBorders>
            <w:shd w:val="clear" w:color="auto" w:fill="auto"/>
            <w:noWrap/>
            <w:vAlign w:val="center"/>
            <w:hideMark/>
          </w:tcPr>
          <w:p w14:paraId="70249609"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0.971</w:t>
            </w:r>
          </w:p>
        </w:tc>
        <w:tc>
          <w:tcPr>
            <w:tcW w:w="870" w:type="dxa"/>
            <w:tcBorders>
              <w:top w:val="nil"/>
              <w:left w:val="nil"/>
              <w:bottom w:val="single" w:sz="4" w:space="0" w:color="auto"/>
              <w:right w:val="single" w:sz="4" w:space="0" w:color="auto"/>
            </w:tcBorders>
            <w:shd w:val="clear" w:color="auto" w:fill="auto"/>
            <w:noWrap/>
            <w:vAlign w:val="center"/>
            <w:hideMark/>
          </w:tcPr>
          <w:p w14:paraId="469CD659"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0.523</w:t>
            </w:r>
          </w:p>
        </w:tc>
        <w:tc>
          <w:tcPr>
            <w:tcW w:w="870" w:type="dxa"/>
            <w:tcBorders>
              <w:top w:val="nil"/>
              <w:left w:val="nil"/>
              <w:bottom w:val="single" w:sz="4" w:space="0" w:color="auto"/>
              <w:right w:val="single" w:sz="4" w:space="0" w:color="auto"/>
            </w:tcBorders>
            <w:shd w:val="clear" w:color="auto" w:fill="auto"/>
            <w:noWrap/>
            <w:vAlign w:val="center"/>
            <w:hideMark/>
          </w:tcPr>
          <w:p w14:paraId="09D7F09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0.336</w:t>
            </w:r>
          </w:p>
        </w:tc>
        <w:tc>
          <w:tcPr>
            <w:tcW w:w="875" w:type="dxa"/>
            <w:tcBorders>
              <w:top w:val="nil"/>
              <w:left w:val="nil"/>
              <w:bottom w:val="single" w:sz="4" w:space="0" w:color="auto"/>
              <w:right w:val="single" w:sz="4" w:space="0" w:color="auto"/>
            </w:tcBorders>
            <w:shd w:val="clear" w:color="auto" w:fill="auto"/>
            <w:noWrap/>
            <w:vAlign w:val="center"/>
            <w:hideMark/>
          </w:tcPr>
          <w:p w14:paraId="3C34DB8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0.283</w:t>
            </w:r>
          </w:p>
        </w:tc>
      </w:tr>
      <w:tr w:rsidR="009251CC" w:rsidRPr="009251CC" w14:paraId="76E2EA8C"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014548F4"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5A0C606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2nd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27DC20C0"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0.934</w:t>
            </w:r>
          </w:p>
        </w:tc>
        <w:tc>
          <w:tcPr>
            <w:tcW w:w="870" w:type="dxa"/>
            <w:tcBorders>
              <w:top w:val="nil"/>
              <w:left w:val="nil"/>
              <w:bottom w:val="single" w:sz="4" w:space="0" w:color="auto"/>
              <w:right w:val="single" w:sz="4" w:space="0" w:color="auto"/>
            </w:tcBorders>
            <w:shd w:val="clear" w:color="auto" w:fill="auto"/>
            <w:noWrap/>
            <w:vAlign w:val="center"/>
            <w:hideMark/>
          </w:tcPr>
          <w:p w14:paraId="42E11AF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0.864</w:t>
            </w:r>
          </w:p>
        </w:tc>
        <w:tc>
          <w:tcPr>
            <w:tcW w:w="870" w:type="dxa"/>
            <w:tcBorders>
              <w:top w:val="nil"/>
              <w:left w:val="nil"/>
              <w:bottom w:val="single" w:sz="4" w:space="0" w:color="auto"/>
              <w:right w:val="single" w:sz="4" w:space="0" w:color="auto"/>
            </w:tcBorders>
            <w:shd w:val="clear" w:color="auto" w:fill="auto"/>
            <w:noWrap/>
            <w:vAlign w:val="center"/>
            <w:hideMark/>
          </w:tcPr>
          <w:p w14:paraId="50D3B4C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0.972</w:t>
            </w:r>
          </w:p>
        </w:tc>
        <w:tc>
          <w:tcPr>
            <w:tcW w:w="870" w:type="dxa"/>
            <w:tcBorders>
              <w:top w:val="nil"/>
              <w:left w:val="nil"/>
              <w:bottom w:val="single" w:sz="4" w:space="0" w:color="auto"/>
              <w:right w:val="single" w:sz="4" w:space="0" w:color="auto"/>
            </w:tcBorders>
            <w:shd w:val="clear" w:color="auto" w:fill="auto"/>
            <w:noWrap/>
            <w:vAlign w:val="center"/>
            <w:hideMark/>
          </w:tcPr>
          <w:p w14:paraId="64CAB0E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0.517</w:t>
            </w:r>
          </w:p>
        </w:tc>
        <w:tc>
          <w:tcPr>
            <w:tcW w:w="870" w:type="dxa"/>
            <w:tcBorders>
              <w:top w:val="nil"/>
              <w:left w:val="nil"/>
              <w:bottom w:val="single" w:sz="4" w:space="0" w:color="auto"/>
              <w:right w:val="single" w:sz="4" w:space="0" w:color="auto"/>
            </w:tcBorders>
            <w:shd w:val="clear" w:color="auto" w:fill="auto"/>
            <w:noWrap/>
            <w:vAlign w:val="center"/>
            <w:hideMark/>
          </w:tcPr>
          <w:p w14:paraId="4EF13E6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0.346</w:t>
            </w:r>
          </w:p>
        </w:tc>
        <w:tc>
          <w:tcPr>
            <w:tcW w:w="875" w:type="dxa"/>
            <w:tcBorders>
              <w:top w:val="nil"/>
              <w:left w:val="nil"/>
              <w:bottom w:val="single" w:sz="4" w:space="0" w:color="auto"/>
              <w:right w:val="single" w:sz="4" w:space="0" w:color="auto"/>
            </w:tcBorders>
            <w:shd w:val="clear" w:color="auto" w:fill="auto"/>
            <w:noWrap/>
            <w:vAlign w:val="center"/>
            <w:hideMark/>
          </w:tcPr>
          <w:p w14:paraId="17F3968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0.298</w:t>
            </w:r>
          </w:p>
        </w:tc>
      </w:tr>
      <w:tr w:rsidR="009251CC" w:rsidRPr="009251CC" w14:paraId="3333C452"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7A4CE275"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7298AE6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3rd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6667375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0.928</w:t>
            </w:r>
          </w:p>
        </w:tc>
        <w:tc>
          <w:tcPr>
            <w:tcW w:w="870" w:type="dxa"/>
            <w:tcBorders>
              <w:top w:val="nil"/>
              <w:left w:val="nil"/>
              <w:bottom w:val="single" w:sz="4" w:space="0" w:color="auto"/>
              <w:right w:val="single" w:sz="4" w:space="0" w:color="auto"/>
            </w:tcBorders>
            <w:shd w:val="clear" w:color="auto" w:fill="auto"/>
            <w:noWrap/>
            <w:vAlign w:val="center"/>
            <w:hideMark/>
          </w:tcPr>
          <w:p w14:paraId="20C254E1"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0.865</w:t>
            </w:r>
          </w:p>
        </w:tc>
        <w:tc>
          <w:tcPr>
            <w:tcW w:w="870" w:type="dxa"/>
            <w:tcBorders>
              <w:top w:val="nil"/>
              <w:left w:val="nil"/>
              <w:bottom w:val="single" w:sz="4" w:space="0" w:color="auto"/>
              <w:right w:val="single" w:sz="4" w:space="0" w:color="auto"/>
            </w:tcBorders>
            <w:shd w:val="clear" w:color="auto" w:fill="auto"/>
            <w:noWrap/>
            <w:vAlign w:val="center"/>
            <w:hideMark/>
          </w:tcPr>
          <w:p w14:paraId="5A3EFA8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0.974</w:t>
            </w:r>
          </w:p>
        </w:tc>
        <w:tc>
          <w:tcPr>
            <w:tcW w:w="870" w:type="dxa"/>
            <w:tcBorders>
              <w:top w:val="nil"/>
              <w:left w:val="nil"/>
              <w:bottom w:val="single" w:sz="4" w:space="0" w:color="auto"/>
              <w:right w:val="single" w:sz="4" w:space="0" w:color="auto"/>
            </w:tcBorders>
            <w:shd w:val="clear" w:color="auto" w:fill="auto"/>
            <w:noWrap/>
            <w:vAlign w:val="center"/>
            <w:hideMark/>
          </w:tcPr>
          <w:p w14:paraId="3D1DEF20"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0.515</w:t>
            </w:r>
          </w:p>
        </w:tc>
        <w:tc>
          <w:tcPr>
            <w:tcW w:w="870" w:type="dxa"/>
            <w:tcBorders>
              <w:top w:val="nil"/>
              <w:left w:val="nil"/>
              <w:bottom w:val="single" w:sz="4" w:space="0" w:color="auto"/>
              <w:right w:val="single" w:sz="4" w:space="0" w:color="auto"/>
            </w:tcBorders>
            <w:shd w:val="clear" w:color="auto" w:fill="auto"/>
            <w:noWrap/>
            <w:vAlign w:val="center"/>
            <w:hideMark/>
          </w:tcPr>
          <w:p w14:paraId="406B6F8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0.345</w:t>
            </w:r>
          </w:p>
        </w:tc>
        <w:tc>
          <w:tcPr>
            <w:tcW w:w="875" w:type="dxa"/>
            <w:tcBorders>
              <w:top w:val="nil"/>
              <w:left w:val="nil"/>
              <w:bottom w:val="single" w:sz="4" w:space="0" w:color="auto"/>
              <w:right w:val="single" w:sz="4" w:space="0" w:color="auto"/>
            </w:tcBorders>
            <w:shd w:val="clear" w:color="auto" w:fill="auto"/>
            <w:noWrap/>
            <w:vAlign w:val="center"/>
            <w:hideMark/>
          </w:tcPr>
          <w:p w14:paraId="74A32E4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0.304</w:t>
            </w:r>
          </w:p>
        </w:tc>
      </w:tr>
      <w:tr w:rsidR="009251CC" w:rsidRPr="009251CC" w14:paraId="0256DCD4" w14:textId="77777777" w:rsidTr="009251CC">
        <w:trPr>
          <w:trHeight w:val="300"/>
        </w:trPr>
        <w:tc>
          <w:tcPr>
            <w:tcW w:w="2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FF45F1"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E</w:t>
            </w:r>
          </w:p>
        </w:tc>
        <w:tc>
          <w:tcPr>
            <w:tcW w:w="2114" w:type="dxa"/>
            <w:tcBorders>
              <w:top w:val="nil"/>
              <w:left w:val="nil"/>
              <w:bottom w:val="single" w:sz="4" w:space="0" w:color="auto"/>
              <w:right w:val="single" w:sz="4" w:space="0" w:color="auto"/>
            </w:tcBorders>
            <w:shd w:val="clear" w:color="auto" w:fill="auto"/>
            <w:noWrap/>
            <w:vAlign w:val="center"/>
            <w:hideMark/>
          </w:tcPr>
          <w:p w14:paraId="532B2BAE"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1st Replicate</w:t>
            </w:r>
          </w:p>
        </w:tc>
        <w:tc>
          <w:tcPr>
            <w:tcW w:w="1406" w:type="dxa"/>
            <w:tcBorders>
              <w:top w:val="nil"/>
              <w:left w:val="nil"/>
              <w:bottom w:val="single" w:sz="4" w:space="0" w:color="auto"/>
              <w:right w:val="single" w:sz="4" w:space="0" w:color="auto"/>
            </w:tcBorders>
            <w:shd w:val="clear" w:color="auto" w:fill="auto"/>
            <w:noWrap/>
            <w:vAlign w:val="center"/>
            <w:hideMark/>
          </w:tcPr>
          <w:p w14:paraId="3A37991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0.96</w:t>
            </w:r>
          </w:p>
        </w:tc>
        <w:tc>
          <w:tcPr>
            <w:tcW w:w="870" w:type="dxa"/>
            <w:tcBorders>
              <w:top w:val="nil"/>
              <w:left w:val="nil"/>
              <w:bottom w:val="single" w:sz="4" w:space="0" w:color="auto"/>
              <w:right w:val="single" w:sz="4" w:space="0" w:color="auto"/>
            </w:tcBorders>
            <w:shd w:val="clear" w:color="auto" w:fill="auto"/>
            <w:noWrap/>
            <w:vAlign w:val="center"/>
            <w:hideMark/>
          </w:tcPr>
          <w:p w14:paraId="01F8C9E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0.909</w:t>
            </w:r>
          </w:p>
        </w:tc>
        <w:tc>
          <w:tcPr>
            <w:tcW w:w="870" w:type="dxa"/>
            <w:tcBorders>
              <w:top w:val="nil"/>
              <w:left w:val="nil"/>
              <w:bottom w:val="single" w:sz="4" w:space="0" w:color="auto"/>
              <w:right w:val="single" w:sz="4" w:space="0" w:color="auto"/>
            </w:tcBorders>
            <w:shd w:val="clear" w:color="auto" w:fill="auto"/>
            <w:noWrap/>
            <w:vAlign w:val="center"/>
            <w:hideMark/>
          </w:tcPr>
          <w:p w14:paraId="4066150E"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0.356</w:t>
            </w:r>
          </w:p>
        </w:tc>
        <w:tc>
          <w:tcPr>
            <w:tcW w:w="870" w:type="dxa"/>
            <w:tcBorders>
              <w:top w:val="nil"/>
              <w:left w:val="nil"/>
              <w:bottom w:val="single" w:sz="4" w:space="0" w:color="auto"/>
              <w:right w:val="single" w:sz="4" w:space="0" w:color="auto"/>
            </w:tcBorders>
            <w:shd w:val="clear" w:color="auto" w:fill="auto"/>
            <w:noWrap/>
            <w:vAlign w:val="center"/>
            <w:hideMark/>
          </w:tcPr>
          <w:p w14:paraId="2742A32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0.634</w:t>
            </w:r>
          </w:p>
        </w:tc>
        <w:tc>
          <w:tcPr>
            <w:tcW w:w="870" w:type="dxa"/>
            <w:tcBorders>
              <w:top w:val="nil"/>
              <w:left w:val="nil"/>
              <w:bottom w:val="single" w:sz="4" w:space="0" w:color="auto"/>
              <w:right w:val="single" w:sz="4" w:space="0" w:color="auto"/>
            </w:tcBorders>
            <w:shd w:val="clear" w:color="auto" w:fill="auto"/>
            <w:noWrap/>
            <w:vAlign w:val="center"/>
            <w:hideMark/>
          </w:tcPr>
          <w:p w14:paraId="4279598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0.128</w:t>
            </w:r>
          </w:p>
        </w:tc>
        <w:tc>
          <w:tcPr>
            <w:tcW w:w="875" w:type="dxa"/>
            <w:tcBorders>
              <w:top w:val="nil"/>
              <w:left w:val="nil"/>
              <w:bottom w:val="single" w:sz="4" w:space="0" w:color="auto"/>
              <w:right w:val="single" w:sz="4" w:space="0" w:color="auto"/>
            </w:tcBorders>
            <w:shd w:val="clear" w:color="auto" w:fill="auto"/>
            <w:noWrap/>
            <w:vAlign w:val="center"/>
            <w:hideMark/>
          </w:tcPr>
          <w:p w14:paraId="446C1B0F"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0.121</w:t>
            </w:r>
          </w:p>
        </w:tc>
      </w:tr>
      <w:tr w:rsidR="009251CC" w:rsidRPr="009251CC" w14:paraId="46B8CC0D"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59626457"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2EB047B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2nd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3BBBBD0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0.972</w:t>
            </w:r>
          </w:p>
        </w:tc>
        <w:tc>
          <w:tcPr>
            <w:tcW w:w="870" w:type="dxa"/>
            <w:tcBorders>
              <w:top w:val="nil"/>
              <w:left w:val="nil"/>
              <w:bottom w:val="single" w:sz="4" w:space="0" w:color="auto"/>
              <w:right w:val="single" w:sz="4" w:space="0" w:color="auto"/>
            </w:tcBorders>
            <w:shd w:val="clear" w:color="auto" w:fill="auto"/>
            <w:noWrap/>
            <w:vAlign w:val="center"/>
            <w:hideMark/>
          </w:tcPr>
          <w:p w14:paraId="2C4F79F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0.905</w:t>
            </w:r>
          </w:p>
        </w:tc>
        <w:tc>
          <w:tcPr>
            <w:tcW w:w="870" w:type="dxa"/>
            <w:tcBorders>
              <w:top w:val="nil"/>
              <w:left w:val="nil"/>
              <w:bottom w:val="single" w:sz="4" w:space="0" w:color="auto"/>
              <w:right w:val="single" w:sz="4" w:space="0" w:color="auto"/>
            </w:tcBorders>
            <w:shd w:val="clear" w:color="auto" w:fill="auto"/>
            <w:noWrap/>
            <w:vAlign w:val="center"/>
            <w:hideMark/>
          </w:tcPr>
          <w:p w14:paraId="0006594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0.357</w:t>
            </w:r>
          </w:p>
        </w:tc>
        <w:tc>
          <w:tcPr>
            <w:tcW w:w="870" w:type="dxa"/>
            <w:tcBorders>
              <w:top w:val="nil"/>
              <w:left w:val="nil"/>
              <w:bottom w:val="single" w:sz="4" w:space="0" w:color="auto"/>
              <w:right w:val="single" w:sz="4" w:space="0" w:color="auto"/>
            </w:tcBorders>
            <w:shd w:val="clear" w:color="auto" w:fill="auto"/>
            <w:noWrap/>
            <w:vAlign w:val="center"/>
            <w:hideMark/>
          </w:tcPr>
          <w:p w14:paraId="0E9B2E1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0.635</w:t>
            </w:r>
          </w:p>
        </w:tc>
        <w:tc>
          <w:tcPr>
            <w:tcW w:w="870" w:type="dxa"/>
            <w:tcBorders>
              <w:top w:val="nil"/>
              <w:left w:val="nil"/>
              <w:bottom w:val="single" w:sz="4" w:space="0" w:color="auto"/>
              <w:right w:val="single" w:sz="4" w:space="0" w:color="auto"/>
            </w:tcBorders>
            <w:shd w:val="clear" w:color="auto" w:fill="auto"/>
            <w:noWrap/>
            <w:vAlign w:val="center"/>
            <w:hideMark/>
          </w:tcPr>
          <w:p w14:paraId="7243FE86"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0.126</w:t>
            </w:r>
          </w:p>
        </w:tc>
        <w:tc>
          <w:tcPr>
            <w:tcW w:w="875" w:type="dxa"/>
            <w:tcBorders>
              <w:top w:val="nil"/>
              <w:left w:val="nil"/>
              <w:bottom w:val="single" w:sz="4" w:space="0" w:color="auto"/>
              <w:right w:val="single" w:sz="4" w:space="0" w:color="auto"/>
            </w:tcBorders>
            <w:shd w:val="clear" w:color="auto" w:fill="auto"/>
            <w:noWrap/>
            <w:vAlign w:val="center"/>
            <w:hideMark/>
          </w:tcPr>
          <w:p w14:paraId="35883DD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0.122</w:t>
            </w:r>
          </w:p>
        </w:tc>
      </w:tr>
      <w:tr w:rsidR="009251CC" w:rsidRPr="009251CC" w14:paraId="02BFAD3D"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3A78E6FD"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4B4250B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3rd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4A1EC63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0.974</w:t>
            </w:r>
          </w:p>
        </w:tc>
        <w:tc>
          <w:tcPr>
            <w:tcW w:w="870" w:type="dxa"/>
            <w:tcBorders>
              <w:top w:val="nil"/>
              <w:left w:val="nil"/>
              <w:bottom w:val="single" w:sz="4" w:space="0" w:color="auto"/>
              <w:right w:val="single" w:sz="4" w:space="0" w:color="auto"/>
            </w:tcBorders>
            <w:shd w:val="clear" w:color="auto" w:fill="auto"/>
            <w:noWrap/>
            <w:vAlign w:val="center"/>
            <w:hideMark/>
          </w:tcPr>
          <w:p w14:paraId="19A7B22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0.907</w:t>
            </w:r>
          </w:p>
        </w:tc>
        <w:tc>
          <w:tcPr>
            <w:tcW w:w="870" w:type="dxa"/>
            <w:tcBorders>
              <w:top w:val="nil"/>
              <w:left w:val="nil"/>
              <w:bottom w:val="single" w:sz="4" w:space="0" w:color="auto"/>
              <w:right w:val="single" w:sz="4" w:space="0" w:color="auto"/>
            </w:tcBorders>
            <w:shd w:val="clear" w:color="auto" w:fill="auto"/>
            <w:noWrap/>
            <w:vAlign w:val="center"/>
            <w:hideMark/>
          </w:tcPr>
          <w:p w14:paraId="516A718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0.358</w:t>
            </w:r>
          </w:p>
        </w:tc>
        <w:tc>
          <w:tcPr>
            <w:tcW w:w="870" w:type="dxa"/>
            <w:tcBorders>
              <w:top w:val="nil"/>
              <w:left w:val="nil"/>
              <w:bottom w:val="single" w:sz="4" w:space="0" w:color="auto"/>
              <w:right w:val="single" w:sz="4" w:space="0" w:color="auto"/>
            </w:tcBorders>
            <w:shd w:val="clear" w:color="auto" w:fill="auto"/>
            <w:noWrap/>
            <w:vAlign w:val="center"/>
            <w:hideMark/>
          </w:tcPr>
          <w:p w14:paraId="7B91854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0.638</w:t>
            </w:r>
          </w:p>
        </w:tc>
        <w:tc>
          <w:tcPr>
            <w:tcW w:w="870" w:type="dxa"/>
            <w:tcBorders>
              <w:top w:val="nil"/>
              <w:left w:val="nil"/>
              <w:bottom w:val="single" w:sz="4" w:space="0" w:color="auto"/>
              <w:right w:val="single" w:sz="4" w:space="0" w:color="auto"/>
            </w:tcBorders>
            <w:shd w:val="clear" w:color="auto" w:fill="auto"/>
            <w:noWrap/>
            <w:vAlign w:val="center"/>
            <w:hideMark/>
          </w:tcPr>
          <w:p w14:paraId="18B2FB11"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0.128</w:t>
            </w:r>
          </w:p>
        </w:tc>
        <w:tc>
          <w:tcPr>
            <w:tcW w:w="875" w:type="dxa"/>
            <w:tcBorders>
              <w:top w:val="nil"/>
              <w:left w:val="nil"/>
              <w:bottom w:val="single" w:sz="4" w:space="0" w:color="auto"/>
              <w:right w:val="single" w:sz="4" w:space="0" w:color="auto"/>
            </w:tcBorders>
            <w:shd w:val="clear" w:color="auto" w:fill="auto"/>
            <w:noWrap/>
            <w:vAlign w:val="center"/>
            <w:hideMark/>
          </w:tcPr>
          <w:p w14:paraId="255681D6"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w:t>
            </w:r>
          </w:p>
        </w:tc>
      </w:tr>
      <w:tr w:rsidR="009251CC" w:rsidRPr="009251CC" w14:paraId="1F2E336F" w14:textId="77777777" w:rsidTr="009251CC">
        <w:trPr>
          <w:trHeight w:val="300"/>
        </w:trPr>
        <w:tc>
          <w:tcPr>
            <w:tcW w:w="2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659D02"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F</w:t>
            </w:r>
          </w:p>
        </w:tc>
        <w:tc>
          <w:tcPr>
            <w:tcW w:w="2114" w:type="dxa"/>
            <w:tcBorders>
              <w:top w:val="nil"/>
              <w:left w:val="nil"/>
              <w:bottom w:val="single" w:sz="4" w:space="0" w:color="auto"/>
              <w:right w:val="single" w:sz="4" w:space="0" w:color="auto"/>
            </w:tcBorders>
            <w:shd w:val="clear" w:color="auto" w:fill="auto"/>
            <w:noWrap/>
            <w:vAlign w:val="center"/>
            <w:hideMark/>
          </w:tcPr>
          <w:p w14:paraId="6B4510C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1st Replicate</w:t>
            </w:r>
          </w:p>
        </w:tc>
        <w:tc>
          <w:tcPr>
            <w:tcW w:w="1406" w:type="dxa"/>
            <w:tcBorders>
              <w:top w:val="nil"/>
              <w:left w:val="nil"/>
              <w:bottom w:val="single" w:sz="4" w:space="0" w:color="auto"/>
              <w:right w:val="single" w:sz="4" w:space="0" w:color="auto"/>
            </w:tcBorders>
            <w:shd w:val="clear" w:color="auto" w:fill="auto"/>
            <w:noWrap/>
            <w:vAlign w:val="center"/>
            <w:hideMark/>
          </w:tcPr>
          <w:p w14:paraId="53A14B81"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0.943</w:t>
            </w:r>
          </w:p>
        </w:tc>
        <w:tc>
          <w:tcPr>
            <w:tcW w:w="870" w:type="dxa"/>
            <w:tcBorders>
              <w:top w:val="nil"/>
              <w:left w:val="nil"/>
              <w:bottom w:val="single" w:sz="4" w:space="0" w:color="auto"/>
              <w:right w:val="single" w:sz="4" w:space="0" w:color="auto"/>
            </w:tcBorders>
            <w:shd w:val="clear" w:color="auto" w:fill="auto"/>
            <w:noWrap/>
            <w:vAlign w:val="center"/>
            <w:hideMark/>
          </w:tcPr>
          <w:p w14:paraId="6DDA6A1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0.86</w:t>
            </w:r>
          </w:p>
        </w:tc>
        <w:tc>
          <w:tcPr>
            <w:tcW w:w="870" w:type="dxa"/>
            <w:tcBorders>
              <w:top w:val="nil"/>
              <w:left w:val="nil"/>
              <w:bottom w:val="single" w:sz="4" w:space="0" w:color="auto"/>
              <w:right w:val="single" w:sz="4" w:space="0" w:color="auto"/>
            </w:tcBorders>
            <w:shd w:val="clear" w:color="auto" w:fill="auto"/>
            <w:noWrap/>
            <w:vAlign w:val="center"/>
            <w:hideMark/>
          </w:tcPr>
          <w:p w14:paraId="6F256A4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0.561</w:t>
            </w:r>
          </w:p>
        </w:tc>
        <w:tc>
          <w:tcPr>
            <w:tcW w:w="870" w:type="dxa"/>
            <w:tcBorders>
              <w:top w:val="nil"/>
              <w:left w:val="nil"/>
              <w:bottom w:val="single" w:sz="4" w:space="0" w:color="auto"/>
              <w:right w:val="single" w:sz="4" w:space="0" w:color="auto"/>
            </w:tcBorders>
            <w:shd w:val="clear" w:color="auto" w:fill="auto"/>
            <w:noWrap/>
            <w:vAlign w:val="center"/>
            <w:hideMark/>
          </w:tcPr>
          <w:p w14:paraId="096AB89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0.463</w:t>
            </w:r>
          </w:p>
        </w:tc>
        <w:tc>
          <w:tcPr>
            <w:tcW w:w="870" w:type="dxa"/>
            <w:tcBorders>
              <w:top w:val="nil"/>
              <w:left w:val="nil"/>
              <w:bottom w:val="single" w:sz="4" w:space="0" w:color="auto"/>
              <w:right w:val="single" w:sz="4" w:space="0" w:color="auto"/>
            </w:tcBorders>
            <w:shd w:val="clear" w:color="auto" w:fill="auto"/>
            <w:noWrap/>
            <w:vAlign w:val="center"/>
            <w:hideMark/>
          </w:tcPr>
          <w:p w14:paraId="5E38B63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0.491</w:t>
            </w:r>
          </w:p>
        </w:tc>
        <w:tc>
          <w:tcPr>
            <w:tcW w:w="875" w:type="dxa"/>
            <w:tcBorders>
              <w:top w:val="nil"/>
              <w:left w:val="nil"/>
              <w:bottom w:val="single" w:sz="4" w:space="0" w:color="auto"/>
              <w:right w:val="single" w:sz="4" w:space="0" w:color="auto"/>
            </w:tcBorders>
            <w:shd w:val="clear" w:color="auto" w:fill="auto"/>
            <w:noWrap/>
            <w:vAlign w:val="center"/>
            <w:hideMark/>
          </w:tcPr>
          <w:p w14:paraId="40B29C9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0.577</w:t>
            </w:r>
          </w:p>
        </w:tc>
      </w:tr>
      <w:tr w:rsidR="009251CC" w:rsidRPr="009251CC" w14:paraId="0A765FCC"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4A77F65A"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7732AA0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2nd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6DB24F8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0.944</w:t>
            </w:r>
          </w:p>
        </w:tc>
        <w:tc>
          <w:tcPr>
            <w:tcW w:w="870" w:type="dxa"/>
            <w:tcBorders>
              <w:top w:val="nil"/>
              <w:left w:val="nil"/>
              <w:bottom w:val="single" w:sz="4" w:space="0" w:color="auto"/>
              <w:right w:val="single" w:sz="4" w:space="0" w:color="auto"/>
            </w:tcBorders>
            <w:shd w:val="clear" w:color="auto" w:fill="auto"/>
            <w:noWrap/>
            <w:vAlign w:val="center"/>
            <w:hideMark/>
          </w:tcPr>
          <w:p w14:paraId="6CA288E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0.867</w:t>
            </w:r>
          </w:p>
        </w:tc>
        <w:tc>
          <w:tcPr>
            <w:tcW w:w="870" w:type="dxa"/>
            <w:tcBorders>
              <w:top w:val="nil"/>
              <w:left w:val="nil"/>
              <w:bottom w:val="single" w:sz="4" w:space="0" w:color="auto"/>
              <w:right w:val="single" w:sz="4" w:space="0" w:color="auto"/>
            </w:tcBorders>
            <w:shd w:val="clear" w:color="auto" w:fill="auto"/>
            <w:noWrap/>
            <w:vAlign w:val="center"/>
            <w:hideMark/>
          </w:tcPr>
          <w:p w14:paraId="326AADB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0.558</w:t>
            </w:r>
          </w:p>
        </w:tc>
        <w:tc>
          <w:tcPr>
            <w:tcW w:w="870" w:type="dxa"/>
            <w:tcBorders>
              <w:top w:val="nil"/>
              <w:left w:val="nil"/>
              <w:bottom w:val="single" w:sz="4" w:space="0" w:color="auto"/>
              <w:right w:val="single" w:sz="4" w:space="0" w:color="auto"/>
            </w:tcBorders>
            <w:shd w:val="clear" w:color="auto" w:fill="auto"/>
            <w:noWrap/>
            <w:vAlign w:val="center"/>
            <w:hideMark/>
          </w:tcPr>
          <w:p w14:paraId="4196BD9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0.461</w:t>
            </w:r>
          </w:p>
        </w:tc>
        <w:tc>
          <w:tcPr>
            <w:tcW w:w="870" w:type="dxa"/>
            <w:tcBorders>
              <w:top w:val="nil"/>
              <w:left w:val="nil"/>
              <w:bottom w:val="single" w:sz="4" w:space="0" w:color="auto"/>
              <w:right w:val="single" w:sz="4" w:space="0" w:color="auto"/>
            </w:tcBorders>
            <w:shd w:val="clear" w:color="auto" w:fill="auto"/>
            <w:noWrap/>
            <w:vAlign w:val="center"/>
            <w:hideMark/>
          </w:tcPr>
          <w:p w14:paraId="4EF5071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0.502</w:t>
            </w:r>
          </w:p>
        </w:tc>
        <w:tc>
          <w:tcPr>
            <w:tcW w:w="875" w:type="dxa"/>
            <w:tcBorders>
              <w:top w:val="nil"/>
              <w:left w:val="nil"/>
              <w:bottom w:val="single" w:sz="4" w:space="0" w:color="auto"/>
              <w:right w:val="single" w:sz="4" w:space="0" w:color="auto"/>
            </w:tcBorders>
            <w:shd w:val="clear" w:color="auto" w:fill="auto"/>
            <w:noWrap/>
            <w:vAlign w:val="center"/>
            <w:hideMark/>
          </w:tcPr>
          <w:p w14:paraId="291E4CD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0.576</w:t>
            </w:r>
          </w:p>
        </w:tc>
      </w:tr>
      <w:tr w:rsidR="009251CC" w:rsidRPr="009251CC" w14:paraId="6FE6604B"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7A45D578"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641B5DEB"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3rd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08EEEDFF"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0.952</w:t>
            </w:r>
          </w:p>
        </w:tc>
        <w:tc>
          <w:tcPr>
            <w:tcW w:w="870" w:type="dxa"/>
            <w:tcBorders>
              <w:top w:val="nil"/>
              <w:left w:val="nil"/>
              <w:bottom w:val="single" w:sz="4" w:space="0" w:color="auto"/>
              <w:right w:val="single" w:sz="4" w:space="0" w:color="auto"/>
            </w:tcBorders>
            <w:shd w:val="clear" w:color="auto" w:fill="auto"/>
            <w:noWrap/>
            <w:vAlign w:val="center"/>
            <w:hideMark/>
          </w:tcPr>
          <w:p w14:paraId="512CF92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0.868</w:t>
            </w:r>
          </w:p>
        </w:tc>
        <w:tc>
          <w:tcPr>
            <w:tcW w:w="870" w:type="dxa"/>
            <w:tcBorders>
              <w:top w:val="nil"/>
              <w:left w:val="nil"/>
              <w:bottom w:val="single" w:sz="4" w:space="0" w:color="auto"/>
              <w:right w:val="single" w:sz="4" w:space="0" w:color="auto"/>
            </w:tcBorders>
            <w:shd w:val="clear" w:color="auto" w:fill="auto"/>
            <w:noWrap/>
            <w:vAlign w:val="center"/>
            <w:hideMark/>
          </w:tcPr>
          <w:p w14:paraId="455EF26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0.556</w:t>
            </w:r>
          </w:p>
        </w:tc>
        <w:tc>
          <w:tcPr>
            <w:tcW w:w="870" w:type="dxa"/>
            <w:tcBorders>
              <w:top w:val="nil"/>
              <w:left w:val="nil"/>
              <w:bottom w:val="single" w:sz="4" w:space="0" w:color="auto"/>
              <w:right w:val="single" w:sz="4" w:space="0" w:color="auto"/>
            </w:tcBorders>
            <w:shd w:val="clear" w:color="auto" w:fill="auto"/>
            <w:noWrap/>
            <w:vAlign w:val="center"/>
            <w:hideMark/>
          </w:tcPr>
          <w:p w14:paraId="6686642F"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0.457</w:t>
            </w:r>
          </w:p>
        </w:tc>
        <w:tc>
          <w:tcPr>
            <w:tcW w:w="870" w:type="dxa"/>
            <w:tcBorders>
              <w:top w:val="nil"/>
              <w:left w:val="nil"/>
              <w:bottom w:val="single" w:sz="4" w:space="0" w:color="auto"/>
              <w:right w:val="single" w:sz="4" w:space="0" w:color="auto"/>
            </w:tcBorders>
            <w:shd w:val="clear" w:color="auto" w:fill="auto"/>
            <w:noWrap/>
            <w:vAlign w:val="center"/>
            <w:hideMark/>
          </w:tcPr>
          <w:p w14:paraId="4CBE483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0.505</w:t>
            </w:r>
          </w:p>
        </w:tc>
        <w:tc>
          <w:tcPr>
            <w:tcW w:w="875" w:type="dxa"/>
            <w:tcBorders>
              <w:top w:val="nil"/>
              <w:left w:val="nil"/>
              <w:bottom w:val="single" w:sz="4" w:space="0" w:color="auto"/>
              <w:right w:val="single" w:sz="4" w:space="0" w:color="auto"/>
            </w:tcBorders>
            <w:shd w:val="clear" w:color="auto" w:fill="auto"/>
            <w:noWrap/>
            <w:vAlign w:val="center"/>
            <w:hideMark/>
          </w:tcPr>
          <w:p w14:paraId="3AE4A04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0.575</w:t>
            </w:r>
          </w:p>
        </w:tc>
      </w:tr>
      <w:tr w:rsidR="009251CC" w:rsidRPr="009251CC" w14:paraId="1BFC5833" w14:textId="77777777" w:rsidTr="009251CC">
        <w:trPr>
          <w:trHeight w:val="300"/>
        </w:trPr>
        <w:tc>
          <w:tcPr>
            <w:tcW w:w="2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09118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G</w:t>
            </w:r>
          </w:p>
        </w:tc>
        <w:tc>
          <w:tcPr>
            <w:tcW w:w="2114" w:type="dxa"/>
            <w:tcBorders>
              <w:top w:val="nil"/>
              <w:left w:val="nil"/>
              <w:bottom w:val="single" w:sz="4" w:space="0" w:color="auto"/>
              <w:right w:val="single" w:sz="4" w:space="0" w:color="auto"/>
            </w:tcBorders>
            <w:shd w:val="clear" w:color="auto" w:fill="auto"/>
            <w:noWrap/>
            <w:vAlign w:val="center"/>
            <w:hideMark/>
          </w:tcPr>
          <w:p w14:paraId="1AF28B0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1st Replicate</w:t>
            </w:r>
          </w:p>
        </w:tc>
        <w:tc>
          <w:tcPr>
            <w:tcW w:w="1406" w:type="dxa"/>
            <w:tcBorders>
              <w:top w:val="nil"/>
              <w:left w:val="nil"/>
              <w:bottom w:val="single" w:sz="4" w:space="0" w:color="auto"/>
              <w:right w:val="single" w:sz="4" w:space="0" w:color="auto"/>
            </w:tcBorders>
            <w:shd w:val="clear" w:color="auto" w:fill="auto"/>
            <w:noWrap/>
            <w:vAlign w:val="center"/>
            <w:hideMark/>
          </w:tcPr>
          <w:p w14:paraId="65CBCEA0"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0.153</w:t>
            </w:r>
          </w:p>
        </w:tc>
        <w:tc>
          <w:tcPr>
            <w:tcW w:w="870" w:type="dxa"/>
            <w:tcBorders>
              <w:top w:val="nil"/>
              <w:left w:val="nil"/>
              <w:bottom w:val="single" w:sz="4" w:space="0" w:color="auto"/>
              <w:right w:val="single" w:sz="4" w:space="0" w:color="auto"/>
            </w:tcBorders>
            <w:shd w:val="clear" w:color="auto" w:fill="auto"/>
            <w:noWrap/>
            <w:vAlign w:val="center"/>
            <w:hideMark/>
          </w:tcPr>
          <w:p w14:paraId="56C2B67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0.102</w:t>
            </w:r>
          </w:p>
        </w:tc>
        <w:tc>
          <w:tcPr>
            <w:tcW w:w="870" w:type="dxa"/>
            <w:tcBorders>
              <w:top w:val="nil"/>
              <w:left w:val="nil"/>
              <w:bottom w:val="single" w:sz="4" w:space="0" w:color="auto"/>
              <w:right w:val="single" w:sz="4" w:space="0" w:color="auto"/>
            </w:tcBorders>
            <w:shd w:val="clear" w:color="auto" w:fill="auto"/>
            <w:noWrap/>
            <w:vAlign w:val="center"/>
            <w:hideMark/>
          </w:tcPr>
          <w:p w14:paraId="06DF44CF"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0.355</w:t>
            </w:r>
          </w:p>
        </w:tc>
        <w:tc>
          <w:tcPr>
            <w:tcW w:w="870" w:type="dxa"/>
            <w:tcBorders>
              <w:top w:val="nil"/>
              <w:left w:val="nil"/>
              <w:bottom w:val="single" w:sz="4" w:space="0" w:color="auto"/>
              <w:right w:val="single" w:sz="4" w:space="0" w:color="auto"/>
            </w:tcBorders>
            <w:shd w:val="clear" w:color="auto" w:fill="auto"/>
            <w:noWrap/>
            <w:vAlign w:val="center"/>
            <w:hideMark/>
          </w:tcPr>
          <w:p w14:paraId="3E5F6E8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0.504</w:t>
            </w:r>
          </w:p>
        </w:tc>
        <w:tc>
          <w:tcPr>
            <w:tcW w:w="870" w:type="dxa"/>
            <w:tcBorders>
              <w:top w:val="nil"/>
              <w:left w:val="nil"/>
              <w:bottom w:val="single" w:sz="4" w:space="0" w:color="auto"/>
              <w:right w:val="single" w:sz="4" w:space="0" w:color="auto"/>
            </w:tcBorders>
            <w:shd w:val="clear" w:color="auto" w:fill="auto"/>
            <w:noWrap/>
            <w:vAlign w:val="center"/>
            <w:hideMark/>
          </w:tcPr>
          <w:p w14:paraId="6E20D749"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w:t>
            </w:r>
          </w:p>
        </w:tc>
        <w:tc>
          <w:tcPr>
            <w:tcW w:w="875" w:type="dxa"/>
            <w:tcBorders>
              <w:top w:val="nil"/>
              <w:left w:val="nil"/>
              <w:bottom w:val="single" w:sz="4" w:space="0" w:color="auto"/>
              <w:right w:val="single" w:sz="4" w:space="0" w:color="auto"/>
            </w:tcBorders>
            <w:shd w:val="clear" w:color="auto" w:fill="auto"/>
            <w:noWrap/>
            <w:vAlign w:val="center"/>
            <w:hideMark/>
          </w:tcPr>
          <w:p w14:paraId="7CEFF0F8"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0.053</w:t>
            </w:r>
          </w:p>
        </w:tc>
      </w:tr>
      <w:tr w:rsidR="009251CC" w:rsidRPr="009251CC" w14:paraId="608A1445"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3AD06AFA"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68A4D97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2nd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1738034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0.152</w:t>
            </w:r>
          </w:p>
        </w:tc>
        <w:tc>
          <w:tcPr>
            <w:tcW w:w="870" w:type="dxa"/>
            <w:tcBorders>
              <w:top w:val="nil"/>
              <w:left w:val="nil"/>
              <w:bottom w:val="single" w:sz="4" w:space="0" w:color="auto"/>
              <w:right w:val="single" w:sz="4" w:space="0" w:color="auto"/>
            </w:tcBorders>
            <w:shd w:val="clear" w:color="auto" w:fill="auto"/>
            <w:noWrap/>
            <w:vAlign w:val="center"/>
            <w:hideMark/>
          </w:tcPr>
          <w:p w14:paraId="5AE35C9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0.101</w:t>
            </w:r>
          </w:p>
        </w:tc>
        <w:tc>
          <w:tcPr>
            <w:tcW w:w="870" w:type="dxa"/>
            <w:tcBorders>
              <w:top w:val="nil"/>
              <w:left w:val="nil"/>
              <w:bottom w:val="single" w:sz="4" w:space="0" w:color="auto"/>
              <w:right w:val="single" w:sz="4" w:space="0" w:color="auto"/>
            </w:tcBorders>
            <w:shd w:val="clear" w:color="auto" w:fill="auto"/>
            <w:noWrap/>
            <w:vAlign w:val="center"/>
            <w:hideMark/>
          </w:tcPr>
          <w:p w14:paraId="5F64E35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0.348</w:t>
            </w:r>
          </w:p>
        </w:tc>
        <w:tc>
          <w:tcPr>
            <w:tcW w:w="870" w:type="dxa"/>
            <w:tcBorders>
              <w:top w:val="nil"/>
              <w:left w:val="nil"/>
              <w:bottom w:val="single" w:sz="4" w:space="0" w:color="auto"/>
              <w:right w:val="single" w:sz="4" w:space="0" w:color="auto"/>
            </w:tcBorders>
            <w:shd w:val="clear" w:color="auto" w:fill="auto"/>
            <w:noWrap/>
            <w:vAlign w:val="center"/>
            <w:hideMark/>
          </w:tcPr>
          <w:p w14:paraId="3C72D840"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0.5</w:t>
            </w:r>
          </w:p>
        </w:tc>
        <w:tc>
          <w:tcPr>
            <w:tcW w:w="870" w:type="dxa"/>
            <w:tcBorders>
              <w:top w:val="nil"/>
              <w:left w:val="nil"/>
              <w:bottom w:val="single" w:sz="4" w:space="0" w:color="auto"/>
              <w:right w:val="single" w:sz="4" w:space="0" w:color="auto"/>
            </w:tcBorders>
            <w:shd w:val="clear" w:color="auto" w:fill="auto"/>
            <w:noWrap/>
            <w:vAlign w:val="center"/>
            <w:hideMark/>
          </w:tcPr>
          <w:p w14:paraId="1CDEDFF3"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0.121</w:t>
            </w:r>
          </w:p>
        </w:tc>
        <w:tc>
          <w:tcPr>
            <w:tcW w:w="875" w:type="dxa"/>
            <w:tcBorders>
              <w:top w:val="nil"/>
              <w:left w:val="nil"/>
              <w:bottom w:val="single" w:sz="4" w:space="0" w:color="auto"/>
              <w:right w:val="single" w:sz="4" w:space="0" w:color="auto"/>
            </w:tcBorders>
            <w:shd w:val="clear" w:color="auto" w:fill="auto"/>
            <w:noWrap/>
            <w:vAlign w:val="center"/>
            <w:hideMark/>
          </w:tcPr>
          <w:p w14:paraId="2D4238CE"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0.052</w:t>
            </w:r>
          </w:p>
        </w:tc>
      </w:tr>
      <w:tr w:rsidR="009251CC" w:rsidRPr="009251CC" w14:paraId="311AF1DC" w14:textId="77777777" w:rsidTr="009251CC">
        <w:trPr>
          <w:trHeight w:val="300"/>
        </w:trPr>
        <w:tc>
          <w:tcPr>
            <w:tcW w:w="286" w:type="dxa"/>
            <w:vMerge/>
            <w:tcBorders>
              <w:top w:val="nil"/>
              <w:left w:val="single" w:sz="4" w:space="0" w:color="auto"/>
              <w:bottom w:val="single" w:sz="4" w:space="0" w:color="auto"/>
              <w:right w:val="single" w:sz="4" w:space="0" w:color="auto"/>
            </w:tcBorders>
            <w:vAlign w:val="center"/>
            <w:hideMark/>
          </w:tcPr>
          <w:p w14:paraId="2C388850" w14:textId="77777777" w:rsidR="009251CC" w:rsidRPr="009251CC" w:rsidRDefault="009251CC" w:rsidP="009251CC">
            <w:pPr>
              <w:spacing w:line="240" w:lineRule="auto"/>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single" w:sz="4" w:space="0" w:color="auto"/>
              <w:right w:val="single" w:sz="4" w:space="0" w:color="auto"/>
            </w:tcBorders>
            <w:shd w:val="clear" w:color="auto" w:fill="auto"/>
            <w:noWrap/>
            <w:vAlign w:val="center"/>
            <w:hideMark/>
          </w:tcPr>
          <w:p w14:paraId="0FD23876"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3rd Replicate</w:t>
            </w:r>
          </w:p>
        </w:tc>
        <w:tc>
          <w:tcPr>
            <w:tcW w:w="1406" w:type="dxa"/>
            <w:tcBorders>
              <w:top w:val="nil"/>
              <w:left w:val="nil"/>
              <w:bottom w:val="single" w:sz="4" w:space="0" w:color="auto"/>
              <w:right w:val="single" w:sz="4" w:space="0" w:color="auto"/>
            </w:tcBorders>
            <w:shd w:val="clear" w:color="auto" w:fill="auto"/>
            <w:noWrap/>
            <w:vAlign w:val="center"/>
            <w:hideMark/>
          </w:tcPr>
          <w:p w14:paraId="0ECCC0B7"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0.15</w:t>
            </w:r>
          </w:p>
        </w:tc>
        <w:tc>
          <w:tcPr>
            <w:tcW w:w="870" w:type="dxa"/>
            <w:tcBorders>
              <w:top w:val="nil"/>
              <w:left w:val="nil"/>
              <w:bottom w:val="single" w:sz="4" w:space="0" w:color="auto"/>
              <w:right w:val="single" w:sz="4" w:space="0" w:color="auto"/>
            </w:tcBorders>
            <w:shd w:val="clear" w:color="auto" w:fill="auto"/>
            <w:noWrap/>
            <w:vAlign w:val="center"/>
            <w:hideMark/>
          </w:tcPr>
          <w:p w14:paraId="6009E8A5"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0.102</w:t>
            </w:r>
          </w:p>
        </w:tc>
        <w:tc>
          <w:tcPr>
            <w:tcW w:w="870" w:type="dxa"/>
            <w:tcBorders>
              <w:top w:val="nil"/>
              <w:left w:val="nil"/>
              <w:bottom w:val="single" w:sz="4" w:space="0" w:color="auto"/>
              <w:right w:val="single" w:sz="4" w:space="0" w:color="auto"/>
            </w:tcBorders>
            <w:shd w:val="clear" w:color="auto" w:fill="auto"/>
            <w:noWrap/>
            <w:vAlign w:val="center"/>
            <w:hideMark/>
          </w:tcPr>
          <w:p w14:paraId="772EFCAC"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0.337</w:t>
            </w:r>
          </w:p>
        </w:tc>
        <w:tc>
          <w:tcPr>
            <w:tcW w:w="870" w:type="dxa"/>
            <w:tcBorders>
              <w:top w:val="nil"/>
              <w:left w:val="nil"/>
              <w:bottom w:val="single" w:sz="4" w:space="0" w:color="auto"/>
              <w:right w:val="single" w:sz="4" w:space="0" w:color="auto"/>
            </w:tcBorders>
            <w:shd w:val="clear" w:color="auto" w:fill="auto"/>
            <w:noWrap/>
            <w:vAlign w:val="center"/>
            <w:hideMark/>
          </w:tcPr>
          <w:p w14:paraId="60A0408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0.498</w:t>
            </w:r>
          </w:p>
        </w:tc>
        <w:tc>
          <w:tcPr>
            <w:tcW w:w="870" w:type="dxa"/>
            <w:tcBorders>
              <w:top w:val="nil"/>
              <w:left w:val="nil"/>
              <w:bottom w:val="single" w:sz="4" w:space="0" w:color="auto"/>
              <w:right w:val="single" w:sz="4" w:space="0" w:color="auto"/>
            </w:tcBorders>
            <w:shd w:val="clear" w:color="auto" w:fill="auto"/>
            <w:noWrap/>
            <w:vAlign w:val="center"/>
            <w:hideMark/>
          </w:tcPr>
          <w:p w14:paraId="7ED95AFA"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0.12</w:t>
            </w:r>
          </w:p>
        </w:tc>
        <w:tc>
          <w:tcPr>
            <w:tcW w:w="875" w:type="dxa"/>
            <w:tcBorders>
              <w:top w:val="nil"/>
              <w:left w:val="nil"/>
              <w:bottom w:val="single" w:sz="4" w:space="0" w:color="auto"/>
              <w:right w:val="single" w:sz="4" w:space="0" w:color="auto"/>
            </w:tcBorders>
            <w:shd w:val="clear" w:color="auto" w:fill="auto"/>
            <w:noWrap/>
            <w:vAlign w:val="center"/>
            <w:hideMark/>
          </w:tcPr>
          <w:p w14:paraId="73842F64"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0.053</w:t>
            </w:r>
          </w:p>
        </w:tc>
      </w:tr>
      <w:tr w:rsidR="009251CC" w:rsidRPr="009251CC" w14:paraId="762D72A9" w14:textId="77777777" w:rsidTr="009251CC">
        <w:trPr>
          <w:trHeight w:val="300"/>
        </w:trPr>
        <w:tc>
          <w:tcPr>
            <w:tcW w:w="286" w:type="dxa"/>
            <w:tcBorders>
              <w:top w:val="nil"/>
              <w:left w:val="nil"/>
              <w:bottom w:val="nil"/>
              <w:right w:val="nil"/>
            </w:tcBorders>
            <w:shd w:val="clear" w:color="auto" w:fill="auto"/>
            <w:noWrap/>
            <w:vAlign w:val="bottom"/>
            <w:hideMark/>
          </w:tcPr>
          <w:p w14:paraId="71BD595D" w14:textId="77777777" w:rsidR="009251CC" w:rsidRPr="009251CC" w:rsidRDefault="009251CC" w:rsidP="009251CC">
            <w:pPr>
              <w:spacing w:line="240" w:lineRule="auto"/>
              <w:jc w:val="center"/>
              <w:rPr>
                <w:rFonts w:ascii="Aptos Narrow" w:eastAsia="Times New Roman" w:hAnsi="Aptos Narrow" w:cs="Times New Roman"/>
                <w:color w:val="000000"/>
                <w:kern w:val="0"/>
                <w:szCs w:val="24"/>
                <w:lang w:val="en-GB" w:eastAsia="en-GB"/>
                <w14:ligatures w14:val="none"/>
              </w:rPr>
            </w:pPr>
          </w:p>
        </w:tc>
        <w:tc>
          <w:tcPr>
            <w:tcW w:w="2114" w:type="dxa"/>
            <w:tcBorders>
              <w:top w:val="nil"/>
              <w:left w:val="nil"/>
              <w:bottom w:val="nil"/>
              <w:right w:val="nil"/>
            </w:tcBorders>
            <w:shd w:val="clear" w:color="auto" w:fill="auto"/>
            <w:noWrap/>
            <w:vAlign w:val="bottom"/>
            <w:hideMark/>
          </w:tcPr>
          <w:p w14:paraId="081A39D4"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1406" w:type="dxa"/>
            <w:tcBorders>
              <w:top w:val="nil"/>
              <w:left w:val="nil"/>
              <w:bottom w:val="nil"/>
              <w:right w:val="nil"/>
            </w:tcBorders>
            <w:shd w:val="clear" w:color="auto" w:fill="auto"/>
            <w:noWrap/>
            <w:vAlign w:val="bottom"/>
            <w:hideMark/>
          </w:tcPr>
          <w:p w14:paraId="71292300"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870" w:type="dxa"/>
            <w:tcBorders>
              <w:top w:val="nil"/>
              <w:left w:val="nil"/>
              <w:bottom w:val="nil"/>
              <w:right w:val="nil"/>
            </w:tcBorders>
            <w:shd w:val="clear" w:color="auto" w:fill="auto"/>
            <w:noWrap/>
            <w:vAlign w:val="bottom"/>
            <w:hideMark/>
          </w:tcPr>
          <w:p w14:paraId="52309E8D"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870" w:type="dxa"/>
            <w:tcBorders>
              <w:top w:val="nil"/>
              <w:left w:val="nil"/>
              <w:bottom w:val="nil"/>
              <w:right w:val="nil"/>
            </w:tcBorders>
            <w:shd w:val="clear" w:color="auto" w:fill="auto"/>
            <w:noWrap/>
            <w:vAlign w:val="bottom"/>
            <w:hideMark/>
          </w:tcPr>
          <w:p w14:paraId="2E3F6243"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870" w:type="dxa"/>
            <w:tcBorders>
              <w:top w:val="nil"/>
              <w:left w:val="nil"/>
              <w:bottom w:val="nil"/>
              <w:right w:val="nil"/>
            </w:tcBorders>
            <w:shd w:val="clear" w:color="auto" w:fill="auto"/>
            <w:noWrap/>
            <w:vAlign w:val="bottom"/>
            <w:hideMark/>
          </w:tcPr>
          <w:p w14:paraId="50A9726A"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870" w:type="dxa"/>
            <w:tcBorders>
              <w:top w:val="nil"/>
              <w:left w:val="nil"/>
              <w:bottom w:val="nil"/>
              <w:right w:val="nil"/>
            </w:tcBorders>
            <w:shd w:val="clear" w:color="auto" w:fill="auto"/>
            <w:noWrap/>
            <w:vAlign w:val="bottom"/>
            <w:hideMark/>
          </w:tcPr>
          <w:p w14:paraId="0F9730B1"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875" w:type="dxa"/>
            <w:tcBorders>
              <w:top w:val="nil"/>
              <w:left w:val="nil"/>
              <w:bottom w:val="nil"/>
              <w:right w:val="nil"/>
            </w:tcBorders>
            <w:shd w:val="clear" w:color="auto" w:fill="auto"/>
            <w:noWrap/>
            <w:vAlign w:val="bottom"/>
            <w:hideMark/>
          </w:tcPr>
          <w:p w14:paraId="3633A428" w14:textId="77777777" w:rsidR="009251CC" w:rsidRPr="009251CC" w:rsidRDefault="009251CC" w:rsidP="009251CC">
            <w:pPr>
              <w:spacing w:line="240" w:lineRule="auto"/>
              <w:rPr>
                <w:rFonts w:eastAsia="Times New Roman" w:cs="Times New Roman"/>
                <w:kern w:val="0"/>
                <w:szCs w:val="24"/>
                <w:lang w:val="en-GB" w:eastAsia="en-GB"/>
                <w14:ligatures w14:val="none"/>
              </w:rPr>
            </w:pPr>
          </w:p>
        </w:tc>
      </w:tr>
      <w:tr w:rsidR="009251CC" w:rsidRPr="009251CC" w14:paraId="51D8F036" w14:textId="77777777" w:rsidTr="009251CC">
        <w:trPr>
          <w:trHeight w:val="300"/>
        </w:trPr>
        <w:tc>
          <w:tcPr>
            <w:tcW w:w="286" w:type="dxa"/>
            <w:tcBorders>
              <w:top w:val="nil"/>
              <w:left w:val="nil"/>
              <w:bottom w:val="nil"/>
              <w:right w:val="nil"/>
            </w:tcBorders>
            <w:shd w:val="clear" w:color="auto" w:fill="auto"/>
            <w:noWrap/>
            <w:vAlign w:val="bottom"/>
            <w:hideMark/>
          </w:tcPr>
          <w:p w14:paraId="4894BF52"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2114" w:type="dxa"/>
            <w:tcBorders>
              <w:top w:val="nil"/>
              <w:left w:val="nil"/>
              <w:bottom w:val="nil"/>
              <w:right w:val="nil"/>
            </w:tcBorders>
            <w:shd w:val="clear" w:color="auto" w:fill="auto"/>
            <w:noWrap/>
            <w:vAlign w:val="bottom"/>
            <w:hideMark/>
          </w:tcPr>
          <w:p w14:paraId="0D7C856F"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14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17A23A" w14:textId="77777777" w:rsidR="009251CC" w:rsidRPr="009251CC" w:rsidRDefault="009251CC" w:rsidP="009251CC">
            <w:pPr>
              <w:spacing w:line="240" w:lineRule="auto"/>
              <w:rPr>
                <w:rFonts w:ascii="Aptos Narrow" w:eastAsia="Times New Roman" w:hAnsi="Aptos Narrow" w:cs="Times New Roman"/>
                <w:b/>
                <w:bCs/>
                <w:color w:val="000000"/>
                <w:kern w:val="0"/>
                <w:szCs w:val="24"/>
                <w:lang w:val="en-GB" w:eastAsia="en-GB"/>
                <w14:ligatures w14:val="none"/>
              </w:rPr>
            </w:pPr>
            <w:r w:rsidRPr="009251CC">
              <w:rPr>
                <w:rFonts w:ascii="Aptos Narrow" w:eastAsia="Times New Roman" w:hAnsi="Aptos Narrow" w:cs="Times New Roman"/>
                <w:b/>
                <w:bCs/>
                <w:color w:val="000000"/>
                <w:kern w:val="0"/>
                <w:szCs w:val="24"/>
                <w:lang w:val="en-GB" w:eastAsia="en-GB"/>
                <w14:ligatures w14:val="none"/>
              </w:rPr>
              <w:t>Standard</w:t>
            </w:r>
          </w:p>
        </w:tc>
        <w:tc>
          <w:tcPr>
            <w:tcW w:w="870" w:type="dxa"/>
            <w:tcBorders>
              <w:top w:val="single" w:sz="4" w:space="0" w:color="auto"/>
              <w:left w:val="nil"/>
              <w:bottom w:val="single" w:sz="4" w:space="0" w:color="auto"/>
              <w:right w:val="single" w:sz="4" w:space="0" w:color="auto"/>
            </w:tcBorders>
            <w:shd w:val="clear" w:color="auto" w:fill="auto"/>
            <w:noWrap/>
            <w:vAlign w:val="bottom"/>
            <w:hideMark/>
          </w:tcPr>
          <w:p w14:paraId="0EB78009" w14:textId="77777777" w:rsidR="009251CC" w:rsidRPr="009251CC" w:rsidRDefault="009251CC" w:rsidP="009251CC">
            <w:pPr>
              <w:spacing w:line="240" w:lineRule="auto"/>
              <w:jc w:val="right"/>
              <w:rPr>
                <w:rFonts w:ascii="Aptos Narrow" w:eastAsia="Times New Roman" w:hAnsi="Aptos Narrow" w:cs="Times New Roman"/>
                <w:color w:val="000000"/>
                <w:kern w:val="0"/>
                <w:szCs w:val="24"/>
                <w:lang w:val="en-GB" w:eastAsia="en-GB"/>
                <w14:ligatures w14:val="none"/>
              </w:rPr>
            </w:pPr>
            <w:r w:rsidRPr="009251CC">
              <w:rPr>
                <w:rFonts w:ascii="Aptos Narrow" w:eastAsia="Times New Roman" w:hAnsi="Aptos Narrow" w:cs="Times New Roman"/>
                <w:color w:val="000000"/>
                <w:kern w:val="0"/>
                <w:szCs w:val="24"/>
                <w:lang w:val="en-GB" w:eastAsia="en-GB"/>
                <w14:ligatures w14:val="none"/>
              </w:rPr>
              <w:t>0.006</w:t>
            </w:r>
          </w:p>
        </w:tc>
        <w:tc>
          <w:tcPr>
            <w:tcW w:w="870" w:type="dxa"/>
            <w:tcBorders>
              <w:top w:val="nil"/>
              <w:left w:val="nil"/>
              <w:bottom w:val="nil"/>
              <w:right w:val="nil"/>
            </w:tcBorders>
            <w:shd w:val="clear" w:color="auto" w:fill="auto"/>
            <w:noWrap/>
            <w:vAlign w:val="bottom"/>
            <w:hideMark/>
          </w:tcPr>
          <w:p w14:paraId="30B7A194" w14:textId="77777777" w:rsidR="009251CC" w:rsidRPr="009251CC" w:rsidRDefault="009251CC" w:rsidP="009251CC">
            <w:pPr>
              <w:spacing w:line="240" w:lineRule="auto"/>
              <w:jc w:val="right"/>
              <w:rPr>
                <w:rFonts w:ascii="Aptos Narrow" w:eastAsia="Times New Roman" w:hAnsi="Aptos Narrow" w:cs="Times New Roman"/>
                <w:color w:val="000000"/>
                <w:kern w:val="0"/>
                <w:szCs w:val="24"/>
                <w:lang w:val="en-GB" w:eastAsia="en-GB"/>
                <w14:ligatures w14:val="none"/>
              </w:rPr>
            </w:pPr>
          </w:p>
        </w:tc>
        <w:tc>
          <w:tcPr>
            <w:tcW w:w="870" w:type="dxa"/>
            <w:tcBorders>
              <w:top w:val="nil"/>
              <w:left w:val="nil"/>
              <w:bottom w:val="nil"/>
              <w:right w:val="nil"/>
            </w:tcBorders>
            <w:shd w:val="clear" w:color="auto" w:fill="auto"/>
            <w:noWrap/>
            <w:vAlign w:val="bottom"/>
            <w:hideMark/>
          </w:tcPr>
          <w:p w14:paraId="0FBE691C"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870" w:type="dxa"/>
            <w:tcBorders>
              <w:top w:val="nil"/>
              <w:left w:val="nil"/>
              <w:bottom w:val="nil"/>
              <w:right w:val="nil"/>
            </w:tcBorders>
            <w:shd w:val="clear" w:color="auto" w:fill="auto"/>
            <w:noWrap/>
            <w:vAlign w:val="bottom"/>
            <w:hideMark/>
          </w:tcPr>
          <w:p w14:paraId="16D30F72" w14:textId="77777777" w:rsidR="009251CC" w:rsidRPr="009251CC" w:rsidRDefault="009251CC" w:rsidP="009251CC">
            <w:pPr>
              <w:spacing w:line="240" w:lineRule="auto"/>
              <w:rPr>
                <w:rFonts w:eastAsia="Times New Roman" w:cs="Times New Roman"/>
                <w:kern w:val="0"/>
                <w:szCs w:val="24"/>
                <w:lang w:val="en-GB" w:eastAsia="en-GB"/>
                <w14:ligatures w14:val="none"/>
              </w:rPr>
            </w:pPr>
          </w:p>
        </w:tc>
        <w:tc>
          <w:tcPr>
            <w:tcW w:w="875" w:type="dxa"/>
            <w:tcBorders>
              <w:top w:val="nil"/>
              <w:left w:val="nil"/>
              <w:bottom w:val="nil"/>
              <w:right w:val="nil"/>
            </w:tcBorders>
            <w:shd w:val="clear" w:color="auto" w:fill="auto"/>
            <w:noWrap/>
            <w:vAlign w:val="bottom"/>
            <w:hideMark/>
          </w:tcPr>
          <w:p w14:paraId="3A044BB3" w14:textId="77777777" w:rsidR="009251CC" w:rsidRPr="009251CC" w:rsidRDefault="009251CC" w:rsidP="009251CC">
            <w:pPr>
              <w:spacing w:line="240" w:lineRule="auto"/>
              <w:rPr>
                <w:rFonts w:eastAsia="Times New Roman" w:cs="Times New Roman"/>
                <w:kern w:val="0"/>
                <w:szCs w:val="24"/>
                <w:lang w:val="en-GB" w:eastAsia="en-GB"/>
                <w14:ligatures w14:val="none"/>
              </w:rPr>
            </w:pPr>
          </w:p>
        </w:tc>
      </w:tr>
    </w:tbl>
    <w:p w14:paraId="1EB78514" w14:textId="77777777" w:rsidR="009251CC" w:rsidRPr="006517EC" w:rsidRDefault="009251CC" w:rsidP="009C0866">
      <w:pPr>
        <w:ind w:left="720" w:hanging="720"/>
        <w:jc w:val="both"/>
        <w:rPr>
          <w:rFonts w:asciiTheme="majorBidi" w:hAnsiTheme="majorBidi" w:cstheme="majorBidi"/>
          <w:szCs w:val="24"/>
        </w:rPr>
      </w:pPr>
    </w:p>
    <w:p w14:paraId="50656E1C" w14:textId="77777777" w:rsidR="009C0866" w:rsidRDefault="009C0866" w:rsidP="00494170">
      <w:pPr>
        <w:rPr>
          <w:rFonts w:asciiTheme="majorBidi" w:hAnsiTheme="majorBidi" w:cstheme="majorBidi"/>
          <w:b/>
          <w:bCs/>
          <w:szCs w:val="24"/>
        </w:rPr>
        <w:sectPr w:rsidR="009C0866" w:rsidSect="006E7AD9">
          <w:pgSz w:w="11907" w:h="16840" w:code="9"/>
          <w:pgMar w:top="1440" w:right="1440" w:bottom="1440" w:left="1440" w:header="709" w:footer="709" w:gutter="0"/>
          <w:pgNumType w:start="1"/>
          <w:cols w:space="708"/>
          <w:docGrid w:linePitch="360"/>
        </w:sectPr>
      </w:pPr>
    </w:p>
    <w:p w14:paraId="4CE707FD" w14:textId="7260EA55" w:rsidR="00494170" w:rsidRDefault="00494170" w:rsidP="009251CC">
      <w:pPr>
        <w:rPr>
          <w:rFonts w:asciiTheme="majorBidi" w:hAnsiTheme="majorBidi" w:cstheme="majorBidi"/>
          <w:b/>
          <w:bCs/>
          <w:szCs w:val="24"/>
        </w:rPr>
      </w:pPr>
      <w:r>
        <w:rPr>
          <w:rFonts w:asciiTheme="majorBidi" w:hAnsiTheme="majorBidi" w:cstheme="majorBidi"/>
          <w:b/>
          <w:bCs/>
          <w:szCs w:val="24"/>
        </w:rPr>
        <w:lastRenderedPageBreak/>
        <w:t>APPENDIX I</w:t>
      </w:r>
      <w:r w:rsidR="009251CC">
        <w:rPr>
          <w:rFonts w:asciiTheme="majorBidi" w:hAnsiTheme="majorBidi" w:cstheme="majorBidi"/>
          <w:b/>
          <w:bCs/>
          <w:szCs w:val="24"/>
        </w:rPr>
        <w:t>I: Nonlinear Regression</w:t>
      </w:r>
    </w:p>
    <w:tbl>
      <w:tblPr>
        <w:tblW w:w="14220" w:type="dxa"/>
        <w:jc w:val="center"/>
        <w:tblLook w:val="04A0" w:firstRow="1" w:lastRow="0" w:firstColumn="1" w:lastColumn="0" w:noHBand="0" w:noVBand="1"/>
      </w:tblPr>
      <w:tblGrid>
        <w:gridCol w:w="2790"/>
        <w:gridCol w:w="1677"/>
        <w:gridCol w:w="1950"/>
        <w:gridCol w:w="1494"/>
        <w:gridCol w:w="1906"/>
        <w:gridCol w:w="1483"/>
        <w:gridCol w:w="1530"/>
        <w:gridCol w:w="1390"/>
      </w:tblGrid>
      <w:tr w:rsidR="00B32EE3" w:rsidRPr="00B32EE3" w14:paraId="56B5146D" w14:textId="77777777" w:rsidTr="00B32EE3">
        <w:trPr>
          <w:trHeight w:val="825"/>
          <w:jc w:val="center"/>
        </w:trPr>
        <w:tc>
          <w:tcPr>
            <w:tcW w:w="2790" w:type="dxa"/>
            <w:tcBorders>
              <w:top w:val="single" w:sz="4" w:space="0" w:color="auto"/>
              <w:left w:val="nil"/>
              <w:bottom w:val="single" w:sz="4" w:space="0" w:color="auto"/>
              <w:right w:val="nil"/>
            </w:tcBorders>
            <w:shd w:val="clear" w:color="auto" w:fill="auto"/>
            <w:noWrap/>
            <w:vAlign w:val="center"/>
            <w:hideMark/>
          </w:tcPr>
          <w:p w14:paraId="4CE01AD9" w14:textId="4344E138" w:rsidR="00B32EE3" w:rsidRPr="00494170" w:rsidRDefault="00B32EE3" w:rsidP="00494170">
            <w:pPr>
              <w:spacing w:line="240" w:lineRule="auto"/>
              <w:rPr>
                <w:rFonts w:asciiTheme="majorBidi" w:eastAsia="Times New Roman" w:hAnsiTheme="majorBidi" w:cstheme="majorBidi"/>
                <w:b/>
                <w:bCs/>
                <w:kern w:val="0"/>
                <w:szCs w:val="24"/>
                <w14:ligatures w14:val="none"/>
              </w:rPr>
            </w:pPr>
            <w:r w:rsidRPr="00494170">
              <w:rPr>
                <w:rFonts w:asciiTheme="majorBidi" w:eastAsia="Times New Roman" w:hAnsiTheme="majorBidi" w:cstheme="majorBidi"/>
                <w:b/>
                <w:bCs/>
                <w:color w:val="000000"/>
                <w:kern w:val="0"/>
                <w:sz w:val="22"/>
                <w14:ligatures w14:val="none"/>
              </w:rPr>
              <w:t>log(inhibitor) vs. response -- Variable slope (four parameters)</w:t>
            </w:r>
          </w:p>
        </w:tc>
        <w:tc>
          <w:tcPr>
            <w:tcW w:w="1677" w:type="dxa"/>
            <w:tcBorders>
              <w:top w:val="single" w:sz="4" w:space="0" w:color="auto"/>
              <w:left w:val="nil"/>
              <w:bottom w:val="single" w:sz="4" w:space="0" w:color="auto"/>
              <w:right w:val="nil"/>
            </w:tcBorders>
            <w:shd w:val="clear" w:color="auto" w:fill="auto"/>
            <w:noWrap/>
            <w:vAlign w:val="center"/>
            <w:hideMark/>
          </w:tcPr>
          <w:p w14:paraId="4C72DADC" w14:textId="77777777" w:rsidR="00B32EE3" w:rsidRPr="00494170" w:rsidRDefault="00B32EE3"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Sample A</w:t>
            </w:r>
          </w:p>
        </w:tc>
        <w:tc>
          <w:tcPr>
            <w:tcW w:w="1950" w:type="dxa"/>
            <w:tcBorders>
              <w:top w:val="single" w:sz="4" w:space="0" w:color="auto"/>
              <w:left w:val="nil"/>
              <w:bottom w:val="single" w:sz="4" w:space="0" w:color="auto"/>
              <w:right w:val="nil"/>
            </w:tcBorders>
            <w:shd w:val="clear" w:color="auto" w:fill="auto"/>
            <w:noWrap/>
            <w:vAlign w:val="center"/>
            <w:hideMark/>
          </w:tcPr>
          <w:p w14:paraId="6D431691" w14:textId="77777777" w:rsidR="00B32EE3" w:rsidRPr="00494170" w:rsidRDefault="00B32EE3"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Sample B</w:t>
            </w:r>
          </w:p>
        </w:tc>
        <w:tc>
          <w:tcPr>
            <w:tcW w:w="1494" w:type="dxa"/>
            <w:tcBorders>
              <w:top w:val="single" w:sz="4" w:space="0" w:color="auto"/>
              <w:left w:val="nil"/>
              <w:bottom w:val="single" w:sz="4" w:space="0" w:color="auto"/>
              <w:right w:val="nil"/>
            </w:tcBorders>
            <w:shd w:val="clear" w:color="auto" w:fill="auto"/>
            <w:noWrap/>
            <w:vAlign w:val="center"/>
            <w:hideMark/>
          </w:tcPr>
          <w:p w14:paraId="41C5A10D" w14:textId="77777777" w:rsidR="00B32EE3" w:rsidRPr="00494170" w:rsidRDefault="00B32EE3"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Sample C</w:t>
            </w:r>
          </w:p>
        </w:tc>
        <w:tc>
          <w:tcPr>
            <w:tcW w:w="1906" w:type="dxa"/>
            <w:tcBorders>
              <w:top w:val="single" w:sz="4" w:space="0" w:color="auto"/>
              <w:left w:val="nil"/>
              <w:bottom w:val="single" w:sz="4" w:space="0" w:color="auto"/>
              <w:right w:val="nil"/>
            </w:tcBorders>
            <w:shd w:val="clear" w:color="auto" w:fill="auto"/>
            <w:noWrap/>
            <w:vAlign w:val="center"/>
            <w:hideMark/>
          </w:tcPr>
          <w:p w14:paraId="55C04A9C" w14:textId="77777777" w:rsidR="00B32EE3" w:rsidRPr="00494170" w:rsidRDefault="00B32EE3"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Sample D</w:t>
            </w:r>
          </w:p>
        </w:tc>
        <w:tc>
          <w:tcPr>
            <w:tcW w:w="1483" w:type="dxa"/>
            <w:tcBorders>
              <w:top w:val="single" w:sz="4" w:space="0" w:color="auto"/>
              <w:left w:val="nil"/>
              <w:bottom w:val="single" w:sz="4" w:space="0" w:color="auto"/>
              <w:right w:val="nil"/>
            </w:tcBorders>
            <w:shd w:val="clear" w:color="auto" w:fill="auto"/>
            <w:noWrap/>
            <w:vAlign w:val="center"/>
            <w:hideMark/>
          </w:tcPr>
          <w:p w14:paraId="4CFB292C" w14:textId="77777777" w:rsidR="00B32EE3" w:rsidRPr="00494170" w:rsidRDefault="00B32EE3"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Sample E</w:t>
            </w:r>
          </w:p>
        </w:tc>
        <w:tc>
          <w:tcPr>
            <w:tcW w:w="1530" w:type="dxa"/>
            <w:tcBorders>
              <w:top w:val="single" w:sz="4" w:space="0" w:color="auto"/>
              <w:left w:val="nil"/>
              <w:bottom w:val="single" w:sz="4" w:space="0" w:color="auto"/>
              <w:right w:val="nil"/>
            </w:tcBorders>
            <w:shd w:val="clear" w:color="auto" w:fill="auto"/>
            <w:noWrap/>
            <w:vAlign w:val="center"/>
            <w:hideMark/>
          </w:tcPr>
          <w:p w14:paraId="5A676968" w14:textId="77777777" w:rsidR="00B32EE3" w:rsidRPr="00494170" w:rsidRDefault="00B32EE3"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Sample F</w:t>
            </w:r>
          </w:p>
        </w:tc>
        <w:tc>
          <w:tcPr>
            <w:tcW w:w="1390" w:type="dxa"/>
            <w:tcBorders>
              <w:top w:val="single" w:sz="4" w:space="0" w:color="auto"/>
              <w:left w:val="nil"/>
              <w:bottom w:val="single" w:sz="4" w:space="0" w:color="auto"/>
              <w:right w:val="nil"/>
            </w:tcBorders>
            <w:shd w:val="clear" w:color="auto" w:fill="auto"/>
            <w:noWrap/>
            <w:vAlign w:val="center"/>
            <w:hideMark/>
          </w:tcPr>
          <w:p w14:paraId="4C438E40" w14:textId="77777777" w:rsidR="00B32EE3" w:rsidRPr="00494170" w:rsidRDefault="00B32EE3"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Sample G</w:t>
            </w:r>
          </w:p>
        </w:tc>
      </w:tr>
      <w:tr w:rsidR="00B32EE3" w:rsidRPr="00B32EE3" w14:paraId="446DE2C7" w14:textId="77777777" w:rsidTr="009251CC">
        <w:trPr>
          <w:trHeight w:val="288"/>
          <w:jc w:val="center"/>
        </w:trPr>
        <w:tc>
          <w:tcPr>
            <w:tcW w:w="2790" w:type="dxa"/>
            <w:tcBorders>
              <w:top w:val="single" w:sz="4" w:space="0" w:color="auto"/>
              <w:left w:val="nil"/>
              <w:bottom w:val="single" w:sz="4" w:space="0" w:color="auto"/>
              <w:right w:val="nil"/>
            </w:tcBorders>
            <w:shd w:val="clear" w:color="auto" w:fill="auto"/>
            <w:noWrap/>
            <w:vAlign w:val="center"/>
            <w:hideMark/>
          </w:tcPr>
          <w:p w14:paraId="3CD1039D" w14:textId="77777777" w:rsidR="00494170" w:rsidRPr="00494170" w:rsidRDefault="00494170" w:rsidP="00494170">
            <w:pPr>
              <w:spacing w:line="240" w:lineRule="auto"/>
              <w:rPr>
                <w:rFonts w:asciiTheme="majorBidi" w:eastAsia="Times New Roman" w:hAnsiTheme="majorBidi" w:cstheme="majorBidi"/>
                <w:b/>
                <w:bCs/>
                <w:color w:val="000000"/>
                <w:kern w:val="0"/>
                <w:sz w:val="22"/>
                <w14:ligatures w14:val="none"/>
              </w:rPr>
            </w:pPr>
            <w:r w:rsidRPr="00494170">
              <w:rPr>
                <w:rFonts w:asciiTheme="majorBidi" w:eastAsia="Times New Roman" w:hAnsiTheme="majorBidi" w:cstheme="majorBidi"/>
                <w:b/>
                <w:bCs/>
                <w:color w:val="000000"/>
                <w:kern w:val="0"/>
                <w:sz w:val="22"/>
                <w14:ligatures w14:val="none"/>
              </w:rPr>
              <w:t>Best-fit values</w:t>
            </w:r>
          </w:p>
        </w:tc>
        <w:tc>
          <w:tcPr>
            <w:tcW w:w="1677" w:type="dxa"/>
            <w:tcBorders>
              <w:top w:val="single" w:sz="4" w:space="0" w:color="auto"/>
              <w:left w:val="nil"/>
              <w:bottom w:val="single" w:sz="4" w:space="0" w:color="auto"/>
              <w:right w:val="nil"/>
            </w:tcBorders>
            <w:shd w:val="clear" w:color="auto" w:fill="auto"/>
            <w:noWrap/>
            <w:vAlign w:val="center"/>
            <w:hideMark/>
          </w:tcPr>
          <w:p w14:paraId="39847015" w14:textId="77777777" w:rsidR="00494170" w:rsidRPr="00494170" w:rsidRDefault="00494170" w:rsidP="00494170">
            <w:pPr>
              <w:spacing w:line="240" w:lineRule="auto"/>
              <w:rPr>
                <w:rFonts w:asciiTheme="majorBidi" w:eastAsia="Times New Roman" w:hAnsiTheme="majorBidi" w:cstheme="majorBidi"/>
                <w:color w:val="000000"/>
                <w:kern w:val="0"/>
                <w:sz w:val="22"/>
                <w14:ligatures w14:val="none"/>
              </w:rPr>
            </w:pPr>
          </w:p>
        </w:tc>
        <w:tc>
          <w:tcPr>
            <w:tcW w:w="1950" w:type="dxa"/>
            <w:tcBorders>
              <w:top w:val="single" w:sz="4" w:space="0" w:color="auto"/>
              <w:left w:val="nil"/>
              <w:bottom w:val="single" w:sz="4" w:space="0" w:color="auto"/>
              <w:right w:val="nil"/>
            </w:tcBorders>
            <w:shd w:val="clear" w:color="auto" w:fill="auto"/>
            <w:noWrap/>
            <w:vAlign w:val="center"/>
            <w:hideMark/>
          </w:tcPr>
          <w:p w14:paraId="28CCAB80" w14:textId="77777777" w:rsidR="00494170" w:rsidRPr="00494170" w:rsidRDefault="00494170" w:rsidP="00494170">
            <w:pPr>
              <w:spacing w:line="240" w:lineRule="auto"/>
              <w:rPr>
                <w:rFonts w:asciiTheme="majorBidi" w:eastAsia="Times New Roman" w:hAnsiTheme="majorBidi" w:cstheme="majorBidi"/>
                <w:kern w:val="0"/>
                <w:sz w:val="20"/>
                <w:szCs w:val="20"/>
                <w14:ligatures w14:val="none"/>
              </w:rPr>
            </w:pPr>
          </w:p>
        </w:tc>
        <w:tc>
          <w:tcPr>
            <w:tcW w:w="1494" w:type="dxa"/>
            <w:tcBorders>
              <w:top w:val="single" w:sz="4" w:space="0" w:color="auto"/>
              <w:left w:val="nil"/>
              <w:bottom w:val="single" w:sz="4" w:space="0" w:color="auto"/>
              <w:right w:val="nil"/>
            </w:tcBorders>
            <w:shd w:val="clear" w:color="auto" w:fill="auto"/>
            <w:noWrap/>
            <w:vAlign w:val="center"/>
            <w:hideMark/>
          </w:tcPr>
          <w:p w14:paraId="4EDC071F" w14:textId="77777777" w:rsidR="00494170" w:rsidRPr="00494170" w:rsidRDefault="00494170" w:rsidP="00494170">
            <w:pPr>
              <w:spacing w:line="240" w:lineRule="auto"/>
              <w:rPr>
                <w:rFonts w:asciiTheme="majorBidi" w:eastAsia="Times New Roman" w:hAnsiTheme="majorBidi" w:cstheme="majorBidi"/>
                <w:kern w:val="0"/>
                <w:sz w:val="20"/>
                <w:szCs w:val="20"/>
                <w14:ligatures w14:val="none"/>
              </w:rPr>
            </w:pPr>
          </w:p>
        </w:tc>
        <w:tc>
          <w:tcPr>
            <w:tcW w:w="1906" w:type="dxa"/>
            <w:tcBorders>
              <w:top w:val="single" w:sz="4" w:space="0" w:color="auto"/>
              <w:left w:val="nil"/>
              <w:bottom w:val="single" w:sz="4" w:space="0" w:color="auto"/>
              <w:right w:val="nil"/>
            </w:tcBorders>
            <w:shd w:val="clear" w:color="auto" w:fill="auto"/>
            <w:noWrap/>
            <w:vAlign w:val="center"/>
            <w:hideMark/>
          </w:tcPr>
          <w:p w14:paraId="6A09FDE3" w14:textId="77777777" w:rsidR="00494170" w:rsidRPr="00494170" w:rsidRDefault="00494170" w:rsidP="00494170">
            <w:pPr>
              <w:spacing w:line="240" w:lineRule="auto"/>
              <w:rPr>
                <w:rFonts w:asciiTheme="majorBidi" w:eastAsia="Times New Roman" w:hAnsiTheme="majorBidi" w:cstheme="majorBidi"/>
                <w:kern w:val="0"/>
                <w:sz w:val="20"/>
                <w:szCs w:val="20"/>
                <w14:ligatures w14:val="none"/>
              </w:rPr>
            </w:pPr>
          </w:p>
        </w:tc>
        <w:tc>
          <w:tcPr>
            <w:tcW w:w="1483" w:type="dxa"/>
            <w:tcBorders>
              <w:top w:val="single" w:sz="4" w:space="0" w:color="auto"/>
              <w:left w:val="nil"/>
              <w:bottom w:val="single" w:sz="4" w:space="0" w:color="auto"/>
              <w:right w:val="nil"/>
            </w:tcBorders>
            <w:shd w:val="clear" w:color="auto" w:fill="auto"/>
            <w:noWrap/>
            <w:vAlign w:val="center"/>
            <w:hideMark/>
          </w:tcPr>
          <w:p w14:paraId="1C5DCE33" w14:textId="77777777" w:rsidR="00494170" w:rsidRPr="00494170" w:rsidRDefault="00494170" w:rsidP="00494170">
            <w:pPr>
              <w:spacing w:line="240" w:lineRule="auto"/>
              <w:rPr>
                <w:rFonts w:asciiTheme="majorBidi" w:eastAsia="Times New Roman" w:hAnsiTheme="majorBidi" w:cstheme="majorBidi"/>
                <w:kern w:val="0"/>
                <w:sz w:val="20"/>
                <w:szCs w:val="20"/>
                <w14:ligatures w14:val="none"/>
              </w:rPr>
            </w:pPr>
          </w:p>
        </w:tc>
        <w:tc>
          <w:tcPr>
            <w:tcW w:w="1530" w:type="dxa"/>
            <w:tcBorders>
              <w:top w:val="single" w:sz="4" w:space="0" w:color="auto"/>
              <w:left w:val="nil"/>
              <w:bottom w:val="single" w:sz="4" w:space="0" w:color="auto"/>
              <w:right w:val="nil"/>
            </w:tcBorders>
            <w:shd w:val="clear" w:color="auto" w:fill="auto"/>
            <w:noWrap/>
            <w:vAlign w:val="center"/>
            <w:hideMark/>
          </w:tcPr>
          <w:p w14:paraId="55BC411C" w14:textId="77777777" w:rsidR="00494170" w:rsidRPr="00494170" w:rsidRDefault="00494170" w:rsidP="00494170">
            <w:pPr>
              <w:spacing w:line="240" w:lineRule="auto"/>
              <w:rPr>
                <w:rFonts w:asciiTheme="majorBidi" w:eastAsia="Times New Roman" w:hAnsiTheme="majorBidi" w:cstheme="majorBidi"/>
                <w:kern w:val="0"/>
                <w:sz w:val="20"/>
                <w:szCs w:val="20"/>
                <w14:ligatures w14:val="none"/>
              </w:rPr>
            </w:pPr>
          </w:p>
        </w:tc>
        <w:tc>
          <w:tcPr>
            <w:tcW w:w="1390" w:type="dxa"/>
            <w:tcBorders>
              <w:top w:val="single" w:sz="4" w:space="0" w:color="auto"/>
              <w:left w:val="nil"/>
              <w:bottom w:val="single" w:sz="4" w:space="0" w:color="auto"/>
              <w:right w:val="nil"/>
            </w:tcBorders>
            <w:shd w:val="clear" w:color="auto" w:fill="auto"/>
            <w:noWrap/>
            <w:vAlign w:val="center"/>
            <w:hideMark/>
          </w:tcPr>
          <w:p w14:paraId="321AAD0F" w14:textId="77777777" w:rsidR="00494170" w:rsidRPr="00494170" w:rsidRDefault="00494170" w:rsidP="00494170">
            <w:pPr>
              <w:spacing w:line="240" w:lineRule="auto"/>
              <w:rPr>
                <w:rFonts w:asciiTheme="majorBidi" w:eastAsia="Times New Roman" w:hAnsiTheme="majorBidi" w:cstheme="majorBidi"/>
                <w:kern w:val="0"/>
                <w:sz w:val="20"/>
                <w:szCs w:val="20"/>
                <w14:ligatures w14:val="none"/>
              </w:rPr>
            </w:pPr>
          </w:p>
        </w:tc>
      </w:tr>
      <w:tr w:rsidR="00B32EE3" w:rsidRPr="00B32EE3" w14:paraId="7B9D5366" w14:textId="77777777" w:rsidTr="009251CC">
        <w:trPr>
          <w:trHeight w:val="288"/>
          <w:jc w:val="center"/>
        </w:trPr>
        <w:tc>
          <w:tcPr>
            <w:tcW w:w="2790" w:type="dxa"/>
            <w:tcBorders>
              <w:top w:val="single" w:sz="4" w:space="0" w:color="auto"/>
              <w:left w:val="nil"/>
              <w:bottom w:val="single" w:sz="4" w:space="0" w:color="auto"/>
              <w:right w:val="nil"/>
            </w:tcBorders>
            <w:shd w:val="clear" w:color="auto" w:fill="auto"/>
            <w:noWrap/>
            <w:vAlign w:val="center"/>
            <w:hideMark/>
          </w:tcPr>
          <w:p w14:paraId="46A1CD53" w14:textId="77777777" w:rsidR="00494170" w:rsidRPr="00494170" w:rsidRDefault="00494170" w:rsidP="00494170">
            <w:pPr>
              <w:spacing w:line="240" w:lineRule="auto"/>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 xml:space="preserve">     Bottom</w:t>
            </w:r>
          </w:p>
        </w:tc>
        <w:tc>
          <w:tcPr>
            <w:tcW w:w="1677" w:type="dxa"/>
            <w:tcBorders>
              <w:top w:val="single" w:sz="4" w:space="0" w:color="auto"/>
              <w:left w:val="nil"/>
              <w:bottom w:val="single" w:sz="4" w:space="0" w:color="auto"/>
              <w:right w:val="nil"/>
            </w:tcBorders>
            <w:shd w:val="clear" w:color="auto" w:fill="auto"/>
            <w:noWrap/>
            <w:vAlign w:val="center"/>
            <w:hideMark/>
          </w:tcPr>
          <w:p w14:paraId="484ECB9C"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0.141</w:t>
            </w:r>
          </w:p>
        </w:tc>
        <w:tc>
          <w:tcPr>
            <w:tcW w:w="1950" w:type="dxa"/>
            <w:tcBorders>
              <w:top w:val="single" w:sz="4" w:space="0" w:color="auto"/>
              <w:left w:val="nil"/>
              <w:bottom w:val="single" w:sz="4" w:space="0" w:color="auto"/>
              <w:right w:val="nil"/>
            </w:tcBorders>
            <w:shd w:val="clear" w:color="auto" w:fill="auto"/>
            <w:noWrap/>
            <w:vAlign w:val="center"/>
            <w:hideMark/>
          </w:tcPr>
          <w:p w14:paraId="11E5ED13"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0.1289</w:t>
            </w:r>
          </w:p>
        </w:tc>
        <w:tc>
          <w:tcPr>
            <w:tcW w:w="1494" w:type="dxa"/>
            <w:tcBorders>
              <w:top w:val="single" w:sz="4" w:space="0" w:color="auto"/>
              <w:left w:val="nil"/>
              <w:bottom w:val="single" w:sz="4" w:space="0" w:color="auto"/>
              <w:right w:val="nil"/>
            </w:tcBorders>
            <w:shd w:val="clear" w:color="auto" w:fill="auto"/>
            <w:noWrap/>
            <w:vAlign w:val="center"/>
            <w:hideMark/>
          </w:tcPr>
          <w:p w14:paraId="3CC4BDBB"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0.2621</w:t>
            </w:r>
          </w:p>
        </w:tc>
        <w:tc>
          <w:tcPr>
            <w:tcW w:w="1906" w:type="dxa"/>
            <w:tcBorders>
              <w:top w:val="single" w:sz="4" w:space="0" w:color="auto"/>
              <w:left w:val="nil"/>
              <w:bottom w:val="single" w:sz="4" w:space="0" w:color="auto"/>
              <w:right w:val="nil"/>
            </w:tcBorders>
            <w:shd w:val="clear" w:color="auto" w:fill="auto"/>
            <w:noWrap/>
            <w:vAlign w:val="center"/>
            <w:hideMark/>
          </w:tcPr>
          <w:p w14:paraId="62AF81E1"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0.3111</w:t>
            </w:r>
          </w:p>
        </w:tc>
        <w:tc>
          <w:tcPr>
            <w:tcW w:w="1483" w:type="dxa"/>
            <w:tcBorders>
              <w:top w:val="single" w:sz="4" w:space="0" w:color="auto"/>
              <w:left w:val="nil"/>
              <w:bottom w:val="single" w:sz="4" w:space="0" w:color="auto"/>
              <w:right w:val="nil"/>
            </w:tcBorders>
            <w:shd w:val="clear" w:color="auto" w:fill="auto"/>
            <w:noWrap/>
            <w:vAlign w:val="center"/>
            <w:hideMark/>
          </w:tcPr>
          <w:p w14:paraId="02167181"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Unstable</w:t>
            </w:r>
          </w:p>
        </w:tc>
        <w:tc>
          <w:tcPr>
            <w:tcW w:w="1530" w:type="dxa"/>
            <w:tcBorders>
              <w:top w:val="single" w:sz="4" w:space="0" w:color="auto"/>
              <w:left w:val="nil"/>
              <w:bottom w:val="single" w:sz="4" w:space="0" w:color="auto"/>
              <w:right w:val="nil"/>
            </w:tcBorders>
            <w:shd w:val="clear" w:color="auto" w:fill="auto"/>
            <w:noWrap/>
            <w:vAlign w:val="center"/>
            <w:hideMark/>
          </w:tcPr>
          <w:p w14:paraId="320D1065"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0.5119</w:t>
            </w:r>
          </w:p>
        </w:tc>
        <w:tc>
          <w:tcPr>
            <w:tcW w:w="1390" w:type="dxa"/>
            <w:tcBorders>
              <w:top w:val="single" w:sz="4" w:space="0" w:color="auto"/>
              <w:left w:val="nil"/>
              <w:bottom w:val="single" w:sz="4" w:space="0" w:color="auto"/>
              <w:right w:val="nil"/>
            </w:tcBorders>
            <w:shd w:val="clear" w:color="auto" w:fill="auto"/>
            <w:noWrap/>
            <w:vAlign w:val="center"/>
            <w:hideMark/>
          </w:tcPr>
          <w:p w14:paraId="3A3AC4D1"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0.2123</w:t>
            </w:r>
          </w:p>
        </w:tc>
      </w:tr>
      <w:tr w:rsidR="00B32EE3" w:rsidRPr="00B32EE3" w14:paraId="3DA359DC" w14:textId="77777777" w:rsidTr="009251CC">
        <w:trPr>
          <w:trHeight w:val="288"/>
          <w:jc w:val="center"/>
        </w:trPr>
        <w:tc>
          <w:tcPr>
            <w:tcW w:w="2790" w:type="dxa"/>
            <w:tcBorders>
              <w:top w:val="single" w:sz="4" w:space="0" w:color="auto"/>
              <w:left w:val="nil"/>
              <w:bottom w:val="single" w:sz="4" w:space="0" w:color="auto"/>
              <w:right w:val="nil"/>
            </w:tcBorders>
            <w:shd w:val="clear" w:color="auto" w:fill="auto"/>
            <w:noWrap/>
            <w:vAlign w:val="center"/>
            <w:hideMark/>
          </w:tcPr>
          <w:p w14:paraId="5D956936" w14:textId="77777777" w:rsidR="00494170" w:rsidRPr="00494170" w:rsidRDefault="00494170" w:rsidP="00494170">
            <w:pPr>
              <w:spacing w:line="240" w:lineRule="auto"/>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 xml:space="preserve">     Top</w:t>
            </w:r>
          </w:p>
        </w:tc>
        <w:tc>
          <w:tcPr>
            <w:tcW w:w="1677" w:type="dxa"/>
            <w:tcBorders>
              <w:top w:val="single" w:sz="4" w:space="0" w:color="auto"/>
              <w:left w:val="nil"/>
              <w:bottom w:val="single" w:sz="4" w:space="0" w:color="auto"/>
              <w:right w:val="nil"/>
            </w:tcBorders>
            <w:shd w:val="clear" w:color="auto" w:fill="auto"/>
            <w:noWrap/>
            <w:vAlign w:val="center"/>
            <w:hideMark/>
          </w:tcPr>
          <w:p w14:paraId="47F231E1"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1.231</w:t>
            </w:r>
          </w:p>
        </w:tc>
        <w:tc>
          <w:tcPr>
            <w:tcW w:w="1950" w:type="dxa"/>
            <w:tcBorders>
              <w:top w:val="single" w:sz="4" w:space="0" w:color="auto"/>
              <w:left w:val="nil"/>
              <w:bottom w:val="single" w:sz="4" w:space="0" w:color="auto"/>
              <w:right w:val="nil"/>
            </w:tcBorders>
            <w:shd w:val="clear" w:color="auto" w:fill="auto"/>
            <w:noWrap/>
            <w:vAlign w:val="center"/>
            <w:hideMark/>
          </w:tcPr>
          <w:p w14:paraId="317068D8"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0.6071</w:t>
            </w:r>
          </w:p>
        </w:tc>
        <w:tc>
          <w:tcPr>
            <w:tcW w:w="1494" w:type="dxa"/>
            <w:tcBorders>
              <w:top w:val="single" w:sz="4" w:space="0" w:color="auto"/>
              <w:left w:val="nil"/>
              <w:bottom w:val="single" w:sz="4" w:space="0" w:color="auto"/>
              <w:right w:val="nil"/>
            </w:tcBorders>
            <w:shd w:val="clear" w:color="auto" w:fill="auto"/>
            <w:noWrap/>
            <w:vAlign w:val="center"/>
            <w:hideMark/>
          </w:tcPr>
          <w:p w14:paraId="4072F3B8"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0.5813</w:t>
            </w:r>
          </w:p>
        </w:tc>
        <w:tc>
          <w:tcPr>
            <w:tcW w:w="1906" w:type="dxa"/>
            <w:tcBorders>
              <w:top w:val="single" w:sz="4" w:space="0" w:color="auto"/>
              <w:left w:val="nil"/>
              <w:bottom w:val="single" w:sz="4" w:space="0" w:color="auto"/>
              <w:right w:val="nil"/>
            </w:tcBorders>
            <w:shd w:val="clear" w:color="auto" w:fill="auto"/>
            <w:noWrap/>
            <w:vAlign w:val="center"/>
            <w:hideMark/>
          </w:tcPr>
          <w:p w14:paraId="14FCBE1A"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0.9237</w:t>
            </w:r>
          </w:p>
        </w:tc>
        <w:tc>
          <w:tcPr>
            <w:tcW w:w="1483" w:type="dxa"/>
            <w:tcBorders>
              <w:top w:val="single" w:sz="4" w:space="0" w:color="auto"/>
              <w:left w:val="nil"/>
              <w:bottom w:val="single" w:sz="4" w:space="0" w:color="auto"/>
              <w:right w:val="nil"/>
            </w:tcBorders>
            <w:shd w:val="clear" w:color="auto" w:fill="auto"/>
            <w:noWrap/>
            <w:vAlign w:val="center"/>
            <w:hideMark/>
          </w:tcPr>
          <w:p w14:paraId="3F15A045"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1.026</w:t>
            </w:r>
          </w:p>
        </w:tc>
        <w:tc>
          <w:tcPr>
            <w:tcW w:w="1530" w:type="dxa"/>
            <w:tcBorders>
              <w:top w:val="single" w:sz="4" w:space="0" w:color="auto"/>
              <w:left w:val="nil"/>
              <w:bottom w:val="single" w:sz="4" w:space="0" w:color="auto"/>
              <w:right w:val="nil"/>
            </w:tcBorders>
            <w:shd w:val="clear" w:color="auto" w:fill="auto"/>
            <w:noWrap/>
            <w:vAlign w:val="center"/>
            <w:hideMark/>
          </w:tcPr>
          <w:p w14:paraId="3BB25314"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0.9057</w:t>
            </w:r>
          </w:p>
        </w:tc>
        <w:tc>
          <w:tcPr>
            <w:tcW w:w="1390" w:type="dxa"/>
            <w:tcBorders>
              <w:top w:val="single" w:sz="4" w:space="0" w:color="auto"/>
              <w:left w:val="nil"/>
              <w:bottom w:val="single" w:sz="4" w:space="0" w:color="auto"/>
              <w:right w:val="nil"/>
            </w:tcBorders>
            <w:shd w:val="clear" w:color="auto" w:fill="auto"/>
            <w:noWrap/>
            <w:vAlign w:val="center"/>
            <w:hideMark/>
          </w:tcPr>
          <w:p w14:paraId="432A0234"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Unstable</w:t>
            </w:r>
          </w:p>
        </w:tc>
      </w:tr>
      <w:tr w:rsidR="00B32EE3" w:rsidRPr="00B32EE3" w14:paraId="6D9CB315" w14:textId="77777777" w:rsidTr="009251CC">
        <w:trPr>
          <w:trHeight w:val="288"/>
          <w:jc w:val="center"/>
        </w:trPr>
        <w:tc>
          <w:tcPr>
            <w:tcW w:w="2790" w:type="dxa"/>
            <w:tcBorders>
              <w:top w:val="single" w:sz="4" w:space="0" w:color="auto"/>
              <w:left w:val="nil"/>
              <w:bottom w:val="single" w:sz="4" w:space="0" w:color="auto"/>
              <w:right w:val="nil"/>
            </w:tcBorders>
            <w:shd w:val="clear" w:color="auto" w:fill="auto"/>
            <w:noWrap/>
            <w:vAlign w:val="center"/>
            <w:hideMark/>
          </w:tcPr>
          <w:p w14:paraId="3EBB2603" w14:textId="77777777" w:rsidR="00494170" w:rsidRPr="00494170" w:rsidRDefault="00494170" w:rsidP="00494170">
            <w:pPr>
              <w:spacing w:line="240" w:lineRule="auto"/>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 xml:space="preserve">     LogIC50</w:t>
            </w:r>
          </w:p>
        </w:tc>
        <w:tc>
          <w:tcPr>
            <w:tcW w:w="1677" w:type="dxa"/>
            <w:tcBorders>
              <w:top w:val="single" w:sz="4" w:space="0" w:color="auto"/>
              <w:left w:val="nil"/>
              <w:bottom w:val="single" w:sz="4" w:space="0" w:color="auto"/>
              <w:right w:val="nil"/>
            </w:tcBorders>
            <w:shd w:val="clear" w:color="auto" w:fill="auto"/>
            <w:noWrap/>
            <w:vAlign w:val="center"/>
            <w:hideMark/>
          </w:tcPr>
          <w:p w14:paraId="2CAE19CE"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11.9</w:t>
            </w:r>
          </w:p>
        </w:tc>
        <w:tc>
          <w:tcPr>
            <w:tcW w:w="1950" w:type="dxa"/>
            <w:tcBorders>
              <w:top w:val="single" w:sz="4" w:space="0" w:color="auto"/>
              <w:left w:val="nil"/>
              <w:bottom w:val="single" w:sz="4" w:space="0" w:color="auto"/>
              <w:right w:val="nil"/>
            </w:tcBorders>
            <w:shd w:val="clear" w:color="auto" w:fill="auto"/>
            <w:noWrap/>
            <w:vAlign w:val="center"/>
            <w:hideMark/>
          </w:tcPr>
          <w:p w14:paraId="2E20D013"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10.73</w:t>
            </w:r>
          </w:p>
        </w:tc>
        <w:tc>
          <w:tcPr>
            <w:tcW w:w="1494" w:type="dxa"/>
            <w:tcBorders>
              <w:top w:val="single" w:sz="4" w:space="0" w:color="auto"/>
              <w:left w:val="nil"/>
              <w:bottom w:val="single" w:sz="4" w:space="0" w:color="auto"/>
              <w:right w:val="nil"/>
            </w:tcBorders>
            <w:shd w:val="clear" w:color="auto" w:fill="auto"/>
            <w:noWrap/>
            <w:vAlign w:val="center"/>
            <w:hideMark/>
          </w:tcPr>
          <w:p w14:paraId="3BDB3362"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52.09</w:t>
            </w:r>
          </w:p>
        </w:tc>
        <w:tc>
          <w:tcPr>
            <w:tcW w:w="1906" w:type="dxa"/>
            <w:tcBorders>
              <w:top w:val="single" w:sz="4" w:space="0" w:color="auto"/>
              <w:left w:val="nil"/>
              <w:bottom w:val="single" w:sz="4" w:space="0" w:color="auto"/>
              <w:right w:val="nil"/>
            </w:tcBorders>
            <w:shd w:val="clear" w:color="auto" w:fill="auto"/>
            <w:noWrap/>
            <w:vAlign w:val="center"/>
            <w:hideMark/>
          </w:tcPr>
          <w:p w14:paraId="634EFF35"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13.75</w:t>
            </w:r>
          </w:p>
        </w:tc>
        <w:tc>
          <w:tcPr>
            <w:tcW w:w="1483" w:type="dxa"/>
            <w:tcBorders>
              <w:top w:val="single" w:sz="4" w:space="0" w:color="auto"/>
              <w:left w:val="nil"/>
              <w:bottom w:val="single" w:sz="4" w:space="0" w:color="auto"/>
              <w:right w:val="nil"/>
            </w:tcBorders>
            <w:shd w:val="clear" w:color="auto" w:fill="auto"/>
            <w:noWrap/>
            <w:vAlign w:val="center"/>
            <w:hideMark/>
          </w:tcPr>
          <w:p w14:paraId="68A16E77"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-177.1</w:t>
            </w:r>
          </w:p>
        </w:tc>
        <w:tc>
          <w:tcPr>
            <w:tcW w:w="1530" w:type="dxa"/>
            <w:tcBorders>
              <w:top w:val="single" w:sz="4" w:space="0" w:color="auto"/>
              <w:left w:val="nil"/>
              <w:bottom w:val="single" w:sz="4" w:space="0" w:color="auto"/>
              <w:right w:val="nil"/>
            </w:tcBorders>
            <w:shd w:val="clear" w:color="auto" w:fill="auto"/>
            <w:noWrap/>
            <w:vAlign w:val="center"/>
            <w:hideMark/>
          </w:tcPr>
          <w:p w14:paraId="1417BFBF"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27</w:t>
            </w:r>
          </w:p>
        </w:tc>
        <w:tc>
          <w:tcPr>
            <w:tcW w:w="1390" w:type="dxa"/>
            <w:tcBorders>
              <w:top w:val="single" w:sz="4" w:space="0" w:color="auto"/>
              <w:left w:val="nil"/>
              <w:bottom w:val="single" w:sz="4" w:space="0" w:color="auto"/>
              <w:right w:val="nil"/>
            </w:tcBorders>
            <w:shd w:val="clear" w:color="auto" w:fill="auto"/>
            <w:noWrap/>
            <w:vAlign w:val="center"/>
            <w:hideMark/>
          </w:tcPr>
          <w:p w14:paraId="6E23C72B"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Unstable</w:t>
            </w:r>
          </w:p>
        </w:tc>
      </w:tr>
      <w:tr w:rsidR="00B32EE3" w:rsidRPr="00B32EE3" w14:paraId="27E38C9F" w14:textId="77777777" w:rsidTr="009251CC">
        <w:trPr>
          <w:trHeight w:val="288"/>
          <w:jc w:val="center"/>
        </w:trPr>
        <w:tc>
          <w:tcPr>
            <w:tcW w:w="2790" w:type="dxa"/>
            <w:tcBorders>
              <w:top w:val="single" w:sz="4" w:space="0" w:color="auto"/>
              <w:left w:val="nil"/>
              <w:bottom w:val="single" w:sz="4" w:space="0" w:color="auto"/>
              <w:right w:val="nil"/>
            </w:tcBorders>
            <w:shd w:val="clear" w:color="auto" w:fill="auto"/>
            <w:noWrap/>
            <w:vAlign w:val="center"/>
            <w:hideMark/>
          </w:tcPr>
          <w:p w14:paraId="2F8F0D36" w14:textId="77777777" w:rsidR="00494170" w:rsidRPr="00494170" w:rsidRDefault="00494170" w:rsidP="00494170">
            <w:pPr>
              <w:spacing w:line="240" w:lineRule="auto"/>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 xml:space="preserve">     HillSlope</w:t>
            </w:r>
          </w:p>
        </w:tc>
        <w:tc>
          <w:tcPr>
            <w:tcW w:w="1677" w:type="dxa"/>
            <w:tcBorders>
              <w:top w:val="single" w:sz="4" w:space="0" w:color="auto"/>
              <w:left w:val="nil"/>
              <w:bottom w:val="single" w:sz="4" w:space="0" w:color="auto"/>
              <w:right w:val="nil"/>
            </w:tcBorders>
            <w:shd w:val="clear" w:color="auto" w:fill="auto"/>
            <w:noWrap/>
            <w:vAlign w:val="center"/>
            <w:hideMark/>
          </w:tcPr>
          <w:p w14:paraId="1DFAAFB4"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0.1109</w:t>
            </w:r>
          </w:p>
        </w:tc>
        <w:tc>
          <w:tcPr>
            <w:tcW w:w="1950" w:type="dxa"/>
            <w:tcBorders>
              <w:top w:val="single" w:sz="4" w:space="0" w:color="auto"/>
              <w:left w:val="nil"/>
              <w:bottom w:val="single" w:sz="4" w:space="0" w:color="auto"/>
              <w:right w:val="nil"/>
            </w:tcBorders>
            <w:shd w:val="clear" w:color="auto" w:fill="auto"/>
            <w:noWrap/>
            <w:vAlign w:val="center"/>
            <w:hideMark/>
          </w:tcPr>
          <w:p w14:paraId="35335320"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0.338</w:t>
            </w:r>
          </w:p>
        </w:tc>
        <w:tc>
          <w:tcPr>
            <w:tcW w:w="1494" w:type="dxa"/>
            <w:tcBorders>
              <w:top w:val="single" w:sz="4" w:space="0" w:color="auto"/>
              <w:left w:val="nil"/>
              <w:bottom w:val="single" w:sz="4" w:space="0" w:color="auto"/>
              <w:right w:val="nil"/>
            </w:tcBorders>
            <w:shd w:val="clear" w:color="auto" w:fill="auto"/>
            <w:noWrap/>
            <w:vAlign w:val="center"/>
            <w:hideMark/>
          </w:tcPr>
          <w:p w14:paraId="0D08B816"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0.2283</w:t>
            </w:r>
          </w:p>
        </w:tc>
        <w:tc>
          <w:tcPr>
            <w:tcW w:w="1906" w:type="dxa"/>
            <w:tcBorders>
              <w:top w:val="single" w:sz="4" w:space="0" w:color="auto"/>
              <w:left w:val="nil"/>
              <w:bottom w:val="single" w:sz="4" w:space="0" w:color="auto"/>
              <w:right w:val="nil"/>
            </w:tcBorders>
            <w:shd w:val="clear" w:color="auto" w:fill="auto"/>
            <w:noWrap/>
            <w:vAlign w:val="center"/>
            <w:hideMark/>
          </w:tcPr>
          <w:p w14:paraId="228AE615"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0.2291</w:t>
            </w:r>
          </w:p>
        </w:tc>
        <w:tc>
          <w:tcPr>
            <w:tcW w:w="1483" w:type="dxa"/>
            <w:tcBorders>
              <w:top w:val="single" w:sz="4" w:space="0" w:color="auto"/>
              <w:left w:val="nil"/>
              <w:bottom w:val="single" w:sz="4" w:space="0" w:color="auto"/>
              <w:right w:val="nil"/>
            </w:tcBorders>
            <w:shd w:val="clear" w:color="auto" w:fill="auto"/>
            <w:noWrap/>
            <w:vAlign w:val="center"/>
            <w:hideMark/>
          </w:tcPr>
          <w:p w14:paraId="45A96F0C"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0.01362</w:t>
            </w:r>
          </w:p>
        </w:tc>
        <w:tc>
          <w:tcPr>
            <w:tcW w:w="1530" w:type="dxa"/>
            <w:tcBorders>
              <w:top w:val="single" w:sz="4" w:space="0" w:color="auto"/>
              <w:left w:val="nil"/>
              <w:bottom w:val="single" w:sz="4" w:space="0" w:color="auto"/>
              <w:right w:val="nil"/>
            </w:tcBorders>
            <w:shd w:val="clear" w:color="auto" w:fill="auto"/>
            <w:noWrap/>
            <w:vAlign w:val="center"/>
            <w:hideMark/>
          </w:tcPr>
          <w:p w14:paraId="1015FAC6"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0.4373</w:t>
            </w:r>
          </w:p>
        </w:tc>
        <w:tc>
          <w:tcPr>
            <w:tcW w:w="1390" w:type="dxa"/>
            <w:tcBorders>
              <w:top w:val="single" w:sz="4" w:space="0" w:color="auto"/>
              <w:left w:val="nil"/>
              <w:bottom w:val="single" w:sz="4" w:space="0" w:color="auto"/>
              <w:right w:val="nil"/>
            </w:tcBorders>
            <w:shd w:val="clear" w:color="auto" w:fill="auto"/>
            <w:noWrap/>
            <w:vAlign w:val="center"/>
            <w:hideMark/>
          </w:tcPr>
          <w:p w14:paraId="3642487C"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Unstable</w:t>
            </w:r>
          </w:p>
        </w:tc>
      </w:tr>
      <w:tr w:rsidR="00B32EE3" w:rsidRPr="00B32EE3" w14:paraId="4A365C89" w14:textId="77777777" w:rsidTr="009251CC">
        <w:trPr>
          <w:trHeight w:val="288"/>
          <w:jc w:val="center"/>
        </w:trPr>
        <w:tc>
          <w:tcPr>
            <w:tcW w:w="2790" w:type="dxa"/>
            <w:tcBorders>
              <w:top w:val="single" w:sz="4" w:space="0" w:color="auto"/>
              <w:left w:val="nil"/>
              <w:bottom w:val="single" w:sz="4" w:space="0" w:color="auto"/>
              <w:right w:val="nil"/>
            </w:tcBorders>
            <w:shd w:val="clear" w:color="auto" w:fill="auto"/>
            <w:noWrap/>
            <w:vAlign w:val="center"/>
            <w:hideMark/>
          </w:tcPr>
          <w:p w14:paraId="5F9685DA" w14:textId="77777777" w:rsidR="00494170" w:rsidRPr="00494170" w:rsidRDefault="00494170" w:rsidP="00494170">
            <w:pPr>
              <w:spacing w:line="240" w:lineRule="auto"/>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 xml:space="preserve">     IC50</w:t>
            </w:r>
          </w:p>
        </w:tc>
        <w:tc>
          <w:tcPr>
            <w:tcW w:w="1677" w:type="dxa"/>
            <w:tcBorders>
              <w:top w:val="single" w:sz="4" w:space="0" w:color="auto"/>
              <w:left w:val="nil"/>
              <w:bottom w:val="single" w:sz="4" w:space="0" w:color="auto"/>
              <w:right w:val="nil"/>
            </w:tcBorders>
            <w:shd w:val="clear" w:color="auto" w:fill="auto"/>
            <w:noWrap/>
            <w:vAlign w:val="center"/>
            <w:hideMark/>
          </w:tcPr>
          <w:p w14:paraId="2C99F116"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798859255966</w:t>
            </w:r>
          </w:p>
        </w:tc>
        <w:tc>
          <w:tcPr>
            <w:tcW w:w="1950" w:type="dxa"/>
            <w:tcBorders>
              <w:top w:val="single" w:sz="4" w:space="0" w:color="auto"/>
              <w:left w:val="nil"/>
              <w:bottom w:val="single" w:sz="4" w:space="0" w:color="auto"/>
              <w:right w:val="nil"/>
            </w:tcBorders>
            <w:shd w:val="clear" w:color="auto" w:fill="auto"/>
            <w:noWrap/>
            <w:vAlign w:val="center"/>
            <w:hideMark/>
          </w:tcPr>
          <w:p w14:paraId="28C29A42"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53358730787</w:t>
            </w:r>
          </w:p>
        </w:tc>
        <w:tc>
          <w:tcPr>
            <w:tcW w:w="1494" w:type="dxa"/>
            <w:tcBorders>
              <w:top w:val="single" w:sz="4" w:space="0" w:color="auto"/>
              <w:left w:val="nil"/>
              <w:bottom w:val="single" w:sz="4" w:space="0" w:color="auto"/>
              <w:right w:val="nil"/>
            </w:tcBorders>
            <w:shd w:val="clear" w:color="auto" w:fill="auto"/>
            <w:noWrap/>
            <w:vAlign w:val="center"/>
            <w:hideMark/>
          </w:tcPr>
          <w:p w14:paraId="4CA49178"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1.220e+052</w:t>
            </w:r>
          </w:p>
        </w:tc>
        <w:tc>
          <w:tcPr>
            <w:tcW w:w="1906" w:type="dxa"/>
            <w:tcBorders>
              <w:top w:val="single" w:sz="4" w:space="0" w:color="auto"/>
              <w:left w:val="nil"/>
              <w:bottom w:val="single" w:sz="4" w:space="0" w:color="auto"/>
              <w:right w:val="nil"/>
            </w:tcBorders>
            <w:shd w:val="clear" w:color="auto" w:fill="auto"/>
            <w:noWrap/>
            <w:vAlign w:val="center"/>
            <w:hideMark/>
          </w:tcPr>
          <w:p w14:paraId="606D8AF9"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55636549902967</w:t>
            </w:r>
          </w:p>
        </w:tc>
        <w:tc>
          <w:tcPr>
            <w:tcW w:w="1483" w:type="dxa"/>
            <w:tcBorders>
              <w:top w:val="single" w:sz="4" w:space="0" w:color="auto"/>
              <w:left w:val="nil"/>
              <w:bottom w:val="single" w:sz="4" w:space="0" w:color="auto"/>
              <w:right w:val="nil"/>
            </w:tcBorders>
            <w:shd w:val="clear" w:color="auto" w:fill="auto"/>
            <w:noWrap/>
            <w:vAlign w:val="center"/>
            <w:hideMark/>
          </w:tcPr>
          <w:p w14:paraId="65795F40"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8.306e-178</w:t>
            </w:r>
          </w:p>
        </w:tc>
        <w:tc>
          <w:tcPr>
            <w:tcW w:w="1530" w:type="dxa"/>
            <w:tcBorders>
              <w:top w:val="single" w:sz="4" w:space="0" w:color="auto"/>
              <w:left w:val="nil"/>
              <w:bottom w:val="single" w:sz="4" w:space="0" w:color="auto"/>
              <w:right w:val="nil"/>
            </w:tcBorders>
            <w:shd w:val="clear" w:color="auto" w:fill="auto"/>
            <w:noWrap/>
            <w:vAlign w:val="center"/>
            <w:hideMark/>
          </w:tcPr>
          <w:p w14:paraId="7C48108F"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9.956e+026</w:t>
            </w:r>
          </w:p>
        </w:tc>
        <w:tc>
          <w:tcPr>
            <w:tcW w:w="1390" w:type="dxa"/>
            <w:tcBorders>
              <w:top w:val="single" w:sz="4" w:space="0" w:color="auto"/>
              <w:left w:val="nil"/>
              <w:bottom w:val="single" w:sz="4" w:space="0" w:color="auto"/>
              <w:right w:val="nil"/>
            </w:tcBorders>
            <w:shd w:val="clear" w:color="auto" w:fill="auto"/>
            <w:noWrap/>
            <w:vAlign w:val="center"/>
            <w:hideMark/>
          </w:tcPr>
          <w:p w14:paraId="73B036E1"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Unstable</w:t>
            </w:r>
          </w:p>
        </w:tc>
      </w:tr>
      <w:tr w:rsidR="00B32EE3" w:rsidRPr="00B32EE3" w14:paraId="37BAAD43" w14:textId="77777777" w:rsidTr="009251CC">
        <w:trPr>
          <w:trHeight w:val="288"/>
          <w:jc w:val="center"/>
        </w:trPr>
        <w:tc>
          <w:tcPr>
            <w:tcW w:w="2790" w:type="dxa"/>
            <w:tcBorders>
              <w:top w:val="single" w:sz="4" w:space="0" w:color="auto"/>
              <w:left w:val="nil"/>
              <w:bottom w:val="single" w:sz="4" w:space="0" w:color="auto"/>
              <w:right w:val="nil"/>
            </w:tcBorders>
            <w:shd w:val="clear" w:color="auto" w:fill="auto"/>
            <w:noWrap/>
            <w:vAlign w:val="center"/>
            <w:hideMark/>
          </w:tcPr>
          <w:p w14:paraId="2288C4EB" w14:textId="77777777" w:rsidR="00494170" w:rsidRPr="00494170" w:rsidRDefault="00494170" w:rsidP="00494170">
            <w:pPr>
              <w:spacing w:line="240" w:lineRule="auto"/>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 xml:space="preserve">     Span</w:t>
            </w:r>
          </w:p>
        </w:tc>
        <w:tc>
          <w:tcPr>
            <w:tcW w:w="1677" w:type="dxa"/>
            <w:tcBorders>
              <w:top w:val="single" w:sz="4" w:space="0" w:color="auto"/>
              <w:left w:val="nil"/>
              <w:bottom w:val="single" w:sz="4" w:space="0" w:color="auto"/>
              <w:right w:val="nil"/>
            </w:tcBorders>
            <w:shd w:val="clear" w:color="auto" w:fill="auto"/>
            <w:noWrap/>
            <w:vAlign w:val="center"/>
            <w:hideMark/>
          </w:tcPr>
          <w:p w14:paraId="73F73A58"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1.09</w:t>
            </w:r>
          </w:p>
        </w:tc>
        <w:tc>
          <w:tcPr>
            <w:tcW w:w="1950" w:type="dxa"/>
            <w:tcBorders>
              <w:top w:val="single" w:sz="4" w:space="0" w:color="auto"/>
              <w:left w:val="nil"/>
              <w:bottom w:val="single" w:sz="4" w:space="0" w:color="auto"/>
              <w:right w:val="nil"/>
            </w:tcBorders>
            <w:shd w:val="clear" w:color="auto" w:fill="auto"/>
            <w:noWrap/>
            <w:vAlign w:val="center"/>
            <w:hideMark/>
          </w:tcPr>
          <w:p w14:paraId="6E862D0A"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0.4782</w:t>
            </w:r>
          </w:p>
        </w:tc>
        <w:tc>
          <w:tcPr>
            <w:tcW w:w="1494" w:type="dxa"/>
            <w:tcBorders>
              <w:top w:val="single" w:sz="4" w:space="0" w:color="auto"/>
              <w:left w:val="nil"/>
              <w:bottom w:val="single" w:sz="4" w:space="0" w:color="auto"/>
              <w:right w:val="nil"/>
            </w:tcBorders>
            <w:shd w:val="clear" w:color="auto" w:fill="auto"/>
            <w:noWrap/>
            <w:vAlign w:val="center"/>
            <w:hideMark/>
          </w:tcPr>
          <w:p w14:paraId="2C7AC834"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0.3193</w:t>
            </w:r>
          </w:p>
        </w:tc>
        <w:tc>
          <w:tcPr>
            <w:tcW w:w="1906" w:type="dxa"/>
            <w:tcBorders>
              <w:top w:val="single" w:sz="4" w:space="0" w:color="auto"/>
              <w:left w:val="nil"/>
              <w:bottom w:val="single" w:sz="4" w:space="0" w:color="auto"/>
              <w:right w:val="nil"/>
            </w:tcBorders>
            <w:shd w:val="clear" w:color="auto" w:fill="auto"/>
            <w:noWrap/>
            <w:vAlign w:val="center"/>
            <w:hideMark/>
          </w:tcPr>
          <w:p w14:paraId="7D5F3832"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0.6127</w:t>
            </w:r>
          </w:p>
        </w:tc>
        <w:tc>
          <w:tcPr>
            <w:tcW w:w="1483" w:type="dxa"/>
            <w:tcBorders>
              <w:top w:val="single" w:sz="4" w:space="0" w:color="auto"/>
              <w:left w:val="nil"/>
              <w:bottom w:val="single" w:sz="4" w:space="0" w:color="auto"/>
              <w:right w:val="nil"/>
            </w:tcBorders>
            <w:shd w:val="clear" w:color="auto" w:fill="auto"/>
            <w:noWrap/>
            <w:vAlign w:val="center"/>
            <w:hideMark/>
          </w:tcPr>
          <w:p w14:paraId="48FBD70A"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Unstable</w:t>
            </w:r>
          </w:p>
        </w:tc>
        <w:tc>
          <w:tcPr>
            <w:tcW w:w="1530" w:type="dxa"/>
            <w:tcBorders>
              <w:top w:val="single" w:sz="4" w:space="0" w:color="auto"/>
              <w:left w:val="nil"/>
              <w:bottom w:val="single" w:sz="4" w:space="0" w:color="auto"/>
              <w:right w:val="nil"/>
            </w:tcBorders>
            <w:shd w:val="clear" w:color="auto" w:fill="auto"/>
            <w:noWrap/>
            <w:vAlign w:val="center"/>
            <w:hideMark/>
          </w:tcPr>
          <w:p w14:paraId="007584A9"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0.3938</w:t>
            </w:r>
          </w:p>
        </w:tc>
        <w:tc>
          <w:tcPr>
            <w:tcW w:w="1390" w:type="dxa"/>
            <w:tcBorders>
              <w:top w:val="single" w:sz="4" w:space="0" w:color="auto"/>
              <w:left w:val="nil"/>
              <w:bottom w:val="single" w:sz="4" w:space="0" w:color="auto"/>
              <w:right w:val="nil"/>
            </w:tcBorders>
            <w:shd w:val="clear" w:color="auto" w:fill="auto"/>
            <w:noWrap/>
            <w:vAlign w:val="center"/>
            <w:hideMark/>
          </w:tcPr>
          <w:p w14:paraId="376EFBB2" w14:textId="77777777" w:rsidR="00494170" w:rsidRPr="00494170" w:rsidRDefault="00494170" w:rsidP="00B32EE3">
            <w:pPr>
              <w:spacing w:line="240" w:lineRule="auto"/>
              <w:jc w:val="center"/>
              <w:rPr>
                <w:rFonts w:asciiTheme="majorBidi" w:eastAsia="Times New Roman" w:hAnsiTheme="majorBidi" w:cstheme="majorBidi"/>
                <w:color w:val="000000"/>
                <w:kern w:val="0"/>
                <w:sz w:val="22"/>
                <w14:ligatures w14:val="none"/>
              </w:rPr>
            </w:pPr>
            <w:r w:rsidRPr="00494170">
              <w:rPr>
                <w:rFonts w:asciiTheme="majorBidi" w:eastAsia="Times New Roman" w:hAnsiTheme="majorBidi" w:cstheme="majorBidi"/>
                <w:color w:val="000000"/>
                <w:kern w:val="0"/>
                <w:sz w:val="22"/>
                <w14:ligatures w14:val="none"/>
              </w:rPr>
              <w:t>Unstable</w:t>
            </w:r>
          </w:p>
        </w:tc>
      </w:tr>
      <w:tr w:rsidR="00334797" w:rsidRPr="00334797" w14:paraId="3B1E9C43"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0EE801C8" w14:textId="77777777" w:rsidR="00334797" w:rsidRPr="00334797" w:rsidRDefault="00334797" w:rsidP="00334797">
            <w:pPr>
              <w:spacing w:line="240" w:lineRule="auto"/>
              <w:rPr>
                <w:rFonts w:asciiTheme="majorBidi" w:eastAsia="Times New Roman" w:hAnsiTheme="majorBidi" w:cstheme="majorBidi"/>
                <w:b/>
                <w:bCs/>
                <w:color w:val="000000"/>
                <w:kern w:val="0"/>
                <w:sz w:val="22"/>
                <w14:ligatures w14:val="none"/>
              </w:rPr>
            </w:pPr>
            <w:r w:rsidRPr="00334797">
              <w:rPr>
                <w:rFonts w:asciiTheme="majorBidi" w:eastAsia="Times New Roman" w:hAnsiTheme="majorBidi" w:cstheme="majorBidi"/>
                <w:b/>
                <w:bCs/>
                <w:color w:val="000000"/>
                <w:kern w:val="0"/>
                <w:sz w:val="22"/>
                <w14:ligatures w14:val="none"/>
              </w:rPr>
              <w:t>Goodness of Fit</w:t>
            </w:r>
          </w:p>
        </w:tc>
        <w:tc>
          <w:tcPr>
            <w:tcW w:w="1677" w:type="dxa"/>
            <w:tcBorders>
              <w:top w:val="nil"/>
              <w:left w:val="nil"/>
              <w:bottom w:val="single" w:sz="4" w:space="0" w:color="auto"/>
              <w:right w:val="nil"/>
            </w:tcBorders>
            <w:shd w:val="clear" w:color="auto" w:fill="auto"/>
            <w:noWrap/>
            <w:vAlign w:val="center"/>
            <w:hideMark/>
          </w:tcPr>
          <w:p w14:paraId="7599198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950" w:type="dxa"/>
            <w:tcBorders>
              <w:top w:val="nil"/>
              <w:left w:val="nil"/>
              <w:bottom w:val="single" w:sz="4" w:space="0" w:color="auto"/>
              <w:right w:val="nil"/>
            </w:tcBorders>
            <w:shd w:val="clear" w:color="auto" w:fill="auto"/>
            <w:noWrap/>
            <w:vAlign w:val="center"/>
            <w:hideMark/>
          </w:tcPr>
          <w:p w14:paraId="0D75B2B4"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494" w:type="dxa"/>
            <w:tcBorders>
              <w:top w:val="nil"/>
              <w:left w:val="nil"/>
              <w:bottom w:val="single" w:sz="4" w:space="0" w:color="auto"/>
              <w:right w:val="nil"/>
            </w:tcBorders>
            <w:shd w:val="clear" w:color="auto" w:fill="auto"/>
            <w:noWrap/>
            <w:vAlign w:val="center"/>
            <w:hideMark/>
          </w:tcPr>
          <w:p w14:paraId="775568B2"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906" w:type="dxa"/>
            <w:tcBorders>
              <w:top w:val="nil"/>
              <w:left w:val="nil"/>
              <w:bottom w:val="single" w:sz="4" w:space="0" w:color="auto"/>
              <w:right w:val="nil"/>
            </w:tcBorders>
            <w:shd w:val="clear" w:color="auto" w:fill="auto"/>
            <w:noWrap/>
            <w:vAlign w:val="center"/>
            <w:hideMark/>
          </w:tcPr>
          <w:p w14:paraId="229E758B"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483" w:type="dxa"/>
            <w:tcBorders>
              <w:top w:val="nil"/>
              <w:left w:val="nil"/>
              <w:bottom w:val="single" w:sz="4" w:space="0" w:color="auto"/>
              <w:right w:val="nil"/>
            </w:tcBorders>
            <w:shd w:val="clear" w:color="auto" w:fill="auto"/>
            <w:noWrap/>
            <w:vAlign w:val="center"/>
            <w:hideMark/>
          </w:tcPr>
          <w:p w14:paraId="34101928"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530" w:type="dxa"/>
            <w:tcBorders>
              <w:top w:val="nil"/>
              <w:left w:val="nil"/>
              <w:bottom w:val="single" w:sz="4" w:space="0" w:color="auto"/>
              <w:right w:val="nil"/>
            </w:tcBorders>
            <w:shd w:val="clear" w:color="auto" w:fill="auto"/>
            <w:noWrap/>
            <w:vAlign w:val="center"/>
            <w:hideMark/>
          </w:tcPr>
          <w:p w14:paraId="68A1EE31"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390" w:type="dxa"/>
            <w:tcBorders>
              <w:top w:val="nil"/>
              <w:left w:val="nil"/>
              <w:bottom w:val="single" w:sz="4" w:space="0" w:color="auto"/>
              <w:right w:val="nil"/>
            </w:tcBorders>
            <w:shd w:val="clear" w:color="auto" w:fill="auto"/>
            <w:noWrap/>
            <w:vAlign w:val="center"/>
            <w:hideMark/>
          </w:tcPr>
          <w:p w14:paraId="273BC5C3"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r>
      <w:tr w:rsidR="00334797" w:rsidRPr="00334797" w14:paraId="68405D71"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205D88B0" w14:textId="77777777" w:rsidR="00334797" w:rsidRPr="00334797" w:rsidRDefault="00334797" w:rsidP="00334797">
            <w:pPr>
              <w:spacing w:line="240" w:lineRule="auto"/>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 xml:space="preserve">     Degrees of Freedom</w:t>
            </w:r>
          </w:p>
        </w:tc>
        <w:tc>
          <w:tcPr>
            <w:tcW w:w="1677" w:type="dxa"/>
            <w:tcBorders>
              <w:top w:val="nil"/>
              <w:left w:val="nil"/>
              <w:bottom w:val="single" w:sz="4" w:space="0" w:color="auto"/>
              <w:right w:val="nil"/>
            </w:tcBorders>
            <w:shd w:val="clear" w:color="auto" w:fill="auto"/>
            <w:noWrap/>
            <w:vAlign w:val="center"/>
            <w:hideMark/>
          </w:tcPr>
          <w:p w14:paraId="3F519351"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14</w:t>
            </w:r>
          </w:p>
        </w:tc>
        <w:tc>
          <w:tcPr>
            <w:tcW w:w="1950" w:type="dxa"/>
            <w:tcBorders>
              <w:top w:val="nil"/>
              <w:left w:val="nil"/>
              <w:bottom w:val="single" w:sz="4" w:space="0" w:color="auto"/>
              <w:right w:val="nil"/>
            </w:tcBorders>
            <w:shd w:val="clear" w:color="auto" w:fill="auto"/>
            <w:noWrap/>
            <w:vAlign w:val="center"/>
            <w:hideMark/>
          </w:tcPr>
          <w:p w14:paraId="378D59ED"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14</w:t>
            </w:r>
          </w:p>
        </w:tc>
        <w:tc>
          <w:tcPr>
            <w:tcW w:w="1494" w:type="dxa"/>
            <w:tcBorders>
              <w:top w:val="nil"/>
              <w:left w:val="nil"/>
              <w:bottom w:val="single" w:sz="4" w:space="0" w:color="auto"/>
              <w:right w:val="nil"/>
            </w:tcBorders>
            <w:shd w:val="clear" w:color="auto" w:fill="auto"/>
            <w:noWrap/>
            <w:vAlign w:val="center"/>
            <w:hideMark/>
          </w:tcPr>
          <w:p w14:paraId="44BFA839"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14</w:t>
            </w:r>
          </w:p>
        </w:tc>
        <w:tc>
          <w:tcPr>
            <w:tcW w:w="1906" w:type="dxa"/>
            <w:tcBorders>
              <w:top w:val="nil"/>
              <w:left w:val="nil"/>
              <w:bottom w:val="single" w:sz="4" w:space="0" w:color="auto"/>
              <w:right w:val="nil"/>
            </w:tcBorders>
            <w:shd w:val="clear" w:color="auto" w:fill="auto"/>
            <w:noWrap/>
            <w:vAlign w:val="center"/>
            <w:hideMark/>
          </w:tcPr>
          <w:p w14:paraId="07A5655B"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14</w:t>
            </w:r>
          </w:p>
        </w:tc>
        <w:tc>
          <w:tcPr>
            <w:tcW w:w="1483" w:type="dxa"/>
            <w:tcBorders>
              <w:top w:val="nil"/>
              <w:left w:val="nil"/>
              <w:bottom w:val="single" w:sz="4" w:space="0" w:color="auto"/>
              <w:right w:val="nil"/>
            </w:tcBorders>
            <w:shd w:val="clear" w:color="auto" w:fill="auto"/>
            <w:noWrap/>
            <w:vAlign w:val="center"/>
            <w:hideMark/>
          </w:tcPr>
          <w:p w14:paraId="6F2E14F2"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14</w:t>
            </w:r>
          </w:p>
        </w:tc>
        <w:tc>
          <w:tcPr>
            <w:tcW w:w="1530" w:type="dxa"/>
            <w:tcBorders>
              <w:top w:val="nil"/>
              <w:left w:val="nil"/>
              <w:bottom w:val="single" w:sz="4" w:space="0" w:color="auto"/>
              <w:right w:val="nil"/>
            </w:tcBorders>
            <w:shd w:val="clear" w:color="auto" w:fill="auto"/>
            <w:noWrap/>
            <w:vAlign w:val="center"/>
            <w:hideMark/>
          </w:tcPr>
          <w:p w14:paraId="55E66D4B"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14</w:t>
            </w:r>
          </w:p>
        </w:tc>
        <w:tc>
          <w:tcPr>
            <w:tcW w:w="1390" w:type="dxa"/>
            <w:tcBorders>
              <w:top w:val="nil"/>
              <w:left w:val="nil"/>
              <w:bottom w:val="single" w:sz="4" w:space="0" w:color="auto"/>
              <w:right w:val="nil"/>
            </w:tcBorders>
            <w:shd w:val="clear" w:color="auto" w:fill="auto"/>
            <w:noWrap/>
            <w:vAlign w:val="center"/>
            <w:hideMark/>
          </w:tcPr>
          <w:p w14:paraId="03FBA6F3"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14</w:t>
            </w:r>
          </w:p>
        </w:tc>
      </w:tr>
      <w:tr w:rsidR="00334797" w:rsidRPr="00334797" w14:paraId="7F9AFB1B"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084D957D" w14:textId="77777777" w:rsidR="00334797" w:rsidRPr="00334797" w:rsidRDefault="00334797" w:rsidP="00334797">
            <w:pPr>
              <w:spacing w:line="240" w:lineRule="auto"/>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 xml:space="preserve">     R squared</w:t>
            </w:r>
          </w:p>
        </w:tc>
        <w:tc>
          <w:tcPr>
            <w:tcW w:w="1677" w:type="dxa"/>
            <w:tcBorders>
              <w:top w:val="nil"/>
              <w:left w:val="nil"/>
              <w:bottom w:val="single" w:sz="4" w:space="0" w:color="auto"/>
              <w:right w:val="nil"/>
            </w:tcBorders>
            <w:shd w:val="clear" w:color="auto" w:fill="auto"/>
            <w:noWrap/>
            <w:vAlign w:val="center"/>
            <w:hideMark/>
          </w:tcPr>
          <w:p w14:paraId="236CA34B"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0.5418</w:t>
            </w:r>
          </w:p>
        </w:tc>
        <w:tc>
          <w:tcPr>
            <w:tcW w:w="1950" w:type="dxa"/>
            <w:tcBorders>
              <w:top w:val="nil"/>
              <w:left w:val="nil"/>
              <w:bottom w:val="single" w:sz="4" w:space="0" w:color="auto"/>
              <w:right w:val="nil"/>
            </w:tcBorders>
            <w:shd w:val="clear" w:color="auto" w:fill="auto"/>
            <w:noWrap/>
            <w:vAlign w:val="center"/>
            <w:hideMark/>
          </w:tcPr>
          <w:p w14:paraId="19C147A5"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0.8741</w:t>
            </w:r>
          </w:p>
        </w:tc>
        <w:tc>
          <w:tcPr>
            <w:tcW w:w="1494" w:type="dxa"/>
            <w:tcBorders>
              <w:top w:val="nil"/>
              <w:left w:val="nil"/>
              <w:bottom w:val="single" w:sz="4" w:space="0" w:color="auto"/>
              <w:right w:val="nil"/>
            </w:tcBorders>
            <w:shd w:val="clear" w:color="auto" w:fill="auto"/>
            <w:noWrap/>
            <w:vAlign w:val="center"/>
            <w:hideMark/>
          </w:tcPr>
          <w:p w14:paraId="26E63EC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0.8118</w:t>
            </w:r>
          </w:p>
        </w:tc>
        <w:tc>
          <w:tcPr>
            <w:tcW w:w="1906" w:type="dxa"/>
            <w:tcBorders>
              <w:top w:val="nil"/>
              <w:left w:val="nil"/>
              <w:bottom w:val="single" w:sz="4" w:space="0" w:color="auto"/>
              <w:right w:val="nil"/>
            </w:tcBorders>
            <w:shd w:val="clear" w:color="auto" w:fill="auto"/>
            <w:noWrap/>
            <w:vAlign w:val="center"/>
            <w:hideMark/>
          </w:tcPr>
          <w:p w14:paraId="6A03878C"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0.9848</w:t>
            </w:r>
          </w:p>
        </w:tc>
        <w:tc>
          <w:tcPr>
            <w:tcW w:w="1483" w:type="dxa"/>
            <w:tcBorders>
              <w:top w:val="nil"/>
              <w:left w:val="nil"/>
              <w:bottom w:val="single" w:sz="4" w:space="0" w:color="auto"/>
              <w:right w:val="nil"/>
            </w:tcBorders>
            <w:shd w:val="clear" w:color="auto" w:fill="auto"/>
            <w:noWrap/>
            <w:vAlign w:val="center"/>
            <w:hideMark/>
          </w:tcPr>
          <w:p w14:paraId="24740098"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0.802</w:t>
            </w:r>
          </w:p>
        </w:tc>
        <w:tc>
          <w:tcPr>
            <w:tcW w:w="1530" w:type="dxa"/>
            <w:tcBorders>
              <w:top w:val="nil"/>
              <w:left w:val="nil"/>
              <w:bottom w:val="single" w:sz="4" w:space="0" w:color="auto"/>
              <w:right w:val="nil"/>
            </w:tcBorders>
            <w:shd w:val="clear" w:color="auto" w:fill="auto"/>
            <w:noWrap/>
            <w:vAlign w:val="center"/>
            <w:hideMark/>
          </w:tcPr>
          <w:p w14:paraId="11478EEE"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0.9501</w:t>
            </w:r>
          </w:p>
        </w:tc>
        <w:tc>
          <w:tcPr>
            <w:tcW w:w="1390" w:type="dxa"/>
            <w:tcBorders>
              <w:top w:val="nil"/>
              <w:left w:val="nil"/>
              <w:bottom w:val="single" w:sz="4" w:space="0" w:color="auto"/>
              <w:right w:val="nil"/>
            </w:tcBorders>
            <w:shd w:val="clear" w:color="auto" w:fill="auto"/>
            <w:noWrap/>
            <w:vAlign w:val="center"/>
            <w:hideMark/>
          </w:tcPr>
          <w:p w14:paraId="0142ED6C"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w:t>
            </w:r>
          </w:p>
        </w:tc>
      </w:tr>
      <w:tr w:rsidR="00334797" w:rsidRPr="00334797" w14:paraId="2535AF0E"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77A047D2" w14:textId="77777777" w:rsidR="00334797" w:rsidRPr="00334797" w:rsidRDefault="00334797" w:rsidP="00334797">
            <w:pPr>
              <w:spacing w:line="240" w:lineRule="auto"/>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 xml:space="preserve">     Sum of Squares</w:t>
            </w:r>
          </w:p>
        </w:tc>
        <w:tc>
          <w:tcPr>
            <w:tcW w:w="1677" w:type="dxa"/>
            <w:tcBorders>
              <w:top w:val="nil"/>
              <w:left w:val="nil"/>
              <w:bottom w:val="single" w:sz="4" w:space="0" w:color="auto"/>
              <w:right w:val="nil"/>
            </w:tcBorders>
            <w:shd w:val="clear" w:color="auto" w:fill="auto"/>
            <w:noWrap/>
            <w:vAlign w:val="center"/>
            <w:hideMark/>
          </w:tcPr>
          <w:p w14:paraId="5AF0492F"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2.629</w:t>
            </w:r>
          </w:p>
        </w:tc>
        <w:tc>
          <w:tcPr>
            <w:tcW w:w="1950" w:type="dxa"/>
            <w:tcBorders>
              <w:top w:val="nil"/>
              <w:left w:val="nil"/>
              <w:bottom w:val="single" w:sz="4" w:space="0" w:color="auto"/>
              <w:right w:val="nil"/>
            </w:tcBorders>
            <w:shd w:val="clear" w:color="auto" w:fill="auto"/>
            <w:noWrap/>
            <w:vAlign w:val="center"/>
            <w:hideMark/>
          </w:tcPr>
          <w:p w14:paraId="4F3480B1"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0.1179</w:t>
            </w:r>
          </w:p>
        </w:tc>
        <w:tc>
          <w:tcPr>
            <w:tcW w:w="1494" w:type="dxa"/>
            <w:tcBorders>
              <w:top w:val="nil"/>
              <w:left w:val="nil"/>
              <w:bottom w:val="single" w:sz="4" w:space="0" w:color="auto"/>
              <w:right w:val="nil"/>
            </w:tcBorders>
            <w:shd w:val="clear" w:color="auto" w:fill="auto"/>
            <w:noWrap/>
            <w:vAlign w:val="center"/>
            <w:hideMark/>
          </w:tcPr>
          <w:p w14:paraId="2C39E05E"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0.05686</w:t>
            </w:r>
          </w:p>
        </w:tc>
        <w:tc>
          <w:tcPr>
            <w:tcW w:w="1906" w:type="dxa"/>
            <w:tcBorders>
              <w:top w:val="nil"/>
              <w:left w:val="nil"/>
              <w:bottom w:val="single" w:sz="4" w:space="0" w:color="auto"/>
              <w:right w:val="nil"/>
            </w:tcBorders>
            <w:shd w:val="clear" w:color="auto" w:fill="auto"/>
            <w:noWrap/>
            <w:vAlign w:val="center"/>
            <w:hideMark/>
          </w:tcPr>
          <w:p w14:paraId="4361365D"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0.0213</w:t>
            </w:r>
          </w:p>
        </w:tc>
        <w:tc>
          <w:tcPr>
            <w:tcW w:w="1483" w:type="dxa"/>
            <w:tcBorders>
              <w:top w:val="nil"/>
              <w:left w:val="nil"/>
              <w:bottom w:val="single" w:sz="4" w:space="0" w:color="auto"/>
              <w:right w:val="nil"/>
            </w:tcBorders>
            <w:shd w:val="clear" w:color="auto" w:fill="auto"/>
            <w:noWrap/>
            <w:vAlign w:val="center"/>
            <w:hideMark/>
          </w:tcPr>
          <w:p w14:paraId="036F5AD1"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0.4183</w:t>
            </w:r>
          </w:p>
        </w:tc>
        <w:tc>
          <w:tcPr>
            <w:tcW w:w="1530" w:type="dxa"/>
            <w:tcBorders>
              <w:top w:val="nil"/>
              <w:left w:val="nil"/>
              <w:bottom w:val="single" w:sz="4" w:space="0" w:color="auto"/>
              <w:right w:val="nil"/>
            </w:tcBorders>
            <w:shd w:val="clear" w:color="auto" w:fill="auto"/>
            <w:noWrap/>
            <w:vAlign w:val="center"/>
            <w:hideMark/>
          </w:tcPr>
          <w:p w14:paraId="61FBACE9"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0.03093</w:t>
            </w:r>
          </w:p>
        </w:tc>
        <w:tc>
          <w:tcPr>
            <w:tcW w:w="1390" w:type="dxa"/>
            <w:tcBorders>
              <w:top w:val="nil"/>
              <w:left w:val="nil"/>
              <w:bottom w:val="single" w:sz="4" w:space="0" w:color="auto"/>
              <w:right w:val="nil"/>
            </w:tcBorders>
            <w:shd w:val="clear" w:color="auto" w:fill="auto"/>
            <w:noWrap/>
            <w:vAlign w:val="center"/>
            <w:hideMark/>
          </w:tcPr>
          <w:p w14:paraId="0F254E33"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0.4534</w:t>
            </w:r>
          </w:p>
        </w:tc>
      </w:tr>
      <w:tr w:rsidR="00334797" w:rsidRPr="00334797" w14:paraId="627511D1"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17896C3A" w14:textId="77777777" w:rsidR="00334797" w:rsidRPr="00334797" w:rsidRDefault="00334797" w:rsidP="00334797">
            <w:pPr>
              <w:spacing w:line="240" w:lineRule="auto"/>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 xml:space="preserve">     Sy.x</w:t>
            </w:r>
          </w:p>
        </w:tc>
        <w:tc>
          <w:tcPr>
            <w:tcW w:w="1677" w:type="dxa"/>
            <w:tcBorders>
              <w:top w:val="nil"/>
              <w:left w:val="nil"/>
              <w:bottom w:val="single" w:sz="4" w:space="0" w:color="auto"/>
              <w:right w:val="nil"/>
            </w:tcBorders>
            <w:shd w:val="clear" w:color="auto" w:fill="auto"/>
            <w:noWrap/>
            <w:vAlign w:val="center"/>
            <w:hideMark/>
          </w:tcPr>
          <w:p w14:paraId="0E09B322"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0.4333</w:t>
            </w:r>
          </w:p>
        </w:tc>
        <w:tc>
          <w:tcPr>
            <w:tcW w:w="1950" w:type="dxa"/>
            <w:tcBorders>
              <w:top w:val="nil"/>
              <w:left w:val="nil"/>
              <w:bottom w:val="single" w:sz="4" w:space="0" w:color="auto"/>
              <w:right w:val="nil"/>
            </w:tcBorders>
            <w:shd w:val="clear" w:color="auto" w:fill="auto"/>
            <w:noWrap/>
            <w:vAlign w:val="center"/>
            <w:hideMark/>
          </w:tcPr>
          <w:p w14:paraId="2529CC76"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0.09176</w:t>
            </w:r>
          </w:p>
        </w:tc>
        <w:tc>
          <w:tcPr>
            <w:tcW w:w="1494" w:type="dxa"/>
            <w:tcBorders>
              <w:top w:val="nil"/>
              <w:left w:val="nil"/>
              <w:bottom w:val="single" w:sz="4" w:space="0" w:color="auto"/>
              <w:right w:val="nil"/>
            </w:tcBorders>
            <w:shd w:val="clear" w:color="auto" w:fill="auto"/>
            <w:noWrap/>
            <w:vAlign w:val="center"/>
            <w:hideMark/>
          </w:tcPr>
          <w:p w14:paraId="4F958BAE"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0.06373</w:t>
            </w:r>
          </w:p>
        </w:tc>
        <w:tc>
          <w:tcPr>
            <w:tcW w:w="1906" w:type="dxa"/>
            <w:tcBorders>
              <w:top w:val="nil"/>
              <w:left w:val="nil"/>
              <w:bottom w:val="single" w:sz="4" w:space="0" w:color="auto"/>
              <w:right w:val="nil"/>
            </w:tcBorders>
            <w:shd w:val="clear" w:color="auto" w:fill="auto"/>
            <w:noWrap/>
            <w:vAlign w:val="center"/>
            <w:hideMark/>
          </w:tcPr>
          <w:p w14:paraId="371C709F"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0.03901</w:t>
            </w:r>
          </w:p>
        </w:tc>
        <w:tc>
          <w:tcPr>
            <w:tcW w:w="1483" w:type="dxa"/>
            <w:tcBorders>
              <w:top w:val="nil"/>
              <w:left w:val="nil"/>
              <w:bottom w:val="single" w:sz="4" w:space="0" w:color="auto"/>
              <w:right w:val="nil"/>
            </w:tcBorders>
            <w:shd w:val="clear" w:color="auto" w:fill="auto"/>
            <w:noWrap/>
            <w:vAlign w:val="center"/>
            <w:hideMark/>
          </w:tcPr>
          <w:p w14:paraId="59195881"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0.1729</w:t>
            </w:r>
          </w:p>
        </w:tc>
        <w:tc>
          <w:tcPr>
            <w:tcW w:w="1530" w:type="dxa"/>
            <w:tcBorders>
              <w:top w:val="nil"/>
              <w:left w:val="nil"/>
              <w:bottom w:val="single" w:sz="4" w:space="0" w:color="auto"/>
              <w:right w:val="nil"/>
            </w:tcBorders>
            <w:shd w:val="clear" w:color="auto" w:fill="auto"/>
            <w:noWrap/>
            <w:vAlign w:val="center"/>
            <w:hideMark/>
          </w:tcPr>
          <w:p w14:paraId="3C653769"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0.047</w:t>
            </w:r>
          </w:p>
        </w:tc>
        <w:tc>
          <w:tcPr>
            <w:tcW w:w="1390" w:type="dxa"/>
            <w:tcBorders>
              <w:top w:val="nil"/>
              <w:left w:val="nil"/>
              <w:bottom w:val="single" w:sz="4" w:space="0" w:color="auto"/>
              <w:right w:val="nil"/>
            </w:tcBorders>
            <w:shd w:val="clear" w:color="auto" w:fill="auto"/>
            <w:noWrap/>
            <w:vAlign w:val="center"/>
            <w:hideMark/>
          </w:tcPr>
          <w:p w14:paraId="120B9C3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0.18</w:t>
            </w:r>
          </w:p>
        </w:tc>
      </w:tr>
      <w:tr w:rsidR="00334797" w:rsidRPr="00334797" w14:paraId="381D6006"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40397A55" w14:textId="77777777" w:rsidR="00334797" w:rsidRPr="00334797" w:rsidRDefault="00334797" w:rsidP="00334797">
            <w:pPr>
              <w:spacing w:line="240" w:lineRule="auto"/>
              <w:rPr>
                <w:rFonts w:asciiTheme="majorBidi" w:eastAsia="Times New Roman" w:hAnsiTheme="majorBidi" w:cstheme="majorBidi"/>
                <w:color w:val="000000"/>
                <w:kern w:val="0"/>
                <w:sz w:val="22"/>
                <w14:ligatures w14:val="none"/>
              </w:rPr>
            </w:pPr>
          </w:p>
        </w:tc>
        <w:tc>
          <w:tcPr>
            <w:tcW w:w="1677" w:type="dxa"/>
            <w:tcBorders>
              <w:top w:val="nil"/>
              <w:left w:val="nil"/>
              <w:bottom w:val="single" w:sz="4" w:space="0" w:color="auto"/>
              <w:right w:val="nil"/>
            </w:tcBorders>
            <w:shd w:val="clear" w:color="auto" w:fill="auto"/>
            <w:noWrap/>
            <w:vAlign w:val="center"/>
            <w:hideMark/>
          </w:tcPr>
          <w:p w14:paraId="7816EEEF"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950" w:type="dxa"/>
            <w:tcBorders>
              <w:top w:val="nil"/>
              <w:left w:val="nil"/>
              <w:bottom w:val="single" w:sz="4" w:space="0" w:color="auto"/>
              <w:right w:val="nil"/>
            </w:tcBorders>
            <w:shd w:val="clear" w:color="auto" w:fill="auto"/>
            <w:noWrap/>
            <w:vAlign w:val="center"/>
            <w:hideMark/>
          </w:tcPr>
          <w:p w14:paraId="22D941C9"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494" w:type="dxa"/>
            <w:tcBorders>
              <w:top w:val="nil"/>
              <w:left w:val="nil"/>
              <w:bottom w:val="single" w:sz="4" w:space="0" w:color="auto"/>
              <w:right w:val="nil"/>
            </w:tcBorders>
            <w:shd w:val="clear" w:color="auto" w:fill="auto"/>
            <w:noWrap/>
            <w:vAlign w:val="center"/>
            <w:hideMark/>
          </w:tcPr>
          <w:p w14:paraId="03BD7259"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906" w:type="dxa"/>
            <w:tcBorders>
              <w:top w:val="nil"/>
              <w:left w:val="nil"/>
              <w:bottom w:val="single" w:sz="4" w:space="0" w:color="auto"/>
              <w:right w:val="nil"/>
            </w:tcBorders>
            <w:shd w:val="clear" w:color="auto" w:fill="auto"/>
            <w:noWrap/>
            <w:vAlign w:val="center"/>
            <w:hideMark/>
          </w:tcPr>
          <w:p w14:paraId="15D867E6"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483" w:type="dxa"/>
            <w:tcBorders>
              <w:top w:val="nil"/>
              <w:left w:val="nil"/>
              <w:bottom w:val="single" w:sz="4" w:space="0" w:color="auto"/>
              <w:right w:val="nil"/>
            </w:tcBorders>
            <w:shd w:val="clear" w:color="auto" w:fill="auto"/>
            <w:noWrap/>
            <w:vAlign w:val="center"/>
            <w:hideMark/>
          </w:tcPr>
          <w:p w14:paraId="2A16926F"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530" w:type="dxa"/>
            <w:tcBorders>
              <w:top w:val="nil"/>
              <w:left w:val="nil"/>
              <w:bottom w:val="single" w:sz="4" w:space="0" w:color="auto"/>
              <w:right w:val="nil"/>
            </w:tcBorders>
            <w:shd w:val="clear" w:color="auto" w:fill="auto"/>
            <w:noWrap/>
            <w:vAlign w:val="center"/>
            <w:hideMark/>
          </w:tcPr>
          <w:p w14:paraId="3EFC88C9"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390" w:type="dxa"/>
            <w:tcBorders>
              <w:top w:val="nil"/>
              <w:left w:val="nil"/>
              <w:bottom w:val="single" w:sz="4" w:space="0" w:color="auto"/>
              <w:right w:val="nil"/>
            </w:tcBorders>
            <w:shd w:val="clear" w:color="auto" w:fill="auto"/>
            <w:noWrap/>
            <w:vAlign w:val="center"/>
            <w:hideMark/>
          </w:tcPr>
          <w:p w14:paraId="79186666"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r>
      <w:tr w:rsidR="00334797" w:rsidRPr="00334797" w14:paraId="4A57E3BA"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59F9A184" w14:textId="77777777" w:rsidR="00334797" w:rsidRPr="00334797" w:rsidRDefault="00334797" w:rsidP="00334797">
            <w:pPr>
              <w:spacing w:line="240" w:lineRule="auto"/>
              <w:rPr>
                <w:rFonts w:asciiTheme="majorBidi" w:eastAsia="Times New Roman" w:hAnsiTheme="majorBidi" w:cstheme="majorBidi"/>
                <w:b/>
                <w:bCs/>
                <w:color w:val="000000"/>
                <w:kern w:val="0"/>
                <w:sz w:val="22"/>
                <w14:ligatures w14:val="none"/>
              </w:rPr>
            </w:pPr>
            <w:r w:rsidRPr="00334797">
              <w:rPr>
                <w:rFonts w:asciiTheme="majorBidi" w:eastAsia="Times New Roman" w:hAnsiTheme="majorBidi" w:cstheme="majorBidi"/>
                <w:b/>
                <w:bCs/>
                <w:color w:val="000000"/>
                <w:kern w:val="0"/>
                <w:sz w:val="22"/>
                <w14:ligatures w14:val="none"/>
              </w:rPr>
              <w:t>Number of points</w:t>
            </w:r>
          </w:p>
        </w:tc>
        <w:tc>
          <w:tcPr>
            <w:tcW w:w="1677" w:type="dxa"/>
            <w:tcBorders>
              <w:top w:val="nil"/>
              <w:left w:val="nil"/>
              <w:bottom w:val="single" w:sz="4" w:space="0" w:color="auto"/>
              <w:right w:val="nil"/>
            </w:tcBorders>
            <w:shd w:val="clear" w:color="auto" w:fill="auto"/>
            <w:noWrap/>
            <w:vAlign w:val="center"/>
            <w:hideMark/>
          </w:tcPr>
          <w:p w14:paraId="58B62EE7"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950" w:type="dxa"/>
            <w:tcBorders>
              <w:top w:val="nil"/>
              <w:left w:val="nil"/>
              <w:bottom w:val="single" w:sz="4" w:space="0" w:color="auto"/>
              <w:right w:val="nil"/>
            </w:tcBorders>
            <w:shd w:val="clear" w:color="auto" w:fill="auto"/>
            <w:noWrap/>
            <w:vAlign w:val="center"/>
            <w:hideMark/>
          </w:tcPr>
          <w:p w14:paraId="6032279C"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494" w:type="dxa"/>
            <w:tcBorders>
              <w:top w:val="nil"/>
              <w:left w:val="nil"/>
              <w:bottom w:val="single" w:sz="4" w:space="0" w:color="auto"/>
              <w:right w:val="nil"/>
            </w:tcBorders>
            <w:shd w:val="clear" w:color="auto" w:fill="auto"/>
            <w:noWrap/>
            <w:vAlign w:val="center"/>
            <w:hideMark/>
          </w:tcPr>
          <w:p w14:paraId="7F2687C0"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906" w:type="dxa"/>
            <w:tcBorders>
              <w:top w:val="nil"/>
              <w:left w:val="nil"/>
              <w:bottom w:val="single" w:sz="4" w:space="0" w:color="auto"/>
              <w:right w:val="nil"/>
            </w:tcBorders>
            <w:shd w:val="clear" w:color="auto" w:fill="auto"/>
            <w:noWrap/>
            <w:vAlign w:val="center"/>
            <w:hideMark/>
          </w:tcPr>
          <w:p w14:paraId="0432C92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483" w:type="dxa"/>
            <w:tcBorders>
              <w:top w:val="nil"/>
              <w:left w:val="nil"/>
              <w:bottom w:val="single" w:sz="4" w:space="0" w:color="auto"/>
              <w:right w:val="nil"/>
            </w:tcBorders>
            <w:shd w:val="clear" w:color="auto" w:fill="auto"/>
            <w:noWrap/>
            <w:vAlign w:val="center"/>
            <w:hideMark/>
          </w:tcPr>
          <w:p w14:paraId="2B5BFFD7"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530" w:type="dxa"/>
            <w:tcBorders>
              <w:top w:val="nil"/>
              <w:left w:val="nil"/>
              <w:bottom w:val="single" w:sz="4" w:space="0" w:color="auto"/>
              <w:right w:val="nil"/>
            </w:tcBorders>
            <w:shd w:val="clear" w:color="auto" w:fill="auto"/>
            <w:noWrap/>
            <w:vAlign w:val="center"/>
            <w:hideMark/>
          </w:tcPr>
          <w:p w14:paraId="03729BB3"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c>
          <w:tcPr>
            <w:tcW w:w="1390" w:type="dxa"/>
            <w:tcBorders>
              <w:top w:val="nil"/>
              <w:left w:val="nil"/>
              <w:bottom w:val="single" w:sz="4" w:space="0" w:color="auto"/>
              <w:right w:val="nil"/>
            </w:tcBorders>
            <w:shd w:val="clear" w:color="auto" w:fill="auto"/>
            <w:noWrap/>
            <w:vAlign w:val="center"/>
            <w:hideMark/>
          </w:tcPr>
          <w:p w14:paraId="5ECBC52B"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p>
        </w:tc>
      </w:tr>
      <w:tr w:rsidR="00334797" w:rsidRPr="00334797" w14:paraId="30525831"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28C83FFF" w14:textId="77777777" w:rsidR="00334797" w:rsidRPr="00334797" w:rsidRDefault="00334797" w:rsidP="00334797">
            <w:pPr>
              <w:spacing w:line="240" w:lineRule="auto"/>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 xml:space="preserve">     # of X values</w:t>
            </w:r>
          </w:p>
        </w:tc>
        <w:tc>
          <w:tcPr>
            <w:tcW w:w="1677" w:type="dxa"/>
            <w:tcBorders>
              <w:top w:val="nil"/>
              <w:left w:val="nil"/>
              <w:bottom w:val="single" w:sz="4" w:space="0" w:color="auto"/>
              <w:right w:val="nil"/>
            </w:tcBorders>
            <w:shd w:val="clear" w:color="auto" w:fill="auto"/>
            <w:noWrap/>
            <w:vAlign w:val="center"/>
            <w:hideMark/>
          </w:tcPr>
          <w:p w14:paraId="254BE2EB"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950" w:type="dxa"/>
            <w:tcBorders>
              <w:top w:val="nil"/>
              <w:left w:val="nil"/>
              <w:bottom w:val="single" w:sz="4" w:space="0" w:color="auto"/>
              <w:right w:val="nil"/>
            </w:tcBorders>
            <w:shd w:val="clear" w:color="auto" w:fill="auto"/>
            <w:noWrap/>
            <w:vAlign w:val="center"/>
            <w:hideMark/>
          </w:tcPr>
          <w:p w14:paraId="6B4D1D92"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494" w:type="dxa"/>
            <w:tcBorders>
              <w:top w:val="nil"/>
              <w:left w:val="nil"/>
              <w:bottom w:val="single" w:sz="4" w:space="0" w:color="auto"/>
              <w:right w:val="nil"/>
            </w:tcBorders>
            <w:shd w:val="clear" w:color="auto" w:fill="auto"/>
            <w:noWrap/>
            <w:vAlign w:val="center"/>
            <w:hideMark/>
          </w:tcPr>
          <w:p w14:paraId="08745FD4"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906" w:type="dxa"/>
            <w:tcBorders>
              <w:top w:val="nil"/>
              <w:left w:val="nil"/>
              <w:bottom w:val="single" w:sz="4" w:space="0" w:color="auto"/>
              <w:right w:val="nil"/>
            </w:tcBorders>
            <w:shd w:val="clear" w:color="auto" w:fill="auto"/>
            <w:noWrap/>
            <w:vAlign w:val="center"/>
            <w:hideMark/>
          </w:tcPr>
          <w:p w14:paraId="738D102B"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483" w:type="dxa"/>
            <w:tcBorders>
              <w:top w:val="nil"/>
              <w:left w:val="nil"/>
              <w:bottom w:val="single" w:sz="4" w:space="0" w:color="auto"/>
              <w:right w:val="nil"/>
            </w:tcBorders>
            <w:shd w:val="clear" w:color="auto" w:fill="auto"/>
            <w:noWrap/>
            <w:vAlign w:val="center"/>
            <w:hideMark/>
          </w:tcPr>
          <w:p w14:paraId="05B23EC1"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530" w:type="dxa"/>
            <w:tcBorders>
              <w:top w:val="nil"/>
              <w:left w:val="nil"/>
              <w:bottom w:val="single" w:sz="4" w:space="0" w:color="auto"/>
              <w:right w:val="nil"/>
            </w:tcBorders>
            <w:shd w:val="clear" w:color="auto" w:fill="auto"/>
            <w:noWrap/>
            <w:vAlign w:val="center"/>
            <w:hideMark/>
          </w:tcPr>
          <w:p w14:paraId="221E32C7"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390" w:type="dxa"/>
            <w:tcBorders>
              <w:top w:val="nil"/>
              <w:left w:val="nil"/>
              <w:bottom w:val="single" w:sz="4" w:space="0" w:color="auto"/>
              <w:right w:val="nil"/>
            </w:tcBorders>
            <w:shd w:val="clear" w:color="auto" w:fill="auto"/>
            <w:noWrap/>
            <w:vAlign w:val="center"/>
            <w:hideMark/>
          </w:tcPr>
          <w:p w14:paraId="7B8ECCC3"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r>
      <w:tr w:rsidR="00334797" w:rsidRPr="00334797" w14:paraId="09422505" w14:textId="77777777" w:rsidTr="00334797">
        <w:trPr>
          <w:trHeight w:val="288"/>
          <w:jc w:val="center"/>
        </w:trPr>
        <w:tc>
          <w:tcPr>
            <w:tcW w:w="2790" w:type="dxa"/>
            <w:tcBorders>
              <w:top w:val="nil"/>
              <w:left w:val="nil"/>
              <w:bottom w:val="single" w:sz="4" w:space="0" w:color="auto"/>
              <w:right w:val="nil"/>
            </w:tcBorders>
            <w:shd w:val="clear" w:color="auto" w:fill="auto"/>
            <w:noWrap/>
            <w:vAlign w:val="center"/>
            <w:hideMark/>
          </w:tcPr>
          <w:p w14:paraId="620E134F" w14:textId="77777777" w:rsidR="00334797" w:rsidRPr="00334797" w:rsidRDefault="00334797" w:rsidP="00334797">
            <w:pPr>
              <w:spacing w:line="240" w:lineRule="auto"/>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 xml:space="preserve">     # Y values analyzed</w:t>
            </w:r>
          </w:p>
        </w:tc>
        <w:tc>
          <w:tcPr>
            <w:tcW w:w="1677" w:type="dxa"/>
            <w:tcBorders>
              <w:top w:val="nil"/>
              <w:left w:val="nil"/>
              <w:bottom w:val="single" w:sz="4" w:space="0" w:color="auto"/>
              <w:right w:val="nil"/>
            </w:tcBorders>
            <w:shd w:val="clear" w:color="auto" w:fill="auto"/>
            <w:noWrap/>
            <w:vAlign w:val="center"/>
            <w:hideMark/>
          </w:tcPr>
          <w:p w14:paraId="5107B0C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950" w:type="dxa"/>
            <w:tcBorders>
              <w:top w:val="nil"/>
              <w:left w:val="nil"/>
              <w:bottom w:val="single" w:sz="4" w:space="0" w:color="auto"/>
              <w:right w:val="nil"/>
            </w:tcBorders>
            <w:shd w:val="clear" w:color="auto" w:fill="auto"/>
            <w:noWrap/>
            <w:vAlign w:val="center"/>
            <w:hideMark/>
          </w:tcPr>
          <w:p w14:paraId="2F160F39"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494" w:type="dxa"/>
            <w:tcBorders>
              <w:top w:val="nil"/>
              <w:left w:val="nil"/>
              <w:bottom w:val="single" w:sz="4" w:space="0" w:color="auto"/>
              <w:right w:val="nil"/>
            </w:tcBorders>
            <w:shd w:val="clear" w:color="auto" w:fill="auto"/>
            <w:noWrap/>
            <w:vAlign w:val="center"/>
            <w:hideMark/>
          </w:tcPr>
          <w:p w14:paraId="7C52CF60"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906" w:type="dxa"/>
            <w:tcBorders>
              <w:top w:val="nil"/>
              <w:left w:val="nil"/>
              <w:bottom w:val="single" w:sz="4" w:space="0" w:color="auto"/>
              <w:right w:val="nil"/>
            </w:tcBorders>
            <w:shd w:val="clear" w:color="auto" w:fill="auto"/>
            <w:noWrap/>
            <w:vAlign w:val="center"/>
            <w:hideMark/>
          </w:tcPr>
          <w:p w14:paraId="0FEA95A2"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483" w:type="dxa"/>
            <w:tcBorders>
              <w:top w:val="nil"/>
              <w:left w:val="nil"/>
              <w:bottom w:val="single" w:sz="4" w:space="0" w:color="auto"/>
              <w:right w:val="nil"/>
            </w:tcBorders>
            <w:shd w:val="clear" w:color="auto" w:fill="auto"/>
            <w:noWrap/>
            <w:vAlign w:val="center"/>
            <w:hideMark/>
          </w:tcPr>
          <w:p w14:paraId="357B0FC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530" w:type="dxa"/>
            <w:tcBorders>
              <w:top w:val="nil"/>
              <w:left w:val="nil"/>
              <w:bottom w:val="single" w:sz="4" w:space="0" w:color="auto"/>
              <w:right w:val="nil"/>
            </w:tcBorders>
            <w:shd w:val="clear" w:color="auto" w:fill="auto"/>
            <w:noWrap/>
            <w:vAlign w:val="center"/>
            <w:hideMark/>
          </w:tcPr>
          <w:p w14:paraId="4D198B1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c>
          <w:tcPr>
            <w:tcW w:w="1390" w:type="dxa"/>
            <w:tcBorders>
              <w:top w:val="nil"/>
              <w:left w:val="nil"/>
              <w:bottom w:val="single" w:sz="4" w:space="0" w:color="auto"/>
              <w:right w:val="nil"/>
            </w:tcBorders>
            <w:shd w:val="clear" w:color="auto" w:fill="auto"/>
            <w:noWrap/>
            <w:vAlign w:val="center"/>
            <w:hideMark/>
          </w:tcPr>
          <w:p w14:paraId="67FA52AA" w14:textId="77777777" w:rsidR="00334797" w:rsidRPr="00334797" w:rsidRDefault="00334797" w:rsidP="00334797">
            <w:pPr>
              <w:spacing w:line="240" w:lineRule="auto"/>
              <w:jc w:val="center"/>
              <w:rPr>
                <w:rFonts w:asciiTheme="majorBidi" w:eastAsia="Times New Roman" w:hAnsiTheme="majorBidi" w:cstheme="majorBidi"/>
                <w:color w:val="000000"/>
                <w:kern w:val="0"/>
                <w:sz w:val="22"/>
                <w14:ligatures w14:val="none"/>
              </w:rPr>
            </w:pPr>
            <w:r w:rsidRPr="00334797">
              <w:rPr>
                <w:rFonts w:asciiTheme="majorBidi" w:eastAsia="Times New Roman" w:hAnsiTheme="majorBidi" w:cstheme="majorBidi"/>
                <w:color w:val="000000"/>
                <w:kern w:val="0"/>
                <w:sz w:val="22"/>
                <w14:ligatures w14:val="none"/>
              </w:rPr>
              <w:t>18</w:t>
            </w:r>
          </w:p>
        </w:tc>
      </w:tr>
    </w:tbl>
    <w:p w14:paraId="0E856E53" w14:textId="0BD33B0C" w:rsidR="0072326C" w:rsidRPr="0072326C" w:rsidRDefault="003A070A" w:rsidP="003A070A">
      <w:pPr>
        <w:rPr>
          <w:rFonts w:asciiTheme="majorBidi" w:hAnsiTheme="majorBidi" w:cstheme="majorBidi"/>
          <w:szCs w:val="24"/>
        </w:rPr>
      </w:pPr>
      <w:r>
        <w:rPr>
          <w:rFonts w:asciiTheme="majorBidi" w:hAnsiTheme="majorBidi" w:cstheme="majorBidi"/>
          <w:szCs w:val="24"/>
        </w:rPr>
        <w:tab/>
      </w:r>
    </w:p>
    <w:sectPr w:rsidR="0072326C" w:rsidRPr="0072326C" w:rsidSect="003A070A">
      <w:pgSz w:w="16840" w:h="11907"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3AFCD0" w14:textId="77777777" w:rsidR="00677CB1" w:rsidRDefault="00677CB1" w:rsidP="0004734F">
      <w:pPr>
        <w:spacing w:line="240" w:lineRule="auto"/>
      </w:pPr>
      <w:r>
        <w:separator/>
      </w:r>
    </w:p>
  </w:endnote>
  <w:endnote w:type="continuationSeparator" w:id="0">
    <w:p w14:paraId="38FD508C" w14:textId="77777777" w:rsidR="00677CB1" w:rsidRDefault="00677CB1" w:rsidP="0004734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Narrow">
    <w:altName w:val="Arial Unicode M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4713249"/>
      <w:docPartObj>
        <w:docPartGallery w:val="Page Numbers (Bottom of Page)"/>
        <w:docPartUnique/>
      </w:docPartObj>
    </w:sdtPr>
    <w:sdtEndPr>
      <w:rPr>
        <w:noProof/>
      </w:rPr>
    </w:sdtEndPr>
    <w:sdtContent>
      <w:p w14:paraId="15473A51" w14:textId="68E529C4" w:rsidR="004530D1" w:rsidRDefault="004530D1">
        <w:pPr>
          <w:pStyle w:val="Footer"/>
          <w:jc w:val="center"/>
        </w:pPr>
        <w:r>
          <w:fldChar w:fldCharType="begin"/>
        </w:r>
        <w:r>
          <w:instrText xml:space="preserve"> PAGE   \* MERGEFORMAT </w:instrText>
        </w:r>
        <w:r>
          <w:fldChar w:fldCharType="separate"/>
        </w:r>
        <w:r w:rsidR="00126A39">
          <w:rPr>
            <w:noProof/>
          </w:rPr>
          <w:t>ii</w:t>
        </w:r>
        <w:r>
          <w:rPr>
            <w:noProof/>
          </w:rPr>
          <w:fldChar w:fldCharType="end"/>
        </w:r>
      </w:p>
    </w:sdtContent>
  </w:sdt>
  <w:p w14:paraId="44E6E56E" w14:textId="77777777" w:rsidR="004530D1" w:rsidRDefault="004530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BFA2F0" w14:textId="77777777" w:rsidR="00677CB1" w:rsidRDefault="00677CB1" w:rsidP="0004734F">
      <w:pPr>
        <w:spacing w:line="240" w:lineRule="auto"/>
      </w:pPr>
      <w:r>
        <w:separator/>
      </w:r>
    </w:p>
  </w:footnote>
  <w:footnote w:type="continuationSeparator" w:id="0">
    <w:p w14:paraId="54DF4F40" w14:textId="77777777" w:rsidR="00677CB1" w:rsidRDefault="00677CB1" w:rsidP="0004734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467C2D"/>
    <w:multiLevelType w:val="hybridMultilevel"/>
    <w:tmpl w:val="1CB83E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6E1C33"/>
    <w:multiLevelType w:val="multilevel"/>
    <w:tmpl w:val="0574B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48B2E36"/>
    <w:multiLevelType w:val="multilevel"/>
    <w:tmpl w:val="358CB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126632"/>
    <w:multiLevelType w:val="multilevel"/>
    <w:tmpl w:val="B96A99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4A939B0"/>
    <w:multiLevelType w:val="multilevel"/>
    <w:tmpl w:val="C70E1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6B2"/>
    <w:rsid w:val="000046B2"/>
    <w:rsid w:val="0001781B"/>
    <w:rsid w:val="0004734F"/>
    <w:rsid w:val="0005242D"/>
    <w:rsid w:val="000855A2"/>
    <w:rsid w:val="00126A39"/>
    <w:rsid w:val="00126B2B"/>
    <w:rsid w:val="00130EC1"/>
    <w:rsid w:val="00191476"/>
    <w:rsid w:val="001F2F59"/>
    <w:rsid w:val="002402DA"/>
    <w:rsid w:val="00255071"/>
    <w:rsid w:val="0032391C"/>
    <w:rsid w:val="00334797"/>
    <w:rsid w:val="00377FAD"/>
    <w:rsid w:val="003A070A"/>
    <w:rsid w:val="003D6D02"/>
    <w:rsid w:val="004043F4"/>
    <w:rsid w:val="0041235F"/>
    <w:rsid w:val="004325E0"/>
    <w:rsid w:val="004530D1"/>
    <w:rsid w:val="004769BD"/>
    <w:rsid w:val="004905AC"/>
    <w:rsid w:val="00494170"/>
    <w:rsid w:val="004C1C44"/>
    <w:rsid w:val="004F01ED"/>
    <w:rsid w:val="0054139E"/>
    <w:rsid w:val="0057513E"/>
    <w:rsid w:val="00585281"/>
    <w:rsid w:val="00592AD3"/>
    <w:rsid w:val="00646119"/>
    <w:rsid w:val="00650232"/>
    <w:rsid w:val="006779FB"/>
    <w:rsid w:val="00677CB1"/>
    <w:rsid w:val="00695C1A"/>
    <w:rsid w:val="006B2866"/>
    <w:rsid w:val="006C13B6"/>
    <w:rsid w:val="006E7AD9"/>
    <w:rsid w:val="006F4F75"/>
    <w:rsid w:val="0072326C"/>
    <w:rsid w:val="00730F87"/>
    <w:rsid w:val="007777FB"/>
    <w:rsid w:val="007A12D9"/>
    <w:rsid w:val="007D3C77"/>
    <w:rsid w:val="007F232E"/>
    <w:rsid w:val="007F6263"/>
    <w:rsid w:val="008845CD"/>
    <w:rsid w:val="00890CCC"/>
    <w:rsid w:val="008C4548"/>
    <w:rsid w:val="008D2B90"/>
    <w:rsid w:val="009251CC"/>
    <w:rsid w:val="009435B2"/>
    <w:rsid w:val="009C0866"/>
    <w:rsid w:val="009E5181"/>
    <w:rsid w:val="009F2956"/>
    <w:rsid w:val="00A81DF3"/>
    <w:rsid w:val="00A90CDE"/>
    <w:rsid w:val="00AA2592"/>
    <w:rsid w:val="00AC586B"/>
    <w:rsid w:val="00AF270C"/>
    <w:rsid w:val="00B32EE3"/>
    <w:rsid w:val="00B6491B"/>
    <w:rsid w:val="00B97838"/>
    <w:rsid w:val="00BE4907"/>
    <w:rsid w:val="00BE6EBA"/>
    <w:rsid w:val="00C305A6"/>
    <w:rsid w:val="00D13C2F"/>
    <w:rsid w:val="00D40706"/>
    <w:rsid w:val="00D4202C"/>
    <w:rsid w:val="00D5290A"/>
    <w:rsid w:val="00DA0724"/>
    <w:rsid w:val="00DA3416"/>
    <w:rsid w:val="00DB4012"/>
    <w:rsid w:val="00E34F10"/>
    <w:rsid w:val="00E35C5D"/>
    <w:rsid w:val="00E615DB"/>
    <w:rsid w:val="00E64DD5"/>
    <w:rsid w:val="00E96B7F"/>
    <w:rsid w:val="00EB050E"/>
    <w:rsid w:val="00EB57CD"/>
    <w:rsid w:val="00ED0FC0"/>
    <w:rsid w:val="00EE5A4B"/>
    <w:rsid w:val="00F100AC"/>
    <w:rsid w:val="00F32D50"/>
    <w:rsid w:val="00F92227"/>
    <w:rsid w:val="00FA73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CDE9EF"/>
  <w15:chartTrackingRefBased/>
  <w15:docId w15:val="{EBF4C986-85B7-468C-9F0D-62079EBB5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kern w:val="2"/>
        <w:sz w:val="24"/>
        <w:szCs w:val="22"/>
        <w:lang w:val="en-US" w:eastAsia="en-US" w:bidi="ar-SA"/>
        <w14:ligatures w14:val="standardContextual"/>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4F75"/>
  </w:style>
  <w:style w:type="paragraph" w:styleId="Heading1">
    <w:name w:val="heading 1"/>
    <w:basedOn w:val="Normal"/>
    <w:next w:val="Normal"/>
    <w:link w:val="Heading1Char"/>
    <w:uiPriority w:val="9"/>
    <w:qFormat/>
    <w:rsid w:val="00695C1A"/>
    <w:pPr>
      <w:keepNext/>
      <w:keepLines/>
      <w:outlineLvl w:val="0"/>
    </w:pPr>
    <w:rPr>
      <w:rFonts w:asciiTheme="majorBidi" w:eastAsiaTheme="majorEastAsia" w:hAnsiTheme="majorBidi" w:cstheme="majorBidi"/>
      <w:b/>
      <w:szCs w:val="32"/>
    </w:rPr>
  </w:style>
  <w:style w:type="paragraph" w:styleId="Heading2">
    <w:name w:val="heading 2"/>
    <w:basedOn w:val="Normal"/>
    <w:next w:val="Normal"/>
    <w:link w:val="Heading2Char"/>
    <w:uiPriority w:val="9"/>
    <w:semiHidden/>
    <w:unhideWhenUsed/>
    <w:qFormat/>
    <w:rsid w:val="000046B2"/>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046B2"/>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0046B2"/>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0046B2"/>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0046B2"/>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0046B2"/>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046B2"/>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046B2"/>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5C1A"/>
    <w:rPr>
      <w:rFonts w:asciiTheme="majorBidi" w:eastAsiaTheme="majorEastAsia" w:hAnsiTheme="majorBidi" w:cstheme="majorBidi"/>
      <w:b/>
      <w:szCs w:val="32"/>
    </w:rPr>
  </w:style>
  <w:style w:type="character" w:customStyle="1" w:styleId="Heading2Char">
    <w:name w:val="Heading 2 Char"/>
    <w:basedOn w:val="DefaultParagraphFont"/>
    <w:link w:val="Heading2"/>
    <w:uiPriority w:val="9"/>
    <w:semiHidden/>
    <w:rsid w:val="000046B2"/>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0046B2"/>
    <w:rPr>
      <w:rFonts w:asciiTheme="minorHAnsi" w:eastAsiaTheme="majorEastAsia" w:hAnsiTheme="minorHAnsi"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0046B2"/>
    <w:rPr>
      <w:rFonts w:asciiTheme="minorHAnsi" w:eastAsiaTheme="majorEastAsia" w:hAnsiTheme="minorHAnsi" w:cstheme="majorBidi"/>
      <w:i/>
      <w:iCs/>
      <w:color w:val="2E74B5" w:themeColor="accent1" w:themeShade="BF"/>
    </w:rPr>
  </w:style>
  <w:style w:type="character" w:customStyle="1" w:styleId="Heading5Char">
    <w:name w:val="Heading 5 Char"/>
    <w:basedOn w:val="DefaultParagraphFont"/>
    <w:link w:val="Heading5"/>
    <w:uiPriority w:val="9"/>
    <w:semiHidden/>
    <w:rsid w:val="000046B2"/>
    <w:rPr>
      <w:rFonts w:asciiTheme="minorHAnsi" w:eastAsiaTheme="majorEastAsia" w:hAnsiTheme="minorHAnsi" w:cstheme="majorBidi"/>
      <w:color w:val="2E74B5" w:themeColor="accent1" w:themeShade="BF"/>
    </w:rPr>
  </w:style>
  <w:style w:type="character" w:customStyle="1" w:styleId="Heading6Char">
    <w:name w:val="Heading 6 Char"/>
    <w:basedOn w:val="DefaultParagraphFont"/>
    <w:link w:val="Heading6"/>
    <w:uiPriority w:val="9"/>
    <w:semiHidden/>
    <w:rsid w:val="000046B2"/>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0046B2"/>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0046B2"/>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0046B2"/>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0046B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46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46B2"/>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46B2"/>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0046B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046B2"/>
    <w:rPr>
      <w:i/>
      <w:iCs/>
      <w:color w:val="404040" w:themeColor="text1" w:themeTint="BF"/>
    </w:rPr>
  </w:style>
  <w:style w:type="paragraph" w:styleId="ListParagraph">
    <w:name w:val="List Paragraph"/>
    <w:basedOn w:val="Normal"/>
    <w:uiPriority w:val="34"/>
    <w:qFormat/>
    <w:rsid w:val="000046B2"/>
    <w:pPr>
      <w:ind w:left="720"/>
      <w:contextualSpacing/>
    </w:pPr>
  </w:style>
  <w:style w:type="character" w:styleId="IntenseEmphasis">
    <w:name w:val="Intense Emphasis"/>
    <w:basedOn w:val="DefaultParagraphFont"/>
    <w:uiPriority w:val="21"/>
    <w:qFormat/>
    <w:rsid w:val="000046B2"/>
    <w:rPr>
      <w:i/>
      <w:iCs/>
      <w:color w:val="2E74B5" w:themeColor="accent1" w:themeShade="BF"/>
    </w:rPr>
  </w:style>
  <w:style w:type="paragraph" w:styleId="IntenseQuote">
    <w:name w:val="Intense Quote"/>
    <w:basedOn w:val="Normal"/>
    <w:next w:val="Normal"/>
    <w:link w:val="IntenseQuoteChar"/>
    <w:uiPriority w:val="30"/>
    <w:qFormat/>
    <w:rsid w:val="000046B2"/>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0046B2"/>
    <w:rPr>
      <w:i/>
      <w:iCs/>
      <w:color w:val="2E74B5" w:themeColor="accent1" w:themeShade="BF"/>
    </w:rPr>
  </w:style>
  <w:style w:type="character" w:styleId="IntenseReference">
    <w:name w:val="Intense Reference"/>
    <w:basedOn w:val="DefaultParagraphFont"/>
    <w:uiPriority w:val="32"/>
    <w:qFormat/>
    <w:rsid w:val="000046B2"/>
    <w:rPr>
      <w:b/>
      <w:bCs/>
      <w:smallCaps/>
      <w:color w:val="2E74B5" w:themeColor="accent1" w:themeShade="BF"/>
      <w:spacing w:val="5"/>
    </w:rPr>
  </w:style>
  <w:style w:type="character" w:styleId="Hyperlink">
    <w:name w:val="Hyperlink"/>
    <w:basedOn w:val="DefaultParagraphFont"/>
    <w:uiPriority w:val="99"/>
    <w:unhideWhenUsed/>
    <w:rsid w:val="0032391C"/>
    <w:rPr>
      <w:color w:val="0563C1" w:themeColor="hyperlink"/>
      <w:u w:val="single"/>
    </w:rPr>
  </w:style>
  <w:style w:type="character" w:customStyle="1" w:styleId="UnresolvedMention1">
    <w:name w:val="Unresolved Mention1"/>
    <w:basedOn w:val="DefaultParagraphFont"/>
    <w:uiPriority w:val="99"/>
    <w:semiHidden/>
    <w:unhideWhenUsed/>
    <w:rsid w:val="0032391C"/>
    <w:rPr>
      <w:color w:val="605E5C"/>
      <w:shd w:val="clear" w:color="auto" w:fill="E1DFDD"/>
    </w:rPr>
  </w:style>
  <w:style w:type="character" w:styleId="PlaceholderText">
    <w:name w:val="Placeholder Text"/>
    <w:basedOn w:val="DefaultParagraphFont"/>
    <w:uiPriority w:val="99"/>
    <w:semiHidden/>
    <w:rsid w:val="00730F87"/>
    <w:rPr>
      <w:color w:val="666666"/>
    </w:rPr>
  </w:style>
  <w:style w:type="paragraph" w:styleId="Header">
    <w:name w:val="header"/>
    <w:basedOn w:val="Normal"/>
    <w:link w:val="HeaderChar"/>
    <w:uiPriority w:val="99"/>
    <w:unhideWhenUsed/>
    <w:rsid w:val="0004734F"/>
    <w:pPr>
      <w:tabs>
        <w:tab w:val="center" w:pos="4680"/>
        <w:tab w:val="right" w:pos="9360"/>
      </w:tabs>
      <w:spacing w:line="240" w:lineRule="auto"/>
    </w:pPr>
  </w:style>
  <w:style w:type="character" w:customStyle="1" w:styleId="HeaderChar">
    <w:name w:val="Header Char"/>
    <w:basedOn w:val="DefaultParagraphFont"/>
    <w:link w:val="Header"/>
    <w:uiPriority w:val="99"/>
    <w:rsid w:val="0004734F"/>
  </w:style>
  <w:style w:type="paragraph" w:styleId="Footer">
    <w:name w:val="footer"/>
    <w:basedOn w:val="Normal"/>
    <w:link w:val="FooterChar"/>
    <w:uiPriority w:val="99"/>
    <w:unhideWhenUsed/>
    <w:rsid w:val="0004734F"/>
    <w:pPr>
      <w:tabs>
        <w:tab w:val="center" w:pos="4680"/>
        <w:tab w:val="right" w:pos="9360"/>
      </w:tabs>
      <w:spacing w:line="240" w:lineRule="auto"/>
    </w:pPr>
  </w:style>
  <w:style w:type="character" w:customStyle="1" w:styleId="FooterChar">
    <w:name w:val="Footer Char"/>
    <w:basedOn w:val="DefaultParagraphFont"/>
    <w:link w:val="Footer"/>
    <w:uiPriority w:val="99"/>
    <w:rsid w:val="0004734F"/>
  </w:style>
  <w:style w:type="paragraph" w:styleId="TOCHeading">
    <w:name w:val="TOC Heading"/>
    <w:basedOn w:val="Heading1"/>
    <w:next w:val="Normal"/>
    <w:uiPriority w:val="39"/>
    <w:unhideWhenUsed/>
    <w:qFormat/>
    <w:rsid w:val="00AC586B"/>
    <w:pPr>
      <w:spacing w:before="240" w:line="259" w:lineRule="auto"/>
      <w:outlineLvl w:val="9"/>
    </w:pPr>
    <w:rPr>
      <w:rFonts w:asciiTheme="majorHAnsi" w:hAnsiTheme="majorHAnsi"/>
      <w:b w:val="0"/>
      <w:color w:val="2E74B5" w:themeColor="accent1" w:themeShade="BF"/>
      <w:kern w:val="0"/>
      <w:sz w:val="32"/>
      <w14:ligatures w14:val="none"/>
    </w:rPr>
  </w:style>
  <w:style w:type="paragraph" w:styleId="TOC1">
    <w:name w:val="toc 1"/>
    <w:basedOn w:val="Normal"/>
    <w:next w:val="Normal"/>
    <w:autoRedefine/>
    <w:uiPriority w:val="39"/>
    <w:unhideWhenUsed/>
    <w:rsid w:val="00AC586B"/>
    <w:pPr>
      <w:spacing w:after="100"/>
    </w:pPr>
    <w:rPr>
      <w:kern w:val="0"/>
      <w14:ligatures w14:val="none"/>
    </w:rPr>
  </w:style>
  <w:style w:type="paragraph" w:styleId="TOC3">
    <w:name w:val="toc 3"/>
    <w:basedOn w:val="Normal"/>
    <w:next w:val="Normal"/>
    <w:autoRedefine/>
    <w:uiPriority w:val="39"/>
    <w:unhideWhenUsed/>
    <w:rsid w:val="00AC586B"/>
    <w:pPr>
      <w:tabs>
        <w:tab w:val="right" w:leader="dot" w:pos="9017"/>
      </w:tabs>
      <w:spacing w:after="100"/>
    </w:pPr>
    <w:rPr>
      <w:rFonts w:eastAsia="Times New Roman" w:cs="Times New Roman"/>
      <w:noProof/>
      <w:kern w:val="0"/>
      <w14:ligatures w14:val="none"/>
    </w:rPr>
  </w:style>
  <w:style w:type="paragraph" w:styleId="TOC2">
    <w:name w:val="toc 2"/>
    <w:basedOn w:val="Normal"/>
    <w:next w:val="Normal"/>
    <w:autoRedefine/>
    <w:uiPriority w:val="39"/>
    <w:unhideWhenUsed/>
    <w:rsid w:val="00AC586B"/>
    <w:pPr>
      <w:tabs>
        <w:tab w:val="right" w:leader="dot" w:pos="9017"/>
      </w:tabs>
      <w:spacing w:after="100"/>
    </w:pPr>
    <w:rPr>
      <w:kern w:val="0"/>
      <w14:ligatures w14:val="none"/>
    </w:rPr>
  </w:style>
  <w:style w:type="character" w:styleId="CommentReference">
    <w:name w:val="annotation reference"/>
    <w:basedOn w:val="DefaultParagraphFont"/>
    <w:uiPriority w:val="99"/>
    <w:semiHidden/>
    <w:unhideWhenUsed/>
    <w:rsid w:val="004530D1"/>
    <w:rPr>
      <w:sz w:val="16"/>
      <w:szCs w:val="16"/>
    </w:rPr>
  </w:style>
  <w:style w:type="paragraph" w:styleId="CommentText">
    <w:name w:val="annotation text"/>
    <w:basedOn w:val="Normal"/>
    <w:link w:val="CommentTextChar"/>
    <w:uiPriority w:val="99"/>
    <w:semiHidden/>
    <w:unhideWhenUsed/>
    <w:rsid w:val="004530D1"/>
    <w:pPr>
      <w:spacing w:line="240" w:lineRule="auto"/>
    </w:pPr>
    <w:rPr>
      <w:sz w:val="20"/>
      <w:szCs w:val="20"/>
    </w:rPr>
  </w:style>
  <w:style w:type="character" w:customStyle="1" w:styleId="CommentTextChar">
    <w:name w:val="Comment Text Char"/>
    <w:basedOn w:val="DefaultParagraphFont"/>
    <w:link w:val="CommentText"/>
    <w:uiPriority w:val="99"/>
    <w:semiHidden/>
    <w:rsid w:val="004530D1"/>
    <w:rPr>
      <w:sz w:val="20"/>
      <w:szCs w:val="20"/>
    </w:rPr>
  </w:style>
  <w:style w:type="paragraph" w:styleId="CommentSubject">
    <w:name w:val="annotation subject"/>
    <w:basedOn w:val="CommentText"/>
    <w:next w:val="CommentText"/>
    <w:link w:val="CommentSubjectChar"/>
    <w:uiPriority w:val="99"/>
    <w:semiHidden/>
    <w:unhideWhenUsed/>
    <w:rsid w:val="004530D1"/>
    <w:rPr>
      <w:b/>
      <w:bCs/>
    </w:rPr>
  </w:style>
  <w:style w:type="character" w:customStyle="1" w:styleId="CommentSubjectChar">
    <w:name w:val="Comment Subject Char"/>
    <w:basedOn w:val="CommentTextChar"/>
    <w:link w:val="CommentSubject"/>
    <w:uiPriority w:val="99"/>
    <w:semiHidden/>
    <w:rsid w:val="004530D1"/>
    <w:rPr>
      <w:b/>
      <w:bCs/>
      <w:sz w:val="20"/>
      <w:szCs w:val="20"/>
    </w:rPr>
  </w:style>
  <w:style w:type="paragraph" w:styleId="BalloonText">
    <w:name w:val="Balloon Text"/>
    <w:basedOn w:val="Normal"/>
    <w:link w:val="BalloonTextChar"/>
    <w:uiPriority w:val="99"/>
    <w:semiHidden/>
    <w:unhideWhenUsed/>
    <w:rsid w:val="004530D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30D1"/>
    <w:rPr>
      <w:rFonts w:ascii="Segoe UI" w:hAnsi="Segoe UI" w:cs="Segoe UI"/>
      <w:sz w:val="18"/>
      <w:szCs w:val="18"/>
    </w:rPr>
  </w:style>
  <w:style w:type="paragraph" w:styleId="Revision">
    <w:name w:val="Revision"/>
    <w:hidden/>
    <w:uiPriority w:val="99"/>
    <w:semiHidden/>
    <w:rsid w:val="004530D1"/>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579751">
      <w:bodyDiv w:val="1"/>
      <w:marLeft w:val="0"/>
      <w:marRight w:val="0"/>
      <w:marTop w:val="0"/>
      <w:marBottom w:val="0"/>
      <w:divBdr>
        <w:top w:val="none" w:sz="0" w:space="0" w:color="auto"/>
        <w:left w:val="none" w:sz="0" w:space="0" w:color="auto"/>
        <w:bottom w:val="none" w:sz="0" w:space="0" w:color="auto"/>
        <w:right w:val="none" w:sz="0" w:space="0" w:color="auto"/>
      </w:divBdr>
    </w:div>
    <w:div w:id="185290461">
      <w:bodyDiv w:val="1"/>
      <w:marLeft w:val="0"/>
      <w:marRight w:val="0"/>
      <w:marTop w:val="0"/>
      <w:marBottom w:val="0"/>
      <w:divBdr>
        <w:top w:val="none" w:sz="0" w:space="0" w:color="auto"/>
        <w:left w:val="none" w:sz="0" w:space="0" w:color="auto"/>
        <w:bottom w:val="none" w:sz="0" w:space="0" w:color="auto"/>
        <w:right w:val="none" w:sz="0" w:space="0" w:color="auto"/>
      </w:divBdr>
    </w:div>
    <w:div w:id="192884706">
      <w:bodyDiv w:val="1"/>
      <w:marLeft w:val="0"/>
      <w:marRight w:val="0"/>
      <w:marTop w:val="0"/>
      <w:marBottom w:val="0"/>
      <w:divBdr>
        <w:top w:val="none" w:sz="0" w:space="0" w:color="auto"/>
        <w:left w:val="none" w:sz="0" w:space="0" w:color="auto"/>
        <w:bottom w:val="none" w:sz="0" w:space="0" w:color="auto"/>
        <w:right w:val="none" w:sz="0" w:space="0" w:color="auto"/>
      </w:divBdr>
    </w:div>
    <w:div w:id="204220163">
      <w:bodyDiv w:val="1"/>
      <w:marLeft w:val="0"/>
      <w:marRight w:val="0"/>
      <w:marTop w:val="0"/>
      <w:marBottom w:val="0"/>
      <w:divBdr>
        <w:top w:val="none" w:sz="0" w:space="0" w:color="auto"/>
        <w:left w:val="none" w:sz="0" w:space="0" w:color="auto"/>
        <w:bottom w:val="none" w:sz="0" w:space="0" w:color="auto"/>
        <w:right w:val="none" w:sz="0" w:space="0" w:color="auto"/>
      </w:divBdr>
    </w:div>
    <w:div w:id="306933952">
      <w:bodyDiv w:val="1"/>
      <w:marLeft w:val="0"/>
      <w:marRight w:val="0"/>
      <w:marTop w:val="0"/>
      <w:marBottom w:val="0"/>
      <w:divBdr>
        <w:top w:val="none" w:sz="0" w:space="0" w:color="auto"/>
        <w:left w:val="none" w:sz="0" w:space="0" w:color="auto"/>
        <w:bottom w:val="none" w:sz="0" w:space="0" w:color="auto"/>
        <w:right w:val="none" w:sz="0" w:space="0" w:color="auto"/>
      </w:divBdr>
    </w:div>
    <w:div w:id="395516881">
      <w:bodyDiv w:val="1"/>
      <w:marLeft w:val="0"/>
      <w:marRight w:val="0"/>
      <w:marTop w:val="0"/>
      <w:marBottom w:val="0"/>
      <w:divBdr>
        <w:top w:val="none" w:sz="0" w:space="0" w:color="auto"/>
        <w:left w:val="none" w:sz="0" w:space="0" w:color="auto"/>
        <w:bottom w:val="none" w:sz="0" w:space="0" w:color="auto"/>
        <w:right w:val="none" w:sz="0" w:space="0" w:color="auto"/>
      </w:divBdr>
    </w:div>
    <w:div w:id="450325326">
      <w:bodyDiv w:val="1"/>
      <w:marLeft w:val="0"/>
      <w:marRight w:val="0"/>
      <w:marTop w:val="0"/>
      <w:marBottom w:val="0"/>
      <w:divBdr>
        <w:top w:val="none" w:sz="0" w:space="0" w:color="auto"/>
        <w:left w:val="none" w:sz="0" w:space="0" w:color="auto"/>
        <w:bottom w:val="none" w:sz="0" w:space="0" w:color="auto"/>
        <w:right w:val="none" w:sz="0" w:space="0" w:color="auto"/>
      </w:divBdr>
    </w:div>
    <w:div w:id="470093978">
      <w:bodyDiv w:val="1"/>
      <w:marLeft w:val="0"/>
      <w:marRight w:val="0"/>
      <w:marTop w:val="0"/>
      <w:marBottom w:val="0"/>
      <w:divBdr>
        <w:top w:val="none" w:sz="0" w:space="0" w:color="auto"/>
        <w:left w:val="none" w:sz="0" w:space="0" w:color="auto"/>
        <w:bottom w:val="none" w:sz="0" w:space="0" w:color="auto"/>
        <w:right w:val="none" w:sz="0" w:space="0" w:color="auto"/>
      </w:divBdr>
    </w:div>
    <w:div w:id="481964072">
      <w:bodyDiv w:val="1"/>
      <w:marLeft w:val="0"/>
      <w:marRight w:val="0"/>
      <w:marTop w:val="0"/>
      <w:marBottom w:val="0"/>
      <w:divBdr>
        <w:top w:val="none" w:sz="0" w:space="0" w:color="auto"/>
        <w:left w:val="none" w:sz="0" w:space="0" w:color="auto"/>
        <w:bottom w:val="none" w:sz="0" w:space="0" w:color="auto"/>
        <w:right w:val="none" w:sz="0" w:space="0" w:color="auto"/>
      </w:divBdr>
    </w:div>
    <w:div w:id="519315839">
      <w:bodyDiv w:val="1"/>
      <w:marLeft w:val="0"/>
      <w:marRight w:val="0"/>
      <w:marTop w:val="0"/>
      <w:marBottom w:val="0"/>
      <w:divBdr>
        <w:top w:val="none" w:sz="0" w:space="0" w:color="auto"/>
        <w:left w:val="none" w:sz="0" w:space="0" w:color="auto"/>
        <w:bottom w:val="none" w:sz="0" w:space="0" w:color="auto"/>
        <w:right w:val="none" w:sz="0" w:space="0" w:color="auto"/>
      </w:divBdr>
    </w:div>
    <w:div w:id="555825246">
      <w:bodyDiv w:val="1"/>
      <w:marLeft w:val="0"/>
      <w:marRight w:val="0"/>
      <w:marTop w:val="0"/>
      <w:marBottom w:val="0"/>
      <w:divBdr>
        <w:top w:val="none" w:sz="0" w:space="0" w:color="auto"/>
        <w:left w:val="none" w:sz="0" w:space="0" w:color="auto"/>
        <w:bottom w:val="none" w:sz="0" w:space="0" w:color="auto"/>
        <w:right w:val="none" w:sz="0" w:space="0" w:color="auto"/>
      </w:divBdr>
    </w:div>
    <w:div w:id="600377551">
      <w:bodyDiv w:val="1"/>
      <w:marLeft w:val="0"/>
      <w:marRight w:val="0"/>
      <w:marTop w:val="0"/>
      <w:marBottom w:val="0"/>
      <w:divBdr>
        <w:top w:val="none" w:sz="0" w:space="0" w:color="auto"/>
        <w:left w:val="none" w:sz="0" w:space="0" w:color="auto"/>
        <w:bottom w:val="none" w:sz="0" w:space="0" w:color="auto"/>
        <w:right w:val="none" w:sz="0" w:space="0" w:color="auto"/>
      </w:divBdr>
    </w:div>
    <w:div w:id="601227918">
      <w:bodyDiv w:val="1"/>
      <w:marLeft w:val="0"/>
      <w:marRight w:val="0"/>
      <w:marTop w:val="0"/>
      <w:marBottom w:val="0"/>
      <w:divBdr>
        <w:top w:val="none" w:sz="0" w:space="0" w:color="auto"/>
        <w:left w:val="none" w:sz="0" w:space="0" w:color="auto"/>
        <w:bottom w:val="none" w:sz="0" w:space="0" w:color="auto"/>
        <w:right w:val="none" w:sz="0" w:space="0" w:color="auto"/>
      </w:divBdr>
    </w:div>
    <w:div w:id="645476940">
      <w:bodyDiv w:val="1"/>
      <w:marLeft w:val="0"/>
      <w:marRight w:val="0"/>
      <w:marTop w:val="0"/>
      <w:marBottom w:val="0"/>
      <w:divBdr>
        <w:top w:val="none" w:sz="0" w:space="0" w:color="auto"/>
        <w:left w:val="none" w:sz="0" w:space="0" w:color="auto"/>
        <w:bottom w:val="none" w:sz="0" w:space="0" w:color="auto"/>
        <w:right w:val="none" w:sz="0" w:space="0" w:color="auto"/>
      </w:divBdr>
    </w:div>
    <w:div w:id="651374936">
      <w:bodyDiv w:val="1"/>
      <w:marLeft w:val="0"/>
      <w:marRight w:val="0"/>
      <w:marTop w:val="0"/>
      <w:marBottom w:val="0"/>
      <w:divBdr>
        <w:top w:val="none" w:sz="0" w:space="0" w:color="auto"/>
        <w:left w:val="none" w:sz="0" w:space="0" w:color="auto"/>
        <w:bottom w:val="none" w:sz="0" w:space="0" w:color="auto"/>
        <w:right w:val="none" w:sz="0" w:space="0" w:color="auto"/>
      </w:divBdr>
    </w:div>
    <w:div w:id="693270784">
      <w:bodyDiv w:val="1"/>
      <w:marLeft w:val="0"/>
      <w:marRight w:val="0"/>
      <w:marTop w:val="0"/>
      <w:marBottom w:val="0"/>
      <w:divBdr>
        <w:top w:val="none" w:sz="0" w:space="0" w:color="auto"/>
        <w:left w:val="none" w:sz="0" w:space="0" w:color="auto"/>
        <w:bottom w:val="none" w:sz="0" w:space="0" w:color="auto"/>
        <w:right w:val="none" w:sz="0" w:space="0" w:color="auto"/>
      </w:divBdr>
    </w:div>
    <w:div w:id="727455667">
      <w:bodyDiv w:val="1"/>
      <w:marLeft w:val="0"/>
      <w:marRight w:val="0"/>
      <w:marTop w:val="0"/>
      <w:marBottom w:val="0"/>
      <w:divBdr>
        <w:top w:val="none" w:sz="0" w:space="0" w:color="auto"/>
        <w:left w:val="none" w:sz="0" w:space="0" w:color="auto"/>
        <w:bottom w:val="none" w:sz="0" w:space="0" w:color="auto"/>
        <w:right w:val="none" w:sz="0" w:space="0" w:color="auto"/>
      </w:divBdr>
    </w:div>
    <w:div w:id="763457865">
      <w:bodyDiv w:val="1"/>
      <w:marLeft w:val="0"/>
      <w:marRight w:val="0"/>
      <w:marTop w:val="0"/>
      <w:marBottom w:val="0"/>
      <w:divBdr>
        <w:top w:val="none" w:sz="0" w:space="0" w:color="auto"/>
        <w:left w:val="none" w:sz="0" w:space="0" w:color="auto"/>
        <w:bottom w:val="none" w:sz="0" w:space="0" w:color="auto"/>
        <w:right w:val="none" w:sz="0" w:space="0" w:color="auto"/>
      </w:divBdr>
    </w:div>
    <w:div w:id="821236718">
      <w:bodyDiv w:val="1"/>
      <w:marLeft w:val="0"/>
      <w:marRight w:val="0"/>
      <w:marTop w:val="0"/>
      <w:marBottom w:val="0"/>
      <w:divBdr>
        <w:top w:val="none" w:sz="0" w:space="0" w:color="auto"/>
        <w:left w:val="none" w:sz="0" w:space="0" w:color="auto"/>
        <w:bottom w:val="none" w:sz="0" w:space="0" w:color="auto"/>
        <w:right w:val="none" w:sz="0" w:space="0" w:color="auto"/>
      </w:divBdr>
    </w:div>
    <w:div w:id="821656981">
      <w:bodyDiv w:val="1"/>
      <w:marLeft w:val="0"/>
      <w:marRight w:val="0"/>
      <w:marTop w:val="0"/>
      <w:marBottom w:val="0"/>
      <w:divBdr>
        <w:top w:val="none" w:sz="0" w:space="0" w:color="auto"/>
        <w:left w:val="none" w:sz="0" w:space="0" w:color="auto"/>
        <w:bottom w:val="none" w:sz="0" w:space="0" w:color="auto"/>
        <w:right w:val="none" w:sz="0" w:space="0" w:color="auto"/>
      </w:divBdr>
    </w:div>
    <w:div w:id="837962679">
      <w:bodyDiv w:val="1"/>
      <w:marLeft w:val="0"/>
      <w:marRight w:val="0"/>
      <w:marTop w:val="0"/>
      <w:marBottom w:val="0"/>
      <w:divBdr>
        <w:top w:val="none" w:sz="0" w:space="0" w:color="auto"/>
        <w:left w:val="none" w:sz="0" w:space="0" w:color="auto"/>
        <w:bottom w:val="none" w:sz="0" w:space="0" w:color="auto"/>
        <w:right w:val="none" w:sz="0" w:space="0" w:color="auto"/>
      </w:divBdr>
    </w:div>
    <w:div w:id="963733425">
      <w:bodyDiv w:val="1"/>
      <w:marLeft w:val="0"/>
      <w:marRight w:val="0"/>
      <w:marTop w:val="0"/>
      <w:marBottom w:val="0"/>
      <w:divBdr>
        <w:top w:val="none" w:sz="0" w:space="0" w:color="auto"/>
        <w:left w:val="none" w:sz="0" w:space="0" w:color="auto"/>
        <w:bottom w:val="none" w:sz="0" w:space="0" w:color="auto"/>
        <w:right w:val="none" w:sz="0" w:space="0" w:color="auto"/>
      </w:divBdr>
    </w:div>
    <w:div w:id="965545384">
      <w:bodyDiv w:val="1"/>
      <w:marLeft w:val="0"/>
      <w:marRight w:val="0"/>
      <w:marTop w:val="0"/>
      <w:marBottom w:val="0"/>
      <w:divBdr>
        <w:top w:val="none" w:sz="0" w:space="0" w:color="auto"/>
        <w:left w:val="none" w:sz="0" w:space="0" w:color="auto"/>
        <w:bottom w:val="none" w:sz="0" w:space="0" w:color="auto"/>
        <w:right w:val="none" w:sz="0" w:space="0" w:color="auto"/>
      </w:divBdr>
    </w:div>
    <w:div w:id="995450030">
      <w:bodyDiv w:val="1"/>
      <w:marLeft w:val="0"/>
      <w:marRight w:val="0"/>
      <w:marTop w:val="0"/>
      <w:marBottom w:val="0"/>
      <w:divBdr>
        <w:top w:val="none" w:sz="0" w:space="0" w:color="auto"/>
        <w:left w:val="none" w:sz="0" w:space="0" w:color="auto"/>
        <w:bottom w:val="none" w:sz="0" w:space="0" w:color="auto"/>
        <w:right w:val="none" w:sz="0" w:space="0" w:color="auto"/>
      </w:divBdr>
    </w:div>
    <w:div w:id="1125850745">
      <w:bodyDiv w:val="1"/>
      <w:marLeft w:val="0"/>
      <w:marRight w:val="0"/>
      <w:marTop w:val="0"/>
      <w:marBottom w:val="0"/>
      <w:divBdr>
        <w:top w:val="none" w:sz="0" w:space="0" w:color="auto"/>
        <w:left w:val="none" w:sz="0" w:space="0" w:color="auto"/>
        <w:bottom w:val="none" w:sz="0" w:space="0" w:color="auto"/>
        <w:right w:val="none" w:sz="0" w:space="0" w:color="auto"/>
      </w:divBdr>
    </w:div>
    <w:div w:id="1259175905">
      <w:bodyDiv w:val="1"/>
      <w:marLeft w:val="0"/>
      <w:marRight w:val="0"/>
      <w:marTop w:val="0"/>
      <w:marBottom w:val="0"/>
      <w:divBdr>
        <w:top w:val="none" w:sz="0" w:space="0" w:color="auto"/>
        <w:left w:val="none" w:sz="0" w:space="0" w:color="auto"/>
        <w:bottom w:val="none" w:sz="0" w:space="0" w:color="auto"/>
        <w:right w:val="none" w:sz="0" w:space="0" w:color="auto"/>
      </w:divBdr>
    </w:div>
    <w:div w:id="1336766047">
      <w:bodyDiv w:val="1"/>
      <w:marLeft w:val="0"/>
      <w:marRight w:val="0"/>
      <w:marTop w:val="0"/>
      <w:marBottom w:val="0"/>
      <w:divBdr>
        <w:top w:val="none" w:sz="0" w:space="0" w:color="auto"/>
        <w:left w:val="none" w:sz="0" w:space="0" w:color="auto"/>
        <w:bottom w:val="none" w:sz="0" w:space="0" w:color="auto"/>
        <w:right w:val="none" w:sz="0" w:space="0" w:color="auto"/>
      </w:divBdr>
    </w:div>
    <w:div w:id="1352295278">
      <w:bodyDiv w:val="1"/>
      <w:marLeft w:val="0"/>
      <w:marRight w:val="0"/>
      <w:marTop w:val="0"/>
      <w:marBottom w:val="0"/>
      <w:divBdr>
        <w:top w:val="none" w:sz="0" w:space="0" w:color="auto"/>
        <w:left w:val="none" w:sz="0" w:space="0" w:color="auto"/>
        <w:bottom w:val="none" w:sz="0" w:space="0" w:color="auto"/>
        <w:right w:val="none" w:sz="0" w:space="0" w:color="auto"/>
      </w:divBdr>
    </w:div>
    <w:div w:id="1371151347">
      <w:bodyDiv w:val="1"/>
      <w:marLeft w:val="0"/>
      <w:marRight w:val="0"/>
      <w:marTop w:val="0"/>
      <w:marBottom w:val="0"/>
      <w:divBdr>
        <w:top w:val="none" w:sz="0" w:space="0" w:color="auto"/>
        <w:left w:val="none" w:sz="0" w:space="0" w:color="auto"/>
        <w:bottom w:val="none" w:sz="0" w:space="0" w:color="auto"/>
        <w:right w:val="none" w:sz="0" w:space="0" w:color="auto"/>
      </w:divBdr>
    </w:div>
    <w:div w:id="1418096686">
      <w:bodyDiv w:val="1"/>
      <w:marLeft w:val="0"/>
      <w:marRight w:val="0"/>
      <w:marTop w:val="0"/>
      <w:marBottom w:val="0"/>
      <w:divBdr>
        <w:top w:val="none" w:sz="0" w:space="0" w:color="auto"/>
        <w:left w:val="none" w:sz="0" w:space="0" w:color="auto"/>
        <w:bottom w:val="none" w:sz="0" w:space="0" w:color="auto"/>
        <w:right w:val="none" w:sz="0" w:space="0" w:color="auto"/>
      </w:divBdr>
    </w:div>
    <w:div w:id="1457329723">
      <w:bodyDiv w:val="1"/>
      <w:marLeft w:val="0"/>
      <w:marRight w:val="0"/>
      <w:marTop w:val="0"/>
      <w:marBottom w:val="0"/>
      <w:divBdr>
        <w:top w:val="none" w:sz="0" w:space="0" w:color="auto"/>
        <w:left w:val="none" w:sz="0" w:space="0" w:color="auto"/>
        <w:bottom w:val="none" w:sz="0" w:space="0" w:color="auto"/>
        <w:right w:val="none" w:sz="0" w:space="0" w:color="auto"/>
      </w:divBdr>
    </w:div>
    <w:div w:id="1459226288">
      <w:bodyDiv w:val="1"/>
      <w:marLeft w:val="0"/>
      <w:marRight w:val="0"/>
      <w:marTop w:val="0"/>
      <w:marBottom w:val="0"/>
      <w:divBdr>
        <w:top w:val="none" w:sz="0" w:space="0" w:color="auto"/>
        <w:left w:val="none" w:sz="0" w:space="0" w:color="auto"/>
        <w:bottom w:val="none" w:sz="0" w:space="0" w:color="auto"/>
        <w:right w:val="none" w:sz="0" w:space="0" w:color="auto"/>
      </w:divBdr>
    </w:div>
    <w:div w:id="1560359273">
      <w:bodyDiv w:val="1"/>
      <w:marLeft w:val="0"/>
      <w:marRight w:val="0"/>
      <w:marTop w:val="0"/>
      <w:marBottom w:val="0"/>
      <w:divBdr>
        <w:top w:val="none" w:sz="0" w:space="0" w:color="auto"/>
        <w:left w:val="none" w:sz="0" w:space="0" w:color="auto"/>
        <w:bottom w:val="none" w:sz="0" w:space="0" w:color="auto"/>
        <w:right w:val="none" w:sz="0" w:space="0" w:color="auto"/>
      </w:divBdr>
    </w:div>
    <w:div w:id="1595548275">
      <w:bodyDiv w:val="1"/>
      <w:marLeft w:val="0"/>
      <w:marRight w:val="0"/>
      <w:marTop w:val="0"/>
      <w:marBottom w:val="0"/>
      <w:divBdr>
        <w:top w:val="none" w:sz="0" w:space="0" w:color="auto"/>
        <w:left w:val="none" w:sz="0" w:space="0" w:color="auto"/>
        <w:bottom w:val="none" w:sz="0" w:space="0" w:color="auto"/>
        <w:right w:val="none" w:sz="0" w:space="0" w:color="auto"/>
      </w:divBdr>
    </w:div>
    <w:div w:id="1601522686">
      <w:bodyDiv w:val="1"/>
      <w:marLeft w:val="0"/>
      <w:marRight w:val="0"/>
      <w:marTop w:val="0"/>
      <w:marBottom w:val="0"/>
      <w:divBdr>
        <w:top w:val="none" w:sz="0" w:space="0" w:color="auto"/>
        <w:left w:val="none" w:sz="0" w:space="0" w:color="auto"/>
        <w:bottom w:val="none" w:sz="0" w:space="0" w:color="auto"/>
        <w:right w:val="none" w:sz="0" w:space="0" w:color="auto"/>
      </w:divBdr>
    </w:div>
    <w:div w:id="1635913543">
      <w:bodyDiv w:val="1"/>
      <w:marLeft w:val="0"/>
      <w:marRight w:val="0"/>
      <w:marTop w:val="0"/>
      <w:marBottom w:val="0"/>
      <w:divBdr>
        <w:top w:val="none" w:sz="0" w:space="0" w:color="auto"/>
        <w:left w:val="none" w:sz="0" w:space="0" w:color="auto"/>
        <w:bottom w:val="none" w:sz="0" w:space="0" w:color="auto"/>
        <w:right w:val="none" w:sz="0" w:space="0" w:color="auto"/>
      </w:divBdr>
    </w:div>
    <w:div w:id="1670206040">
      <w:bodyDiv w:val="1"/>
      <w:marLeft w:val="0"/>
      <w:marRight w:val="0"/>
      <w:marTop w:val="0"/>
      <w:marBottom w:val="0"/>
      <w:divBdr>
        <w:top w:val="none" w:sz="0" w:space="0" w:color="auto"/>
        <w:left w:val="none" w:sz="0" w:space="0" w:color="auto"/>
        <w:bottom w:val="none" w:sz="0" w:space="0" w:color="auto"/>
        <w:right w:val="none" w:sz="0" w:space="0" w:color="auto"/>
      </w:divBdr>
    </w:div>
    <w:div w:id="1703944423">
      <w:bodyDiv w:val="1"/>
      <w:marLeft w:val="0"/>
      <w:marRight w:val="0"/>
      <w:marTop w:val="0"/>
      <w:marBottom w:val="0"/>
      <w:divBdr>
        <w:top w:val="none" w:sz="0" w:space="0" w:color="auto"/>
        <w:left w:val="none" w:sz="0" w:space="0" w:color="auto"/>
        <w:bottom w:val="none" w:sz="0" w:space="0" w:color="auto"/>
        <w:right w:val="none" w:sz="0" w:space="0" w:color="auto"/>
      </w:divBdr>
    </w:div>
    <w:div w:id="1708800402">
      <w:bodyDiv w:val="1"/>
      <w:marLeft w:val="0"/>
      <w:marRight w:val="0"/>
      <w:marTop w:val="0"/>
      <w:marBottom w:val="0"/>
      <w:divBdr>
        <w:top w:val="none" w:sz="0" w:space="0" w:color="auto"/>
        <w:left w:val="none" w:sz="0" w:space="0" w:color="auto"/>
        <w:bottom w:val="none" w:sz="0" w:space="0" w:color="auto"/>
        <w:right w:val="none" w:sz="0" w:space="0" w:color="auto"/>
      </w:divBdr>
    </w:div>
    <w:div w:id="1751930664">
      <w:bodyDiv w:val="1"/>
      <w:marLeft w:val="0"/>
      <w:marRight w:val="0"/>
      <w:marTop w:val="0"/>
      <w:marBottom w:val="0"/>
      <w:divBdr>
        <w:top w:val="none" w:sz="0" w:space="0" w:color="auto"/>
        <w:left w:val="none" w:sz="0" w:space="0" w:color="auto"/>
        <w:bottom w:val="none" w:sz="0" w:space="0" w:color="auto"/>
        <w:right w:val="none" w:sz="0" w:space="0" w:color="auto"/>
      </w:divBdr>
    </w:div>
    <w:div w:id="1770734262">
      <w:bodyDiv w:val="1"/>
      <w:marLeft w:val="0"/>
      <w:marRight w:val="0"/>
      <w:marTop w:val="0"/>
      <w:marBottom w:val="0"/>
      <w:divBdr>
        <w:top w:val="none" w:sz="0" w:space="0" w:color="auto"/>
        <w:left w:val="none" w:sz="0" w:space="0" w:color="auto"/>
        <w:bottom w:val="none" w:sz="0" w:space="0" w:color="auto"/>
        <w:right w:val="none" w:sz="0" w:space="0" w:color="auto"/>
      </w:divBdr>
    </w:div>
    <w:div w:id="1863014980">
      <w:bodyDiv w:val="1"/>
      <w:marLeft w:val="0"/>
      <w:marRight w:val="0"/>
      <w:marTop w:val="0"/>
      <w:marBottom w:val="0"/>
      <w:divBdr>
        <w:top w:val="none" w:sz="0" w:space="0" w:color="auto"/>
        <w:left w:val="none" w:sz="0" w:space="0" w:color="auto"/>
        <w:bottom w:val="none" w:sz="0" w:space="0" w:color="auto"/>
        <w:right w:val="none" w:sz="0" w:space="0" w:color="auto"/>
      </w:divBdr>
    </w:div>
    <w:div w:id="1879246091">
      <w:bodyDiv w:val="1"/>
      <w:marLeft w:val="0"/>
      <w:marRight w:val="0"/>
      <w:marTop w:val="0"/>
      <w:marBottom w:val="0"/>
      <w:divBdr>
        <w:top w:val="none" w:sz="0" w:space="0" w:color="auto"/>
        <w:left w:val="none" w:sz="0" w:space="0" w:color="auto"/>
        <w:bottom w:val="none" w:sz="0" w:space="0" w:color="auto"/>
        <w:right w:val="none" w:sz="0" w:space="0" w:color="auto"/>
      </w:divBdr>
    </w:div>
    <w:div w:id="1887524980">
      <w:bodyDiv w:val="1"/>
      <w:marLeft w:val="0"/>
      <w:marRight w:val="0"/>
      <w:marTop w:val="0"/>
      <w:marBottom w:val="0"/>
      <w:divBdr>
        <w:top w:val="none" w:sz="0" w:space="0" w:color="auto"/>
        <w:left w:val="none" w:sz="0" w:space="0" w:color="auto"/>
        <w:bottom w:val="none" w:sz="0" w:space="0" w:color="auto"/>
        <w:right w:val="none" w:sz="0" w:space="0" w:color="auto"/>
      </w:divBdr>
    </w:div>
    <w:div w:id="1904023057">
      <w:bodyDiv w:val="1"/>
      <w:marLeft w:val="0"/>
      <w:marRight w:val="0"/>
      <w:marTop w:val="0"/>
      <w:marBottom w:val="0"/>
      <w:divBdr>
        <w:top w:val="none" w:sz="0" w:space="0" w:color="auto"/>
        <w:left w:val="none" w:sz="0" w:space="0" w:color="auto"/>
        <w:bottom w:val="none" w:sz="0" w:space="0" w:color="auto"/>
        <w:right w:val="none" w:sz="0" w:space="0" w:color="auto"/>
      </w:divBdr>
    </w:div>
    <w:div w:id="2015643139">
      <w:bodyDiv w:val="1"/>
      <w:marLeft w:val="0"/>
      <w:marRight w:val="0"/>
      <w:marTop w:val="0"/>
      <w:marBottom w:val="0"/>
      <w:divBdr>
        <w:top w:val="none" w:sz="0" w:space="0" w:color="auto"/>
        <w:left w:val="none" w:sz="0" w:space="0" w:color="auto"/>
        <w:bottom w:val="none" w:sz="0" w:space="0" w:color="auto"/>
        <w:right w:val="none" w:sz="0" w:space="0" w:color="auto"/>
      </w:divBdr>
    </w:div>
    <w:div w:id="2109889519">
      <w:bodyDiv w:val="1"/>
      <w:marLeft w:val="0"/>
      <w:marRight w:val="0"/>
      <w:marTop w:val="0"/>
      <w:marBottom w:val="0"/>
      <w:divBdr>
        <w:top w:val="none" w:sz="0" w:space="0" w:color="auto"/>
        <w:left w:val="none" w:sz="0" w:space="0" w:color="auto"/>
        <w:bottom w:val="none" w:sz="0" w:space="0" w:color="auto"/>
        <w:right w:val="none" w:sz="0" w:space="0" w:color="auto"/>
      </w:divBdr>
    </w:div>
    <w:div w:id="2110273225">
      <w:bodyDiv w:val="1"/>
      <w:marLeft w:val="0"/>
      <w:marRight w:val="0"/>
      <w:marTop w:val="0"/>
      <w:marBottom w:val="0"/>
      <w:divBdr>
        <w:top w:val="none" w:sz="0" w:space="0" w:color="auto"/>
        <w:left w:val="none" w:sz="0" w:space="0" w:color="auto"/>
        <w:bottom w:val="none" w:sz="0" w:space="0" w:color="auto"/>
        <w:right w:val="none" w:sz="0" w:space="0" w:color="auto"/>
      </w:divBdr>
    </w:div>
    <w:div w:id="2110543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hyperlink" Target="https://doi.org/10.1042/BCJ20170691" TargetMode="External"/><Relationship Id="rId26" Type="http://schemas.openxmlformats.org/officeDocument/2006/relationships/hyperlink" Target="https://doi.org/10.1080/14756366.2021.1927482" TargetMode="External"/><Relationship Id="rId3" Type="http://schemas.openxmlformats.org/officeDocument/2006/relationships/styles" Target="styles.xml"/><Relationship Id="rId21" Type="http://schemas.openxmlformats.org/officeDocument/2006/relationships/hyperlink" Target="https://doi.org/10.1080/10408398.2020.1769044"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doi.org/10.1016/j.jep.2023.116437" TargetMode="External"/><Relationship Id="rId25" Type="http://schemas.openxmlformats.org/officeDocument/2006/relationships/hyperlink" Target="https://doi.org/10.1016/j.foodchem.2020.126978" TargetMode="External"/><Relationship Id="rId2" Type="http://schemas.openxmlformats.org/officeDocument/2006/relationships/numbering" Target="numbering.xml"/><Relationship Id="rId16" Type="http://schemas.openxmlformats.org/officeDocument/2006/relationships/hyperlink" Target="https://doi.org/10.1111/jfbc.12501" TargetMode="External"/><Relationship Id="rId20" Type="http://schemas.openxmlformats.org/officeDocument/2006/relationships/hyperlink" Target="https://doi.org/10.1155/2021/66254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10.1016/j.ijbiomac.2021.05.012"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doi.org/10.2174/1389450122666210902101541"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doi.org/10.1016/j.phytol.2022.03.014"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doi.org/10.5585/jabs.2023.171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487999-C346-4A6F-9ED2-C379AC35D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50</Pages>
  <Words>12162</Words>
  <Characters>69329</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Abubakar Sadiq Abdullahi</dc:creator>
  <cp:keywords/>
  <dc:description/>
  <cp:lastModifiedBy>Aavir</cp:lastModifiedBy>
  <cp:revision>63</cp:revision>
  <cp:lastPrinted>2025-12-17T10:05:00Z</cp:lastPrinted>
  <dcterms:created xsi:type="dcterms:W3CDTF">2025-11-24T16:40:00Z</dcterms:created>
  <dcterms:modified xsi:type="dcterms:W3CDTF">2025-12-17T16:35:00Z</dcterms:modified>
</cp:coreProperties>
</file>