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25A6" w:rsidRDefault="00B120FE" w:rsidP="00E204EC">
      <w:pPr>
        <w:ind w:left="1440" w:hanging="1440"/>
        <w:rPr>
          <w:b/>
        </w:rPr>
      </w:pPr>
      <w:r w:rsidRPr="00B120FE">
        <w:rPr>
          <w:b/>
        </w:rPr>
        <w:t xml:space="preserve">                                                         CHAPTER FOUR</w:t>
      </w:r>
    </w:p>
    <w:p w:rsidR="00B120FE" w:rsidRPr="00B120FE" w:rsidRDefault="00B120FE" w:rsidP="00E204EC">
      <w:pPr>
        <w:ind w:left="1440" w:hanging="1440"/>
        <w:rPr>
          <w:b/>
        </w:rPr>
      </w:pPr>
      <w:r w:rsidRPr="00B120FE">
        <w:rPr>
          <w:b/>
        </w:rPr>
        <w:t>4.0 RESULTS, DISCUSSION, CONCLUSION, AND RECOMMENDATIONS</w:t>
      </w:r>
    </w:p>
    <w:p w:rsidR="00C9147B" w:rsidRDefault="00B120FE" w:rsidP="00E204EC">
      <w:pPr>
        <w:ind w:left="1440" w:hanging="1440"/>
        <w:rPr>
          <w:b/>
        </w:rPr>
      </w:pPr>
      <w:r w:rsidRPr="00B120FE">
        <w:rPr>
          <w:b/>
        </w:rPr>
        <w:t>4.1 RESULT</w:t>
      </w:r>
    </w:p>
    <w:p w:rsidR="00C9147B" w:rsidRDefault="00C9147B" w:rsidP="00E204EC">
      <w:pPr>
        <w:spacing w:after="100" w:afterAutospacing="1"/>
        <w:ind w:left="1440" w:hanging="1440"/>
        <w:jc w:val="both"/>
        <w:rPr>
          <w:rFonts w:ascii="Times New Roman" w:hAnsi="Times New Roman"/>
          <w:color w:val="000000"/>
          <w:sz w:val="24"/>
          <w:szCs w:val="24"/>
        </w:rPr>
      </w:pPr>
      <w:r>
        <w:rPr>
          <w:b/>
        </w:rPr>
        <w:t>4.1.1</w:t>
      </w:r>
      <w:r w:rsidRPr="00C9147B">
        <w:rPr>
          <w:rFonts w:ascii="Times New Roman" w:hAnsi="Times New Roman"/>
          <w:color w:val="000000"/>
          <w:sz w:val="24"/>
          <w:szCs w:val="24"/>
        </w:rPr>
        <w:t xml:space="preserve"> </w:t>
      </w:r>
      <w:r>
        <w:rPr>
          <w:rFonts w:ascii="Times New Roman" w:hAnsi="Times New Roman"/>
          <w:color w:val="000000"/>
          <w:sz w:val="24"/>
          <w:szCs w:val="24"/>
        </w:rPr>
        <w:t>The amino acid analysis revealed that both the locally produced and standard RUTF contained all the essential and non-essential amino acids required for proper growth and recovery from malnutrition. However, there were variations in the concentrations of individual amino acids between the two formulations.</w:t>
      </w:r>
    </w:p>
    <w:p w:rsidR="00C9147B" w:rsidRDefault="00C9147B" w:rsidP="00E204EC">
      <w:pPr>
        <w:spacing w:after="100" w:afterAutospacing="1"/>
        <w:ind w:left="1440" w:hanging="1440"/>
        <w:jc w:val="both"/>
        <w:rPr>
          <w:rFonts w:ascii="Times New Roman" w:hAnsi="Times New Roman"/>
          <w:color w:val="000000"/>
          <w:sz w:val="24"/>
          <w:szCs w:val="24"/>
        </w:rPr>
      </w:pPr>
      <w:r>
        <w:rPr>
          <w:rFonts w:ascii="Times New Roman" w:hAnsi="Times New Roman"/>
          <w:color w:val="000000"/>
          <w:sz w:val="24"/>
          <w:szCs w:val="24"/>
        </w:rPr>
        <w:t xml:space="preserve">Notably, </w:t>
      </w:r>
      <w:r>
        <w:rPr>
          <w:rFonts w:ascii="Times New Roman" w:hAnsi="Times New Roman"/>
          <w:bCs/>
          <w:color w:val="000000"/>
          <w:sz w:val="24"/>
          <w:szCs w:val="24"/>
        </w:rPr>
        <w:t>glycine</w:t>
      </w:r>
      <w:r>
        <w:rPr>
          <w:rFonts w:ascii="Times New Roman" w:hAnsi="Times New Roman"/>
          <w:color w:val="000000"/>
          <w:sz w:val="24"/>
          <w:szCs w:val="24"/>
        </w:rPr>
        <w:t xml:space="preserve"> (6.14 ± 0.11 mg/g) and </w:t>
      </w:r>
      <w:r>
        <w:rPr>
          <w:rFonts w:ascii="Times New Roman" w:hAnsi="Times New Roman"/>
          <w:bCs/>
          <w:color w:val="000000"/>
          <w:sz w:val="24"/>
          <w:szCs w:val="24"/>
        </w:rPr>
        <w:t>histidine</w:t>
      </w:r>
      <w:r>
        <w:rPr>
          <w:rFonts w:ascii="Times New Roman" w:hAnsi="Times New Roman"/>
          <w:color w:val="000000"/>
          <w:sz w:val="24"/>
          <w:szCs w:val="24"/>
        </w:rPr>
        <w:t xml:space="preserve"> (6.32 ± 0.11 mg/g) were found in high concentrations in both formulations, with the standard RUTF showing a slightly higher glycine content (10.7 ± 0.17 mg/g).</w:t>
      </w:r>
    </w:p>
    <w:p w:rsidR="00C9147B" w:rsidRDefault="00C9147B" w:rsidP="00E204EC">
      <w:pPr>
        <w:spacing w:after="100" w:afterAutospacing="1"/>
        <w:ind w:left="1440" w:hanging="1440"/>
        <w:jc w:val="both"/>
        <w:rPr>
          <w:rFonts w:ascii="Times New Roman" w:hAnsi="Times New Roman"/>
          <w:color w:val="000000"/>
          <w:sz w:val="24"/>
          <w:szCs w:val="24"/>
        </w:rPr>
      </w:pPr>
      <w:r>
        <w:rPr>
          <w:rFonts w:ascii="Times New Roman" w:hAnsi="Times New Roman"/>
          <w:color w:val="000000"/>
          <w:sz w:val="24"/>
          <w:szCs w:val="24"/>
        </w:rPr>
        <w:t xml:space="preserve">Essential amino acids such as </w:t>
      </w:r>
      <w:r>
        <w:rPr>
          <w:rFonts w:ascii="Times New Roman" w:hAnsi="Times New Roman"/>
          <w:bCs/>
          <w:color w:val="000000"/>
          <w:sz w:val="24"/>
          <w:szCs w:val="24"/>
        </w:rPr>
        <w:t>valine</w:t>
      </w:r>
      <w:r>
        <w:rPr>
          <w:rFonts w:ascii="Times New Roman" w:hAnsi="Times New Roman"/>
          <w:color w:val="000000"/>
          <w:sz w:val="24"/>
          <w:szCs w:val="24"/>
        </w:rPr>
        <w:t xml:space="preserve">, </w:t>
      </w:r>
      <w:r>
        <w:rPr>
          <w:rFonts w:ascii="Times New Roman" w:hAnsi="Times New Roman"/>
          <w:bCs/>
          <w:color w:val="000000"/>
          <w:sz w:val="24"/>
          <w:szCs w:val="24"/>
        </w:rPr>
        <w:t>leucine</w:t>
      </w:r>
      <w:r>
        <w:rPr>
          <w:rFonts w:ascii="Times New Roman" w:hAnsi="Times New Roman"/>
          <w:color w:val="000000"/>
          <w:sz w:val="24"/>
          <w:szCs w:val="24"/>
        </w:rPr>
        <w:t xml:space="preserve">, </w:t>
      </w:r>
      <w:r>
        <w:rPr>
          <w:rFonts w:ascii="Times New Roman" w:hAnsi="Times New Roman"/>
          <w:bCs/>
          <w:color w:val="000000"/>
          <w:sz w:val="24"/>
          <w:szCs w:val="24"/>
        </w:rPr>
        <w:t>isoleucine</w:t>
      </w:r>
      <w:r>
        <w:rPr>
          <w:rFonts w:ascii="Times New Roman" w:hAnsi="Times New Roman"/>
          <w:color w:val="000000"/>
          <w:sz w:val="24"/>
          <w:szCs w:val="24"/>
        </w:rPr>
        <w:t xml:space="preserve">, </w:t>
      </w:r>
      <w:r>
        <w:rPr>
          <w:rFonts w:ascii="Times New Roman" w:hAnsi="Times New Roman"/>
          <w:bCs/>
          <w:color w:val="000000"/>
          <w:sz w:val="24"/>
          <w:szCs w:val="24"/>
        </w:rPr>
        <w:t>threonine</w:t>
      </w:r>
      <w:r>
        <w:rPr>
          <w:rFonts w:ascii="Times New Roman" w:hAnsi="Times New Roman"/>
          <w:color w:val="000000"/>
          <w:sz w:val="24"/>
          <w:szCs w:val="24"/>
        </w:rPr>
        <w:t xml:space="preserve">, and </w:t>
      </w:r>
      <w:r>
        <w:rPr>
          <w:rFonts w:ascii="Times New Roman" w:hAnsi="Times New Roman"/>
          <w:bCs/>
          <w:color w:val="000000"/>
          <w:sz w:val="24"/>
          <w:szCs w:val="24"/>
        </w:rPr>
        <w:t>tryptophan</w:t>
      </w:r>
      <w:r>
        <w:rPr>
          <w:rFonts w:ascii="Times New Roman" w:hAnsi="Times New Roman"/>
          <w:color w:val="000000"/>
          <w:sz w:val="24"/>
          <w:szCs w:val="24"/>
        </w:rPr>
        <w:t xml:space="preserve"> were present in both RUTFs at comparable levels, demonstrating that the local formulation provides a complete amino acid profile suitable for therapeutic use. The concentrations of </w:t>
      </w:r>
      <w:r>
        <w:rPr>
          <w:rFonts w:ascii="Times New Roman" w:hAnsi="Times New Roman"/>
          <w:bCs/>
          <w:color w:val="000000"/>
          <w:sz w:val="24"/>
          <w:szCs w:val="24"/>
        </w:rPr>
        <w:t>valine (0.22 ± 0.01 mg/g)</w:t>
      </w:r>
      <w:r>
        <w:rPr>
          <w:rFonts w:ascii="Times New Roman" w:hAnsi="Times New Roman"/>
          <w:color w:val="000000"/>
          <w:sz w:val="24"/>
          <w:szCs w:val="24"/>
        </w:rPr>
        <w:t xml:space="preserve"> and </w:t>
      </w:r>
      <w:r>
        <w:rPr>
          <w:rFonts w:ascii="Times New Roman" w:hAnsi="Times New Roman"/>
          <w:bCs/>
          <w:color w:val="000000"/>
          <w:sz w:val="24"/>
          <w:szCs w:val="24"/>
        </w:rPr>
        <w:t>threonine (0.12 ± 0.01 mg/g)</w:t>
      </w:r>
      <w:r>
        <w:rPr>
          <w:rFonts w:ascii="Times New Roman" w:hAnsi="Times New Roman"/>
          <w:color w:val="000000"/>
          <w:sz w:val="24"/>
          <w:szCs w:val="24"/>
        </w:rPr>
        <w:t xml:space="preserve"> in the local RUTF were slightly higher than in the standard. However, </w:t>
      </w:r>
      <w:r>
        <w:rPr>
          <w:rFonts w:ascii="Times New Roman" w:hAnsi="Times New Roman"/>
          <w:bCs/>
          <w:color w:val="000000"/>
          <w:sz w:val="24"/>
          <w:szCs w:val="24"/>
        </w:rPr>
        <w:t>lysine (0.10 ± 0.01 mg/g)</w:t>
      </w:r>
      <w:r>
        <w:rPr>
          <w:rFonts w:ascii="Times New Roman" w:hAnsi="Times New Roman"/>
          <w:color w:val="000000"/>
          <w:sz w:val="24"/>
          <w:szCs w:val="24"/>
        </w:rPr>
        <w:t xml:space="preserve"> and </w:t>
      </w:r>
      <w:r>
        <w:rPr>
          <w:rFonts w:ascii="Times New Roman" w:hAnsi="Times New Roman"/>
          <w:bCs/>
          <w:color w:val="000000"/>
          <w:sz w:val="24"/>
          <w:szCs w:val="24"/>
        </w:rPr>
        <w:t>methionine (0.16 ± 0.04 mg/g)</w:t>
      </w:r>
      <w:r>
        <w:rPr>
          <w:rFonts w:ascii="Times New Roman" w:hAnsi="Times New Roman"/>
          <w:color w:val="000000"/>
          <w:sz w:val="24"/>
          <w:szCs w:val="24"/>
        </w:rPr>
        <w:t xml:space="preserve"> were observed to be slightly lower in the local sample compared to the standard.</w:t>
      </w:r>
    </w:p>
    <w:p w:rsidR="00C9147B" w:rsidRDefault="00C9147B" w:rsidP="00E204EC">
      <w:pPr>
        <w:ind w:left="1440" w:hanging="1440"/>
        <w:jc w:val="both"/>
        <w:rPr>
          <w:b/>
        </w:rPr>
      </w:pPr>
      <w:r>
        <w:rPr>
          <w:rFonts w:ascii="Times New Roman" w:hAnsi="Times New Roman"/>
          <w:color w:val="000000"/>
          <w:sz w:val="24"/>
          <w:szCs w:val="24"/>
        </w:rPr>
        <w:t xml:space="preserve">The higher </w:t>
      </w:r>
      <w:r>
        <w:rPr>
          <w:rFonts w:ascii="Times New Roman" w:hAnsi="Times New Roman"/>
          <w:bCs/>
          <w:color w:val="000000"/>
          <w:sz w:val="24"/>
          <w:szCs w:val="24"/>
        </w:rPr>
        <w:t>glutamic acid</w:t>
      </w:r>
      <w:r>
        <w:rPr>
          <w:rFonts w:ascii="Times New Roman" w:hAnsi="Times New Roman"/>
          <w:color w:val="000000"/>
          <w:sz w:val="24"/>
          <w:szCs w:val="24"/>
        </w:rPr>
        <w:t xml:space="preserve"> content (2.08 ± 0.01 mg/g) in the local formulation also indicates improved palatability and flavor, as glutamic acid contributes to umiak taste perception. </w:t>
      </w:r>
      <w:r>
        <w:rPr>
          <w:b/>
        </w:rPr>
        <w:t xml:space="preserve"> </w:t>
      </w:r>
    </w:p>
    <w:p w:rsidR="00C9147B" w:rsidRDefault="00C9147B" w:rsidP="00E204EC">
      <w:pPr>
        <w:ind w:left="1440" w:hanging="1440"/>
        <w:jc w:val="both"/>
        <w:rPr>
          <w:b/>
        </w:rPr>
      </w:pPr>
    </w:p>
    <w:p w:rsidR="00C9147B" w:rsidRDefault="00C9147B" w:rsidP="00E204EC">
      <w:pPr>
        <w:ind w:left="1440" w:hanging="1440"/>
        <w:jc w:val="both"/>
        <w:rPr>
          <w:b/>
        </w:rPr>
      </w:pPr>
    </w:p>
    <w:p w:rsidR="00C9147B" w:rsidRDefault="00C9147B" w:rsidP="00E204EC">
      <w:pPr>
        <w:ind w:left="1440" w:hanging="1440"/>
        <w:jc w:val="both"/>
        <w:rPr>
          <w:b/>
        </w:rPr>
      </w:pPr>
    </w:p>
    <w:p w:rsidR="00C9147B" w:rsidRDefault="00C9147B" w:rsidP="00E204EC">
      <w:pPr>
        <w:ind w:left="1440" w:hanging="1440"/>
        <w:jc w:val="both"/>
        <w:rPr>
          <w:b/>
        </w:rPr>
      </w:pPr>
    </w:p>
    <w:p w:rsidR="00C9147B" w:rsidRDefault="00C9147B" w:rsidP="00E204EC">
      <w:pPr>
        <w:ind w:left="1440" w:hanging="1440"/>
        <w:jc w:val="both"/>
        <w:rPr>
          <w:b/>
        </w:rPr>
      </w:pPr>
    </w:p>
    <w:p w:rsidR="00C9147B" w:rsidRDefault="00C9147B" w:rsidP="00E204EC">
      <w:pPr>
        <w:ind w:left="1440" w:hanging="1440"/>
        <w:jc w:val="both"/>
        <w:rPr>
          <w:b/>
        </w:rPr>
      </w:pPr>
    </w:p>
    <w:p w:rsidR="00C9147B" w:rsidRDefault="00C9147B" w:rsidP="00E204EC">
      <w:pPr>
        <w:ind w:left="1440" w:hanging="1440"/>
        <w:jc w:val="both"/>
        <w:rPr>
          <w:b/>
        </w:rPr>
      </w:pPr>
    </w:p>
    <w:p w:rsidR="00C9147B" w:rsidRPr="00C9147B" w:rsidRDefault="00C9147B" w:rsidP="00E204EC">
      <w:pPr>
        <w:ind w:left="1440" w:hanging="1440"/>
        <w:jc w:val="both"/>
        <w:rPr>
          <w:b/>
        </w:rPr>
      </w:pPr>
      <w:r>
        <w:rPr>
          <w:rFonts w:ascii="Times New Roman" w:hAnsi="Times New Roman"/>
          <w:noProof/>
          <w:color w:val="000000"/>
          <w:sz w:val="24"/>
          <w:szCs w:val="24"/>
        </w:rPr>
        <w:pict>
          <v:shapetype id="_x0000_t32" coordsize="21600,21600" o:spt="32" o:oned="t" path="m,l21600,21600e" filled="f">
            <v:path arrowok="t" fillok="f" o:connecttype="none"/>
            <o:lock v:ext="edit" shapetype="t"/>
          </v:shapetype>
          <v:shape id="_x0000_s1038" type="#_x0000_t32" style="position:absolute;left:0;text-align:left;margin-left:-1.95pt;margin-top:18.05pt;width:483.25pt;height:1.95pt;flip:y;z-index:251665408" o:connectortype="straight"/>
        </w:pict>
      </w:r>
    </w:p>
    <w:p w:rsidR="006660CE" w:rsidRDefault="00927B55" w:rsidP="00E204EC">
      <w:pPr>
        <w:ind w:left="1440" w:hanging="1440"/>
        <w:jc w:val="both"/>
        <w:rPr>
          <w:rFonts w:ascii="Times New Roman" w:hAnsi="Times New Roman" w:cs="Times New Roman"/>
          <w:b/>
        </w:rPr>
      </w:pPr>
      <w:r w:rsidRPr="00B120FE">
        <w:rPr>
          <w:rFonts w:ascii="Times New Roman" w:hAnsi="Times New Roman" w:cs="Times New Roman"/>
          <w:b/>
        </w:rPr>
        <w:t>AMINO ACID</w:t>
      </w:r>
      <w:r w:rsidR="00DD18C2" w:rsidRPr="00B120FE">
        <w:rPr>
          <w:rFonts w:ascii="Times New Roman" w:hAnsi="Times New Roman" w:cs="Times New Roman"/>
          <w:b/>
        </w:rPr>
        <w:tab/>
      </w:r>
      <w:r w:rsidR="00DD18C2" w:rsidRPr="00B120FE">
        <w:rPr>
          <w:rFonts w:ascii="Times New Roman" w:hAnsi="Times New Roman" w:cs="Times New Roman"/>
          <w:b/>
        </w:rPr>
        <w:tab/>
      </w:r>
      <w:r w:rsidR="00DD18C2" w:rsidRPr="00B120FE">
        <w:rPr>
          <w:rFonts w:ascii="Times New Roman" w:hAnsi="Times New Roman" w:cs="Times New Roman"/>
          <w:b/>
        </w:rPr>
        <w:tab/>
      </w:r>
      <w:r w:rsidR="00DD18C2" w:rsidRPr="00B120FE">
        <w:rPr>
          <w:rFonts w:ascii="Times New Roman" w:hAnsi="Times New Roman" w:cs="Times New Roman"/>
          <w:b/>
        </w:rPr>
        <w:tab/>
      </w:r>
      <w:r w:rsidR="00DD18C2" w:rsidRPr="00B120FE">
        <w:rPr>
          <w:rFonts w:ascii="Times New Roman" w:hAnsi="Times New Roman" w:cs="Times New Roman"/>
          <w:b/>
        </w:rPr>
        <w:tab/>
      </w:r>
      <w:r w:rsidR="00DD18C2" w:rsidRPr="00B120FE">
        <w:rPr>
          <w:rFonts w:ascii="Times New Roman" w:hAnsi="Times New Roman" w:cs="Times New Roman"/>
          <w:b/>
        </w:rPr>
        <w:tab/>
      </w:r>
      <w:r w:rsidR="00DD18C2" w:rsidRPr="00B120FE">
        <w:rPr>
          <w:rFonts w:ascii="Times New Roman" w:hAnsi="Times New Roman" w:cs="Times New Roman"/>
          <w:b/>
        </w:rPr>
        <w:tab/>
      </w:r>
      <w:r w:rsidR="006660CE">
        <w:rPr>
          <w:rFonts w:ascii="Times New Roman" w:hAnsi="Times New Roman" w:cs="Times New Roman"/>
          <w:b/>
        </w:rPr>
        <w:t xml:space="preserve">   SAMPLE</w:t>
      </w:r>
    </w:p>
    <w:p w:rsidR="00DD18C2" w:rsidRPr="006660CE" w:rsidRDefault="002C4032" w:rsidP="00E204EC">
      <w:pPr>
        <w:ind w:left="1440" w:hanging="1440"/>
        <w:jc w:val="both"/>
        <w:rPr>
          <w:rFonts w:ascii="Times New Roman" w:hAnsi="Times New Roman" w:cs="Times New Roman"/>
          <w:b/>
        </w:rPr>
      </w:pPr>
      <w:r w:rsidRPr="002C4032">
        <w:rPr>
          <w:rFonts w:ascii="Times New Roman" w:hAnsi="Times New Roman" w:cs="Times New Roman"/>
          <w:b/>
          <w:noProof/>
        </w:rPr>
        <w:pict>
          <v:shape id="_x0000_s1027" type="#_x0000_t32" style="position:absolute;left:0;text-align:left;margin-left:-32.45pt;margin-top:12.05pt;width:540.85pt;height:5.15pt;flip:y;z-index:251659264" o:connectortype="straight"/>
        </w:pict>
      </w:r>
      <w:r w:rsidR="00A37FB6">
        <w:rPr>
          <w:rFonts w:ascii="Times New Roman" w:hAnsi="Times New Roman" w:cs="Times New Roman"/>
          <w:b/>
        </w:rPr>
        <w:t xml:space="preserve">  (mg/g)</w:t>
      </w:r>
      <w:r w:rsidR="006660CE">
        <w:rPr>
          <w:rFonts w:ascii="Times New Roman" w:hAnsi="Times New Roman" w:cs="Times New Roman"/>
          <w:b/>
        </w:rPr>
        <w:tab/>
      </w:r>
      <w:r w:rsidR="006660CE">
        <w:rPr>
          <w:rFonts w:ascii="Times New Roman" w:hAnsi="Times New Roman" w:cs="Times New Roman"/>
          <w:b/>
        </w:rPr>
        <w:tab/>
      </w:r>
      <w:r w:rsidR="006660CE">
        <w:rPr>
          <w:rFonts w:ascii="Times New Roman" w:hAnsi="Times New Roman" w:cs="Times New Roman"/>
          <w:b/>
        </w:rPr>
        <w:tab/>
      </w:r>
      <w:r w:rsidR="006660CE">
        <w:rPr>
          <w:rFonts w:ascii="Times New Roman" w:hAnsi="Times New Roman" w:cs="Times New Roman"/>
          <w:b/>
        </w:rPr>
        <w:tab/>
        <w:t xml:space="preserve">   </w:t>
      </w:r>
      <w:r w:rsidR="00A37FB6">
        <w:rPr>
          <w:rFonts w:ascii="Times New Roman" w:hAnsi="Times New Roman" w:cs="Times New Roman"/>
          <w:b/>
        </w:rPr>
        <w:t xml:space="preserve">    </w:t>
      </w:r>
      <w:r w:rsidR="006660CE">
        <w:rPr>
          <w:rFonts w:ascii="Times New Roman" w:hAnsi="Times New Roman" w:cs="Times New Roman"/>
          <w:b/>
        </w:rPr>
        <w:t xml:space="preserve"> </w:t>
      </w:r>
      <w:r w:rsidR="006660CE" w:rsidRPr="00B120FE">
        <w:rPr>
          <w:rFonts w:ascii="Times New Roman" w:hAnsi="Times New Roman" w:cs="Times New Roman"/>
        </w:rPr>
        <w:t>STANDARD</w:t>
      </w:r>
      <w:r w:rsidR="00A37FB6">
        <w:rPr>
          <w:rFonts w:ascii="Times New Roman" w:hAnsi="Times New Roman" w:cs="Times New Roman"/>
        </w:rPr>
        <w:t xml:space="preserve"> RUTF</w:t>
      </w:r>
      <w:r w:rsidR="00A37FB6">
        <w:rPr>
          <w:rFonts w:ascii="Times New Roman" w:hAnsi="Times New Roman" w:cs="Times New Roman"/>
        </w:rPr>
        <w:tab/>
        <w:t xml:space="preserve">        </w:t>
      </w:r>
      <w:r w:rsidR="006660CE">
        <w:rPr>
          <w:rFonts w:ascii="Times New Roman" w:hAnsi="Times New Roman" w:cs="Times New Roman"/>
        </w:rPr>
        <w:t xml:space="preserve"> </w:t>
      </w:r>
      <w:r w:rsidR="006660CE" w:rsidRPr="00B120FE">
        <w:rPr>
          <w:rFonts w:ascii="Times New Roman" w:hAnsi="Times New Roman" w:cs="Times New Roman"/>
        </w:rPr>
        <w:t>LOCA</w:t>
      </w:r>
      <w:r w:rsidR="006660CE">
        <w:rPr>
          <w:rFonts w:ascii="Times New Roman" w:hAnsi="Times New Roman" w:cs="Times New Roman"/>
        </w:rPr>
        <w:t>L RUTF</w:t>
      </w:r>
    </w:p>
    <w:p w:rsidR="00DD18C2" w:rsidRPr="006660CE" w:rsidRDefault="006660CE" w:rsidP="00E204EC">
      <w:pPr>
        <w:ind w:left="1440" w:hanging="1440"/>
        <w:jc w:val="both"/>
        <w:rPr>
          <w:rFonts w:ascii="Times New Roman" w:eastAsiaTheme="minorEastAsia" w:hAnsi="Times New Roman" w:cs="Times New Roman"/>
        </w:rPr>
      </w:pPr>
      <w:r w:rsidRPr="006660CE">
        <w:rPr>
          <w:rFonts w:ascii="Times New Roman" w:hAnsi="Times New Roman" w:cs="Times New Roman"/>
        </w:rPr>
        <w:lastRenderedPageBreak/>
        <w:t>Glycine</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 xml:space="preserve">            10.7</w:t>
      </w:r>
      <m:oMath>
        <m:r>
          <w:rPr>
            <w:rFonts w:ascii="Cambria Math" w:hAnsi="Times New Roman" w:cs="Times New Roman"/>
          </w:rPr>
          <m:t>7</m:t>
        </m:r>
        <m:r>
          <w:rPr>
            <w:rFonts w:ascii="Cambria Math" w:hAnsi="Times New Roman" w:cs="Times New Roman"/>
          </w:rPr>
          <m:t>±</m:t>
        </m:r>
      </m:oMath>
      <w:r w:rsidRPr="006660CE">
        <w:rPr>
          <w:rFonts w:ascii="Times New Roman" w:eastAsiaTheme="minorEastAsia" w:hAnsi="Times New Roman" w:cs="Times New Roman"/>
        </w:rPr>
        <w:t>0.17</w:t>
      </w:r>
      <w:r w:rsidRPr="006660CE">
        <w:rPr>
          <w:rFonts w:ascii="Times New Roman" w:eastAsiaTheme="minorEastAsia" w:hAnsi="Times New Roman" w:cs="Times New Roman"/>
        </w:rPr>
        <w:tab/>
      </w:r>
      <w:r w:rsidRPr="006660CE">
        <w:rPr>
          <w:rFonts w:ascii="Times New Roman" w:eastAsiaTheme="minorEastAsia" w:hAnsi="Times New Roman" w:cs="Times New Roman"/>
        </w:rPr>
        <w:tab/>
      </w:r>
      <w:r w:rsidRPr="006660CE">
        <w:rPr>
          <w:rFonts w:ascii="Times New Roman" w:eastAsiaTheme="minorEastAsia" w:hAnsi="Times New Roman" w:cs="Times New Roman"/>
        </w:rPr>
        <w:tab/>
        <w:t>6.14</w:t>
      </w:r>
      <m:oMath>
        <m:r>
          <w:rPr>
            <w:rFonts w:ascii="Cambria Math" w:hAnsi="Times New Roman" w:cs="Times New Roman"/>
          </w:rPr>
          <m:t>±</m:t>
        </m:r>
      </m:oMath>
      <w:r w:rsidRPr="006660CE">
        <w:rPr>
          <w:rFonts w:ascii="Times New Roman" w:eastAsiaTheme="minorEastAsia" w:hAnsi="Times New Roman" w:cs="Times New Roman"/>
        </w:rPr>
        <w:t>0.11</w:t>
      </w:r>
    </w:p>
    <w:p w:rsidR="00DD18C2" w:rsidRPr="006660CE" w:rsidRDefault="006660CE" w:rsidP="00E204EC">
      <w:pPr>
        <w:ind w:left="1440" w:hanging="1440"/>
        <w:jc w:val="both"/>
        <w:rPr>
          <w:rFonts w:ascii="Times New Roman" w:hAnsi="Times New Roman" w:cs="Times New Roman"/>
        </w:rPr>
      </w:pPr>
      <w:r w:rsidRPr="006660CE">
        <w:rPr>
          <w:rFonts w:ascii="Times New Roman" w:hAnsi="Times New Roman" w:cs="Times New Roman"/>
        </w:rPr>
        <w:t>Alanine</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1.5</w:t>
      </w:r>
      <m:oMath>
        <m:r>
          <w:rPr>
            <w:rFonts w:ascii="Cambria Math" w:hAnsi="Times New Roman" w:cs="Times New Roman"/>
          </w:rPr>
          <m:t>±</m:t>
        </m:r>
      </m:oMath>
      <w:r w:rsidRPr="006660CE">
        <w:rPr>
          <w:rFonts w:ascii="Times New Roman" w:hAnsi="Times New Roman" w:cs="Times New Roman"/>
        </w:rPr>
        <w:t>0.25</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1.81</w:t>
      </w:r>
      <m:oMath>
        <m:r>
          <w:rPr>
            <w:rFonts w:ascii="Cambria Math" w:hAnsi="Times New Roman" w:cs="Times New Roman"/>
          </w:rPr>
          <m:t>±</m:t>
        </m:r>
      </m:oMath>
      <w:r w:rsidRPr="006660CE">
        <w:rPr>
          <w:rFonts w:ascii="Times New Roman" w:hAnsi="Times New Roman" w:cs="Times New Roman"/>
        </w:rPr>
        <w:t>0.15</w:t>
      </w:r>
    </w:p>
    <w:p w:rsidR="005809DC" w:rsidRPr="006660CE" w:rsidRDefault="006660CE" w:rsidP="00E204EC">
      <w:pPr>
        <w:ind w:left="1440" w:hanging="1440"/>
        <w:jc w:val="both"/>
        <w:rPr>
          <w:rFonts w:ascii="Times New Roman" w:hAnsi="Times New Roman" w:cs="Times New Roman"/>
        </w:rPr>
      </w:pPr>
      <w:r w:rsidRPr="006660CE">
        <w:rPr>
          <w:rFonts w:ascii="Times New Roman" w:hAnsi="Times New Roman" w:cs="Times New Roman"/>
        </w:rPr>
        <w:t>Serine</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0.10</w:t>
      </w:r>
      <m:oMath>
        <m:r>
          <w:rPr>
            <w:rFonts w:ascii="Cambria Math" w:hAnsi="Times New Roman" w:cs="Times New Roman"/>
          </w:rPr>
          <m:t>±</m:t>
        </m:r>
      </m:oMath>
      <w:r w:rsidRPr="006660CE">
        <w:rPr>
          <w:rFonts w:ascii="Times New Roman" w:hAnsi="Times New Roman" w:cs="Times New Roman"/>
        </w:rPr>
        <w:t>0.01</w:t>
      </w:r>
      <w:r w:rsidRPr="006660CE">
        <w:rPr>
          <w:rFonts w:ascii="Times New Roman" w:hAnsi="Times New Roman" w:cs="Times New Roman"/>
        </w:rPr>
        <w:tab/>
      </w:r>
      <w:r w:rsidRPr="006660CE">
        <w:rPr>
          <w:rFonts w:ascii="Times New Roman" w:hAnsi="Times New Roman" w:cs="Times New Roman"/>
        </w:rPr>
        <w:tab/>
        <w:t xml:space="preserve">              0.22</w:t>
      </w:r>
      <m:oMath>
        <m:r>
          <w:rPr>
            <w:rFonts w:ascii="Cambria Math" w:hAnsi="Times New Roman" w:cs="Times New Roman"/>
          </w:rPr>
          <m:t>±</m:t>
        </m:r>
      </m:oMath>
      <w:r w:rsidRPr="006660CE">
        <w:rPr>
          <w:rFonts w:ascii="Times New Roman" w:eastAsiaTheme="minorEastAsia" w:hAnsi="Times New Roman" w:cs="Times New Roman"/>
        </w:rPr>
        <w:t>0.01</w:t>
      </w:r>
    </w:p>
    <w:p w:rsidR="00927B55" w:rsidRPr="006660CE" w:rsidRDefault="006660CE" w:rsidP="00E204EC">
      <w:pPr>
        <w:ind w:left="1440" w:hanging="1440"/>
        <w:jc w:val="both"/>
        <w:rPr>
          <w:rFonts w:ascii="Times New Roman" w:hAnsi="Times New Roman" w:cs="Times New Roman"/>
        </w:rPr>
      </w:pPr>
      <w:r w:rsidRPr="006660CE">
        <w:rPr>
          <w:rFonts w:ascii="Times New Roman" w:hAnsi="Times New Roman" w:cs="Times New Roman"/>
        </w:rPr>
        <w:t>Proline</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2.12</w:t>
      </w:r>
      <m:oMath>
        <m:r>
          <w:rPr>
            <w:rFonts w:ascii="Cambria Math" w:hAnsi="Times New Roman" w:cs="Times New Roman"/>
          </w:rPr>
          <m:t>±</m:t>
        </m:r>
      </m:oMath>
      <w:r w:rsidRPr="006660CE">
        <w:rPr>
          <w:rFonts w:ascii="Times New Roman" w:hAnsi="Times New Roman" w:cs="Times New Roman"/>
        </w:rPr>
        <w:t>0.08</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2.14</w:t>
      </w:r>
      <m:oMath>
        <m:r>
          <w:rPr>
            <w:rFonts w:ascii="Cambria Math" w:hAnsi="Times New Roman" w:cs="Times New Roman"/>
          </w:rPr>
          <m:t>±</m:t>
        </m:r>
      </m:oMath>
      <w:r w:rsidRPr="006660CE">
        <w:rPr>
          <w:rFonts w:ascii="Times New Roman" w:hAnsi="Times New Roman" w:cs="Times New Roman"/>
        </w:rPr>
        <w:t>0.15</w:t>
      </w:r>
    </w:p>
    <w:p w:rsidR="00927B55" w:rsidRPr="006660CE" w:rsidRDefault="006660CE" w:rsidP="00E204EC">
      <w:pPr>
        <w:ind w:left="1440" w:hanging="1440"/>
        <w:jc w:val="both"/>
        <w:rPr>
          <w:rFonts w:ascii="Times New Roman" w:hAnsi="Times New Roman" w:cs="Times New Roman"/>
        </w:rPr>
      </w:pPr>
      <w:r w:rsidRPr="006660CE">
        <w:rPr>
          <w:rFonts w:ascii="Times New Roman" w:hAnsi="Times New Roman" w:cs="Times New Roman"/>
        </w:rPr>
        <w:t>Valine</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0.16</w:t>
      </w:r>
      <m:oMath>
        <m:r>
          <w:rPr>
            <w:rFonts w:ascii="Cambria Math" w:hAnsi="Times New Roman" w:cs="Times New Roman"/>
          </w:rPr>
          <m:t>±</m:t>
        </m:r>
      </m:oMath>
      <w:r w:rsidRPr="006660CE">
        <w:rPr>
          <w:rFonts w:ascii="Times New Roman" w:hAnsi="Times New Roman" w:cs="Times New Roman"/>
        </w:rPr>
        <w:t>0.01</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0.22</w:t>
      </w:r>
      <m:oMath>
        <m:r>
          <w:rPr>
            <w:rFonts w:ascii="Cambria Math" w:hAnsi="Times New Roman" w:cs="Times New Roman"/>
          </w:rPr>
          <m:t>±</m:t>
        </m:r>
      </m:oMath>
      <w:r w:rsidRPr="006660CE">
        <w:rPr>
          <w:rFonts w:ascii="Times New Roman" w:hAnsi="Times New Roman" w:cs="Times New Roman"/>
        </w:rPr>
        <w:t>0.01</w:t>
      </w:r>
    </w:p>
    <w:p w:rsidR="00927B55" w:rsidRPr="006660CE" w:rsidRDefault="006660CE" w:rsidP="00E204EC">
      <w:pPr>
        <w:ind w:left="1440" w:hanging="1440"/>
        <w:jc w:val="both"/>
        <w:rPr>
          <w:rFonts w:ascii="Times New Roman" w:hAnsi="Times New Roman" w:cs="Times New Roman"/>
        </w:rPr>
      </w:pPr>
      <w:r w:rsidRPr="006660CE">
        <w:rPr>
          <w:rFonts w:ascii="Times New Roman" w:hAnsi="Times New Roman" w:cs="Times New Roman"/>
        </w:rPr>
        <w:t>Threonine</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0.11</w:t>
      </w:r>
      <m:oMath>
        <m:r>
          <w:rPr>
            <w:rFonts w:ascii="Cambria Math" w:hAnsi="Times New Roman" w:cs="Times New Roman"/>
          </w:rPr>
          <m:t>±</m:t>
        </m:r>
      </m:oMath>
      <w:r w:rsidRPr="006660CE">
        <w:rPr>
          <w:rFonts w:ascii="Times New Roman" w:hAnsi="Times New Roman" w:cs="Times New Roman"/>
        </w:rPr>
        <w:t>0.01</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0.12</w:t>
      </w:r>
      <m:oMath>
        <m:r>
          <w:rPr>
            <w:rFonts w:ascii="Cambria Math" w:hAnsi="Times New Roman" w:cs="Times New Roman"/>
          </w:rPr>
          <m:t>±</m:t>
        </m:r>
      </m:oMath>
      <w:r w:rsidRPr="006660CE">
        <w:rPr>
          <w:rFonts w:ascii="Times New Roman" w:hAnsi="Times New Roman" w:cs="Times New Roman"/>
        </w:rPr>
        <w:t>0.01</w:t>
      </w:r>
    </w:p>
    <w:p w:rsidR="00927B55" w:rsidRPr="006660CE" w:rsidRDefault="006660CE" w:rsidP="00E204EC">
      <w:pPr>
        <w:ind w:left="1440" w:hanging="1440"/>
        <w:jc w:val="both"/>
        <w:rPr>
          <w:rFonts w:ascii="Times New Roman" w:hAnsi="Times New Roman" w:cs="Times New Roman"/>
        </w:rPr>
      </w:pPr>
      <w:r w:rsidRPr="006660CE">
        <w:rPr>
          <w:rFonts w:ascii="Times New Roman" w:hAnsi="Times New Roman" w:cs="Times New Roman"/>
        </w:rPr>
        <w:t>Cysteine</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0.15</w:t>
      </w:r>
      <m:oMath>
        <m:r>
          <w:rPr>
            <w:rFonts w:ascii="Cambria Math" w:hAnsi="Times New Roman" w:cs="Times New Roman"/>
          </w:rPr>
          <m:t>±</m:t>
        </m:r>
      </m:oMath>
      <w:r w:rsidRPr="006660CE">
        <w:rPr>
          <w:rFonts w:ascii="Times New Roman" w:hAnsi="Times New Roman" w:cs="Times New Roman"/>
        </w:rPr>
        <w:t>0.03</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0.23</w:t>
      </w:r>
      <m:oMath>
        <m:r>
          <w:rPr>
            <w:rFonts w:ascii="Cambria Math" w:hAnsi="Times New Roman" w:cs="Times New Roman"/>
          </w:rPr>
          <m:t>±</m:t>
        </m:r>
      </m:oMath>
      <w:r w:rsidRPr="006660CE">
        <w:rPr>
          <w:rFonts w:ascii="Times New Roman" w:hAnsi="Times New Roman" w:cs="Times New Roman"/>
        </w:rPr>
        <w:t>0.01</w:t>
      </w:r>
    </w:p>
    <w:p w:rsidR="00927B55" w:rsidRPr="006660CE" w:rsidRDefault="006660CE" w:rsidP="00E204EC">
      <w:pPr>
        <w:ind w:left="1440" w:hanging="1440"/>
        <w:jc w:val="both"/>
        <w:rPr>
          <w:rFonts w:ascii="Times New Roman" w:hAnsi="Times New Roman" w:cs="Times New Roman"/>
        </w:rPr>
      </w:pPr>
      <w:r w:rsidRPr="006660CE">
        <w:rPr>
          <w:rFonts w:ascii="Times New Roman" w:hAnsi="Times New Roman" w:cs="Times New Roman"/>
        </w:rPr>
        <w:t>Isoleucine</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0.16</w:t>
      </w:r>
      <m:oMath>
        <m:r>
          <w:rPr>
            <w:rFonts w:ascii="Cambria Math" w:hAnsi="Times New Roman" w:cs="Times New Roman"/>
          </w:rPr>
          <m:t>±</m:t>
        </m:r>
      </m:oMath>
      <w:r w:rsidRPr="006660CE">
        <w:rPr>
          <w:rFonts w:ascii="Times New Roman" w:hAnsi="Times New Roman" w:cs="Times New Roman"/>
        </w:rPr>
        <w:t>0.01</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0.15</w:t>
      </w:r>
      <m:oMath>
        <m:r>
          <w:rPr>
            <w:rFonts w:ascii="Cambria Math" w:hAnsi="Times New Roman" w:cs="Times New Roman"/>
          </w:rPr>
          <m:t>±</m:t>
        </m:r>
      </m:oMath>
      <w:r w:rsidRPr="006660CE">
        <w:rPr>
          <w:rFonts w:ascii="Times New Roman" w:hAnsi="Times New Roman" w:cs="Times New Roman"/>
        </w:rPr>
        <w:t>0.03</w:t>
      </w:r>
    </w:p>
    <w:p w:rsidR="00927B55" w:rsidRPr="006660CE" w:rsidRDefault="006660CE" w:rsidP="00E204EC">
      <w:pPr>
        <w:ind w:left="1440" w:hanging="1440"/>
        <w:jc w:val="both"/>
        <w:rPr>
          <w:rFonts w:ascii="Times New Roman" w:hAnsi="Times New Roman" w:cs="Times New Roman"/>
        </w:rPr>
      </w:pPr>
      <w:r w:rsidRPr="006660CE">
        <w:rPr>
          <w:rFonts w:ascii="Times New Roman" w:hAnsi="Times New Roman" w:cs="Times New Roman"/>
        </w:rPr>
        <w:t>Leucine</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0.11</w:t>
      </w:r>
      <m:oMath>
        <m:r>
          <w:rPr>
            <w:rFonts w:ascii="Cambria Math" w:hAnsi="Times New Roman" w:cs="Times New Roman"/>
          </w:rPr>
          <m:t>±</m:t>
        </m:r>
      </m:oMath>
      <w:r w:rsidRPr="006660CE">
        <w:rPr>
          <w:rFonts w:ascii="Times New Roman" w:hAnsi="Times New Roman" w:cs="Times New Roman"/>
        </w:rPr>
        <w:t>0.01</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0.12</w:t>
      </w:r>
      <m:oMath>
        <m:r>
          <w:rPr>
            <w:rFonts w:ascii="Cambria Math" w:hAnsi="Times New Roman" w:cs="Times New Roman"/>
          </w:rPr>
          <m:t>±</m:t>
        </m:r>
      </m:oMath>
      <w:r w:rsidRPr="006660CE">
        <w:rPr>
          <w:rFonts w:ascii="Times New Roman" w:hAnsi="Times New Roman" w:cs="Times New Roman"/>
        </w:rPr>
        <w:t>0.01</w:t>
      </w:r>
    </w:p>
    <w:p w:rsidR="001633B2" w:rsidRPr="006660CE" w:rsidRDefault="006660CE" w:rsidP="00E204EC">
      <w:pPr>
        <w:ind w:left="1440" w:hanging="1440"/>
        <w:jc w:val="both"/>
        <w:rPr>
          <w:rFonts w:ascii="Times New Roman" w:hAnsi="Times New Roman" w:cs="Times New Roman"/>
        </w:rPr>
      </w:pPr>
      <w:r w:rsidRPr="006660CE">
        <w:rPr>
          <w:rFonts w:ascii="Times New Roman" w:hAnsi="Times New Roman" w:cs="Times New Roman"/>
        </w:rPr>
        <w:t>Aspartic Acid</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0.12</w:t>
      </w:r>
      <m:oMath>
        <m:r>
          <w:rPr>
            <w:rFonts w:ascii="Cambria Math" w:hAnsi="Times New Roman" w:cs="Times New Roman"/>
          </w:rPr>
          <m:t>±</m:t>
        </m:r>
      </m:oMath>
      <w:r w:rsidRPr="006660CE">
        <w:rPr>
          <w:rFonts w:ascii="Times New Roman" w:hAnsi="Times New Roman" w:cs="Times New Roman"/>
        </w:rPr>
        <w:t>0.00</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0.14</w:t>
      </w:r>
      <m:oMath>
        <m:r>
          <w:rPr>
            <w:rFonts w:ascii="Cambria Math" w:hAnsi="Times New Roman" w:cs="Times New Roman"/>
          </w:rPr>
          <m:t>±</m:t>
        </m:r>
      </m:oMath>
      <w:r w:rsidRPr="006660CE">
        <w:rPr>
          <w:rFonts w:ascii="Times New Roman" w:hAnsi="Times New Roman" w:cs="Times New Roman"/>
        </w:rPr>
        <w:t>0.01</w:t>
      </w:r>
    </w:p>
    <w:p w:rsidR="001633B2" w:rsidRPr="006660CE" w:rsidRDefault="006660CE" w:rsidP="00E204EC">
      <w:pPr>
        <w:ind w:left="1440" w:hanging="1440"/>
        <w:jc w:val="both"/>
        <w:rPr>
          <w:rFonts w:ascii="Times New Roman" w:hAnsi="Times New Roman" w:cs="Times New Roman"/>
        </w:rPr>
      </w:pPr>
      <w:r w:rsidRPr="006660CE">
        <w:rPr>
          <w:rFonts w:ascii="Times New Roman" w:hAnsi="Times New Roman" w:cs="Times New Roman"/>
        </w:rPr>
        <w:t>Lysine</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0.14</w:t>
      </w:r>
      <m:oMath>
        <m:r>
          <w:rPr>
            <w:rFonts w:ascii="Cambria Math" w:hAnsi="Times New Roman" w:cs="Times New Roman"/>
          </w:rPr>
          <m:t>±</m:t>
        </m:r>
      </m:oMath>
      <w:r w:rsidRPr="006660CE">
        <w:rPr>
          <w:rFonts w:ascii="Times New Roman" w:hAnsi="Times New Roman" w:cs="Times New Roman"/>
        </w:rPr>
        <w:t>0.01</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w:t>
      </w:r>
      <m:oMath>
        <m:r>
          <w:rPr>
            <w:rFonts w:ascii="Cambria Math" w:hAnsi="Times New Roman" w:cs="Times New Roman"/>
          </w:rPr>
          <m:t>4</m:t>
        </m:r>
        <m:r>
          <w:rPr>
            <w:rFonts w:ascii="Cambria Math" w:hAnsi="Times New Roman" w:cs="Times New Roman"/>
          </w:rPr>
          <m:t>±</m:t>
        </m:r>
      </m:oMath>
      <w:r w:rsidRPr="006660CE">
        <w:rPr>
          <w:rFonts w:ascii="Times New Roman" w:hAnsi="Times New Roman" w:cs="Times New Roman"/>
        </w:rPr>
        <w:t>0.01</w:t>
      </w:r>
    </w:p>
    <w:p w:rsidR="00927B55" w:rsidRPr="006660CE" w:rsidRDefault="006660CE" w:rsidP="00E204EC">
      <w:pPr>
        <w:ind w:left="1440" w:hanging="1440"/>
        <w:jc w:val="both"/>
        <w:rPr>
          <w:rFonts w:ascii="Times New Roman" w:hAnsi="Times New Roman" w:cs="Times New Roman"/>
        </w:rPr>
      </w:pPr>
      <w:r w:rsidRPr="006660CE">
        <w:rPr>
          <w:rFonts w:ascii="Times New Roman" w:hAnsi="Times New Roman" w:cs="Times New Roman"/>
        </w:rPr>
        <w:t>Glutamic Acid</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1.71</w:t>
      </w:r>
      <m:oMath>
        <m:r>
          <w:rPr>
            <w:rFonts w:ascii="Cambria Math" w:hAnsi="Times New Roman" w:cs="Times New Roman"/>
          </w:rPr>
          <m:t>±</m:t>
        </m:r>
      </m:oMath>
      <w:r w:rsidRPr="006660CE">
        <w:rPr>
          <w:rFonts w:ascii="Times New Roman" w:hAnsi="Times New Roman" w:cs="Times New Roman"/>
        </w:rPr>
        <w:t>0.11</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2.08</w:t>
      </w:r>
      <m:oMath>
        <m:r>
          <w:rPr>
            <w:rFonts w:ascii="Cambria Math" w:hAnsi="Times New Roman" w:cs="Times New Roman"/>
          </w:rPr>
          <m:t>±</m:t>
        </m:r>
      </m:oMath>
      <w:r w:rsidRPr="006660CE">
        <w:rPr>
          <w:rFonts w:ascii="Times New Roman" w:hAnsi="Times New Roman" w:cs="Times New Roman"/>
        </w:rPr>
        <w:t>0.01</w:t>
      </w:r>
      <w:r w:rsidRPr="006660CE">
        <w:rPr>
          <w:rFonts w:ascii="Times New Roman" w:hAnsi="Times New Roman" w:cs="Times New Roman"/>
        </w:rPr>
        <w:tab/>
      </w:r>
    </w:p>
    <w:p w:rsidR="00927B55" w:rsidRPr="006660CE" w:rsidRDefault="006660CE" w:rsidP="00E204EC">
      <w:pPr>
        <w:ind w:left="1440" w:hanging="1440"/>
        <w:jc w:val="both"/>
        <w:rPr>
          <w:rFonts w:ascii="Times New Roman" w:hAnsi="Times New Roman" w:cs="Times New Roman"/>
        </w:rPr>
      </w:pPr>
      <w:r w:rsidRPr="006660CE">
        <w:rPr>
          <w:rFonts w:ascii="Times New Roman" w:hAnsi="Times New Roman" w:cs="Times New Roman"/>
        </w:rPr>
        <w:t>Histidine</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6.30</w:t>
      </w:r>
      <m:oMath>
        <m:r>
          <w:rPr>
            <w:rFonts w:ascii="Cambria Math" w:hAnsi="Times New Roman" w:cs="Times New Roman"/>
          </w:rPr>
          <m:t>±</m:t>
        </m:r>
      </m:oMath>
      <w:r w:rsidRPr="006660CE">
        <w:rPr>
          <w:rFonts w:ascii="Times New Roman" w:hAnsi="Times New Roman" w:cs="Times New Roman"/>
        </w:rPr>
        <w:t>0.17</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6.32</w:t>
      </w:r>
      <m:oMath>
        <m:r>
          <w:rPr>
            <w:rFonts w:ascii="Cambria Math" w:hAnsi="Times New Roman" w:cs="Times New Roman"/>
          </w:rPr>
          <m:t>±</m:t>
        </m:r>
      </m:oMath>
      <w:r w:rsidRPr="006660CE">
        <w:rPr>
          <w:rFonts w:ascii="Times New Roman" w:hAnsi="Times New Roman" w:cs="Times New Roman"/>
        </w:rPr>
        <w:t>0.11</w:t>
      </w:r>
    </w:p>
    <w:p w:rsidR="00927B55" w:rsidRPr="006660CE" w:rsidRDefault="006660CE" w:rsidP="00E204EC">
      <w:pPr>
        <w:ind w:left="1440" w:hanging="1440"/>
        <w:jc w:val="both"/>
        <w:rPr>
          <w:rFonts w:ascii="Times New Roman" w:hAnsi="Times New Roman" w:cs="Times New Roman"/>
        </w:rPr>
      </w:pPr>
      <w:r w:rsidRPr="006660CE">
        <w:rPr>
          <w:rFonts w:ascii="Times New Roman" w:hAnsi="Times New Roman" w:cs="Times New Roman"/>
        </w:rPr>
        <w:t>Methionine</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0.17</w:t>
      </w:r>
      <m:oMath>
        <m:r>
          <w:rPr>
            <w:rFonts w:ascii="Cambria Math" w:hAnsi="Times New Roman" w:cs="Times New Roman"/>
          </w:rPr>
          <m:t>±</m:t>
        </m:r>
      </m:oMath>
      <w:r w:rsidRPr="006660CE">
        <w:rPr>
          <w:rFonts w:ascii="Times New Roman" w:hAnsi="Times New Roman" w:cs="Times New Roman"/>
        </w:rPr>
        <w:t>0.01</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0.16</w:t>
      </w:r>
      <m:oMath>
        <m:r>
          <w:rPr>
            <w:rFonts w:ascii="Cambria Math" w:hAnsi="Times New Roman" w:cs="Times New Roman"/>
          </w:rPr>
          <m:t>±</m:t>
        </m:r>
      </m:oMath>
      <w:r w:rsidRPr="006660CE">
        <w:rPr>
          <w:rFonts w:ascii="Times New Roman" w:hAnsi="Times New Roman" w:cs="Times New Roman"/>
        </w:rPr>
        <w:t>0.04</w:t>
      </w:r>
    </w:p>
    <w:p w:rsidR="00927B55" w:rsidRPr="006660CE" w:rsidRDefault="006660CE" w:rsidP="00E204EC">
      <w:pPr>
        <w:ind w:left="1440" w:hanging="1440"/>
        <w:jc w:val="both"/>
        <w:rPr>
          <w:rFonts w:ascii="Times New Roman" w:hAnsi="Times New Roman" w:cs="Times New Roman"/>
        </w:rPr>
      </w:pPr>
      <w:r w:rsidRPr="006660CE">
        <w:rPr>
          <w:rFonts w:ascii="Times New Roman" w:hAnsi="Times New Roman" w:cs="Times New Roman"/>
        </w:rPr>
        <w:t>Phenylalanine</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0.11</w:t>
      </w:r>
      <m:oMath>
        <m:r>
          <w:rPr>
            <w:rFonts w:ascii="Cambria Math" w:hAnsi="Times New Roman" w:cs="Times New Roman"/>
          </w:rPr>
          <m:t>±</m:t>
        </m:r>
      </m:oMath>
      <w:r w:rsidRPr="006660CE">
        <w:rPr>
          <w:rFonts w:ascii="Times New Roman" w:hAnsi="Times New Roman" w:cs="Times New Roman"/>
        </w:rPr>
        <w:t>0.01</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0.14</w:t>
      </w:r>
      <m:oMath>
        <m:r>
          <w:rPr>
            <w:rFonts w:ascii="Cambria Math" w:hAnsi="Times New Roman" w:cs="Times New Roman"/>
          </w:rPr>
          <m:t>±</m:t>
        </m:r>
      </m:oMath>
      <w:r w:rsidRPr="006660CE">
        <w:rPr>
          <w:rFonts w:ascii="Times New Roman" w:hAnsi="Times New Roman" w:cs="Times New Roman"/>
        </w:rPr>
        <w:t>0.01</w:t>
      </w:r>
    </w:p>
    <w:p w:rsidR="00927B55" w:rsidRPr="006660CE" w:rsidRDefault="006660CE" w:rsidP="00E204EC">
      <w:pPr>
        <w:ind w:left="1440" w:hanging="1440"/>
        <w:jc w:val="both"/>
        <w:rPr>
          <w:rFonts w:ascii="Times New Roman" w:hAnsi="Times New Roman" w:cs="Times New Roman"/>
        </w:rPr>
      </w:pPr>
      <w:r w:rsidRPr="006660CE">
        <w:rPr>
          <w:rFonts w:ascii="Times New Roman" w:hAnsi="Times New Roman" w:cs="Times New Roman"/>
        </w:rPr>
        <w:t>Arginine</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0.15</w:t>
      </w:r>
      <m:oMath>
        <m:r>
          <w:rPr>
            <w:rFonts w:ascii="Cambria Math" w:hAnsi="Times New Roman" w:cs="Times New Roman"/>
          </w:rPr>
          <m:t>±</m:t>
        </m:r>
      </m:oMath>
      <w:r w:rsidRPr="006660CE">
        <w:rPr>
          <w:rFonts w:ascii="Times New Roman" w:hAnsi="Times New Roman" w:cs="Times New Roman"/>
        </w:rPr>
        <w:t>0.00</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0.16</w:t>
      </w:r>
      <m:oMath>
        <m:r>
          <w:rPr>
            <w:rFonts w:ascii="Cambria Math" w:hAnsi="Times New Roman" w:cs="Times New Roman"/>
          </w:rPr>
          <m:t>±</m:t>
        </m:r>
      </m:oMath>
      <w:r w:rsidRPr="006660CE">
        <w:rPr>
          <w:rFonts w:ascii="Times New Roman" w:hAnsi="Times New Roman" w:cs="Times New Roman"/>
        </w:rPr>
        <w:t>0.00</w:t>
      </w:r>
    </w:p>
    <w:p w:rsidR="00927B55" w:rsidRPr="006660CE" w:rsidRDefault="006660CE" w:rsidP="00E204EC">
      <w:pPr>
        <w:ind w:left="1440" w:hanging="1440"/>
        <w:jc w:val="both"/>
        <w:rPr>
          <w:rFonts w:ascii="Times New Roman" w:hAnsi="Times New Roman" w:cs="Times New Roman"/>
        </w:rPr>
      </w:pPr>
      <w:r>
        <w:rPr>
          <w:rFonts w:ascii="Times New Roman" w:hAnsi="Times New Roman" w:cs="Times New Roman"/>
          <w:noProof/>
        </w:rPr>
        <w:pict>
          <v:shape id="_x0000_s1036" type="#_x0000_t32" style="position:absolute;left:0;text-align:left;margin-left:-24.65pt;margin-top:15.25pt;width:465.1pt;height:4.55pt;flip:y;z-index:251664384" o:connectortype="straight"/>
        </w:pict>
      </w:r>
      <w:r>
        <w:rPr>
          <w:rFonts w:ascii="Times New Roman" w:hAnsi="Times New Roman" w:cs="Times New Roman"/>
        </w:rPr>
        <w:t>Tyrosine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6660CE">
        <w:rPr>
          <w:rFonts w:ascii="Times New Roman" w:hAnsi="Times New Roman" w:cs="Times New Roman"/>
        </w:rPr>
        <w:t>0.19</w:t>
      </w:r>
      <m:oMath>
        <m:r>
          <w:rPr>
            <w:rFonts w:ascii="Cambria Math" w:hAnsi="Times New Roman" w:cs="Times New Roman"/>
          </w:rPr>
          <m:t>±</m:t>
        </m:r>
      </m:oMath>
      <w:r w:rsidRPr="006660CE">
        <w:rPr>
          <w:rFonts w:ascii="Times New Roman" w:hAnsi="Times New Roman" w:cs="Times New Roman"/>
        </w:rPr>
        <w:t>0.01</w:t>
      </w:r>
      <w:r w:rsidRPr="006660CE">
        <w:rPr>
          <w:rFonts w:ascii="Times New Roman" w:hAnsi="Times New Roman" w:cs="Times New Roman"/>
        </w:rPr>
        <w:tab/>
      </w:r>
      <w:r w:rsidRPr="006660CE">
        <w:rPr>
          <w:rFonts w:ascii="Times New Roman" w:hAnsi="Times New Roman" w:cs="Times New Roman"/>
        </w:rPr>
        <w:tab/>
      </w:r>
      <w:r w:rsidRPr="006660CE">
        <w:rPr>
          <w:rFonts w:ascii="Times New Roman" w:hAnsi="Times New Roman" w:cs="Times New Roman"/>
        </w:rPr>
        <w:tab/>
        <w:t>0.17</w:t>
      </w:r>
      <m:oMath>
        <m:r>
          <w:rPr>
            <w:rFonts w:ascii="Cambria Math" w:hAnsi="Times New Roman" w:cs="Times New Roman"/>
          </w:rPr>
          <m:t>±</m:t>
        </m:r>
      </m:oMath>
      <w:r w:rsidRPr="006660CE">
        <w:rPr>
          <w:rFonts w:ascii="Times New Roman" w:hAnsi="Times New Roman" w:cs="Times New Roman"/>
        </w:rPr>
        <w:t>0.01</w:t>
      </w:r>
    </w:p>
    <w:p w:rsidR="00C9147B" w:rsidRDefault="00C9147B" w:rsidP="00E204EC">
      <w:pPr>
        <w:spacing w:after="100" w:afterAutospacing="1"/>
        <w:ind w:left="1440" w:hanging="1440"/>
        <w:jc w:val="both"/>
        <w:rPr>
          <w:rFonts w:ascii="Times New Roman" w:eastAsia="Arial" w:hAnsi="Times New Roman"/>
          <w:b/>
          <w:color w:val="001D35"/>
          <w:shd w:val="clear" w:color="auto" w:fill="FFFFFF"/>
        </w:rPr>
      </w:pPr>
    </w:p>
    <w:p w:rsidR="00C9147B" w:rsidRPr="00AD1C3F" w:rsidRDefault="00C9147B" w:rsidP="00E204EC">
      <w:pPr>
        <w:spacing w:after="100" w:afterAutospacing="1"/>
        <w:ind w:left="1440" w:hanging="1440"/>
        <w:jc w:val="both"/>
        <w:rPr>
          <w:rFonts w:ascii="Times New Roman" w:hAnsi="Times New Roman"/>
          <w:color w:val="000000"/>
          <w:sz w:val="24"/>
          <w:szCs w:val="24"/>
        </w:rPr>
      </w:pPr>
      <w:r>
        <w:rPr>
          <w:rFonts w:ascii="Times New Roman" w:eastAsia="Arial" w:hAnsi="Times New Roman"/>
          <w:b/>
          <w:color w:val="001D35"/>
          <w:shd w:val="clear" w:color="auto" w:fill="FFFFFF"/>
        </w:rPr>
        <w:t xml:space="preserve">4.1.2 </w:t>
      </w:r>
      <w:r>
        <w:rPr>
          <w:rFonts w:ascii="Times New Roman" w:hAnsi="Times New Roman"/>
          <w:color w:val="000000"/>
          <w:sz w:val="24"/>
          <w:szCs w:val="24"/>
        </w:rPr>
        <w:t>F</w:t>
      </w:r>
      <w:r w:rsidRPr="00993C9A">
        <w:rPr>
          <w:rFonts w:ascii="Times New Roman" w:hAnsi="Times New Roman"/>
          <w:color w:val="000000"/>
          <w:sz w:val="24"/>
          <w:szCs w:val="24"/>
        </w:rPr>
        <w:t xml:space="preserve">atty acid composition showed significant differences between the local and standard RUTFs. The </w:t>
      </w:r>
      <w:r w:rsidRPr="00993C9A">
        <w:rPr>
          <w:rFonts w:ascii="Times New Roman" w:hAnsi="Times New Roman"/>
          <w:bCs/>
          <w:color w:val="000000"/>
          <w:sz w:val="24"/>
          <w:szCs w:val="24"/>
        </w:rPr>
        <w:t xml:space="preserve">local RUTF </w:t>
      </w:r>
      <w:r w:rsidRPr="00993C9A">
        <w:rPr>
          <w:rFonts w:ascii="Times New Roman" w:hAnsi="Times New Roman"/>
          <w:color w:val="000000"/>
          <w:sz w:val="24"/>
          <w:szCs w:val="24"/>
        </w:rPr>
        <w:t xml:space="preserve">demonstrated a favorable lipid profile characterized by high levels of </w:t>
      </w:r>
      <w:r w:rsidRPr="00993C9A">
        <w:rPr>
          <w:rFonts w:ascii="Times New Roman" w:hAnsi="Times New Roman"/>
          <w:bCs/>
          <w:color w:val="000000"/>
          <w:sz w:val="24"/>
          <w:szCs w:val="24"/>
        </w:rPr>
        <w:t>polyunsaturated fatty acids (PUFAs)</w:t>
      </w:r>
      <w:r w:rsidRPr="00993C9A">
        <w:rPr>
          <w:rFonts w:ascii="Times New Roman" w:hAnsi="Times New Roman"/>
          <w:color w:val="000000"/>
          <w:sz w:val="24"/>
          <w:szCs w:val="24"/>
        </w:rPr>
        <w:t xml:space="preserve"> and </w:t>
      </w:r>
      <w:r w:rsidRPr="00993C9A">
        <w:rPr>
          <w:rFonts w:ascii="Times New Roman" w:hAnsi="Times New Roman"/>
          <w:bCs/>
          <w:color w:val="000000"/>
          <w:sz w:val="24"/>
          <w:szCs w:val="24"/>
        </w:rPr>
        <w:t>monounsaturated fatty acids (MUFAs)</w:t>
      </w:r>
      <w:r w:rsidRPr="00993C9A">
        <w:rPr>
          <w:rFonts w:ascii="Times New Roman" w:hAnsi="Times New Roman"/>
          <w:color w:val="000000"/>
          <w:sz w:val="24"/>
          <w:szCs w:val="24"/>
        </w:rPr>
        <w:t>, which are beneficial for energy provision and neural development in children.</w:t>
      </w:r>
    </w:p>
    <w:p w:rsidR="00C9147B" w:rsidRDefault="00C9147B" w:rsidP="00E204EC">
      <w:pPr>
        <w:spacing w:after="100" w:afterAutospacing="1"/>
        <w:ind w:left="1440" w:hanging="1440"/>
        <w:jc w:val="both"/>
        <w:rPr>
          <w:rFonts w:ascii="Times New Roman" w:hAnsi="Times New Roman"/>
          <w:color w:val="000000"/>
          <w:sz w:val="24"/>
          <w:szCs w:val="24"/>
        </w:rPr>
      </w:pPr>
      <w:r w:rsidRPr="00993C9A">
        <w:rPr>
          <w:rFonts w:ascii="Times New Roman" w:hAnsi="Times New Roman"/>
          <w:color w:val="000000"/>
          <w:sz w:val="24"/>
          <w:szCs w:val="24"/>
        </w:rPr>
        <w:t xml:space="preserve">Specifically, </w:t>
      </w:r>
      <w:r w:rsidRPr="00993C9A">
        <w:rPr>
          <w:rFonts w:ascii="Times New Roman" w:hAnsi="Times New Roman"/>
          <w:bCs/>
          <w:color w:val="000000"/>
          <w:sz w:val="24"/>
          <w:szCs w:val="24"/>
        </w:rPr>
        <w:t>linoleic acid (46.53 ± 0.85%)</w:t>
      </w:r>
      <w:r w:rsidRPr="00993C9A">
        <w:rPr>
          <w:rFonts w:ascii="Times New Roman" w:hAnsi="Times New Roman"/>
          <w:color w:val="000000"/>
          <w:sz w:val="24"/>
          <w:szCs w:val="24"/>
        </w:rPr>
        <w:t xml:space="preserve"> and </w:t>
      </w:r>
      <w:r w:rsidRPr="00993C9A">
        <w:rPr>
          <w:rFonts w:ascii="Times New Roman" w:hAnsi="Times New Roman"/>
          <w:bCs/>
          <w:color w:val="000000"/>
          <w:sz w:val="24"/>
          <w:szCs w:val="24"/>
        </w:rPr>
        <w:t>linolenic acid (16.4 ± 0.74%)</w:t>
      </w:r>
      <w:r w:rsidRPr="00993C9A">
        <w:rPr>
          <w:rFonts w:ascii="Times New Roman" w:hAnsi="Times New Roman"/>
          <w:color w:val="000000"/>
          <w:sz w:val="24"/>
          <w:szCs w:val="24"/>
        </w:rPr>
        <w:t xml:space="preserve"> were substantially higher in the local RUTF compared to the standard formulation (38.58 ± 2.19% and 1.12 ± 0.10%, respectively). </w:t>
      </w:r>
    </w:p>
    <w:p w:rsidR="00C9147B" w:rsidRPr="00C9147B" w:rsidRDefault="00C9147B" w:rsidP="00E204EC">
      <w:pPr>
        <w:spacing w:after="100" w:afterAutospacing="1"/>
        <w:ind w:left="1440" w:hanging="1440"/>
        <w:jc w:val="both"/>
        <w:rPr>
          <w:rFonts w:ascii="Times New Roman" w:hAnsi="Times New Roman"/>
          <w:color w:val="000000"/>
          <w:sz w:val="24"/>
          <w:szCs w:val="24"/>
        </w:rPr>
      </w:pPr>
      <w:r w:rsidRPr="00993C9A">
        <w:rPr>
          <w:rFonts w:ascii="Times New Roman" w:hAnsi="Times New Roman"/>
          <w:color w:val="000000"/>
          <w:sz w:val="24"/>
          <w:szCs w:val="24"/>
        </w:rPr>
        <w:t xml:space="preserve">Furthermore, the </w:t>
      </w:r>
      <w:r w:rsidRPr="00993C9A">
        <w:rPr>
          <w:rFonts w:ascii="Times New Roman" w:hAnsi="Times New Roman"/>
          <w:bCs/>
          <w:color w:val="000000"/>
          <w:sz w:val="24"/>
          <w:szCs w:val="24"/>
        </w:rPr>
        <w:t>oleic acid</w:t>
      </w:r>
      <w:r w:rsidRPr="00993C9A">
        <w:rPr>
          <w:rFonts w:ascii="Times New Roman" w:hAnsi="Times New Roman"/>
          <w:color w:val="000000"/>
          <w:sz w:val="24"/>
          <w:szCs w:val="24"/>
        </w:rPr>
        <w:t xml:space="preserve"> content (14.62 ± 0.66%) in the local formulation was higher than that of the standard (12.5 ± 0.56%), reflecting the predominant use of </w:t>
      </w:r>
      <w:r w:rsidRPr="00993C9A">
        <w:rPr>
          <w:rFonts w:ascii="Times New Roman" w:hAnsi="Times New Roman"/>
          <w:bCs/>
          <w:color w:val="000000"/>
          <w:sz w:val="24"/>
          <w:szCs w:val="24"/>
        </w:rPr>
        <w:t xml:space="preserve">groundnut and </w:t>
      </w:r>
      <w:r w:rsidRPr="00993C9A">
        <w:rPr>
          <w:rFonts w:ascii="Times New Roman" w:hAnsi="Times New Roman"/>
          <w:bCs/>
          <w:color w:val="000000"/>
          <w:sz w:val="24"/>
          <w:szCs w:val="24"/>
        </w:rPr>
        <w:lastRenderedPageBreak/>
        <w:t>vegetable oil</w:t>
      </w:r>
      <w:r w:rsidRPr="00993C9A">
        <w:rPr>
          <w:rFonts w:ascii="Times New Roman" w:hAnsi="Times New Roman"/>
          <w:color w:val="000000"/>
          <w:sz w:val="24"/>
          <w:szCs w:val="24"/>
        </w:rPr>
        <w:t xml:space="preserve">, both rich sources of oleic acid. This fatty acid is known for its cardiovascular benefits and oxidative stability, enhancing the shelf life of the product. The </w:t>
      </w:r>
      <w:r w:rsidRPr="00993C9A">
        <w:rPr>
          <w:rFonts w:ascii="Times New Roman" w:hAnsi="Times New Roman"/>
          <w:bCs/>
          <w:color w:val="000000"/>
          <w:sz w:val="24"/>
          <w:szCs w:val="24"/>
        </w:rPr>
        <w:t>palmitic (19.10 ± 1.37%)</w:t>
      </w:r>
      <w:r w:rsidRPr="00993C9A">
        <w:rPr>
          <w:rFonts w:ascii="Times New Roman" w:hAnsi="Times New Roman"/>
          <w:color w:val="000000"/>
          <w:sz w:val="24"/>
          <w:szCs w:val="24"/>
        </w:rPr>
        <w:t xml:space="preserve"> and </w:t>
      </w:r>
      <w:r w:rsidRPr="00993C9A">
        <w:rPr>
          <w:rFonts w:ascii="Times New Roman" w:hAnsi="Times New Roman"/>
          <w:bCs/>
          <w:color w:val="000000"/>
          <w:sz w:val="24"/>
          <w:szCs w:val="24"/>
        </w:rPr>
        <w:t>stearic (4.89 ± 0.14%)</w:t>
      </w:r>
      <w:r w:rsidRPr="00993C9A">
        <w:rPr>
          <w:rFonts w:ascii="Times New Roman" w:hAnsi="Times New Roman"/>
          <w:color w:val="000000"/>
          <w:sz w:val="24"/>
          <w:szCs w:val="24"/>
        </w:rPr>
        <w:t xml:space="preserve"> acids were also slightly higher in the local formulation, con</w:t>
      </w:r>
      <w:r>
        <w:rPr>
          <w:rFonts w:ascii="Times New Roman" w:hAnsi="Times New Roman"/>
          <w:color w:val="000000"/>
          <w:sz w:val="24"/>
          <w:szCs w:val="24"/>
        </w:rPr>
        <w:t xml:space="preserve">tributing to its energy density </w:t>
      </w:r>
      <w:r w:rsidRPr="00993C9A">
        <w:rPr>
          <w:rFonts w:ascii="Times New Roman" w:hAnsi="Times New Roman"/>
          <w:color w:val="000000"/>
          <w:sz w:val="24"/>
          <w:szCs w:val="24"/>
        </w:rPr>
        <w:t>an important attribute for the recovery of severely malnourished children who require calorie</w:t>
      </w:r>
      <w:r>
        <w:rPr>
          <w:rFonts w:ascii="Times New Roman" w:hAnsi="Times New Roman"/>
          <w:color w:val="000000"/>
          <w:sz w:val="24"/>
          <w:szCs w:val="24"/>
        </w:rPr>
        <w:t>-dense foods.</w:t>
      </w:r>
    </w:p>
    <w:p w:rsidR="00DC2FC4" w:rsidRDefault="00C9147B" w:rsidP="00E204EC">
      <w:pPr>
        <w:spacing w:after="100" w:afterAutospacing="1"/>
        <w:ind w:left="1440" w:hanging="1440"/>
        <w:jc w:val="both"/>
        <w:rPr>
          <w:rFonts w:ascii="Times New Roman" w:hAnsi="Times New Roman"/>
          <w:b/>
          <w:bCs/>
          <w:color w:val="000000"/>
          <w:sz w:val="24"/>
          <w:szCs w:val="24"/>
        </w:rPr>
      </w:pPr>
      <w:r w:rsidRPr="00993C9A">
        <w:rPr>
          <w:rFonts w:ascii="Times New Roman" w:hAnsi="Times New Roman"/>
          <w:b/>
          <w:bCs/>
          <w:color w:val="000000"/>
          <w:sz w:val="24"/>
          <w:szCs w:val="24"/>
        </w:rPr>
        <w:object w:dxaOrig="10797" w:dyaOrig="59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37.75pt;height:270pt" o:ole="">
            <v:imagedata r:id="rId8" o:title=""/>
          </v:shape>
          <o:OLEObject Type="Embed" ProgID="Word.Document.12" ShapeID="_x0000_i1026" DrawAspect="Content" ObjectID="_1822555227" r:id="rId9"/>
        </w:object>
      </w:r>
    </w:p>
    <w:p w:rsidR="00DC2FC4" w:rsidRPr="00DC2FC4" w:rsidRDefault="00DC2FC4" w:rsidP="00E204EC">
      <w:pPr>
        <w:spacing w:after="100" w:afterAutospacing="1"/>
        <w:ind w:left="1440" w:hanging="1440"/>
        <w:jc w:val="both"/>
        <w:rPr>
          <w:rFonts w:ascii="Times New Roman" w:hAnsi="Times New Roman"/>
          <w:color w:val="000000"/>
          <w:sz w:val="24"/>
          <w:szCs w:val="24"/>
        </w:rPr>
      </w:pPr>
      <w:r>
        <w:rPr>
          <w:rFonts w:ascii="Times New Roman" w:hAnsi="Times New Roman"/>
          <w:b/>
          <w:bCs/>
          <w:color w:val="000000"/>
          <w:sz w:val="24"/>
          <w:szCs w:val="24"/>
        </w:rPr>
        <w:t xml:space="preserve">4.1.3 </w:t>
      </w:r>
      <w:r>
        <w:rPr>
          <w:rFonts w:ascii="Times New Roman" w:hAnsi="Times New Roman"/>
          <w:color w:val="000000"/>
          <w:sz w:val="24"/>
          <w:szCs w:val="24"/>
        </w:rPr>
        <w:t xml:space="preserve">The vitamin analysis revealed that the locally formulated RUTF contained higher concentrations of most vitamins compared to the standard formulation. </w:t>
      </w:r>
      <w:r>
        <w:rPr>
          <w:rFonts w:ascii="Times New Roman" w:hAnsi="Times New Roman"/>
          <w:bCs/>
          <w:color w:val="000000"/>
          <w:sz w:val="24"/>
          <w:szCs w:val="24"/>
        </w:rPr>
        <w:t>Vitamin B2 (1.07 ± 0.05 mg/100 g)</w:t>
      </w:r>
      <w:r>
        <w:rPr>
          <w:rFonts w:ascii="Times New Roman" w:hAnsi="Times New Roman"/>
          <w:color w:val="000000"/>
          <w:sz w:val="24"/>
          <w:szCs w:val="24"/>
        </w:rPr>
        <w:t xml:space="preserve">, </w:t>
      </w:r>
      <w:r>
        <w:rPr>
          <w:rFonts w:ascii="Times New Roman" w:hAnsi="Times New Roman"/>
          <w:bCs/>
          <w:color w:val="000000"/>
          <w:sz w:val="24"/>
          <w:szCs w:val="24"/>
        </w:rPr>
        <w:t>vitamin B6 (0.20 ± 0.12 mg/100 g)</w:t>
      </w:r>
      <w:r>
        <w:rPr>
          <w:rFonts w:ascii="Times New Roman" w:hAnsi="Times New Roman"/>
          <w:color w:val="000000"/>
          <w:sz w:val="24"/>
          <w:szCs w:val="24"/>
        </w:rPr>
        <w:t xml:space="preserve">, </w:t>
      </w:r>
      <w:r>
        <w:rPr>
          <w:rFonts w:ascii="Times New Roman" w:hAnsi="Times New Roman"/>
          <w:bCs/>
          <w:color w:val="000000"/>
          <w:sz w:val="24"/>
          <w:szCs w:val="24"/>
        </w:rPr>
        <w:t>vitamin C (0.47 ± 0.02 mg/100 g)</w:t>
      </w:r>
      <w:r>
        <w:rPr>
          <w:rFonts w:ascii="Times New Roman" w:hAnsi="Times New Roman"/>
          <w:color w:val="000000"/>
          <w:sz w:val="24"/>
          <w:szCs w:val="24"/>
        </w:rPr>
        <w:t xml:space="preserve">, </w:t>
      </w:r>
      <w:r>
        <w:rPr>
          <w:rFonts w:ascii="Times New Roman" w:hAnsi="Times New Roman"/>
          <w:bCs/>
          <w:color w:val="000000"/>
          <w:sz w:val="24"/>
          <w:szCs w:val="24"/>
        </w:rPr>
        <w:t>vitamin E (0.82 ± 0.01 mg/100 g)</w:t>
      </w:r>
      <w:r>
        <w:rPr>
          <w:rFonts w:ascii="Times New Roman" w:hAnsi="Times New Roman"/>
          <w:color w:val="000000"/>
          <w:sz w:val="24"/>
          <w:szCs w:val="24"/>
        </w:rPr>
        <w:t xml:space="preserve">, and </w:t>
      </w:r>
      <w:r>
        <w:rPr>
          <w:rFonts w:ascii="Times New Roman" w:hAnsi="Times New Roman"/>
          <w:bCs/>
          <w:color w:val="000000"/>
          <w:sz w:val="24"/>
          <w:szCs w:val="24"/>
        </w:rPr>
        <w:t>vitamin K (0.47 ± 0.02 mg/100 g)</w:t>
      </w:r>
      <w:r>
        <w:rPr>
          <w:rFonts w:ascii="Times New Roman" w:hAnsi="Times New Roman"/>
          <w:color w:val="000000"/>
          <w:sz w:val="24"/>
          <w:szCs w:val="24"/>
        </w:rPr>
        <w:t xml:space="preserve"> were all higher in the local formulation. This improvement can be attributed to the use of fresh, locally sourced ingredients and minimal processing, which helped preserve heat-sensitive vitamins.</w:t>
      </w:r>
    </w:p>
    <w:p w:rsidR="00DC2FC4" w:rsidRDefault="003A59C4" w:rsidP="00E204EC">
      <w:pPr>
        <w:spacing w:after="100" w:afterAutospacing="1"/>
        <w:ind w:left="1440" w:hanging="1440"/>
        <w:jc w:val="both"/>
        <w:rPr>
          <w:rFonts w:ascii="Times New Roman" w:hAnsi="Times New Roman"/>
          <w:color w:val="000000"/>
          <w:sz w:val="24"/>
          <w:szCs w:val="24"/>
        </w:rPr>
      </w:pPr>
      <w:r w:rsidRPr="00993C9A">
        <w:rPr>
          <w:rFonts w:ascii="Times New Roman" w:hAnsi="Times New Roman"/>
          <w:color w:val="000000"/>
          <w:sz w:val="24"/>
          <w:szCs w:val="24"/>
        </w:rPr>
        <w:object w:dxaOrig="10406" w:dyaOrig="5863">
          <v:shape id="_x0000_i1025" type="#_x0000_t75" style="width:520.5pt;height:293.25pt" o:ole="">
            <v:imagedata r:id="rId10" o:title=""/>
          </v:shape>
          <o:OLEObject Type="Embed" ProgID="Word.Document.12" ShapeID="_x0000_i1025" DrawAspect="Content" ObjectID="_1822555228" r:id="rId11"/>
        </w:object>
      </w:r>
    </w:p>
    <w:p w:rsidR="00D5787A" w:rsidRPr="00DC2FC4" w:rsidRDefault="00DC2FC4" w:rsidP="00E204EC">
      <w:pPr>
        <w:spacing w:after="100" w:afterAutospacing="1"/>
        <w:ind w:left="1440" w:hanging="1440"/>
        <w:jc w:val="both"/>
        <w:rPr>
          <w:rFonts w:ascii="Times New Roman" w:hAnsi="Times New Roman"/>
          <w:color w:val="000000"/>
          <w:sz w:val="24"/>
          <w:szCs w:val="24"/>
        </w:rPr>
      </w:pPr>
      <w:r>
        <w:rPr>
          <w:rFonts w:ascii="Times New Roman" w:hAnsi="Times New Roman"/>
          <w:b/>
          <w:color w:val="000000"/>
          <w:sz w:val="24"/>
          <w:szCs w:val="24"/>
        </w:rPr>
        <w:t>4.2</w:t>
      </w:r>
      <w:r w:rsidR="00D5787A" w:rsidRPr="00D5787A">
        <w:rPr>
          <w:rFonts w:ascii="Times New Roman" w:hAnsi="Times New Roman"/>
          <w:b/>
          <w:color w:val="000000"/>
          <w:sz w:val="24"/>
          <w:szCs w:val="24"/>
        </w:rPr>
        <w:t>DISCUSSION</w:t>
      </w:r>
    </w:p>
    <w:p w:rsidR="00D5787A" w:rsidRDefault="00DC2FC4" w:rsidP="00E204EC">
      <w:pPr>
        <w:spacing w:after="100" w:afterAutospacing="1"/>
        <w:ind w:left="1440" w:hanging="1440"/>
        <w:jc w:val="both"/>
        <w:rPr>
          <w:rFonts w:ascii="Times New Roman" w:hAnsi="Times New Roman"/>
          <w:b/>
          <w:color w:val="000000"/>
          <w:sz w:val="24"/>
          <w:szCs w:val="24"/>
        </w:rPr>
      </w:pPr>
      <w:r>
        <w:rPr>
          <w:rFonts w:ascii="Times New Roman" w:hAnsi="Times New Roman"/>
          <w:b/>
          <w:color w:val="000000"/>
          <w:sz w:val="24"/>
          <w:szCs w:val="24"/>
        </w:rPr>
        <w:t>4.2</w:t>
      </w:r>
      <w:r w:rsidR="00D5787A">
        <w:rPr>
          <w:rFonts w:ascii="Times New Roman" w:hAnsi="Times New Roman"/>
          <w:b/>
          <w:color w:val="000000"/>
          <w:sz w:val="24"/>
          <w:szCs w:val="24"/>
        </w:rPr>
        <w:t>.1</w:t>
      </w:r>
      <w:r w:rsidR="00D5787A" w:rsidRPr="00D5787A">
        <w:rPr>
          <w:rFonts w:ascii="Times New Roman" w:hAnsi="Times New Roman"/>
          <w:b/>
          <w:bCs/>
          <w:color w:val="000000"/>
          <w:sz w:val="24"/>
          <w:szCs w:val="24"/>
        </w:rPr>
        <w:t xml:space="preserve"> </w:t>
      </w:r>
      <w:r w:rsidR="00D5787A" w:rsidRPr="00CD493B">
        <w:rPr>
          <w:rFonts w:ascii="Times New Roman" w:hAnsi="Times New Roman"/>
          <w:b/>
          <w:bCs/>
          <w:color w:val="000000"/>
          <w:sz w:val="24"/>
          <w:szCs w:val="24"/>
        </w:rPr>
        <w:t>Amino Acid Composition of Locally Formulated RUTF</w:t>
      </w:r>
    </w:p>
    <w:p w:rsidR="00E964CD" w:rsidRDefault="00D5787A" w:rsidP="00E204EC">
      <w:pPr>
        <w:spacing w:after="100" w:afterAutospacing="1"/>
        <w:ind w:left="1440" w:hanging="1440"/>
        <w:jc w:val="both"/>
        <w:rPr>
          <w:rFonts w:ascii="Times New Roman" w:hAnsi="Times New Roman"/>
          <w:color w:val="000000"/>
          <w:sz w:val="24"/>
          <w:szCs w:val="24"/>
        </w:rPr>
      </w:pPr>
      <w:r>
        <w:rPr>
          <w:rFonts w:ascii="Times New Roman" w:hAnsi="Times New Roman"/>
          <w:color w:val="000000"/>
          <w:sz w:val="24"/>
          <w:szCs w:val="24"/>
        </w:rPr>
        <w:t xml:space="preserve">Glycine is a crucial non-essential amino acid that supports protein synthesis, collagen formation, and overall tissue repair, which are vital in malnourished children undergoing rehabilitation. The high histidine content further contributes to hemoglobin synthesis and tissue growth, aligning with reports by (Forouadi </w:t>
      </w:r>
      <w:r w:rsidRPr="00993C9A">
        <w:rPr>
          <w:rFonts w:ascii="Times New Roman" w:hAnsi="Times New Roman"/>
          <w:i/>
          <w:color w:val="000000"/>
          <w:sz w:val="24"/>
          <w:szCs w:val="24"/>
        </w:rPr>
        <w:t>et al.</w:t>
      </w:r>
      <w:r>
        <w:rPr>
          <w:rFonts w:ascii="Times New Roman" w:hAnsi="Times New Roman"/>
          <w:color w:val="000000"/>
          <w:sz w:val="24"/>
          <w:szCs w:val="24"/>
        </w:rPr>
        <w:t>, 2018), who emphasized the significance of histidine in rapid growth and immune system function.</w:t>
      </w:r>
      <w:r w:rsidRPr="00D5787A">
        <w:rPr>
          <w:rFonts w:ascii="Times New Roman" w:hAnsi="Times New Roman"/>
          <w:color w:val="000000"/>
          <w:sz w:val="24"/>
          <w:szCs w:val="24"/>
        </w:rPr>
        <w:t xml:space="preserve"> </w:t>
      </w:r>
      <w:r>
        <w:rPr>
          <w:rFonts w:ascii="Times New Roman" w:hAnsi="Times New Roman"/>
          <w:color w:val="000000"/>
          <w:sz w:val="24"/>
          <w:szCs w:val="24"/>
        </w:rPr>
        <w:t>Suggesting that the combination of groundnut and milk in the formulation contributed to improved essential amino acid availability.</w:t>
      </w:r>
    </w:p>
    <w:p w:rsidR="00E964CD" w:rsidRDefault="00E964CD" w:rsidP="00E204EC">
      <w:pPr>
        <w:spacing w:after="100" w:afterAutospacing="1"/>
        <w:ind w:left="1440" w:hanging="1440"/>
        <w:jc w:val="both"/>
        <w:rPr>
          <w:rFonts w:ascii="Times New Roman" w:hAnsi="Times New Roman"/>
          <w:color w:val="000000"/>
          <w:sz w:val="24"/>
          <w:szCs w:val="24"/>
        </w:rPr>
      </w:pPr>
      <w:r>
        <w:rPr>
          <w:rFonts w:ascii="Times New Roman" w:hAnsi="Times New Roman"/>
          <w:color w:val="000000"/>
          <w:sz w:val="24"/>
          <w:szCs w:val="24"/>
        </w:rPr>
        <w:t xml:space="preserve">These amino acids are typically limiting in legume-based foods such as groundnuts. This finding corresponds with the observations of (Akomop </w:t>
      </w:r>
      <w:r w:rsidRPr="00993C9A">
        <w:rPr>
          <w:rFonts w:ascii="Times New Roman" w:hAnsi="Times New Roman"/>
          <w:i/>
          <w:color w:val="000000"/>
          <w:sz w:val="24"/>
          <w:szCs w:val="24"/>
        </w:rPr>
        <w:t>et al.,</w:t>
      </w:r>
      <w:r>
        <w:rPr>
          <w:rFonts w:ascii="Times New Roman" w:hAnsi="Times New Roman"/>
          <w:color w:val="000000"/>
          <w:sz w:val="24"/>
          <w:szCs w:val="24"/>
        </w:rPr>
        <w:t xml:space="preserve"> 2019), who noted that legumes often lack sulfur-containing amino acids such as methionine and cysteine. Despite this, the overall amino acid composition of the local RUTF remains adequate for the nutritional rehabilitation of children suffering from severe acute malnutrition (SAM) or moderate acute malnutrition (MAM).</w:t>
      </w:r>
      <w:r w:rsidRPr="00E964CD">
        <w:rPr>
          <w:rFonts w:ascii="Times New Roman" w:hAnsi="Times New Roman"/>
          <w:color w:val="000000"/>
          <w:sz w:val="24"/>
          <w:szCs w:val="24"/>
        </w:rPr>
        <w:t xml:space="preserve"> </w:t>
      </w:r>
      <w:r>
        <w:rPr>
          <w:rFonts w:ascii="Times New Roman" w:hAnsi="Times New Roman"/>
          <w:color w:val="000000"/>
          <w:sz w:val="24"/>
          <w:szCs w:val="24"/>
        </w:rPr>
        <w:t xml:space="preserve">In summary, the amino acid results confirm that the locally formulated RUTF is rich </w:t>
      </w:r>
      <w:r>
        <w:rPr>
          <w:rFonts w:ascii="Times New Roman" w:hAnsi="Times New Roman"/>
          <w:color w:val="000000"/>
          <w:sz w:val="24"/>
          <w:szCs w:val="24"/>
        </w:rPr>
        <w:lastRenderedPageBreak/>
        <w:t>in both essential and non-essential amino acids, providing sufficient protein quality for child nutrition rehabilitation</w:t>
      </w:r>
    </w:p>
    <w:p w:rsidR="00D5787A" w:rsidRDefault="00DC2FC4" w:rsidP="00E204EC">
      <w:pPr>
        <w:spacing w:after="100" w:afterAutospacing="1"/>
        <w:ind w:left="1440" w:hanging="1440"/>
        <w:jc w:val="both"/>
        <w:rPr>
          <w:rFonts w:ascii="Times New Roman" w:hAnsi="Times New Roman"/>
          <w:b/>
          <w:bCs/>
          <w:color w:val="000000"/>
          <w:sz w:val="24"/>
          <w:szCs w:val="24"/>
        </w:rPr>
      </w:pPr>
      <w:r>
        <w:rPr>
          <w:rFonts w:ascii="Times New Roman" w:hAnsi="Times New Roman"/>
          <w:b/>
          <w:color w:val="000000"/>
          <w:sz w:val="24"/>
          <w:szCs w:val="24"/>
        </w:rPr>
        <w:t>4.2</w:t>
      </w:r>
      <w:r w:rsidR="00244A85" w:rsidRPr="00244A85">
        <w:rPr>
          <w:rFonts w:ascii="Times New Roman" w:hAnsi="Times New Roman"/>
          <w:b/>
          <w:color w:val="000000"/>
          <w:sz w:val="24"/>
          <w:szCs w:val="24"/>
        </w:rPr>
        <w:t>.2</w:t>
      </w:r>
      <w:r w:rsidR="00244A85" w:rsidRPr="00244A85">
        <w:rPr>
          <w:rFonts w:ascii="Times New Roman" w:hAnsi="Times New Roman"/>
          <w:b/>
          <w:bCs/>
          <w:color w:val="000000"/>
          <w:sz w:val="24"/>
          <w:szCs w:val="24"/>
        </w:rPr>
        <w:t xml:space="preserve"> </w:t>
      </w:r>
      <w:r w:rsidR="00244A85" w:rsidRPr="00C325A6">
        <w:rPr>
          <w:rFonts w:ascii="Times New Roman" w:hAnsi="Times New Roman"/>
          <w:b/>
          <w:bCs/>
          <w:color w:val="000000"/>
          <w:sz w:val="24"/>
          <w:szCs w:val="24"/>
        </w:rPr>
        <w:t>Fatty Acid Profile of Locally Formulated RUTF</w:t>
      </w:r>
    </w:p>
    <w:p w:rsidR="00C9147B" w:rsidRDefault="00C9147B" w:rsidP="00E204EC">
      <w:pPr>
        <w:spacing w:after="100" w:afterAutospacing="1"/>
        <w:ind w:left="1440" w:hanging="1440"/>
        <w:jc w:val="both"/>
        <w:rPr>
          <w:rFonts w:ascii="Times New Roman" w:hAnsi="Times New Roman"/>
          <w:color w:val="000000"/>
          <w:sz w:val="24"/>
          <w:szCs w:val="24"/>
        </w:rPr>
      </w:pPr>
      <w:r w:rsidRPr="00993C9A">
        <w:rPr>
          <w:rFonts w:ascii="Times New Roman" w:hAnsi="Times New Roman"/>
          <w:color w:val="000000"/>
          <w:sz w:val="24"/>
          <w:szCs w:val="24"/>
        </w:rPr>
        <w:t>Linoleic and linolenic acids are essential fatty acids of the omega-6 and omega-3 families that the human body cannot synthesize, yet they play critical roles in brain development, immune function, and regulation of inflammation. The elevated levels in the local formulation suggest a nutritionally superior balance of essential fatty acids, consistent with WHO recommendations for RUTF lipid composition.</w:t>
      </w:r>
    </w:p>
    <w:p w:rsidR="00C9147B" w:rsidRDefault="00C9147B" w:rsidP="00E204EC">
      <w:pPr>
        <w:spacing w:after="100" w:afterAutospacing="1"/>
        <w:ind w:left="1440" w:hanging="1440"/>
        <w:jc w:val="both"/>
        <w:rPr>
          <w:rFonts w:ascii="Times New Roman" w:hAnsi="Times New Roman"/>
          <w:color w:val="000000"/>
          <w:sz w:val="24"/>
          <w:szCs w:val="24"/>
        </w:rPr>
      </w:pPr>
      <w:r w:rsidRPr="00993C9A">
        <w:rPr>
          <w:rFonts w:ascii="Times New Roman" w:hAnsi="Times New Roman"/>
          <w:color w:val="000000"/>
          <w:sz w:val="24"/>
          <w:szCs w:val="24"/>
        </w:rPr>
        <w:t xml:space="preserve">However, elevated saturated fatty acids should be carefully balanced to maintain product healthiness and avoid excessive fat intake. Overall, the fatty acid results demonstrate that the locally formulated RUTF contains an ideal mix of saturated and unsaturated fatty acids, providing both energy and essential lipid nutrients required for child growth and rehabilitation. These results are consistent with findings by (Hrubsa </w:t>
      </w:r>
      <w:r w:rsidRPr="00660138">
        <w:rPr>
          <w:rFonts w:ascii="Times New Roman" w:hAnsi="Times New Roman"/>
          <w:i/>
          <w:color w:val="000000"/>
          <w:sz w:val="24"/>
          <w:szCs w:val="24"/>
        </w:rPr>
        <w:t>et al.,</w:t>
      </w:r>
      <w:r w:rsidRPr="00993C9A">
        <w:rPr>
          <w:rFonts w:ascii="Times New Roman" w:hAnsi="Times New Roman"/>
          <w:color w:val="000000"/>
          <w:sz w:val="24"/>
          <w:szCs w:val="24"/>
        </w:rPr>
        <w:t xml:space="preserve"> 2022), who emphasized the significance of PUFAs in suppor</w:t>
      </w:r>
      <w:r>
        <w:rPr>
          <w:rFonts w:ascii="Times New Roman" w:hAnsi="Times New Roman"/>
          <w:color w:val="000000"/>
          <w:sz w:val="24"/>
          <w:szCs w:val="24"/>
        </w:rPr>
        <w:t>ting recovery from malnutrition.</w:t>
      </w:r>
    </w:p>
    <w:p w:rsidR="00C9147B" w:rsidRDefault="00C9147B" w:rsidP="00E204EC">
      <w:pPr>
        <w:spacing w:after="100" w:afterAutospacing="1"/>
        <w:ind w:left="1440" w:hanging="1440"/>
        <w:jc w:val="both"/>
        <w:rPr>
          <w:rFonts w:ascii="Times New Roman" w:hAnsi="Times New Roman"/>
          <w:color w:val="000000"/>
          <w:sz w:val="24"/>
          <w:szCs w:val="24"/>
        </w:rPr>
      </w:pPr>
    </w:p>
    <w:p w:rsidR="00244A85" w:rsidRDefault="00DC2FC4" w:rsidP="00E204EC">
      <w:pPr>
        <w:spacing w:after="100" w:afterAutospacing="1"/>
        <w:ind w:left="1440" w:hanging="1440"/>
        <w:jc w:val="both"/>
        <w:rPr>
          <w:rFonts w:ascii="Times New Roman" w:hAnsi="Times New Roman"/>
          <w:bCs/>
          <w:color w:val="000000"/>
          <w:sz w:val="24"/>
          <w:szCs w:val="24"/>
        </w:rPr>
      </w:pPr>
      <w:r>
        <w:rPr>
          <w:rFonts w:ascii="Times New Roman" w:hAnsi="Times New Roman"/>
          <w:b/>
          <w:bCs/>
          <w:color w:val="000000"/>
          <w:sz w:val="24"/>
          <w:szCs w:val="24"/>
        </w:rPr>
        <w:t>4.2</w:t>
      </w:r>
      <w:r w:rsidR="00244A85">
        <w:rPr>
          <w:rFonts w:ascii="Times New Roman" w:hAnsi="Times New Roman"/>
          <w:b/>
          <w:bCs/>
          <w:color w:val="000000"/>
          <w:sz w:val="24"/>
          <w:szCs w:val="24"/>
        </w:rPr>
        <w:t xml:space="preserve">.3 </w:t>
      </w:r>
      <w:r w:rsidR="00244A85" w:rsidRPr="00CD493B">
        <w:rPr>
          <w:rFonts w:ascii="Times New Roman" w:hAnsi="Times New Roman"/>
          <w:b/>
          <w:bCs/>
          <w:color w:val="000000"/>
          <w:sz w:val="24"/>
          <w:szCs w:val="24"/>
        </w:rPr>
        <w:t>Vitamin Composition of Locally Formulated RUT</w:t>
      </w:r>
      <w:r w:rsidR="00244A85">
        <w:rPr>
          <w:rFonts w:ascii="Times New Roman" w:hAnsi="Times New Roman"/>
          <w:bCs/>
          <w:color w:val="000000"/>
          <w:sz w:val="24"/>
          <w:szCs w:val="24"/>
        </w:rPr>
        <w:t>F</w:t>
      </w:r>
    </w:p>
    <w:p w:rsidR="00244A85" w:rsidRPr="00244A85" w:rsidRDefault="00244A85" w:rsidP="00E204EC">
      <w:pPr>
        <w:spacing w:after="100" w:afterAutospacing="1"/>
        <w:ind w:left="1440" w:hanging="1440"/>
        <w:jc w:val="both"/>
        <w:rPr>
          <w:rFonts w:ascii="Times New Roman" w:hAnsi="Times New Roman"/>
          <w:bCs/>
          <w:color w:val="000000"/>
          <w:sz w:val="24"/>
          <w:szCs w:val="24"/>
        </w:rPr>
      </w:pPr>
      <w:r>
        <w:rPr>
          <w:rFonts w:ascii="Times New Roman" w:hAnsi="Times New Roman"/>
          <w:color w:val="000000"/>
          <w:sz w:val="24"/>
          <w:szCs w:val="24"/>
        </w:rPr>
        <w:t xml:space="preserve">The higher </w:t>
      </w:r>
      <w:r>
        <w:rPr>
          <w:rFonts w:ascii="Times New Roman" w:hAnsi="Times New Roman"/>
          <w:bCs/>
          <w:color w:val="000000"/>
          <w:sz w:val="24"/>
          <w:szCs w:val="24"/>
        </w:rPr>
        <w:t>vitamin E</w:t>
      </w:r>
      <w:r>
        <w:rPr>
          <w:rFonts w:ascii="Times New Roman" w:hAnsi="Times New Roman"/>
          <w:color w:val="000000"/>
          <w:sz w:val="24"/>
          <w:szCs w:val="24"/>
        </w:rPr>
        <w:t xml:space="preserve"> content in particular is notable, as it provides antioxidant protection that supports immune function and reduces oxidative stress in malnourished children. The slightly higher </w:t>
      </w:r>
      <w:r>
        <w:rPr>
          <w:rFonts w:ascii="Times New Roman" w:hAnsi="Times New Roman"/>
          <w:bCs/>
          <w:color w:val="000000"/>
          <w:sz w:val="24"/>
          <w:szCs w:val="24"/>
        </w:rPr>
        <w:t>vitamin C</w:t>
      </w:r>
      <w:r>
        <w:rPr>
          <w:rFonts w:ascii="Times New Roman" w:hAnsi="Times New Roman"/>
          <w:color w:val="000000"/>
          <w:sz w:val="24"/>
          <w:szCs w:val="24"/>
        </w:rPr>
        <w:t xml:space="preserve"> level enhances iron absorption and strengthens resistance against infections, which is crucial for recovery during therapeutic feeding. The </w:t>
      </w:r>
      <w:r>
        <w:rPr>
          <w:rFonts w:ascii="Times New Roman" w:hAnsi="Times New Roman"/>
          <w:bCs/>
          <w:color w:val="000000"/>
          <w:sz w:val="24"/>
          <w:szCs w:val="24"/>
        </w:rPr>
        <w:t>fat-soluble vitamins</w:t>
      </w:r>
      <w:r>
        <w:rPr>
          <w:rFonts w:ascii="Times New Roman" w:hAnsi="Times New Roman"/>
          <w:color w:val="000000"/>
          <w:sz w:val="24"/>
          <w:szCs w:val="24"/>
        </w:rPr>
        <w:t xml:space="preserve"> (A, E, and K) were well represented, suggesting that the lipid matrix of the RUTF effectively retained and protected these micronutrients, consistent with the observations of (Forouadi </w:t>
      </w:r>
      <w:r w:rsidRPr="00660138">
        <w:rPr>
          <w:rFonts w:ascii="Times New Roman" w:hAnsi="Times New Roman"/>
          <w:i/>
          <w:color w:val="000000"/>
          <w:sz w:val="24"/>
          <w:szCs w:val="24"/>
        </w:rPr>
        <w:t>et al.</w:t>
      </w:r>
      <w:r>
        <w:rPr>
          <w:rFonts w:ascii="Times New Roman" w:hAnsi="Times New Roman"/>
          <w:color w:val="000000"/>
          <w:sz w:val="24"/>
          <w:szCs w:val="24"/>
        </w:rPr>
        <w:t>, 2018), who highlighted the stabilizing role of fats in vitamin preservation during RUTF production.</w:t>
      </w:r>
    </w:p>
    <w:p w:rsidR="00C9147B" w:rsidRDefault="00244A85" w:rsidP="00E204EC">
      <w:pPr>
        <w:spacing w:after="100" w:afterAutospacing="1"/>
        <w:ind w:left="1440" w:hanging="1440"/>
        <w:jc w:val="both"/>
        <w:rPr>
          <w:rFonts w:ascii="Times New Roman" w:hAnsi="Times New Roman"/>
          <w:color w:val="000000"/>
          <w:sz w:val="24"/>
          <w:szCs w:val="24"/>
        </w:rPr>
      </w:pPr>
      <w:r>
        <w:rPr>
          <w:rFonts w:ascii="Times New Roman" w:hAnsi="Times New Roman"/>
          <w:color w:val="000000"/>
          <w:sz w:val="24"/>
          <w:szCs w:val="24"/>
        </w:rPr>
        <w:t xml:space="preserve">The </w:t>
      </w:r>
      <w:r>
        <w:rPr>
          <w:rFonts w:ascii="Times New Roman" w:hAnsi="Times New Roman"/>
          <w:bCs/>
          <w:color w:val="000000"/>
          <w:sz w:val="24"/>
          <w:szCs w:val="24"/>
        </w:rPr>
        <w:t>vitamin B-complex</w:t>
      </w:r>
      <w:r>
        <w:rPr>
          <w:rFonts w:ascii="Times New Roman" w:hAnsi="Times New Roman"/>
          <w:color w:val="000000"/>
          <w:sz w:val="24"/>
          <w:szCs w:val="24"/>
        </w:rPr>
        <w:t xml:space="preserve"> (B2, B6, B12, and folate) was adequately supplied, supporting enzymatic and metabolic processes essential for energy release, nervous system function, and red blood cell formation. These results indicate that the local RUTF meets the recommended vitamin standards for therapeutic foods as set by UNICEF and WHO, thus validating its potential for large-scale application in malnutrition treatment programs.</w:t>
      </w:r>
    </w:p>
    <w:p w:rsidR="00C9147B" w:rsidRDefault="00DC2FC4" w:rsidP="00E204EC">
      <w:pPr>
        <w:spacing w:after="100" w:afterAutospacing="1"/>
        <w:ind w:left="1440" w:hanging="1440"/>
        <w:jc w:val="both"/>
        <w:rPr>
          <w:rFonts w:ascii="Times New Roman" w:hAnsi="Times New Roman"/>
          <w:color w:val="000000"/>
          <w:sz w:val="24"/>
          <w:szCs w:val="24"/>
        </w:rPr>
      </w:pPr>
      <w:r>
        <w:rPr>
          <w:rFonts w:ascii="Times New Roman" w:eastAsia="Times New Roman" w:hAnsi="Times New Roman" w:cs="Times New Roman"/>
          <w:b/>
        </w:rPr>
        <w:t>4.3</w:t>
      </w:r>
      <w:r w:rsidR="00A37FB6" w:rsidRPr="00D5787A">
        <w:rPr>
          <w:rFonts w:ascii="Times New Roman" w:eastAsia="Times New Roman" w:hAnsi="Times New Roman" w:cs="Times New Roman"/>
          <w:b/>
        </w:rPr>
        <w:t xml:space="preserve"> CONCLUSION</w:t>
      </w:r>
    </w:p>
    <w:p w:rsidR="00DC2FC4" w:rsidRDefault="00A37FB6" w:rsidP="00E204EC">
      <w:pPr>
        <w:spacing w:after="100" w:afterAutospacing="1"/>
        <w:ind w:left="1440" w:hanging="1440"/>
        <w:jc w:val="both"/>
        <w:rPr>
          <w:rFonts w:ascii="Times New Roman" w:eastAsia="Times New Roman" w:hAnsi="Times New Roman" w:cs="Times New Roman"/>
          <w:sz w:val="24"/>
          <w:szCs w:val="24"/>
        </w:rPr>
      </w:pPr>
      <w:r w:rsidRPr="00A37FB6">
        <w:rPr>
          <w:rFonts w:ascii="Times New Roman" w:eastAsia="Times New Roman" w:hAnsi="Times New Roman" w:cs="Times New Roman"/>
          <w:sz w:val="24"/>
          <w:szCs w:val="24"/>
        </w:rPr>
        <w:lastRenderedPageBreak/>
        <w:t>Ready</w:t>
      </w:r>
      <w:r w:rsidRPr="00D5787A">
        <w:rPr>
          <w:rFonts w:ascii="Times New Roman" w:eastAsia="Times New Roman" w:hAnsi="Times New Roman" w:cs="Times New Roman"/>
          <w:sz w:val="24"/>
          <w:szCs w:val="24"/>
        </w:rPr>
        <w:t>-to-U</w:t>
      </w:r>
      <w:r>
        <w:rPr>
          <w:rFonts w:ascii="Times New Roman" w:eastAsia="Times New Roman" w:hAnsi="Times New Roman" w:cs="Times New Roman"/>
          <w:sz w:val="24"/>
          <w:szCs w:val="24"/>
        </w:rPr>
        <w:t xml:space="preserve">se Therapeutic Food (RUTF) </w:t>
      </w:r>
      <w:r w:rsidRPr="00A37FB6">
        <w:rPr>
          <w:rFonts w:ascii="Times New Roman" w:eastAsia="Times New Roman" w:hAnsi="Times New Roman" w:cs="Times New Roman"/>
          <w:sz w:val="24"/>
          <w:szCs w:val="24"/>
        </w:rPr>
        <w:t>or Ready-to-Use Supplementary Food (RUSF) have been widely used in home-based treatment for severely and moderately acute malnourished children. These products have been deemed very effective at short-term nutritional recovery in children and have shown substantial success. RUTF and RUSF are expected to be given in combination with local diets to fulfill the dietary recommendation of SAM and MAM children. The new formulation of RUTF/RUSF based on locally available foods is projected to be efficient and more cost-effective for treating MAM and SAM children</w:t>
      </w:r>
      <w:r w:rsidRPr="00A37FB6">
        <w:rPr>
          <w:rFonts w:ascii="Times New Roman" w:eastAsia="Times New Roman" w:hAnsi="Times New Roman" w:cs="Times New Roman"/>
          <w:b/>
          <w:bCs/>
          <w:sz w:val="24"/>
          <w:szCs w:val="24"/>
        </w:rPr>
        <w:t>.</w:t>
      </w:r>
      <w:r w:rsidRPr="00A37FB6">
        <w:rPr>
          <w:rFonts w:ascii="Times New Roman" w:eastAsia="Times New Roman" w:hAnsi="Times New Roman" w:cs="Times New Roman"/>
          <w:sz w:val="24"/>
          <w:szCs w:val="24"/>
        </w:rPr>
        <w:t> Taking into account regional preferences, closeness to their intended consumers, and accessibility to raw materials, and production sustainability, locally generated RUF/RUTF can be used for MAM/SAM processing that is safe and sustainable. Our findings presented the importance of development of such food supplements based on the local food resources and with improved technology for prevention and rehabilitation of malnourished children, which encourage the development in another developing country with similar nutritional problem. The results underscore the significance of developing food supplements using local resources and enhanced technology for the prevention and rehabilitation of malnourished children. Furthermore, the review findings encourage creation of such food supplements in other developing countries facing similar nutritional challenges</w:t>
      </w:r>
      <w:r w:rsidR="00DC2FC4">
        <w:rPr>
          <w:rFonts w:ascii="Times New Roman" w:eastAsia="Times New Roman" w:hAnsi="Times New Roman" w:cs="Times New Roman"/>
          <w:sz w:val="24"/>
          <w:szCs w:val="24"/>
        </w:rPr>
        <w:t>.</w:t>
      </w:r>
    </w:p>
    <w:p w:rsidR="00D5787A" w:rsidRPr="00DC2FC4" w:rsidRDefault="00DC2FC4" w:rsidP="00E204EC">
      <w:pPr>
        <w:spacing w:after="100" w:afterAutospacing="1"/>
        <w:ind w:left="1440" w:hanging="1440"/>
        <w:jc w:val="both"/>
        <w:rPr>
          <w:rFonts w:ascii="Times New Roman" w:hAnsi="Times New Roman"/>
          <w:b/>
          <w:color w:val="000000"/>
          <w:sz w:val="24"/>
          <w:szCs w:val="24"/>
        </w:rPr>
      </w:pPr>
      <w:r>
        <w:rPr>
          <w:rFonts w:ascii="Times New Roman" w:hAnsi="Times New Roman"/>
          <w:b/>
          <w:color w:val="000000"/>
          <w:sz w:val="24"/>
          <w:szCs w:val="24"/>
        </w:rPr>
        <w:t xml:space="preserve">4.4 </w:t>
      </w:r>
      <w:r w:rsidR="00C325A6" w:rsidRPr="00DC2FC4">
        <w:rPr>
          <w:rFonts w:ascii="Times New Roman" w:hAnsi="Times New Roman"/>
          <w:b/>
          <w:bCs/>
          <w:color w:val="000000"/>
          <w:sz w:val="24"/>
          <w:szCs w:val="24"/>
        </w:rPr>
        <w:t>RECOMMENDATIONS</w:t>
      </w:r>
    </w:p>
    <w:p w:rsidR="00C325A6" w:rsidRPr="00D5787A" w:rsidRDefault="00C325A6" w:rsidP="00E204EC">
      <w:pPr>
        <w:shd w:val="clear" w:color="auto" w:fill="FFFFFF"/>
        <w:spacing w:after="100" w:afterAutospacing="1"/>
        <w:ind w:left="1440" w:hanging="1440"/>
        <w:outlineLvl w:val="2"/>
        <w:rPr>
          <w:rFonts w:ascii="Times New Roman" w:hAnsi="Times New Roman"/>
          <w:b/>
          <w:bCs/>
          <w:color w:val="000000"/>
          <w:sz w:val="24"/>
          <w:szCs w:val="24"/>
        </w:rPr>
      </w:pPr>
      <w:r w:rsidRPr="00D5787A">
        <w:rPr>
          <w:rFonts w:ascii="Times New Roman" w:hAnsi="Times New Roman"/>
          <w:color w:val="000000"/>
          <w:sz w:val="24"/>
          <w:szCs w:val="24"/>
        </w:rPr>
        <w:t>Supplementation with lysine and methionine sources (e.g., soy or egg powder) is recommended to enhance the amino acid balance of the local RUTF formulation.</w:t>
      </w:r>
      <w:r w:rsidR="00D5787A" w:rsidRPr="00D5787A">
        <w:rPr>
          <w:rFonts w:ascii="Times New Roman" w:hAnsi="Times New Roman"/>
          <w:b/>
          <w:bCs/>
          <w:color w:val="000000"/>
          <w:sz w:val="24"/>
          <w:szCs w:val="24"/>
        </w:rPr>
        <w:t xml:space="preserve"> </w:t>
      </w:r>
      <w:r w:rsidRPr="00D5787A">
        <w:rPr>
          <w:rFonts w:ascii="Times New Roman" w:hAnsi="Times New Roman"/>
          <w:color w:val="000000"/>
          <w:sz w:val="24"/>
          <w:szCs w:val="24"/>
        </w:rPr>
        <w:t xml:space="preserve">Further clinical trials should be conducted to assess the </w:t>
      </w:r>
      <w:r w:rsidRPr="00D5787A">
        <w:rPr>
          <w:rFonts w:ascii="Times New Roman" w:hAnsi="Times New Roman"/>
          <w:bCs/>
          <w:color w:val="000000"/>
          <w:sz w:val="24"/>
          <w:szCs w:val="24"/>
        </w:rPr>
        <w:t>bioavailability</w:t>
      </w:r>
      <w:r w:rsidRPr="00D5787A">
        <w:rPr>
          <w:rFonts w:ascii="Times New Roman" w:hAnsi="Times New Roman"/>
          <w:color w:val="000000"/>
          <w:sz w:val="24"/>
          <w:szCs w:val="24"/>
        </w:rPr>
        <w:t xml:space="preserve"> of nutrients and the </w:t>
      </w:r>
      <w:r w:rsidRPr="00D5787A">
        <w:rPr>
          <w:rFonts w:ascii="Times New Roman" w:hAnsi="Times New Roman"/>
          <w:bCs/>
          <w:color w:val="000000"/>
          <w:sz w:val="24"/>
          <w:szCs w:val="24"/>
        </w:rPr>
        <w:t>therapeutic effectiveness</w:t>
      </w:r>
      <w:r w:rsidRPr="00D5787A">
        <w:rPr>
          <w:rFonts w:ascii="Times New Roman" w:hAnsi="Times New Roman"/>
          <w:color w:val="000000"/>
          <w:sz w:val="24"/>
          <w:szCs w:val="24"/>
        </w:rPr>
        <w:t xml:space="preserve"> of the local RUTF in improving weight gain and recovery rates among malnourish</w:t>
      </w:r>
      <w:r w:rsidR="00D5787A" w:rsidRPr="00D5787A">
        <w:rPr>
          <w:rFonts w:ascii="Times New Roman" w:hAnsi="Times New Roman"/>
          <w:color w:val="000000"/>
          <w:sz w:val="24"/>
          <w:szCs w:val="24"/>
        </w:rPr>
        <w:t xml:space="preserve">ed children. </w:t>
      </w:r>
      <w:r w:rsidRPr="00D5787A">
        <w:rPr>
          <w:rFonts w:ascii="Times New Roman" w:hAnsi="Times New Roman"/>
          <w:color w:val="000000"/>
          <w:sz w:val="24"/>
          <w:szCs w:val="24"/>
        </w:rPr>
        <w:t xml:space="preserve">Additional research on </w:t>
      </w:r>
      <w:r w:rsidRPr="00D5787A">
        <w:rPr>
          <w:rFonts w:ascii="Times New Roman" w:hAnsi="Times New Roman"/>
          <w:bCs/>
          <w:color w:val="000000"/>
          <w:sz w:val="24"/>
          <w:szCs w:val="24"/>
        </w:rPr>
        <w:t>product stability, shelf-life, and sensory acceptability</w:t>
      </w:r>
      <w:r w:rsidRPr="00D5787A">
        <w:rPr>
          <w:rFonts w:ascii="Times New Roman" w:hAnsi="Times New Roman"/>
          <w:color w:val="000000"/>
          <w:sz w:val="24"/>
          <w:szCs w:val="24"/>
        </w:rPr>
        <w:t xml:space="preserve"> should be performed to ensure long-term preservation under varying storage conditions typical of rural environments.</w:t>
      </w:r>
      <w:r w:rsidR="00D5787A" w:rsidRPr="00D5787A">
        <w:rPr>
          <w:rFonts w:ascii="Times New Roman" w:hAnsi="Times New Roman"/>
          <w:b/>
          <w:bCs/>
          <w:color w:val="000000"/>
          <w:sz w:val="24"/>
          <w:szCs w:val="24"/>
        </w:rPr>
        <w:t xml:space="preserve"> </w:t>
      </w:r>
      <w:r w:rsidRPr="00D5787A">
        <w:rPr>
          <w:rFonts w:ascii="Times New Roman" w:hAnsi="Times New Roman"/>
          <w:color w:val="000000"/>
          <w:sz w:val="24"/>
          <w:szCs w:val="24"/>
        </w:rPr>
        <w:t xml:space="preserve">Federal and state health agencies, in partnership with organizations such as </w:t>
      </w:r>
      <w:r w:rsidRPr="00D5787A">
        <w:rPr>
          <w:rFonts w:ascii="Times New Roman" w:hAnsi="Times New Roman"/>
          <w:bCs/>
          <w:color w:val="000000"/>
          <w:sz w:val="24"/>
          <w:szCs w:val="24"/>
        </w:rPr>
        <w:t>UNICEF</w:t>
      </w:r>
      <w:r w:rsidRPr="00D5787A">
        <w:rPr>
          <w:rFonts w:ascii="Times New Roman" w:hAnsi="Times New Roman"/>
          <w:color w:val="000000"/>
          <w:sz w:val="24"/>
          <w:szCs w:val="24"/>
        </w:rPr>
        <w:t xml:space="preserve">, </w:t>
      </w:r>
      <w:r w:rsidRPr="00D5787A">
        <w:rPr>
          <w:rFonts w:ascii="Times New Roman" w:hAnsi="Times New Roman"/>
          <w:bCs/>
          <w:color w:val="000000"/>
          <w:sz w:val="24"/>
          <w:szCs w:val="24"/>
        </w:rPr>
        <w:t>WFP</w:t>
      </w:r>
      <w:r w:rsidRPr="00D5787A">
        <w:rPr>
          <w:rFonts w:ascii="Times New Roman" w:hAnsi="Times New Roman"/>
          <w:color w:val="000000"/>
          <w:sz w:val="24"/>
          <w:szCs w:val="24"/>
        </w:rPr>
        <w:t xml:space="preserve">, and </w:t>
      </w:r>
      <w:r w:rsidRPr="00D5787A">
        <w:rPr>
          <w:rFonts w:ascii="Times New Roman" w:hAnsi="Times New Roman"/>
          <w:bCs/>
          <w:color w:val="000000"/>
          <w:sz w:val="24"/>
          <w:szCs w:val="24"/>
        </w:rPr>
        <w:t>FAO</w:t>
      </w:r>
      <w:r w:rsidRPr="00D5787A">
        <w:rPr>
          <w:rFonts w:ascii="Times New Roman" w:hAnsi="Times New Roman"/>
          <w:color w:val="000000"/>
          <w:sz w:val="24"/>
          <w:szCs w:val="24"/>
        </w:rPr>
        <w:t xml:space="preserve">, should invest in </w:t>
      </w:r>
      <w:r w:rsidRPr="00D5787A">
        <w:rPr>
          <w:rFonts w:ascii="Times New Roman" w:hAnsi="Times New Roman"/>
          <w:bCs/>
          <w:color w:val="000000"/>
          <w:sz w:val="24"/>
          <w:szCs w:val="24"/>
        </w:rPr>
        <w:t>local RUTF production facilities</w:t>
      </w:r>
      <w:r w:rsidRPr="00D5787A">
        <w:rPr>
          <w:rFonts w:ascii="Times New Roman" w:hAnsi="Times New Roman"/>
          <w:color w:val="000000"/>
          <w:sz w:val="24"/>
          <w:szCs w:val="24"/>
        </w:rPr>
        <w:t xml:space="preserve"> to promote self-sufficiency and cost-effective nutrition intervention</w:t>
      </w:r>
      <w:r w:rsidR="00D5787A" w:rsidRPr="00D5787A">
        <w:rPr>
          <w:rFonts w:ascii="Times New Roman" w:hAnsi="Times New Roman"/>
          <w:color w:val="000000"/>
          <w:sz w:val="24"/>
          <w:szCs w:val="24"/>
        </w:rPr>
        <w:t xml:space="preserve">. </w:t>
      </w:r>
      <w:r w:rsidRPr="00D5787A">
        <w:rPr>
          <w:rFonts w:ascii="Times New Roman" w:hAnsi="Times New Roman"/>
          <w:color w:val="000000"/>
          <w:sz w:val="24"/>
          <w:szCs w:val="24"/>
        </w:rPr>
        <w:t xml:space="preserve">Policies should be developed to </w:t>
      </w:r>
      <w:r w:rsidRPr="00D5787A">
        <w:rPr>
          <w:rFonts w:ascii="Times New Roman" w:hAnsi="Times New Roman"/>
          <w:bCs/>
          <w:color w:val="000000"/>
          <w:sz w:val="24"/>
          <w:szCs w:val="24"/>
        </w:rPr>
        <w:t>integrate locally produced RUTFs</w:t>
      </w:r>
      <w:r w:rsidRPr="00D5787A">
        <w:rPr>
          <w:rFonts w:ascii="Times New Roman" w:hAnsi="Times New Roman"/>
          <w:color w:val="000000"/>
          <w:sz w:val="24"/>
          <w:szCs w:val="24"/>
        </w:rPr>
        <w:t xml:space="preserve"> into national nutrition and child health programs, ensuring sustainability and widespread access in vulnerable communities.</w:t>
      </w:r>
    </w:p>
    <w:p w:rsidR="006252BB" w:rsidRPr="00CD493B" w:rsidRDefault="00C325A6" w:rsidP="00E204EC">
      <w:pPr>
        <w:ind w:left="1440" w:hanging="1440"/>
        <w:rPr>
          <w:rFonts w:ascii="Cambria" w:eastAsia="Times New Roman" w:hAnsi="Cambria" w:cs="Times New Roman"/>
          <w:b/>
          <w:color w:val="1B1B1B"/>
          <w:sz w:val="26"/>
        </w:rPr>
      </w:pPr>
      <w:r w:rsidRPr="006252BB">
        <w:rPr>
          <w:rFonts w:ascii="Cambria" w:eastAsia="Times New Roman" w:hAnsi="Cambria" w:cs="Times New Roman"/>
          <w:b/>
          <w:color w:val="1B1B1B"/>
          <w:sz w:val="26"/>
        </w:rPr>
        <w:t>REFERENCE</w:t>
      </w:r>
      <w:r w:rsidR="00E204EC">
        <w:rPr>
          <w:rFonts w:ascii="Cambria" w:eastAsia="Times New Roman" w:hAnsi="Cambria" w:cs="Times New Roman"/>
          <w:b/>
          <w:color w:val="1B1B1B"/>
          <w:sz w:val="26"/>
        </w:rPr>
        <w:t>S</w:t>
      </w:r>
      <w:r w:rsidRPr="006252BB">
        <w:rPr>
          <w:rFonts w:ascii="Cambria" w:eastAsia="Times New Roman" w:hAnsi="Cambria" w:cs="Times New Roman"/>
          <w:b/>
          <w:color w:val="1B1B1B"/>
          <w:sz w:val="26"/>
        </w:rPr>
        <w:t xml:space="preserve"> </w:t>
      </w:r>
    </w:p>
    <w:p w:rsidR="006252BB" w:rsidRPr="006252BB" w:rsidRDefault="006252BB" w:rsidP="00E204EC">
      <w:pPr>
        <w:shd w:val="clear" w:color="auto" w:fill="FFFFFF"/>
        <w:spacing w:before="225" w:after="100" w:afterAutospacing="1"/>
        <w:ind w:left="1440" w:hanging="1440"/>
        <w:jc w:val="center"/>
        <w:rPr>
          <w:rFonts w:ascii="Times New Roman" w:eastAsia="Times New Roman" w:hAnsi="Times New Roman" w:cs="Times New Roman"/>
          <w:color w:val="1B1B1B"/>
          <w:sz w:val="24"/>
          <w:szCs w:val="24"/>
        </w:rPr>
      </w:pPr>
      <w:r w:rsidRPr="006252BB">
        <w:rPr>
          <w:rFonts w:ascii="Times New Roman" w:eastAsia="Times New Roman" w:hAnsi="Times New Roman" w:cs="Times New Roman"/>
          <w:color w:val="1B1B1B"/>
          <w:sz w:val="24"/>
          <w:szCs w:val="24"/>
        </w:rPr>
        <w:t>Briend A., Lacsala R., Prudhon C., Mounier B., Grellety Y., Golden M.H. Ready-to-use therapeutic food for treatment of marasmus. Lancet. 1999;353(9166)</w:t>
      </w:r>
    </w:p>
    <w:p w:rsidR="005B58C0" w:rsidRDefault="006252BB" w:rsidP="00E204EC">
      <w:pPr>
        <w:shd w:val="clear" w:color="auto" w:fill="FFFFFF"/>
        <w:spacing w:before="225" w:after="100" w:afterAutospacing="1"/>
        <w:ind w:left="1440" w:hanging="1440"/>
        <w:jc w:val="center"/>
        <w:rPr>
          <w:rFonts w:ascii="Times New Roman" w:eastAsia="Times New Roman" w:hAnsi="Times New Roman" w:cs="Times New Roman"/>
          <w:color w:val="1B1B1B"/>
          <w:sz w:val="24"/>
          <w:szCs w:val="24"/>
        </w:rPr>
      </w:pPr>
      <w:r w:rsidRPr="006252BB">
        <w:rPr>
          <w:rFonts w:ascii="Times New Roman" w:eastAsia="Times New Roman" w:hAnsi="Times New Roman" w:cs="Times New Roman"/>
          <w:color w:val="1B1B1B"/>
          <w:sz w:val="24"/>
          <w:szCs w:val="24"/>
        </w:rPr>
        <w:lastRenderedPageBreak/>
        <w:t>Briend A. Highly nutrient-dense spreads: a new approach to delivering multiple micronutrients to high-risk groups. Br. J. Nutr. 2001</w:t>
      </w:r>
    </w:p>
    <w:p w:rsidR="005B58C0" w:rsidRDefault="00CD493B" w:rsidP="00E204EC">
      <w:pPr>
        <w:shd w:val="clear" w:color="auto" w:fill="FFFFFF"/>
        <w:spacing w:before="225" w:after="100" w:afterAutospacing="1"/>
        <w:ind w:left="1440" w:hanging="1440"/>
        <w:jc w:val="center"/>
        <w:rPr>
          <w:rFonts w:ascii="Times New Roman" w:eastAsia="Times New Roman" w:hAnsi="Times New Roman" w:cs="Times New Roman"/>
          <w:color w:val="1B1B1B"/>
          <w:sz w:val="24"/>
          <w:szCs w:val="24"/>
        </w:rPr>
      </w:pPr>
      <w:r w:rsidRPr="006252BB">
        <w:rPr>
          <w:rFonts w:ascii="Times New Roman" w:eastAsia="Times New Roman" w:hAnsi="Times New Roman" w:cs="Times New Roman"/>
          <w:color w:val="1B1B1B"/>
          <w:sz w:val="24"/>
          <w:szCs w:val="24"/>
        </w:rPr>
        <w:t>Ciliberto M.A., Sandige H., Ndekha M.J., Ashorn P., Briend A., Ciliberto H.M., et al. Comparison of home-based therapy with ready-to-use therapeutic food with standard therapy in the treatment of malnourished Malawian children: a controlled, clinical effectiveness trial. Am. J. Clin. Nutr. 2005;81(4):864–870.</w:t>
      </w:r>
    </w:p>
    <w:p w:rsidR="006252BB" w:rsidRDefault="005B58C0" w:rsidP="00E204EC">
      <w:pPr>
        <w:shd w:val="clear" w:color="auto" w:fill="FFFFFF"/>
        <w:spacing w:before="225" w:after="100" w:afterAutospacing="1"/>
        <w:ind w:left="1440" w:hanging="1440"/>
        <w:jc w:val="center"/>
        <w:rPr>
          <w:rFonts w:ascii="Times New Roman" w:eastAsia="Times New Roman" w:hAnsi="Times New Roman" w:cs="Times New Roman"/>
          <w:color w:val="1B1B1B"/>
          <w:sz w:val="24"/>
          <w:szCs w:val="24"/>
        </w:rPr>
      </w:pPr>
      <w:r w:rsidRPr="005B58C0">
        <w:rPr>
          <w:rFonts w:ascii="Cambria" w:eastAsia="Times New Roman" w:hAnsi="Cambria" w:cs="Times New Roman"/>
          <w:color w:val="1B1B1B"/>
          <w:sz w:val="26"/>
        </w:rPr>
        <w:t>Collins S., Dent N., Binns P., Bahwere P., Sadler K., Hallam A. Management of severe acute malnutrition in children. Lancet. 2006;368(9551):1992–2000</w:t>
      </w:r>
      <w:r>
        <w:rPr>
          <w:rFonts w:ascii="Cambria" w:eastAsia="Times New Roman" w:hAnsi="Cambria" w:cs="Times New Roman"/>
          <w:color w:val="1B1B1B"/>
          <w:sz w:val="26"/>
        </w:rPr>
        <w:t>.</w:t>
      </w:r>
    </w:p>
    <w:p w:rsidR="00CD493B" w:rsidRDefault="00CD493B" w:rsidP="00E204EC">
      <w:pPr>
        <w:shd w:val="clear" w:color="auto" w:fill="FFFFFF"/>
        <w:spacing w:before="225" w:after="100" w:afterAutospacing="1"/>
        <w:ind w:left="1440" w:hanging="1440"/>
        <w:jc w:val="center"/>
        <w:rPr>
          <w:rFonts w:ascii="Times New Roman" w:eastAsia="Times New Roman" w:hAnsi="Times New Roman" w:cs="Times New Roman"/>
          <w:color w:val="1B1B1B"/>
          <w:sz w:val="24"/>
          <w:szCs w:val="24"/>
        </w:rPr>
      </w:pPr>
      <w:r w:rsidRPr="006252BB">
        <w:rPr>
          <w:rFonts w:ascii="Times New Roman" w:eastAsia="Times New Roman" w:hAnsi="Times New Roman" w:cs="Times New Roman"/>
          <w:color w:val="1B1B1B"/>
          <w:sz w:val="24"/>
          <w:szCs w:val="24"/>
        </w:rPr>
        <w:t>Diop E.H.I., Dossou N.I., Ndour M.M., Briend A., Wade S. Comparison of the efficacy of a solid ready-to-use food and a liquid, milk-based diet for the rehabilitation of severely malnourished children: a randomized trial. Am. J. Clin. Nutr. 2003;78(2):302–307.</w:t>
      </w:r>
    </w:p>
    <w:p w:rsidR="005B58C0" w:rsidRDefault="005B58C0" w:rsidP="00E204EC">
      <w:pPr>
        <w:shd w:val="clear" w:color="auto" w:fill="FFFFFF"/>
        <w:spacing w:before="225" w:after="100" w:afterAutospacing="1"/>
        <w:ind w:left="1440" w:hanging="1440"/>
        <w:jc w:val="center"/>
        <w:rPr>
          <w:rFonts w:ascii="Times New Roman" w:eastAsia="Times New Roman" w:hAnsi="Times New Roman" w:cs="Times New Roman"/>
          <w:color w:val="1B1B1B"/>
          <w:sz w:val="24"/>
          <w:szCs w:val="24"/>
        </w:rPr>
      </w:pPr>
      <w:r w:rsidRPr="006252BB">
        <w:rPr>
          <w:rFonts w:ascii="Times New Roman" w:eastAsia="Times New Roman" w:hAnsi="Times New Roman" w:cs="Times New Roman"/>
          <w:color w:val="1B1B1B"/>
          <w:sz w:val="24"/>
          <w:szCs w:val="24"/>
        </w:rPr>
        <w:t>Manary M.J., Ndkeha M.J., Ashorn P., Maleta K., Briend A. Home based therapy for severe malnutrition with ready-to-use food. Arch. Dis. Child. 2004 Jun 1;89(6):557–561.</w:t>
      </w:r>
    </w:p>
    <w:p w:rsidR="006252BB" w:rsidRPr="006252BB" w:rsidRDefault="006252BB" w:rsidP="00E204EC">
      <w:pPr>
        <w:shd w:val="clear" w:color="auto" w:fill="FFFFFF"/>
        <w:spacing w:before="225" w:after="100" w:afterAutospacing="1"/>
        <w:ind w:left="1440" w:hanging="1440"/>
        <w:jc w:val="center"/>
        <w:rPr>
          <w:rFonts w:ascii="Times New Roman" w:eastAsia="Times New Roman" w:hAnsi="Times New Roman" w:cs="Times New Roman"/>
          <w:color w:val="1B1B1B"/>
          <w:sz w:val="24"/>
          <w:szCs w:val="24"/>
        </w:rPr>
      </w:pPr>
      <w:r w:rsidRPr="006252BB">
        <w:rPr>
          <w:rFonts w:ascii="Times New Roman" w:eastAsia="Times New Roman" w:hAnsi="Times New Roman" w:cs="Times New Roman"/>
          <w:color w:val="1B1B1B"/>
          <w:sz w:val="24"/>
          <w:szCs w:val="24"/>
        </w:rPr>
        <w:t>World Health Organization; Geneva, Switzerland: 2013. Guideline: Updates on the Management of Severe Ac</w:t>
      </w:r>
      <w:r w:rsidR="005B58C0">
        <w:rPr>
          <w:rFonts w:ascii="Times New Roman" w:eastAsia="Times New Roman" w:hAnsi="Times New Roman" w:cs="Times New Roman"/>
          <w:color w:val="1B1B1B"/>
          <w:sz w:val="24"/>
          <w:szCs w:val="24"/>
        </w:rPr>
        <w:t xml:space="preserve">ute Malnutrition in Infants and </w:t>
      </w:r>
      <w:r w:rsidRPr="006252BB">
        <w:rPr>
          <w:rFonts w:ascii="Times New Roman" w:eastAsia="Times New Roman" w:hAnsi="Times New Roman" w:cs="Times New Roman"/>
          <w:color w:val="1B1B1B"/>
          <w:sz w:val="24"/>
          <w:szCs w:val="24"/>
        </w:rPr>
        <w:t>Children.</w:t>
      </w:r>
      <w:hyperlink r:id="rId12" w:tgtFrame="_blank" w:history="1">
        <w:r w:rsidRPr="006252BB">
          <w:rPr>
            <w:rFonts w:ascii="Times New Roman" w:eastAsia="Times New Roman" w:hAnsi="Times New Roman" w:cs="Times New Roman"/>
            <w:color w:val="005EA2"/>
            <w:sz w:val="24"/>
            <w:szCs w:val="24"/>
            <w:u w:val="single"/>
          </w:rPr>
          <w:t>https://www.who.int/publications/i/item/9789241506328</w:t>
        </w:r>
      </w:hyperlink>
      <w:r w:rsidRPr="006252BB">
        <w:rPr>
          <w:rFonts w:ascii="Times New Roman" w:eastAsia="Times New Roman" w:hAnsi="Times New Roman" w:cs="Times New Roman"/>
          <w:color w:val="1B1B1B"/>
          <w:sz w:val="24"/>
          <w:szCs w:val="24"/>
        </w:rPr>
        <w:t> [cited 2023 Aug 15] p. 115.</w:t>
      </w:r>
    </w:p>
    <w:p w:rsidR="006252BB" w:rsidRPr="006252BB" w:rsidRDefault="006252BB" w:rsidP="00E204EC">
      <w:pPr>
        <w:shd w:val="clear" w:color="auto" w:fill="FFFFFF"/>
        <w:spacing w:before="225" w:after="100" w:afterAutospacing="1"/>
        <w:ind w:left="1440" w:hanging="1440"/>
        <w:jc w:val="center"/>
        <w:rPr>
          <w:rFonts w:ascii="Times New Roman" w:eastAsia="Times New Roman" w:hAnsi="Times New Roman" w:cs="Times New Roman"/>
          <w:color w:val="1B1B1B"/>
          <w:sz w:val="24"/>
          <w:szCs w:val="24"/>
        </w:rPr>
      </w:pPr>
      <w:r w:rsidRPr="006252BB">
        <w:rPr>
          <w:rFonts w:ascii="Times New Roman" w:eastAsia="Times New Roman" w:hAnsi="Times New Roman" w:cs="Times New Roman"/>
          <w:color w:val="1B1B1B"/>
          <w:sz w:val="24"/>
          <w:szCs w:val="24"/>
        </w:rPr>
        <w:t>World Food Programme (WFP) World Food Programme; Rome, Italy: 2012. Nutrition at the World Food Programme. Programming for Nutrition-specific Interventions.</w:t>
      </w:r>
      <w:hyperlink r:id="rId13" w:tgtFrame="_blank" w:history="1">
        <w:r w:rsidRPr="006252BB">
          <w:rPr>
            <w:rFonts w:ascii="Times New Roman" w:eastAsia="Times New Roman" w:hAnsi="Times New Roman" w:cs="Times New Roman"/>
            <w:color w:val="005EA2"/>
            <w:sz w:val="24"/>
            <w:szCs w:val="24"/>
            <w:u w:val="single"/>
          </w:rPr>
          <w:t>https://documents.wfp.org/stellent/groups/public/documents/communications/wfp258650.pdf</w:t>
        </w:r>
      </w:hyperlink>
      <w:r w:rsidRPr="006252BB">
        <w:rPr>
          <w:rFonts w:ascii="Times New Roman" w:eastAsia="Times New Roman" w:hAnsi="Times New Roman" w:cs="Times New Roman"/>
          <w:color w:val="1B1B1B"/>
          <w:sz w:val="24"/>
          <w:szCs w:val="24"/>
        </w:rPr>
        <w:t> [cited 2023 Aug 15] p. 38.</w:t>
      </w:r>
    </w:p>
    <w:p w:rsidR="006252BB" w:rsidRPr="006252BB" w:rsidRDefault="005B58C0" w:rsidP="00E204EC">
      <w:pPr>
        <w:shd w:val="clear" w:color="auto" w:fill="FFFFFF"/>
        <w:spacing w:before="225" w:after="100" w:afterAutospacing="1"/>
        <w:ind w:left="1440" w:hanging="1440"/>
        <w:jc w:val="center"/>
        <w:rPr>
          <w:rFonts w:ascii="Times New Roman" w:eastAsia="Times New Roman" w:hAnsi="Times New Roman" w:cs="Times New Roman"/>
          <w:color w:val="1B1B1B"/>
          <w:sz w:val="24"/>
          <w:szCs w:val="24"/>
        </w:rPr>
      </w:pPr>
      <w:r>
        <w:rPr>
          <w:rFonts w:ascii="Times New Roman" w:eastAsia="Times New Roman" w:hAnsi="Times New Roman" w:cs="Times New Roman"/>
          <w:color w:val="1B1B1B"/>
          <w:sz w:val="24"/>
          <w:szCs w:val="24"/>
        </w:rPr>
        <w:t xml:space="preserve">WHO/WFP/UNSSCN/UNICEF </w:t>
      </w:r>
      <w:r w:rsidR="006252BB" w:rsidRPr="006252BB">
        <w:rPr>
          <w:rFonts w:ascii="Times New Roman" w:eastAsia="Times New Roman" w:hAnsi="Times New Roman" w:cs="Times New Roman"/>
          <w:color w:val="1B1B1B"/>
          <w:sz w:val="24"/>
          <w:szCs w:val="24"/>
        </w:rPr>
        <w:t xml:space="preserve"> World Health Organization; 2007. Community-Based Management of Severe Acute Malnutrition : a Joint Statement by the World Health Organization, the World Food Programme, the United Nations System Standing Committee on Nutrition and the United Nations Children’s Fund [Internet]</w:t>
      </w:r>
      <w:hyperlink r:id="rId14" w:tgtFrame="_blank" w:history="1">
        <w:r w:rsidR="006252BB" w:rsidRPr="006252BB">
          <w:rPr>
            <w:rFonts w:ascii="Times New Roman" w:eastAsia="Times New Roman" w:hAnsi="Times New Roman" w:cs="Times New Roman"/>
            <w:color w:val="005EA2"/>
            <w:sz w:val="24"/>
            <w:szCs w:val="24"/>
            <w:u w:val="single"/>
          </w:rPr>
          <w:t>https://apps.who.int/iris/handle/10665/44295</w:t>
        </w:r>
      </w:hyperlink>
      <w:r w:rsidR="006252BB" w:rsidRPr="006252BB">
        <w:rPr>
          <w:rFonts w:ascii="Times New Roman" w:eastAsia="Times New Roman" w:hAnsi="Times New Roman" w:cs="Times New Roman"/>
          <w:color w:val="1B1B1B"/>
          <w:sz w:val="24"/>
          <w:szCs w:val="24"/>
        </w:rPr>
        <w:t> [cited 2021 Sep 25]</w:t>
      </w:r>
    </w:p>
    <w:p w:rsidR="00CD493B" w:rsidRPr="006252BB" w:rsidRDefault="00CD493B" w:rsidP="00E204EC">
      <w:pPr>
        <w:shd w:val="clear" w:color="auto" w:fill="FFFFFF"/>
        <w:spacing w:before="225" w:after="100" w:afterAutospacing="1"/>
        <w:ind w:left="1440" w:hanging="1440"/>
        <w:jc w:val="center"/>
        <w:rPr>
          <w:rFonts w:ascii="Times New Roman" w:eastAsia="Times New Roman" w:hAnsi="Times New Roman" w:cs="Times New Roman"/>
          <w:color w:val="1B1B1B"/>
          <w:sz w:val="24"/>
          <w:szCs w:val="24"/>
        </w:rPr>
      </w:pPr>
      <w:r w:rsidRPr="006252BB">
        <w:rPr>
          <w:rFonts w:ascii="Times New Roman" w:eastAsia="Times New Roman" w:hAnsi="Times New Roman" w:cs="Times New Roman"/>
          <w:color w:val="1B1B1B"/>
          <w:sz w:val="24"/>
          <w:szCs w:val="24"/>
        </w:rPr>
        <w:t>World Health Organization; 1999. Management of Severe Malnutrition: a Manual for Physicians and Other Senior Health Workers.</w:t>
      </w:r>
    </w:p>
    <w:p w:rsidR="0090044C" w:rsidRDefault="00E204EC" w:rsidP="00E204EC">
      <w:pPr>
        <w:spacing w:before="225" w:after="100" w:afterAutospacing="1"/>
        <w:ind w:left="1440" w:hanging="1440"/>
        <w:jc w:val="both"/>
        <w:rPr>
          <w:rStyle w:val="HTMLCite"/>
          <w:i w:val="0"/>
          <w:iCs w:val="0"/>
          <w:sz w:val="26"/>
          <w:szCs w:val="26"/>
        </w:rPr>
      </w:pPr>
      <w:r w:rsidRPr="00E204EC">
        <w:rPr>
          <w:rStyle w:val="HTMLCite"/>
          <w:i w:val="0"/>
          <w:iCs w:val="0"/>
          <w:sz w:val="26"/>
          <w:szCs w:val="26"/>
        </w:rPr>
        <w:t>Patel M.P., Sandige H.L., Ndekha M.J., Briend A., Ashorn P., Manary M.J. Supplemental feeding with ready-to-use therapeutic food in Malawian children at risk of malnutrition. J. Health Popul. Nutr. 2005</w:t>
      </w:r>
      <w:r w:rsidR="0090044C">
        <w:rPr>
          <w:rStyle w:val="HTMLCite"/>
          <w:i w:val="0"/>
          <w:iCs w:val="0"/>
          <w:sz w:val="26"/>
          <w:szCs w:val="26"/>
        </w:rPr>
        <w:t>.</w:t>
      </w:r>
    </w:p>
    <w:p w:rsidR="007954C1" w:rsidRDefault="007954C1" w:rsidP="00E204EC">
      <w:pPr>
        <w:spacing w:before="225" w:after="100" w:afterAutospacing="1"/>
        <w:ind w:left="1440" w:hanging="1440"/>
        <w:jc w:val="both"/>
        <w:rPr>
          <w:rStyle w:val="HTMLCite"/>
          <w:i w:val="0"/>
          <w:iCs w:val="0"/>
          <w:sz w:val="26"/>
          <w:szCs w:val="26"/>
        </w:rPr>
      </w:pPr>
      <w:r>
        <w:rPr>
          <w:rStyle w:val="HTMLCite"/>
          <w:i w:val="0"/>
          <w:iCs w:val="0"/>
          <w:sz w:val="26"/>
          <w:szCs w:val="26"/>
        </w:rPr>
        <w:lastRenderedPageBreak/>
        <w:t xml:space="preserve"> </w:t>
      </w:r>
      <w:r w:rsidR="00E204EC">
        <w:rPr>
          <w:rStyle w:val="HTMLCite"/>
          <w:i w:val="0"/>
          <w:iCs w:val="0"/>
          <w:sz w:val="26"/>
          <w:szCs w:val="26"/>
        </w:rPr>
        <w:t>Ciliberto M.A., Manary M.J., Ndekha M.J., Briend A., Ashorn P. Home-based therapy for oedematous malnutrition with ready-to-use therapeutic food. Acta Paediatr. 2006;95(8):1012–1015</w:t>
      </w:r>
    </w:p>
    <w:p w:rsidR="0090044C"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Isanaka S., Roederer T., Djibo A., Luquero F.J., Nombela N., Guerin P.J., et al. Reducing wasting in young children with preventive supplementation: a cohort study in Niger. Pediatrics. 2010 Aug 1</w:t>
      </w:r>
      <w:r w:rsidR="0090044C">
        <w:rPr>
          <w:rStyle w:val="HTMLCite"/>
          <w:i w:val="0"/>
          <w:iCs w:val="0"/>
          <w:sz w:val="26"/>
          <w:szCs w:val="26"/>
        </w:rPr>
        <w:t>.</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Golden M.H. Proposed recommended nutrient densities for moderately malnourished children. Food Nutr. Bull. 2009 Sep 1</w:t>
      </w:r>
      <w:r w:rsidR="007954C1">
        <w:rPr>
          <w:rStyle w:val="HTMLCite"/>
          <w:i w:val="0"/>
          <w:iCs w:val="0"/>
          <w:sz w:val="26"/>
          <w:szCs w:val="26"/>
        </w:rPr>
        <w:t>.</w:t>
      </w:r>
    </w:p>
    <w:p w:rsidR="007954C1" w:rsidRDefault="007954C1" w:rsidP="00E204EC">
      <w:pPr>
        <w:spacing w:before="225" w:after="100" w:afterAutospacing="1"/>
        <w:ind w:left="1440" w:hanging="1440"/>
        <w:jc w:val="both"/>
        <w:rPr>
          <w:rStyle w:val="HTMLCite"/>
          <w:i w:val="0"/>
          <w:iCs w:val="0"/>
          <w:sz w:val="26"/>
          <w:szCs w:val="26"/>
        </w:rPr>
      </w:pPr>
      <w:r>
        <w:rPr>
          <w:rStyle w:val="HTMLCite"/>
          <w:i w:val="0"/>
          <w:iCs w:val="0"/>
          <w:sz w:val="26"/>
          <w:szCs w:val="26"/>
        </w:rPr>
        <w:t xml:space="preserve"> </w:t>
      </w:r>
      <w:r w:rsidR="00E204EC">
        <w:rPr>
          <w:rStyle w:val="HTMLCite"/>
          <w:i w:val="0"/>
          <w:iCs w:val="0"/>
          <w:sz w:val="26"/>
          <w:szCs w:val="26"/>
        </w:rPr>
        <w:t>Sandige H., Ndekha M.J., Briend A., Ashorn P., Manary M.J. Home-based treatment of malnourished Malawian children with locally produced or imported ready-to-use food. J. Pediatr. Gastroenterol. Nutr. 2004 Aug</w:t>
      </w:r>
      <w:r>
        <w:rPr>
          <w:rStyle w:val="HTMLCite"/>
          <w:i w:val="0"/>
          <w:iCs w:val="0"/>
          <w:sz w:val="26"/>
          <w:szCs w:val="26"/>
        </w:rPr>
        <w:t>.</w:t>
      </w:r>
    </w:p>
    <w:p w:rsidR="007954C1" w:rsidRDefault="007954C1" w:rsidP="00E204EC">
      <w:pPr>
        <w:spacing w:before="225" w:after="100" w:afterAutospacing="1"/>
        <w:ind w:left="1440" w:hanging="1440"/>
        <w:jc w:val="both"/>
        <w:rPr>
          <w:rStyle w:val="HTMLCite"/>
          <w:i w:val="0"/>
          <w:iCs w:val="0"/>
          <w:sz w:val="26"/>
          <w:szCs w:val="26"/>
        </w:rPr>
      </w:pPr>
      <w:r>
        <w:rPr>
          <w:rStyle w:val="HTMLCite"/>
          <w:i w:val="0"/>
          <w:iCs w:val="0"/>
          <w:sz w:val="26"/>
          <w:szCs w:val="26"/>
        </w:rPr>
        <w:t xml:space="preserve"> </w:t>
      </w:r>
      <w:r w:rsidR="00E204EC">
        <w:rPr>
          <w:rStyle w:val="HTMLCite"/>
          <w:i w:val="0"/>
          <w:iCs w:val="0"/>
          <w:sz w:val="26"/>
          <w:szCs w:val="26"/>
        </w:rPr>
        <w:t xml:space="preserve">Scherbaum V., Srour M.L. Milk products in the dietary management of childhood undernutrition – a historical review. Nutr. Res. Rev. 2018 Jun;31(1):71–84. </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Brenna J.T., Akomo P., Bahwere P., Berkley J.A., Calder P.C., Jones K.D., et al. Balancing omega-6 and omega-3 fatty acids in ready-to-use therapeutic foods (RUTF) BMC Med. 2015 Dec;13(1):117.</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Briend A., Akomo P., Bahwere P., de Pee S., Dibari F., Golden M.H., et al. Developing food supplements for moderately malnourished children: lessons learned from ready-to-use therapeutic foods. Food Nutr. Bull. 2015</w:t>
      </w:r>
      <w:r w:rsidR="007954C1">
        <w:rPr>
          <w:rStyle w:val="HTMLCite"/>
          <w:i w:val="0"/>
          <w:iCs w:val="0"/>
          <w:sz w:val="26"/>
          <w:szCs w:val="26"/>
        </w:rPr>
        <w:t>.</w:t>
      </w:r>
    </w:p>
    <w:p w:rsidR="007954C1" w:rsidRDefault="007954C1" w:rsidP="00E204EC">
      <w:pPr>
        <w:spacing w:before="225" w:after="100" w:afterAutospacing="1"/>
        <w:ind w:left="1440" w:hanging="1440"/>
        <w:jc w:val="both"/>
        <w:rPr>
          <w:rStyle w:val="HTMLCite"/>
          <w:i w:val="0"/>
          <w:iCs w:val="0"/>
          <w:sz w:val="26"/>
          <w:szCs w:val="26"/>
        </w:rPr>
      </w:pPr>
      <w:r>
        <w:rPr>
          <w:rStyle w:val="HTMLCite"/>
          <w:i w:val="0"/>
          <w:iCs w:val="0"/>
          <w:sz w:val="26"/>
          <w:szCs w:val="26"/>
        </w:rPr>
        <w:t xml:space="preserve"> </w:t>
      </w:r>
      <w:r w:rsidR="00E204EC">
        <w:rPr>
          <w:rStyle w:val="HTMLCite"/>
          <w:i w:val="0"/>
          <w:iCs w:val="0"/>
          <w:sz w:val="26"/>
          <w:szCs w:val="26"/>
        </w:rPr>
        <w:t>The Sphere Project. Humanitarian Charter and Minimum Standards in Disaster Response [Internet] The Sphere Project; Geneva, Switzerland: 2004. </w:t>
      </w:r>
      <w:hyperlink r:id="rId15" w:tgtFrame="_blank" w:history="1">
        <w:r w:rsidR="00E204EC">
          <w:rPr>
            <w:rStyle w:val="Hyperlink"/>
            <w:color w:val="005EA2"/>
            <w:sz w:val="26"/>
            <w:szCs w:val="26"/>
          </w:rPr>
          <w:t>https://www.ifrc.org/docs/idrl/I283EN.pdf</w:t>
        </w:r>
      </w:hyperlink>
      <w:r w:rsidR="00E204EC">
        <w:rPr>
          <w:rStyle w:val="HTMLCite"/>
          <w:i w:val="0"/>
          <w:iCs w:val="0"/>
          <w:sz w:val="26"/>
          <w:szCs w:val="26"/>
        </w:rPr>
        <w:t> [cited 2021 Sep 30</w:t>
      </w:r>
      <w:r>
        <w:rPr>
          <w:rStyle w:val="HTMLCite"/>
          <w:i w:val="0"/>
          <w:iCs w:val="0"/>
          <w:sz w:val="26"/>
          <w:szCs w:val="26"/>
        </w:rPr>
        <w:t>]</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Scherbaum V., Purwestri R.C., Stuetz W., MPhil D.A.I., Suryantan J., Bloem M.A., et al. Locally produced cereal/nut/legume-based biscuits versus peanut/milk-based spread for treatment of moderately to mildly wasted children in daily programmes on Nias Island, Indonesia: an issue of acceptance and compliance? Asia Pac. J. Clin. Nutr. 2015;24</w:t>
      </w:r>
      <w:r w:rsidR="007954C1">
        <w:rPr>
          <w:rStyle w:val="HTMLCite"/>
          <w:i w:val="0"/>
          <w:iCs w:val="0"/>
          <w:sz w:val="26"/>
          <w:szCs w:val="26"/>
        </w:rPr>
        <w:t>.</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lastRenderedPageBreak/>
        <w:t>Manary M., Callaghan M., Singh L., Briend A. Protein quality and growth in malnourished children. Food Nutr. Bull. 2016;37(1_suppl):S29–S36</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Liberati A., Altman D.G., Tetzlaff J., Mulrow C., Gøtzsche P.C., Ioannidis J.P.A., et al. The PRISMA statement for reporting systematic reviews and meta-analyses of studies that evaluate health care interventions: explanation and elaboration. PLoS Med. 2009 Jul 21</w:t>
      </w:r>
      <w:r w:rsidR="007954C1">
        <w:rPr>
          <w:rStyle w:val="HTMLCite"/>
          <w:i w:val="0"/>
          <w:iCs w:val="0"/>
          <w:sz w:val="26"/>
          <w:szCs w:val="26"/>
        </w:rPr>
        <w:t>.</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Linneman Z., Matilsky D., Ndekha M., Manary M.J., Maleta K., Manary M.J. A large-scale operational study of home-based therapy with ready-to-use therapeutic food in childhood malnutrition in Malawi. Matern. Child Nutr. 2007 Jul;3(3):206–215</w:t>
      </w:r>
    </w:p>
    <w:p w:rsidR="00E204EC" w:rsidRDefault="00E204EC" w:rsidP="00E204EC">
      <w:pPr>
        <w:spacing w:before="225" w:after="100" w:afterAutospacing="1"/>
        <w:ind w:left="1440" w:hanging="1440"/>
        <w:jc w:val="both"/>
        <w:rPr>
          <w:sz w:val="26"/>
          <w:szCs w:val="26"/>
        </w:rPr>
      </w:pPr>
      <w:r>
        <w:rPr>
          <w:rStyle w:val="HTMLCite"/>
          <w:i w:val="0"/>
          <w:iCs w:val="0"/>
          <w:sz w:val="26"/>
          <w:szCs w:val="26"/>
        </w:rPr>
        <w:t>Purwestri R.C., Scherbaum V., Wirawan N.N., Suryantan J., Bloem M.A., Pangaribuan R.V., et al. Supplementary feeding with locally-produced Ready-to- Use Food (RUF) for mildly wasted children on Nias Island, Indonesia: comparison of daily and weekly program outcomes. Asia Pac. J. Clin. Nutr. 2012;21(3):374–379</w:t>
      </w:r>
      <w:r w:rsidR="007954C1">
        <w:rPr>
          <w:rStyle w:val="HTMLCite"/>
          <w:i w:val="0"/>
          <w:iCs w:val="0"/>
          <w:sz w:val="26"/>
          <w:szCs w:val="26"/>
        </w:rPr>
        <w:t>.</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 xml:space="preserve">Fetriyuna F., Purwestri R.C., Susandy M., Köhler R., Jati I.R.A.P., Wirawan N.N., et al. Composite flour from Indonesian local food resources to develop cereal/tuber nut/bean-based ready-to-use supplementary foods for prevention and rehabilitation of moderate acute malnutrition in children. Foods. 2021 Dec 5;10(12):3013. </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 xml:space="preserve">Owino V.O., Irena A.H., Dibari F., Collins S. Development and acceptability of a novel milk‐free soybean–maize–sorghum ready‐to‐use therapeutic food (SMS‐RUTF) based on industrial extrusion cooking process. Matern. Child Nutr. 2012;10(1):126–134. </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Bahwere P., Balaluka B., Wells J.C., Mbiribindi C.N., Sadler K., Akomo P., et al. Cereals and pulse-based ready-to-use therapeutic food as an alternative to the standard milk- and peanut paste–based formulation for treating severe acute malnutrition: a noninferiority, individually randomized controlled efficacy clinical trial. Am. J. Clin. Nutr. 2016 Apr 1;103(4):1145–1161</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lastRenderedPageBreak/>
        <w:t xml:space="preserve">Ahmed T., Choudhury N., Hossain M.I., Tangsuphoom N., Islam M.M., de Pee S., et al. Development and acceptability testing of ready-to-use supplementary food made from locally available food ingredients in Bangladesh. BMC Pediatr. 2014 Dec;14(1):164. </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Choudhury N., Ahmed T., Hossain M.I., Islam M.M., Sarker S.A., Zeilani M., et al. Ready-to-Use therapeutic food made from locally available food ingredients is well accepted by children having severe acute malnutrition in Bangladesh. Food Nutr. Bull. 2018 Mar;39(1):116–126</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Hsieh J.C., Liu L., Zeilani M., Ickes S., Trehan I., Maleta K., et al. High-oleic ready-to-use therapeutic food maintains docosahexaenoic acid status in severe malnutrition. J. Pediatr. Gastroenterol. Nutr. 2015 Jul;61(1):138–143</w:t>
      </w:r>
      <w:r w:rsidR="007954C1">
        <w:rPr>
          <w:rStyle w:val="HTMLCite"/>
          <w:i w:val="0"/>
          <w:iCs w:val="0"/>
          <w:sz w:val="26"/>
          <w:szCs w:val="26"/>
        </w:rPr>
        <w:t>.</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Stobaugh H.C., Ryan K.N., Kennedy J.A., Grise J.B., Crocker A.H., Thakwalakwa C., et al. Including whey protein and whey permeate in ready-to-use supplementary food improves recovery rates in children with moderate acute malnutrition: a randomized, double-blind clinical trial. Am. J. Clin. Nutr. 2016 Mar 1;103(3):926–933</w:t>
      </w:r>
    </w:p>
    <w:p w:rsidR="007954C1" w:rsidRDefault="00E204EC" w:rsidP="00E204EC">
      <w:pPr>
        <w:spacing w:before="225" w:after="100" w:afterAutospacing="1"/>
        <w:ind w:left="1440" w:hanging="1440"/>
        <w:jc w:val="both"/>
        <w:rPr>
          <w:sz w:val="26"/>
          <w:szCs w:val="26"/>
        </w:rPr>
      </w:pPr>
      <w:r>
        <w:rPr>
          <w:rStyle w:val="HTMLCite"/>
          <w:i w:val="0"/>
          <w:iCs w:val="0"/>
          <w:sz w:val="26"/>
          <w:szCs w:val="26"/>
        </w:rPr>
        <w:t>Weber J.M., Ryan K.N., Tandon R., Mathur M., Girma T., Steiner-Asiedu M., et al. Acceptability of locally produced ready-to-use therapeutic foods in Ethiopia, Ghana, Pakistan and India: acceptability of local RUTF. Matern. Child Nutr. 2017 Apr;13(2) doi: 10.1111/mcn.12250.</w:t>
      </w:r>
      <w:r>
        <w:rPr>
          <w:sz w:val="26"/>
          <w:szCs w:val="26"/>
        </w:rPr>
        <w:t> </w:t>
      </w:r>
    </w:p>
    <w:p w:rsidR="007954C1" w:rsidRDefault="007954C1" w:rsidP="00E204EC">
      <w:pPr>
        <w:spacing w:before="225" w:after="100" w:afterAutospacing="1"/>
        <w:ind w:left="1440" w:hanging="1440"/>
        <w:jc w:val="both"/>
        <w:rPr>
          <w:rStyle w:val="HTMLCite"/>
          <w:i w:val="0"/>
          <w:iCs w:val="0"/>
          <w:sz w:val="26"/>
          <w:szCs w:val="26"/>
        </w:rPr>
      </w:pPr>
      <w:r>
        <w:rPr>
          <w:rStyle w:val="HTMLCite"/>
          <w:i w:val="0"/>
          <w:iCs w:val="0"/>
          <w:sz w:val="26"/>
          <w:szCs w:val="26"/>
        </w:rPr>
        <w:t xml:space="preserve"> </w:t>
      </w:r>
      <w:r w:rsidR="00E204EC">
        <w:rPr>
          <w:rStyle w:val="HTMLCite"/>
          <w:i w:val="0"/>
          <w:iCs w:val="0"/>
          <w:sz w:val="26"/>
          <w:szCs w:val="26"/>
        </w:rPr>
        <w:t xml:space="preserve">Nga T.T., Nguyen M., Mathisen R., Hoa D.T., Minh N.H., Berger J., et al. Acceptability and impact on anthropometry of a locally developed Ready-to-use therapeutic food in pre-school children in Vietnam. Nutr. J. 2013 Dec;12(1):120. </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 xml:space="preserve">Borg B., Mihrshahi S., Griffin M., Chamnan C., Laillou A., Wieringa F.T. Crossover trial to test the acceptability of a locally produced lipid-based nutrient supplement (LNS) for children under 2 years in Cambodia: a study protocol. BMJ Open. 2017 Sep;7(9) </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 xml:space="preserve">Borg B., Mihrshahi S., Griffin M., Sok D., Chhoun C., Laillou A., et al. Randomised controlled trial to test the effectiveness of a locally-produced ready-to-use </w:t>
      </w:r>
      <w:r>
        <w:rPr>
          <w:rStyle w:val="HTMLCite"/>
          <w:i w:val="0"/>
          <w:iCs w:val="0"/>
          <w:sz w:val="26"/>
          <w:szCs w:val="26"/>
        </w:rPr>
        <w:lastRenderedPageBreak/>
        <w:t xml:space="preserve">supplementary food (RUSF) in preventing growth faltering and improving micronutrient status for children under two years in Cambodia: a study protocol. Nutr. J. 2018 Dec;17(1):39. </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 xml:space="preserve">Borg B., Mihrshahi S., Griffin M., Sok D., Chhoun C., Laillou A., et al. Acceptability of locally‐produced Ready‐to‐Use Supplementary Food (RUSF) for children under two years in Cambodia: a cluster randomised trial. Matern. Child Nutr. 2019 Jul;15(3) </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Sigh S., Roos N., Sok D., Borg B., Chamnan C., Laillou A., et al. Development and acceptability of locally made fish-based, ready-to-use products for the prevention and treatment of malnutrition in Cambodia. Food Nutr. Bull. 2018 Sep;39</w:t>
      </w:r>
      <w:r w:rsidR="007954C1">
        <w:rPr>
          <w:rStyle w:val="HTMLCite"/>
          <w:i w:val="0"/>
          <w:iCs w:val="0"/>
          <w:sz w:val="26"/>
          <w:szCs w:val="26"/>
        </w:rPr>
        <w:t>.</w:t>
      </w:r>
      <w:r>
        <w:rPr>
          <w:rStyle w:val="HTMLCite"/>
          <w:i w:val="0"/>
          <w:iCs w:val="0"/>
          <w:sz w:val="26"/>
          <w:szCs w:val="26"/>
        </w:rPr>
        <w:t xml:space="preserve"> </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Sigh S., Roos N., Chamnan C., Laillou A., Prak S., Wieringa F. Effectiveness of a locally produced, fish-based food product on weight gain among Cambodian children in the treatment of acute malnutrition: a randomized controlled trial. Nutrients. 2018 Jul 16</w:t>
      </w:r>
      <w:r w:rsidR="007954C1">
        <w:rPr>
          <w:rStyle w:val="HTMLCite"/>
          <w:i w:val="0"/>
          <w:iCs w:val="0"/>
          <w:sz w:val="26"/>
          <w:szCs w:val="26"/>
        </w:rPr>
        <w:t>.</w:t>
      </w:r>
      <w:r>
        <w:rPr>
          <w:rStyle w:val="HTMLCite"/>
          <w:i w:val="0"/>
          <w:iCs w:val="0"/>
          <w:sz w:val="26"/>
          <w:szCs w:val="26"/>
        </w:rPr>
        <w:t xml:space="preserve"> </w:t>
      </w:r>
    </w:p>
    <w:p w:rsidR="007954C1" w:rsidRDefault="00E204EC" w:rsidP="00E204EC">
      <w:pPr>
        <w:spacing w:before="225" w:after="100" w:afterAutospacing="1"/>
        <w:ind w:left="1440" w:hanging="1440"/>
        <w:jc w:val="both"/>
        <w:rPr>
          <w:sz w:val="26"/>
          <w:szCs w:val="26"/>
        </w:rPr>
      </w:pPr>
      <w:r>
        <w:rPr>
          <w:rStyle w:val="HTMLCite"/>
          <w:i w:val="0"/>
          <w:iCs w:val="0"/>
          <w:sz w:val="26"/>
          <w:szCs w:val="26"/>
        </w:rPr>
        <w:t>Armini V., Miele N.A., Albero M., Sacchi R., Cavella S. Formula optimization approach for an alternative ready-to-</w:t>
      </w:r>
      <w:r w:rsidR="007954C1">
        <w:rPr>
          <w:rStyle w:val="HTMLCite"/>
          <w:i w:val="0"/>
          <w:iCs w:val="0"/>
          <w:sz w:val="26"/>
          <w:szCs w:val="26"/>
        </w:rPr>
        <w:t xml:space="preserve">use therapeutic food. Food Sci Technol </w:t>
      </w:r>
      <w:r>
        <w:rPr>
          <w:rStyle w:val="HTMLCite"/>
          <w:i w:val="0"/>
          <w:iCs w:val="0"/>
          <w:sz w:val="26"/>
          <w:szCs w:val="26"/>
        </w:rPr>
        <w:t>2018</w:t>
      </w:r>
      <w:r w:rsidR="007954C1">
        <w:rPr>
          <w:rStyle w:val="HTMLCite"/>
          <w:i w:val="0"/>
          <w:iCs w:val="0"/>
          <w:sz w:val="26"/>
          <w:szCs w:val="26"/>
        </w:rPr>
        <w:t>.</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Miele N.A., Armini V., Troccoli A.M., Puleo S., Paduano A., Sacchi R., et al. Sensory evaluation and volatile compounds of an alternative ready‐to‐use therapeutic food for malnourished children. J. Food Sci. 2020 Apr;85(4):1265–1273</w:t>
      </w:r>
      <w:r w:rsidR="007954C1">
        <w:rPr>
          <w:rStyle w:val="HTMLCite"/>
          <w:i w:val="0"/>
          <w:iCs w:val="0"/>
          <w:sz w:val="26"/>
          <w:szCs w:val="26"/>
        </w:rPr>
        <w:t>.</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 xml:space="preserve">Hossain MdI., Huq S., Islam M.M., Ahmed T. Acceptability and efficacy of ready-to-use therapeutic food using soy protein isolate in under-5 children suffering from severe acute malnutrition in Bangladesh: a double-blind randomized non-inferiority trial. Eur. J. Nutr. 2020 Apr;59(3):1149–1161. </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Javed F., Jabeen S., Sharif M.K., Riaz A., Manzoor M.F., Sahar A., et al. Development and storage stability of chickpea, mung bean, and peanut‐based ready‐to‐use therapeutic food to tackle protein‐energy malnutrition. Food Sci. Nutr. 2021 Jul 19</w:t>
      </w:r>
      <w:r w:rsidR="007954C1">
        <w:rPr>
          <w:rStyle w:val="HTMLCite"/>
          <w:i w:val="0"/>
          <w:iCs w:val="0"/>
          <w:sz w:val="26"/>
          <w:szCs w:val="26"/>
        </w:rPr>
        <w:t>.</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lastRenderedPageBreak/>
        <w:t>Manary M.J. Local production and provision of ready-to-use therapeutic food (rutf) spread for the treatment of severe childhood malnutrition. Food Nutr. Bull. 2006 Sep;27(3_suppl3):S83–S89</w:t>
      </w:r>
    </w:p>
    <w:p w:rsidR="007954C1" w:rsidRDefault="00E204EC" w:rsidP="00E204EC">
      <w:pPr>
        <w:spacing w:before="225" w:after="100" w:afterAutospacing="1"/>
        <w:ind w:left="1440" w:hanging="1440"/>
        <w:jc w:val="both"/>
        <w:rPr>
          <w:sz w:val="26"/>
          <w:szCs w:val="26"/>
        </w:rPr>
      </w:pPr>
      <w:r>
        <w:rPr>
          <w:rStyle w:val="HTMLCite"/>
          <w:i w:val="0"/>
          <w:iCs w:val="0"/>
          <w:sz w:val="26"/>
          <w:szCs w:val="26"/>
        </w:rPr>
        <w:t>Andoyo R., Mahani M., Ain M.N., Wira D.W., Wilar G., Darwis R.S., et al. Pre-clinical study of the high protein food based on denaturized whey protein. Sys. Rev. Pharm. 2021;12(1):759–770.</w:t>
      </w:r>
      <w:r>
        <w:rPr>
          <w:sz w:val="26"/>
          <w:szCs w:val="26"/>
        </w:rPr>
        <w:t> </w:t>
      </w:r>
    </w:p>
    <w:p w:rsidR="007954C1" w:rsidRDefault="007954C1" w:rsidP="00E204EC">
      <w:pPr>
        <w:spacing w:before="225" w:after="100" w:afterAutospacing="1"/>
        <w:ind w:left="1440" w:hanging="1440"/>
        <w:jc w:val="both"/>
        <w:rPr>
          <w:rStyle w:val="HTMLCite"/>
          <w:i w:val="0"/>
          <w:iCs w:val="0"/>
          <w:sz w:val="26"/>
          <w:szCs w:val="26"/>
        </w:rPr>
      </w:pPr>
      <w:r>
        <w:rPr>
          <w:rStyle w:val="HTMLCite"/>
          <w:i w:val="0"/>
          <w:iCs w:val="0"/>
          <w:sz w:val="26"/>
          <w:szCs w:val="26"/>
        </w:rPr>
        <w:t xml:space="preserve"> </w:t>
      </w:r>
      <w:r w:rsidR="00E204EC">
        <w:rPr>
          <w:rStyle w:val="HTMLCite"/>
          <w:i w:val="0"/>
          <w:iCs w:val="0"/>
          <w:sz w:val="26"/>
          <w:szCs w:val="26"/>
        </w:rPr>
        <w:t>Prabhakar K. Encyclopedia of Food Microbiology. Elsevier; 2014. Intermediate moisture foods.</w:t>
      </w:r>
      <w:hyperlink r:id="rId16" w:tgtFrame="_blank" w:history="1">
        <w:r w:rsidR="00E204EC">
          <w:rPr>
            <w:rStyle w:val="Hyperlink"/>
            <w:color w:val="005EA2"/>
            <w:sz w:val="26"/>
            <w:szCs w:val="26"/>
          </w:rPr>
          <w:t>https://linkinghub.elsevier.com/retrieve/pii/B9780123847300001701</w:t>
        </w:r>
      </w:hyperlink>
      <w:r w:rsidR="00E204EC">
        <w:rPr>
          <w:rStyle w:val="HTMLCite"/>
          <w:i w:val="0"/>
          <w:iCs w:val="0"/>
          <w:sz w:val="26"/>
          <w:szCs w:val="26"/>
        </w:rPr>
        <w:t xml:space="preserve"> [cited 2022 Jun 29]. </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Shenoy P., Viau M., Tammel K., Innings F., Fitzpatrick J., Ahrné L. Effect of powder densities, particle size and shape on mixture quality of binary food powder mixtures. Powder Technol. 2015 Mar</w:t>
      </w:r>
      <w:r w:rsidR="007954C1">
        <w:rPr>
          <w:rStyle w:val="HTMLCite"/>
          <w:i w:val="0"/>
          <w:iCs w:val="0"/>
          <w:sz w:val="26"/>
          <w:szCs w:val="26"/>
        </w:rPr>
        <w:t>.</w:t>
      </w:r>
    </w:p>
    <w:p w:rsidR="007954C1" w:rsidRDefault="00E204EC" w:rsidP="00E204EC">
      <w:pPr>
        <w:spacing w:before="225" w:after="100" w:afterAutospacing="1"/>
        <w:ind w:left="1440" w:hanging="1440"/>
        <w:jc w:val="both"/>
        <w:rPr>
          <w:rStyle w:val="HTMLCite"/>
          <w:i w:val="0"/>
          <w:iCs w:val="0"/>
          <w:sz w:val="26"/>
          <w:szCs w:val="26"/>
        </w:rPr>
      </w:pPr>
      <w:r>
        <w:rPr>
          <w:rStyle w:val="HTMLCite"/>
          <w:i w:val="0"/>
          <w:iCs w:val="0"/>
          <w:sz w:val="26"/>
          <w:szCs w:val="26"/>
        </w:rPr>
        <w:t>Belorio M., Sahagún M., Gómez M. Influence of flour particle size distribution on the quality of maize gluten-free cookies. Foods. 2019 Feb 23</w:t>
      </w:r>
      <w:r w:rsidR="007954C1">
        <w:rPr>
          <w:rStyle w:val="HTMLCite"/>
          <w:i w:val="0"/>
          <w:iCs w:val="0"/>
          <w:sz w:val="26"/>
          <w:szCs w:val="26"/>
        </w:rPr>
        <w:t>.</w:t>
      </w:r>
    </w:p>
    <w:p w:rsidR="007954C1" w:rsidRPr="007954C1" w:rsidRDefault="007954C1" w:rsidP="007954C1">
      <w:pPr>
        <w:spacing w:before="225" w:after="100" w:afterAutospacing="1"/>
        <w:ind w:left="1440" w:hanging="1440"/>
        <w:jc w:val="both"/>
        <w:rPr>
          <w:rFonts w:ascii="Cambria" w:hAnsi="Cambria"/>
          <w:color w:val="1B1B1B"/>
          <w:sz w:val="26"/>
          <w:szCs w:val="26"/>
        </w:rPr>
      </w:pPr>
      <w:r>
        <w:rPr>
          <w:rStyle w:val="label"/>
          <w:rFonts w:ascii="Cambria" w:hAnsi="Cambria"/>
          <w:color w:val="1B1B1B"/>
          <w:sz w:val="26"/>
          <w:szCs w:val="26"/>
        </w:rPr>
        <w:t xml:space="preserve"> </w:t>
      </w:r>
      <w:r w:rsidR="00E204EC">
        <w:rPr>
          <w:rStyle w:val="label"/>
          <w:rFonts w:ascii="Cambria" w:hAnsi="Cambria"/>
          <w:color w:val="1B1B1B"/>
          <w:sz w:val="26"/>
          <w:szCs w:val="26"/>
        </w:rPr>
        <w:t>90.</w:t>
      </w:r>
      <w:r w:rsidR="00E204EC">
        <w:rPr>
          <w:rStyle w:val="HTMLCite"/>
          <w:rFonts w:ascii="Cambria" w:hAnsi="Cambria"/>
          <w:i w:val="0"/>
          <w:iCs w:val="0"/>
          <w:color w:val="1B1B1B"/>
          <w:sz w:val="26"/>
          <w:szCs w:val="26"/>
        </w:rPr>
        <w:t>Benjamin J., Makharia G., Ahuja V., Anand Rajan K.D., Kalaivani M., Gupta S.D., et al. Glutamine and whey protein improve intestinal permeability and morphology in patients with crohn’s disease: a randomized controlled trial. Dig. Dis. Sci. 2012 Apr;57(4):1000–1012</w:t>
      </w:r>
      <w:r>
        <w:rPr>
          <w:rStyle w:val="HTMLCite"/>
          <w:rFonts w:ascii="Cambria" w:hAnsi="Cambria"/>
          <w:i w:val="0"/>
          <w:iCs w:val="0"/>
          <w:color w:val="1B1B1B"/>
          <w:sz w:val="26"/>
          <w:szCs w:val="26"/>
        </w:rPr>
        <w:t>.</w:t>
      </w:r>
    </w:p>
    <w:p w:rsidR="007954C1" w:rsidRDefault="00E204EC" w:rsidP="00E204EC">
      <w:pPr>
        <w:shd w:val="clear" w:color="auto" w:fill="FFFFFF"/>
        <w:spacing w:before="225" w:after="100" w:afterAutospacing="1"/>
        <w:ind w:left="1440" w:hanging="1440"/>
        <w:rPr>
          <w:rStyle w:val="HTMLCite"/>
          <w:rFonts w:ascii="Cambria" w:hAnsi="Cambria"/>
          <w:i w:val="0"/>
          <w:iCs w:val="0"/>
          <w:color w:val="1B1B1B"/>
          <w:sz w:val="26"/>
          <w:szCs w:val="26"/>
        </w:rPr>
      </w:pPr>
      <w:r>
        <w:rPr>
          <w:rStyle w:val="HTMLCite"/>
          <w:rFonts w:ascii="Cambria" w:hAnsi="Cambria"/>
          <w:i w:val="0"/>
          <w:iCs w:val="0"/>
          <w:color w:val="1B1B1B"/>
          <w:sz w:val="26"/>
          <w:szCs w:val="26"/>
        </w:rPr>
        <w:t>Prokopidis K., Mazidi M., Sankaranarayanan R., Tajik B., McArdle A., Isanejad M. Effects of whey and soy protein supplementation on inflammatory cytokines in older adults: a systematic review and meta-analysis. Br. J. Nutr. 2022 Jun 16:1–12</w:t>
      </w:r>
      <w:r w:rsidR="007954C1">
        <w:rPr>
          <w:rStyle w:val="HTMLCite"/>
          <w:rFonts w:ascii="Cambria" w:hAnsi="Cambria"/>
          <w:i w:val="0"/>
          <w:iCs w:val="0"/>
          <w:color w:val="1B1B1B"/>
          <w:sz w:val="26"/>
          <w:szCs w:val="26"/>
        </w:rPr>
        <w:t>.</w:t>
      </w:r>
    </w:p>
    <w:p w:rsidR="007954C1" w:rsidRDefault="00E204EC" w:rsidP="00E204EC">
      <w:pPr>
        <w:shd w:val="clear" w:color="auto" w:fill="FFFFFF"/>
        <w:spacing w:before="225" w:after="100" w:afterAutospacing="1"/>
        <w:ind w:left="1440" w:hanging="1440"/>
        <w:rPr>
          <w:rStyle w:val="HTMLCite"/>
          <w:rFonts w:ascii="Cambria" w:hAnsi="Cambria"/>
          <w:i w:val="0"/>
          <w:iCs w:val="0"/>
          <w:color w:val="1B1B1B"/>
          <w:sz w:val="26"/>
          <w:szCs w:val="26"/>
        </w:rPr>
      </w:pPr>
      <w:r>
        <w:rPr>
          <w:rStyle w:val="HTMLCite"/>
          <w:rFonts w:ascii="Cambria" w:hAnsi="Cambria"/>
          <w:i w:val="0"/>
          <w:iCs w:val="0"/>
          <w:color w:val="1B1B1B"/>
          <w:sz w:val="26"/>
          <w:szCs w:val="26"/>
        </w:rPr>
        <w:t>Ma N., Tian Y., Wu Y., Ma X. CPPS; 2017 Jun 2. Contributions of the Interaction between Dietary Protein and Gut Microbiota to Intestinal Health.</w:t>
      </w:r>
      <w:hyperlink r:id="rId17" w:tgtFrame="_blank" w:history="1">
        <w:r>
          <w:rPr>
            <w:rStyle w:val="Hyperlink"/>
            <w:rFonts w:ascii="Cambria" w:hAnsi="Cambria"/>
            <w:color w:val="005EA2"/>
            <w:sz w:val="26"/>
            <w:szCs w:val="26"/>
          </w:rPr>
          <w:t>http://www.eurekaselect.com/150179/article</w:t>
        </w:r>
      </w:hyperlink>
      <w:r>
        <w:rPr>
          <w:rStyle w:val="HTMLCite"/>
          <w:rFonts w:ascii="Cambria" w:hAnsi="Cambria"/>
          <w:i w:val="0"/>
          <w:iCs w:val="0"/>
          <w:color w:val="1B1B1B"/>
          <w:sz w:val="26"/>
          <w:szCs w:val="26"/>
        </w:rPr>
        <w:t> [cited 2023 Apr 10</w:t>
      </w:r>
      <w:r w:rsidR="007954C1">
        <w:rPr>
          <w:rStyle w:val="HTMLCite"/>
          <w:rFonts w:ascii="Cambria" w:hAnsi="Cambria"/>
          <w:i w:val="0"/>
          <w:iCs w:val="0"/>
          <w:color w:val="1B1B1B"/>
          <w:sz w:val="26"/>
          <w:szCs w:val="26"/>
        </w:rPr>
        <w:t>]</w:t>
      </w:r>
    </w:p>
    <w:p w:rsidR="007954C1" w:rsidRDefault="00E204EC" w:rsidP="00E204EC">
      <w:pPr>
        <w:shd w:val="clear" w:color="auto" w:fill="FFFFFF"/>
        <w:spacing w:before="225" w:after="100" w:afterAutospacing="1"/>
        <w:ind w:left="1440" w:hanging="1440"/>
        <w:rPr>
          <w:rStyle w:val="HTMLCite"/>
          <w:rFonts w:ascii="Cambria" w:hAnsi="Cambria"/>
          <w:i w:val="0"/>
          <w:iCs w:val="0"/>
          <w:color w:val="1B1B1B"/>
          <w:sz w:val="26"/>
          <w:szCs w:val="26"/>
        </w:rPr>
      </w:pPr>
      <w:r>
        <w:rPr>
          <w:rStyle w:val="HTMLCite"/>
          <w:rFonts w:ascii="Cambria" w:hAnsi="Cambria"/>
          <w:i w:val="0"/>
          <w:iCs w:val="0"/>
          <w:color w:val="1B1B1B"/>
          <w:sz w:val="26"/>
          <w:szCs w:val="26"/>
        </w:rPr>
        <w:t xml:space="preserve">Jewell J.L., Russell R.C., Guan K.L. Amino acid signalling upstream of mTOR. Nat. Rev. Mol. Cell Biol. 2013 Mar;14(3):133–139. </w:t>
      </w:r>
    </w:p>
    <w:p w:rsidR="007954C1" w:rsidRDefault="00E204EC" w:rsidP="00E204EC">
      <w:pPr>
        <w:shd w:val="clear" w:color="auto" w:fill="FFFFFF"/>
        <w:spacing w:before="225" w:after="100" w:afterAutospacing="1"/>
        <w:ind w:left="1440" w:hanging="1440"/>
        <w:rPr>
          <w:rStyle w:val="HTMLCite"/>
          <w:rFonts w:ascii="Cambria" w:hAnsi="Cambria"/>
          <w:i w:val="0"/>
          <w:iCs w:val="0"/>
          <w:color w:val="1B1B1B"/>
          <w:sz w:val="26"/>
          <w:szCs w:val="26"/>
        </w:rPr>
      </w:pPr>
      <w:r>
        <w:rPr>
          <w:rStyle w:val="HTMLCite"/>
          <w:rFonts w:ascii="Cambria" w:hAnsi="Cambria"/>
          <w:i w:val="0"/>
          <w:iCs w:val="0"/>
          <w:color w:val="1B1B1B"/>
          <w:sz w:val="26"/>
          <w:szCs w:val="26"/>
        </w:rPr>
        <w:lastRenderedPageBreak/>
        <w:t>Laplante M., Sabatini D.M. mTOR signaling in growth control and disease. Cell. 2012 Apr;149(2):274–293. doi: 10.1016/j.cell.2012.03.017</w:t>
      </w:r>
      <w:r w:rsidR="007954C1">
        <w:rPr>
          <w:rStyle w:val="HTMLCite"/>
          <w:rFonts w:ascii="Cambria" w:hAnsi="Cambria"/>
          <w:i w:val="0"/>
          <w:iCs w:val="0"/>
          <w:color w:val="1B1B1B"/>
          <w:sz w:val="26"/>
          <w:szCs w:val="26"/>
        </w:rPr>
        <w:t>.</w:t>
      </w:r>
    </w:p>
    <w:p w:rsidR="007954C1" w:rsidRDefault="00E204EC" w:rsidP="00E204EC">
      <w:pPr>
        <w:shd w:val="clear" w:color="auto" w:fill="FFFFFF"/>
        <w:spacing w:before="225" w:after="100" w:afterAutospacing="1"/>
        <w:ind w:left="1440" w:hanging="1440"/>
        <w:rPr>
          <w:rStyle w:val="HTMLCite"/>
          <w:rFonts w:ascii="Cambria" w:hAnsi="Cambria"/>
          <w:i w:val="0"/>
          <w:iCs w:val="0"/>
          <w:color w:val="1B1B1B"/>
          <w:sz w:val="26"/>
          <w:szCs w:val="26"/>
        </w:rPr>
      </w:pPr>
      <w:r>
        <w:rPr>
          <w:rStyle w:val="HTMLCite"/>
          <w:rFonts w:ascii="Cambria" w:hAnsi="Cambria"/>
          <w:i w:val="0"/>
          <w:iCs w:val="0"/>
          <w:color w:val="1B1B1B"/>
          <w:sz w:val="26"/>
          <w:szCs w:val="26"/>
        </w:rPr>
        <w:t xml:space="preserve">Biesalski H.K. Springer Science &amp; Business Media; Heidelberg, Germany: 2013 Jan. Hidden Hunger; </w:t>
      </w:r>
    </w:p>
    <w:p w:rsidR="007954C1" w:rsidRDefault="00E204EC" w:rsidP="00E204EC">
      <w:pPr>
        <w:shd w:val="clear" w:color="auto" w:fill="FFFFFF"/>
        <w:spacing w:before="225" w:after="100" w:afterAutospacing="1"/>
        <w:ind w:left="1440" w:hanging="1440"/>
        <w:rPr>
          <w:rStyle w:val="HTMLCite"/>
          <w:rFonts w:ascii="Cambria" w:hAnsi="Cambria"/>
          <w:i w:val="0"/>
          <w:iCs w:val="0"/>
          <w:color w:val="1B1B1B"/>
          <w:sz w:val="26"/>
          <w:szCs w:val="26"/>
        </w:rPr>
      </w:pPr>
      <w:r>
        <w:rPr>
          <w:rStyle w:val="HTMLCite"/>
          <w:rFonts w:ascii="Cambria" w:hAnsi="Cambria"/>
          <w:i w:val="0"/>
          <w:iCs w:val="0"/>
          <w:color w:val="1B1B1B"/>
          <w:sz w:val="26"/>
          <w:szCs w:val="26"/>
        </w:rPr>
        <w:t>Hrubša M., Siatka T., Nejmanová I., Vopršalová M., Kujovská Krčmová L., Matoušová K., et al. Biological properties of vitamins of the B-complex, part 1: vitamins B1, B2, B3, and B5. Nutrients. 2022</w:t>
      </w:r>
      <w:r w:rsidR="007954C1">
        <w:rPr>
          <w:rStyle w:val="HTMLCite"/>
          <w:rFonts w:ascii="Cambria" w:hAnsi="Cambria"/>
          <w:i w:val="0"/>
          <w:iCs w:val="0"/>
          <w:color w:val="1B1B1B"/>
          <w:sz w:val="26"/>
          <w:szCs w:val="26"/>
        </w:rPr>
        <w:t>.</w:t>
      </w:r>
    </w:p>
    <w:p w:rsidR="007954C1" w:rsidRDefault="00E204EC" w:rsidP="00E204EC">
      <w:pPr>
        <w:shd w:val="clear" w:color="auto" w:fill="FFFFFF"/>
        <w:spacing w:before="225" w:after="100" w:afterAutospacing="1"/>
        <w:ind w:left="1440" w:hanging="1440"/>
        <w:rPr>
          <w:rStyle w:val="HTMLCite"/>
          <w:rFonts w:ascii="Cambria" w:hAnsi="Cambria"/>
          <w:i w:val="0"/>
          <w:iCs w:val="0"/>
          <w:color w:val="1B1B1B"/>
          <w:sz w:val="26"/>
          <w:szCs w:val="26"/>
        </w:rPr>
      </w:pPr>
      <w:r>
        <w:rPr>
          <w:rStyle w:val="HTMLCite"/>
          <w:rFonts w:ascii="Cambria" w:hAnsi="Cambria"/>
          <w:i w:val="0"/>
          <w:iCs w:val="0"/>
          <w:color w:val="1B1B1B"/>
          <w:sz w:val="26"/>
          <w:szCs w:val="26"/>
        </w:rPr>
        <w:t>Watzke H.J. Impact of processing on bioavailability examples of minerals in foods. Trends Food Sci. Technol. 1998 Aug;9</w:t>
      </w:r>
    </w:p>
    <w:p w:rsidR="00E204EC" w:rsidRDefault="00E204EC" w:rsidP="00E204EC">
      <w:pPr>
        <w:shd w:val="clear" w:color="auto" w:fill="FFFFFF"/>
        <w:spacing w:before="225" w:after="100" w:afterAutospacing="1"/>
        <w:ind w:left="1440" w:hanging="1440"/>
        <w:rPr>
          <w:rFonts w:ascii="Cambria" w:hAnsi="Cambria"/>
          <w:color w:val="1B1B1B"/>
          <w:sz w:val="26"/>
          <w:szCs w:val="26"/>
        </w:rPr>
      </w:pPr>
      <w:r>
        <w:rPr>
          <w:rStyle w:val="HTMLCite"/>
          <w:rFonts w:ascii="Cambria" w:hAnsi="Cambria"/>
          <w:i w:val="0"/>
          <w:iCs w:val="0"/>
          <w:color w:val="1B1B1B"/>
          <w:sz w:val="26"/>
          <w:szCs w:val="26"/>
        </w:rPr>
        <w:t>de Almeida M.M.C., Francisco C.R.L., de Oliveira A., de Campos S.S., Bilck A.P., Fuchs R.H.B., et al. Textural, color, hygroscopic, lipid oxidation, and sensory properties of cookies containing free and microencapsulated chia oil. Food Bioprocess Technol. 2018 May;1</w:t>
      </w:r>
      <w:r w:rsidR="007954C1">
        <w:rPr>
          <w:rStyle w:val="HTMLCite"/>
          <w:rFonts w:ascii="Cambria" w:hAnsi="Cambria"/>
          <w:i w:val="0"/>
          <w:iCs w:val="0"/>
          <w:color w:val="1B1B1B"/>
          <w:sz w:val="26"/>
          <w:szCs w:val="26"/>
        </w:rPr>
        <w:t>1</w:t>
      </w:r>
    </w:p>
    <w:p w:rsidR="006252BB" w:rsidRPr="006252BB" w:rsidRDefault="006252BB" w:rsidP="00E204EC">
      <w:pPr>
        <w:ind w:left="1440" w:hanging="1440"/>
        <w:jc w:val="both"/>
        <w:rPr>
          <w:rFonts w:ascii="Times New Roman" w:hAnsi="Times New Roman" w:cs="Times New Roman"/>
          <w:sz w:val="24"/>
          <w:szCs w:val="24"/>
        </w:rPr>
      </w:pPr>
    </w:p>
    <w:sectPr w:rsidR="006252BB" w:rsidRPr="006252BB" w:rsidSect="002945A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3839" w:rsidRDefault="002F3839" w:rsidP="00DF246B">
      <w:pPr>
        <w:spacing w:after="0" w:line="240" w:lineRule="auto"/>
      </w:pPr>
      <w:r>
        <w:separator/>
      </w:r>
    </w:p>
  </w:endnote>
  <w:endnote w:type="continuationSeparator" w:id="1">
    <w:p w:rsidR="002F3839" w:rsidRDefault="002F3839" w:rsidP="00DF246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3839" w:rsidRDefault="002F3839" w:rsidP="00DF246B">
      <w:pPr>
        <w:spacing w:after="0" w:line="240" w:lineRule="auto"/>
      </w:pPr>
      <w:r>
        <w:separator/>
      </w:r>
    </w:p>
  </w:footnote>
  <w:footnote w:type="continuationSeparator" w:id="1">
    <w:p w:rsidR="002F3839" w:rsidRDefault="002F3839" w:rsidP="00DF246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257F4F"/>
    <w:multiLevelType w:val="multilevel"/>
    <w:tmpl w:val="D28AB908"/>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nsid w:val="23AE061A"/>
    <w:multiLevelType w:val="multilevel"/>
    <w:tmpl w:val="A5CE385C"/>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
    <w:nsid w:val="256B2587"/>
    <w:multiLevelType w:val="multilevel"/>
    <w:tmpl w:val="D7A68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0DB0DF1"/>
    <w:multiLevelType w:val="multilevel"/>
    <w:tmpl w:val="18386B68"/>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3AE52E8A"/>
    <w:multiLevelType w:val="hybridMultilevel"/>
    <w:tmpl w:val="34505A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1D96D47"/>
    <w:multiLevelType w:val="multilevel"/>
    <w:tmpl w:val="2C4CB884"/>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6">
    <w:nsid w:val="42C23C6A"/>
    <w:multiLevelType w:val="multilevel"/>
    <w:tmpl w:val="B9D00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3CA57EB"/>
    <w:multiLevelType w:val="multilevel"/>
    <w:tmpl w:val="2E68A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0593704"/>
    <w:multiLevelType w:val="multilevel"/>
    <w:tmpl w:val="3B4086D0"/>
    <w:lvl w:ilvl="0">
      <w:start w:val="4"/>
      <w:numFmt w:val="decimal"/>
      <w:lvlText w:val="%1"/>
      <w:lvlJc w:val="left"/>
      <w:pPr>
        <w:ind w:left="360" w:hanging="360"/>
      </w:pPr>
      <w:rPr>
        <w:rFonts w:hint="default"/>
        <w:b w:val="0"/>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9">
    <w:nsid w:val="5E8852B5"/>
    <w:multiLevelType w:val="multilevel"/>
    <w:tmpl w:val="6F40436E"/>
    <w:lvl w:ilvl="0">
      <w:start w:val="1"/>
      <w:numFmt w:val="decimal"/>
      <w:lvlText w:val="%1."/>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hAnsi="Times New Roman" w:cs="Times New Roman" w:hint="default"/>
      </w:rPr>
    </w:lvl>
    <w:lvl w:ilvl="2">
      <w:start w:val="1"/>
      <w:numFmt w:val="decimal"/>
      <w:lvlText w:val="%3."/>
      <w:lvlJc w:val="left"/>
      <w:pPr>
        <w:tabs>
          <w:tab w:val="num" w:pos="2160"/>
        </w:tabs>
        <w:ind w:left="2160" w:hanging="360"/>
      </w:pPr>
      <w:rPr>
        <w:rFonts w:ascii="Times New Roman" w:hAnsi="Times New Roman" w:cs="Times New Roman" w:hint="default"/>
      </w:rPr>
    </w:lvl>
    <w:lvl w:ilvl="3">
      <w:start w:val="1"/>
      <w:numFmt w:val="decimal"/>
      <w:lvlText w:val="%4."/>
      <w:lvlJc w:val="left"/>
      <w:pPr>
        <w:tabs>
          <w:tab w:val="num" w:pos="2880"/>
        </w:tabs>
        <w:ind w:left="2880" w:hanging="360"/>
      </w:pPr>
      <w:rPr>
        <w:rFonts w:ascii="Times New Roman" w:hAnsi="Times New Roman" w:cs="Times New Roman" w:hint="default"/>
      </w:rPr>
    </w:lvl>
    <w:lvl w:ilvl="4">
      <w:start w:val="1"/>
      <w:numFmt w:val="decimal"/>
      <w:lvlText w:val="%5."/>
      <w:lvlJc w:val="left"/>
      <w:pPr>
        <w:tabs>
          <w:tab w:val="num" w:pos="3600"/>
        </w:tabs>
        <w:ind w:left="3600" w:hanging="360"/>
      </w:pPr>
      <w:rPr>
        <w:rFonts w:ascii="Times New Roman" w:hAnsi="Times New Roman" w:cs="Times New Roman" w:hint="default"/>
      </w:rPr>
    </w:lvl>
    <w:lvl w:ilvl="5">
      <w:start w:val="1"/>
      <w:numFmt w:val="decimal"/>
      <w:lvlText w:val="%6."/>
      <w:lvlJc w:val="left"/>
      <w:pPr>
        <w:tabs>
          <w:tab w:val="num" w:pos="4320"/>
        </w:tabs>
        <w:ind w:left="4320" w:hanging="360"/>
      </w:pPr>
      <w:rPr>
        <w:rFonts w:ascii="Times New Roman" w:hAnsi="Times New Roman" w:cs="Times New Roman" w:hint="default"/>
      </w:rPr>
    </w:lvl>
    <w:lvl w:ilvl="6">
      <w:start w:val="1"/>
      <w:numFmt w:val="decimal"/>
      <w:lvlText w:val="%7."/>
      <w:lvlJc w:val="left"/>
      <w:pPr>
        <w:tabs>
          <w:tab w:val="num" w:pos="5040"/>
        </w:tabs>
        <w:ind w:left="5040" w:hanging="360"/>
      </w:pPr>
      <w:rPr>
        <w:rFonts w:ascii="Times New Roman" w:hAnsi="Times New Roman" w:cs="Times New Roman" w:hint="default"/>
      </w:rPr>
    </w:lvl>
    <w:lvl w:ilvl="7">
      <w:start w:val="1"/>
      <w:numFmt w:val="decimal"/>
      <w:lvlText w:val="%8."/>
      <w:lvlJc w:val="left"/>
      <w:pPr>
        <w:tabs>
          <w:tab w:val="num" w:pos="5760"/>
        </w:tabs>
        <w:ind w:left="5760" w:hanging="360"/>
      </w:pPr>
      <w:rPr>
        <w:rFonts w:ascii="Times New Roman" w:hAnsi="Times New Roman" w:cs="Times New Roman" w:hint="default"/>
      </w:rPr>
    </w:lvl>
    <w:lvl w:ilvl="8">
      <w:start w:val="1"/>
      <w:numFmt w:val="decimal"/>
      <w:lvlText w:val="%9."/>
      <w:lvlJc w:val="left"/>
      <w:pPr>
        <w:tabs>
          <w:tab w:val="num" w:pos="6480"/>
        </w:tabs>
        <w:ind w:left="6480" w:hanging="360"/>
      </w:pPr>
      <w:rPr>
        <w:rFonts w:ascii="Times New Roman" w:hAnsi="Times New Roman" w:cs="Times New Roman" w:hint="default"/>
      </w:rPr>
    </w:lvl>
  </w:abstractNum>
  <w:abstractNum w:abstractNumId="10">
    <w:nsid w:val="68FD02AB"/>
    <w:multiLevelType w:val="multilevel"/>
    <w:tmpl w:val="37AC0DBC"/>
    <w:lvl w:ilvl="0">
      <w:start w:val="4"/>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71860333"/>
    <w:multiLevelType w:val="multilevel"/>
    <w:tmpl w:val="F3162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7"/>
  </w:num>
  <w:num w:numId="5">
    <w:abstractNumId w:val="0"/>
  </w:num>
  <w:num w:numId="6">
    <w:abstractNumId w:val="11"/>
  </w:num>
  <w:num w:numId="7">
    <w:abstractNumId w:val="3"/>
  </w:num>
  <w:num w:numId="8">
    <w:abstractNumId w:val="10"/>
  </w:num>
  <w:num w:numId="9">
    <w:abstractNumId w:val="8"/>
  </w:num>
  <w:num w:numId="10">
    <w:abstractNumId w:val="2"/>
  </w:num>
  <w:num w:numId="11">
    <w:abstractNumId w:val="4"/>
  </w:num>
  <w:num w:numId="1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20"/>
  <w:characterSpacingControl w:val="doNotCompress"/>
  <w:footnotePr>
    <w:footnote w:id="0"/>
    <w:footnote w:id="1"/>
  </w:footnotePr>
  <w:endnotePr>
    <w:endnote w:id="0"/>
    <w:endnote w:id="1"/>
  </w:endnotePr>
  <w:compat/>
  <w:rsids>
    <w:rsidRoot w:val="00DF246B"/>
    <w:rsid w:val="001633B2"/>
    <w:rsid w:val="00244A85"/>
    <w:rsid w:val="002945A2"/>
    <w:rsid w:val="002C4032"/>
    <w:rsid w:val="002F3839"/>
    <w:rsid w:val="003A59C4"/>
    <w:rsid w:val="005809DC"/>
    <w:rsid w:val="005B58C0"/>
    <w:rsid w:val="006252BB"/>
    <w:rsid w:val="00660138"/>
    <w:rsid w:val="006660CE"/>
    <w:rsid w:val="00671A64"/>
    <w:rsid w:val="007954C1"/>
    <w:rsid w:val="00841C57"/>
    <w:rsid w:val="008645FF"/>
    <w:rsid w:val="0090044C"/>
    <w:rsid w:val="00927B55"/>
    <w:rsid w:val="00993C9A"/>
    <w:rsid w:val="00A36DBA"/>
    <w:rsid w:val="00A37FB6"/>
    <w:rsid w:val="00AD1C3F"/>
    <w:rsid w:val="00B120FE"/>
    <w:rsid w:val="00BD11DE"/>
    <w:rsid w:val="00C325A6"/>
    <w:rsid w:val="00C72B71"/>
    <w:rsid w:val="00C9147B"/>
    <w:rsid w:val="00CD493B"/>
    <w:rsid w:val="00D5787A"/>
    <w:rsid w:val="00DC2FC4"/>
    <w:rsid w:val="00DD18C2"/>
    <w:rsid w:val="00DF246B"/>
    <w:rsid w:val="00E2031E"/>
    <w:rsid w:val="00E204EC"/>
    <w:rsid w:val="00E964CD"/>
    <w:rsid w:val="00ED2224"/>
    <w:rsid w:val="00EE11F0"/>
    <w:rsid w:val="00EE7B40"/>
    <w:rsid w:val="00EF4940"/>
    <w:rsid w:val="00F4702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9" type="connector" idref="#_x0000_s1027"/>
        <o:r id="V:Rule14" type="connector" idref="#_x0000_s1036"/>
        <o:r id="V:Rule18" type="connector" idref="#_x0000_s10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787A"/>
  </w:style>
  <w:style w:type="paragraph" w:styleId="Heading2">
    <w:name w:val="heading 2"/>
    <w:basedOn w:val="Normal"/>
    <w:link w:val="Heading2Char"/>
    <w:uiPriority w:val="9"/>
    <w:qFormat/>
    <w:rsid w:val="00A37FB6"/>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DF246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F246B"/>
  </w:style>
  <w:style w:type="paragraph" w:styleId="Footer">
    <w:name w:val="footer"/>
    <w:basedOn w:val="Normal"/>
    <w:link w:val="FooterChar"/>
    <w:uiPriority w:val="99"/>
    <w:semiHidden/>
    <w:unhideWhenUsed/>
    <w:rsid w:val="00DF246B"/>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DF246B"/>
  </w:style>
  <w:style w:type="character" w:styleId="PlaceholderText">
    <w:name w:val="Placeholder Text"/>
    <w:basedOn w:val="DefaultParagraphFont"/>
    <w:uiPriority w:val="99"/>
    <w:semiHidden/>
    <w:rsid w:val="00DD18C2"/>
    <w:rPr>
      <w:color w:val="808080"/>
    </w:rPr>
  </w:style>
  <w:style w:type="paragraph" w:styleId="BalloonText">
    <w:name w:val="Balloon Text"/>
    <w:basedOn w:val="Normal"/>
    <w:link w:val="BalloonTextChar"/>
    <w:uiPriority w:val="99"/>
    <w:semiHidden/>
    <w:unhideWhenUsed/>
    <w:rsid w:val="00DD18C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18C2"/>
    <w:rPr>
      <w:rFonts w:ascii="Tahoma" w:hAnsi="Tahoma" w:cs="Tahoma"/>
      <w:sz w:val="16"/>
      <w:szCs w:val="16"/>
    </w:rPr>
  </w:style>
  <w:style w:type="paragraph" w:styleId="NormalWeb">
    <w:name w:val="Normal (Web)"/>
    <w:basedOn w:val="Normal"/>
    <w:uiPriority w:val="99"/>
    <w:semiHidden/>
    <w:unhideWhenUsed/>
    <w:rsid w:val="0066013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5">
    <w:name w:val="15"/>
    <w:basedOn w:val="DefaultParagraphFont"/>
    <w:rsid w:val="00660138"/>
    <w:rPr>
      <w:rFonts w:ascii="Calibri" w:hAnsi="Calibri" w:cs="Calibri" w:hint="default"/>
      <w:b/>
      <w:bCs/>
    </w:rPr>
  </w:style>
  <w:style w:type="character" w:customStyle="1" w:styleId="label">
    <w:name w:val="label"/>
    <w:basedOn w:val="DefaultParagraphFont"/>
    <w:rsid w:val="00C325A6"/>
  </w:style>
  <w:style w:type="character" w:styleId="HTMLCite">
    <w:name w:val="HTML Cite"/>
    <w:basedOn w:val="DefaultParagraphFont"/>
    <w:uiPriority w:val="99"/>
    <w:semiHidden/>
    <w:unhideWhenUsed/>
    <w:rsid w:val="00C325A6"/>
    <w:rPr>
      <w:i/>
      <w:iCs/>
    </w:rPr>
  </w:style>
  <w:style w:type="character" w:styleId="Hyperlink">
    <w:name w:val="Hyperlink"/>
    <w:basedOn w:val="DefaultParagraphFont"/>
    <w:uiPriority w:val="99"/>
    <w:semiHidden/>
    <w:unhideWhenUsed/>
    <w:rsid w:val="00C325A6"/>
    <w:rPr>
      <w:color w:val="0000FF"/>
      <w:u w:val="single"/>
    </w:rPr>
  </w:style>
  <w:style w:type="character" w:styleId="FollowedHyperlink">
    <w:name w:val="FollowedHyperlink"/>
    <w:basedOn w:val="DefaultParagraphFont"/>
    <w:uiPriority w:val="99"/>
    <w:semiHidden/>
    <w:unhideWhenUsed/>
    <w:rsid w:val="00C325A6"/>
    <w:rPr>
      <w:color w:val="800080"/>
      <w:u w:val="single"/>
    </w:rPr>
  </w:style>
  <w:style w:type="character" w:customStyle="1" w:styleId="Heading2Char">
    <w:name w:val="Heading 2 Char"/>
    <w:basedOn w:val="DefaultParagraphFont"/>
    <w:link w:val="Heading2"/>
    <w:uiPriority w:val="9"/>
    <w:rsid w:val="00A37FB6"/>
    <w:rPr>
      <w:rFonts w:ascii="Times New Roman" w:eastAsia="Times New Roman" w:hAnsi="Times New Roman" w:cs="Times New Roman"/>
      <w:b/>
      <w:bCs/>
      <w:sz w:val="36"/>
      <w:szCs w:val="36"/>
    </w:rPr>
  </w:style>
  <w:style w:type="character" w:styleId="Strong">
    <w:name w:val="Strong"/>
    <w:basedOn w:val="DefaultParagraphFont"/>
    <w:uiPriority w:val="22"/>
    <w:qFormat/>
    <w:rsid w:val="00A37FB6"/>
    <w:rPr>
      <w:b/>
      <w:bCs/>
    </w:rPr>
  </w:style>
  <w:style w:type="paragraph" w:styleId="ListParagraph">
    <w:name w:val="List Paragraph"/>
    <w:basedOn w:val="Normal"/>
    <w:uiPriority w:val="34"/>
    <w:qFormat/>
    <w:rsid w:val="00D5787A"/>
    <w:pPr>
      <w:ind w:left="720"/>
      <w:contextualSpacing/>
    </w:pPr>
  </w:style>
</w:styles>
</file>

<file path=word/webSettings.xml><?xml version="1.0" encoding="utf-8"?>
<w:webSettings xmlns:r="http://schemas.openxmlformats.org/officeDocument/2006/relationships" xmlns:w="http://schemas.openxmlformats.org/wordprocessingml/2006/main">
  <w:divs>
    <w:div w:id="11347752">
      <w:bodyDiv w:val="1"/>
      <w:marLeft w:val="0"/>
      <w:marRight w:val="0"/>
      <w:marTop w:val="0"/>
      <w:marBottom w:val="0"/>
      <w:divBdr>
        <w:top w:val="none" w:sz="0" w:space="0" w:color="auto"/>
        <w:left w:val="none" w:sz="0" w:space="0" w:color="auto"/>
        <w:bottom w:val="none" w:sz="0" w:space="0" w:color="auto"/>
        <w:right w:val="none" w:sz="0" w:space="0" w:color="auto"/>
      </w:divBdr>
    </w:div>
    <w:div w:id="137766452">
      <w:bodyDiv w:val="1"/>
      <w:marLeft w:val="0"/>
      <w:marRight w:val="0"/>
      <w:marTop w:val="0"/>
      <w:marBottom w:val="0"/>
      <w:divBdr>
        <w:top w:val="none" w:sz="0" w:space="0" w:color="auto"/>
        <w:left w:val="none" w:sz="0" w:space="0" w:color="auto"/>
        <w:bottom w:val="none" w:sz="0" w:space="0" w:color="auto"/>
        <w:right w:val="none" w:sz="0" w:space="0" w:color="auto"/>
      </w:divBdr>
    </w:div>
    <w:div w:id="153766158">
      <w:bodyDiv w:val="1"/>
      <w:marLeft w:val="0"/>
      <w:marRight w:val="0"/>
      <w:marTop w:val="0"/>
      <w:marBottom w:val="0"/>
      <w:divBdr>
        <w:top w:val="none" w:sz="0" w:space="0" w:color="auto"/>
        <w:left w:val="none" w:sz="0" w:space="0" w:color="auto"/>
        <w:bottom w:val="none" w:sz="0" w:space="0" w:color="auto"/>
        <w:right w:val="none" w:sz="0" w:space="0" w:color="auto"/>
      </w:divBdr>
    </w:div>
    <w:div w:id="182400588">
      <w:bodyDiv w:val="1"/>
      <w:marLeft w:val="0"/>
      <w:marRight w:val="0"/>
      <w:marTop w:val="0"/>
      <w:marBottom w:val="0"/>
      <w:divBdr>
        <w:top w:val="none" w:sz="0" w:space="0" w:color="auto"/>
        <w:left w:val="none" w:sz="0" w:space="0" w:color="auto"/>
        <w:bottom w:val="none" w:sz="0" w:space="0" w:color="auto"/>
        <w:right w:val="none" w:sz="0" w:space="0" w:color="auto"/>
      </w:divBdr>
    </w:div>
    <w:div w:id="249386037">
      <w:bodyDiv w:val="1"/>
      <w:marLeft w:val="0"/>
      <w:marRight w:val="0"/>
      <w:marTop w:val="0"/>
      <w:marBottom w:val="0"/>
      <w:divBdr>
        <w:top w:val="none" w:sz="0" w:space="0" w:color="auto"/>
        <w:left w:val="none" w:sz="0" w:space="0" w:color="auto"/>
        <w:bottom w:val="none" w:sz="0" w:space="0" w:color="auto"/>
        <w:right w:val="none" w:sz="0" w:space="0" w:color="auto"/>
      </w:divBdr>
    </w:div>
    <w:div w:id="279148895">
      <w:bodyDiv w:val="1"/>
      <w:marLeft w:val="0"/>
      <w:marRight w:val="0"/>
      <w:marTop w:val="0"/>
      <w:marBottom w:val="0"/>
      <w:divBdr>
        <w:top w:val="none" w:sz="0" w:space="0" w:color="auto"/>
        <w:left w:val="none" w:sz="0" w:space="0" w:color="auto"/>
        <w:bottom w:val="none" w:sz="0" w:space="0" w:color="auto"/>
        <w:right w:val="none" w:sz="0" w:space="0" w:color="auto"/>
      </w:divBdr>
    </w:div>
    <w:div w:id="283460213">
      <w:bodyDiv w:val="1"/>
      <w:marLeft w:val="0"/>
      <w:marRight w:val="0"/>
      <w:marTop w:val="0"/>
      <w:marBottom w:val="0"/>
      <w:divBdr>
        <w:top w:val="none" w:sz="0" w:space="0" w:color="auto"/>
        <w:left w:val="none" w:sz="0" w:space="0" w:color="auto"/>
        <w:bottom w:val="none" w:sz="0" w:space="0" w:color="auto"/>
        <w:right w:val="none" w:sz="0" w:space="0" w:color="auto"/>
      </w:divBdr>
    </w:div>
    <w:div w:id="317151959">
      <w:bodyDiv w:val="1"/>
      <w:marLeft w:val="0"/>
      <w:marRight w:val="0"/>
      <w:marTop w:val="0"/>
      <w:marBottom w:val="0"/>
      <w:divBdr>
        <w:top w:val="none" w:sz="0" w:space="0" w:color="auto"/>
        <w:left w:val="none" w:sz="0" w:space="0" w:color="auto"/>
        <w:bottom w:val="none" w:sz="0" w:space="0" w:color="auto"/>
        <w:right w:val="none" w:sz="0" w:space="0" w:color="auto"/>
      </w:divBdr>
    </w:div>
    <w:div w:id="408236099">
      <w:bodyDiv w:val="1"/>
      <w:marLeft w:val="0"/>
      <w:marRight w:val="0"/>
      <w:marTop w:val="0"/>
      <w:marBottom w:val="0"/>
      <w:divBdr>
        <w:top w:val="none" w:sz="0" w:space="0" w:color="auto"/>
        <w:left w:val="none" w:sz="0" w:space="0" w:color="auto"/>
        <w:bottom w:val="none" w:sz="0" w:space="0" w:color="auto"/>
        <w:right w:val="none" w:sz="0" w:space="0" w:color="auto"/>
      </w:divBdr>
    </w:div>
    <w:div w:id="509418368">
      <w:bodyDiv w:val="1"/>
      <w:marLeft w:val="0"/>
      <w:marRight w:val="0"/>
      <w:marTop w:val="0"/>
      <w:marBottom w:val="0"/>
      <w:divBdr>
        <w:top w:val="none" w:sz="0" w:space="0" w:color="auto"/>
        <w:left w:val="none" w:sz="0" w:space="0" w:color="auto"/>
        <w:bottom w:val="none" w:sz="0" w:space="0" w:color="auto"/>
        <w:right w:val="none" w:sz="0" w:space="0" w:color="auto"/>
      </w:divBdr>
    </w:div>
    <w:div w:id="523783486">
      <w:bodyDiv w:val="1"/>
      <w:marLeft w:val="0"/>
      <w:marRight w:val="0"/>
      <w:marTop w:val="0"/>
      <w:marBottom w:val="0"/>
      <w:divBdr>
        <w:top w:val="none" w:sz="0" w:space="0" w:color="auto"/>
        <w:left w:val="none" w:sz="0" w:space="0" w:color="auto"/>
        <w:bottom w:val="none" w:sz="0" w:space="0" w:color="auto"/>
        <w:right w:val="none" w:sz="0" w:space="0" w:color="auto"/>
      </w:divBdr>
    </w:div>
    <w:div w:id="615605092">
      <w:bodyDiv w:val="1"/>
      <w:marLeft w:val="0"/>
      <w:marRight w:val="0"/>
      <w:marTop w:val="0"/>
      <w:marBottom w:val="0"/>
      <w:divBdr>
        <w:top w:val="none" w:sz="0" w:space="0" w:color="auto"/>
        <w:left w:val="none" w:sz="0" w:space="0" w:color="auto"/>
        <w:bottom w:val="none" w:sz="0" w:space="0" w:color="auto"/>
        <w:right w:val="none" w:sz="0" w:space="0" w:color="auto"/>
      </w:divBdr>
    </w:div>
    <w:div w:id="663584377">
      <w:bodyDiv w:val="1"/>
      <w:marLeft w:val="0"/>
      <w:marRight w:val="0"/>
      <w:marTop w:val="0"/>
      <w:marBottom w:val="0"/>
      <w:divBdr>
        <w:top w:val="none" w:sz="0" w:space="0" w:color="auto"/>
        <w:left w:val="none" w:sz="0" w:space="0" w:color="auto"/>
        <w:bottom w:val="none" w:sz="0" w:space="0" w:color="auto"/>
        <w:right w:val="none" w:sz="0" w:space="0" w:color="auto"/>
      </w:divBdr>
    </w:div>
    <w:div w:id="706107029">
      <w:bodyDiv w:val="1"/>
      <w:marLeft w:val="0"/>
      <w:marRight w:val="0"/>
      <w:marTop w:val="0"/>
      <w:marBottom w:val="0"/>
      <w:divBdr>
        <w:top w:val="none" w:sz="0" w:space="0" w:color="auto"/>
        <w:left w:val="none" w:sz="0" w:space="0" w:color="auto"/>
        <w:bottom w:val="none" w:sz="0" w:space="0" w:color="auto"/>
        <w:right w:val="none" w:sz="0" w:space="0" w:color="auto"/>
      </w:divBdr>
    </w:div>
    <w:div w:id="772360600">
      <w:bodyDiv w:val="1"/>
      <w:marLeft w:val="0"/>
      <w:marRight w:val="0"/>
      <w:marTop w:val="0"/>
      <w:marBottom w:val="0"/>
      <w:divBdr>
        <w:top w:val="none" w:sz="0" w:space="0" w:color="auto"/>
        <w:left w:val="none" w:sz="0" w:space="0" w:color="auto"/>
        <w:bottom w:val="none" w:sz="0" w:space="0" w:color="auto"/>
        <w:right w:val="none" w:sz="0" w:space="0" w:color="auto"/>
      </w:divBdr>
    </w:div>
    <w:div w:id="783234945">
      <w:bodyDiv w:val="1"/>
      <w:marLeft w:val="0"/>
      <w:marRight w:val="0"/>
      <w:marTop w:val="0"/>
      <w:marBottom w:val="0"/>
      <w:divBdr>
        <w:top w:val="none" w:sz="0" w:space="0" w:color="auto"/>
        <w:left w:val="none" w:sz="0" w:space="0" w:color="auto"/>
        <w:bottom w:val="none" w:sz="0" w:space="0" w:color="auto"/>
        <w:right w:val="none" w:sz="0" w:space="0" w:color="auto"/>
      </w:divBdr>
    </w:div>
    <w:div w:id="811023319">
      <w:bodyDiv w:val="1"/>
      <w:marLeft w:val="0"/>
      <w:marRight w:val="0"/>
      <w:marTop w:val="0"/>
      <w:marBottom w:val="0"/>
      <w:divBdr>
        <w:top w:val="none" w:sz="0" w:space="0" w:color="auto"/>
        <w:left w:val="none" w:sz="0" w:space="0" w:color="auto"/>
        <w:bottom w:val="none" w:sz="0" w:space="0" w:color="auto"/>
        <w:right w:val="none" w:sz="0" w:space="0" w:color="auto"/>
      </w:divBdr>
    </w:div>
    <w:div w:id="1011109917">
      <w:bodyDiv w:val="1"/>
      <w:marLeft w:val="0"/>
      <w:marRight w:val="0"/>
      <w:marTop w:val="0"/>
      <w:marBottom w:val="0"/>
      <w:divBdr>
        <w:top w:val="none" w:sz="0" w:space="0" w:color="auto"/>
        <w:left w:val="none" w:sz="0" w:space="0" w:color="auto"/>
        <w:bottom w:val="none" w:sz="0" w:space="0" w:color="auto"/>
        <w:right w:val="none" w:sz="0" w:space="0" w:color="auto"/>
      </w:divBdr>
    </w:div>
    <w:div w:id="1025211225">
      <w:bodyDiv w:val="1"/>
      <w:marLeft w:val="0"/>
      <w:marRight w:val="0"/>
      <w:marTop w:val="0"/>
      <w:marBottom w:val="0"/>
      <w:divBdr>
        <w:top w:val="none" w:sz="0" w:space="0" w:color="auto"/>
        <w:left w:val="none" w:sz="0" w:space="0" w:color="auto"/>
        <w:bottom w:val="none" w:sz="0" w:space="0" w:color="auto"/>
        <w:right w:val="none" w:sz="0" w:space="0" w:color="auto"/>
      </w:divBdr>
    </w:div>
    <w:div w:id="1318195003">
      <w:bodyDiv w:val="1"/>
      <w:marLeft w:val="0"/>
      <w:marRight w:val="0"/>
      <w:marTop w:val="0"/>
      <w:marBottom w:val="0"/>
      <w:divBdr>
        <w:top w:val="none" w:sz="0" w:space="0" w:color="auto"/>
        <w:left w:val="none" w:sz="0" w:space="0" w:color="auto"/>
        <w:bottom w:val="none" w:sz="0" w:space="0" w:color="auto"/>
        <w:right w:val="none" w:sz="0" w:space="0" w:color="auto"/>
      </w:divBdr>
    </w:div>
    <w:div w:id="1407147558">
      <w:bodyDiv w:val="1"/>
      <w:marLeft w:val="0"/>
      <w:marRight w:val="0"/>
      <w:marTop w:val="0"/>
      <w:marBottom w:val="0"/>
      <w:divBdr>
        <w:top w:val="none" w:sz="0" w:space="0" w:color="auto"/>
        <w:left w:val="none" w:sz="0" w:space="0" w:color="auto"/>
        <w:bottom w:val="none" w:sz="0" w:space="0" w:color="auto"/>
        <w:right w:val="none" w:sz="0" w:space="0" w:color="auto"/>
      </w:divBdr>
    </w:div>
    <w:div w:id="1506900592">
      <w:bodyDiv w:val="1"/>
      <w:marLeft w:val="0"/>
      <w:marRight w:val="0"/>
      <w:marTop w:val="0"/>
      <w:marBottom w:val="0"/>
      <w:divBdr>
        <w:top w:val="none" w:sz="0" w:space="0" w:color="auto"/>
        <w:left w:val="none" w:sz="0" w:space="0" w:color="auto"/>
        <w:bottom w:val="none" w:sz="0" w:space="0" w:color="auto"/>
        <w:right w:val="none" w:sz="0" w:space="0" w:color="auto"/>
      </w:divBdr>
    </w:div>
    <w:div w:id="1552885020">
      <w:bodyDiv w:val="1"/>
      <w:marLeft w:val="0"/>
      <w:marRight w:val="0"/>
      <w:marTop w:val="0"/>
      <w:marBottom w:val="0"/>
      <w:divBdr>
        <w:top w:val="none" w:sz="0" w:space="0" w:color="auto"/>
        <w:left w:val="none" w:sz="0" w:space="0" w:color="auto"/>
        <w:bottom w:val="none" w:sz="0" w:space="0" w:color="auto"/>
        <w:right w:val="none" w:sz="0" w:space="0" w:color="auto"/>
      </w:divBdr>
    </w:div>
    <w:div w:id="1563832598">
      <w:bodyDiv w:val="1"/>
      <w:marLeft w:val="0"/>
      <w:marRight w:val="0"/>
      <w:marTop w:val="0"/>
      <w:marBottom w:val="0"/>
      <w:divBdr>
        <w:top w:val="none" w:sz="0" w:space="0" w:color="auto"/>
        <w:left w:val="none" w:sz="0" w:space="0" w:color="auto"/>
        <w:bottom w:val="none" w:sz="0" w:space="0" w:color="auto"/>
        <w:right w:val="none" w:sz="0" w:space="0" w:color="auto"/>
      </w:divBdr>
    </w:div>
    <w:div w:id="1637758193">
      <w:bodyDiv w:val="1"/>
      <w:marLeft w:val="0"/>
      <w:marRight w:val="0"/>
      <w:marTop w:val="0"/>
      <w:marBottom w:val="0"/>
      <w:divBdr>
        <w:top w:val="none" w:sz="0" w:space="0" w:color="auto"/>
        <w:left w:val="none" w:sz="0" w:space="0" w:color="auto"/>
        <w:bottom w:val="none" w:sz="0" w:space="0" w:color="auto"/>
        <w:right w:val="none" w:sz="0" w:space="0" w:color="auto"/>
      </w:divBdr>
    </w:div>
    <w:div w:id="1771317569">
      <w:bodyDiv w:val="1"/>
      <w:marLeft w:val="0"/>
      <w:marRight w:val="0"/>
      <w:marTop w:val="0"/>
      <w:marBottom w:val="0"/>
      <w:divBdr>
        <w:top w:val="none" w:sz="0" w:space="0" w:color="auto"/>
        <w:left w:val="none" w:sz="0" w:space="0" w:color="auto"/>
        <w:bottom w:val="none" w:sz="0" w:space="0" w:color="auto"/>
        <w:right w:val="none" w:sz="0" w:space="0" w:color="auto"/>
      </w:divBdr>
    </w:div>
    <w:div w:id="1775978099">
      <w:bodyDiv w:val="1"/>
      <w:marLeft w:val="0"/>
      <w:marRight w:val="0"/>
      <w:marTop w:val="0"/>
      <w:marBottom w:val="0"/>
      <w:divBdr>
        <w:top w:val="none" w:sz="0" w:space="0" w:color="auto"/>
        <w:left w:val="none" w:sz="0" w:space="0" w:color="auto"/>
        <w:bottom w:val="none" w:sz="0" w:space="0" w:color="auto"/>
        <w:right w:val="none" w:sz="0" w:space="0" w:color="auto"/>
      </w:divBdr>
    </w:div>
    <w:div w:id="1904023257">
      <w:bodyDiv w:val="1"/>
      <w:marLeft w:val="0"/>
      <w:marRight w:val="0"/>
      <w:marTop w:val="0"/>
      <w:marBottom w:val="0"/>
      <w:divBdr>
        <w:top w:val="none" w:sz="0" w:space="0" w:color="auto"/>
        <w:left w:val="none" w:sz="0" w:space="0" w:color="auto"/>
        <w:bottom w:val="none" w:sz="0" w:space="0" w:color="auto"/>
        <w:right w:val="none" w:sz="0" w:space="0" w:color="auto"/>
      </w:divBdr>
    </w:div>
    <w:div w:id="1959868616">
      <w:bodyDiv w:val="1"/>
      <w:marLeft w:val="0"/>
      <w:marRight w:val="0"/>
      <w:marTop w:val="0"/>
      <w:marBottom w:val="0"/>
      <w:divBdr>
        <w:top w:val="none" w:sz="0" w:space="0" w:color="auto"/>
        <w:left w:val="none" w:sz="0" w:space="0" w:color="auto"/>
        <w:bottom w:val="none" w:sz="0" w:space="0" w:color="auto"/>
        <w:right w:val="none" w:sz="0" w:space="0" w:color="auto"/>
      </w:divBdr>
    </w:div>
    <w:div w:id="2006199883">
      <w:bodyDiv w:val="1"/>
      <w:marLeft w:val="0"/>
      <w:marRight w:val="0"/>
      <w:marTop w:val="0"/>
      <w:marBottom w:val="0"/>
      <w:divBdr>
        <w:top w:val="none" w:sz="0" w:space="0" w:color="auto"/>
        <w:left w:val="none" w:sz="0" w:space="0" w:color="auto"/>
        <w:bottom w:val="none" w:sz="0" w:space="0" w:color="auto"/>
        <w:right w:val="none" w:sz="0" w:space="0" w:color="auto"/>
      </w:divBdr>
    </w:div>
    <w:div w:id="2057505735">
      <w:bodyDiv w:val="1"/>
      <w:marLeft w:val="0"/>
      <w:marRight w:val="0"/>
      <w:marTop w:val="0"/>
      <w:marBottom w:val="0"/>
      <w:divBdr>
        <w:top w:val="none" w:sz="0" w:space="0" w:color="auto"/>
        <w:left w:val="none" w:sz="0" w:space="0" w:color="auto"/>
        <w:bottom w:val="none" w:sz="0" w:space="0" w:color="auto"/>
        <w:right w:val="none" w:sz="0" w:space="0" w:color="auto"/>
      </w:divBdr>
    </w:div>
    <w:div w:id="2071225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documents.wfp.org/stellent/groups/public/documents/communications/wfp258650.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who.int/publications/i/item/9789241506328" TargetMode="External"/><Relationship Id="rId17" Type="http://schemas.openxmlformats.org/officeDocument/2006/relationships/hyperlink" Target="http://www.eurekaselect.com/150179/article" TargetMode="External"/><Relationship Id="rId2" Type="http://schemas.openxmlformats.org/officeDocument/2006/relationships/numbering" Target="numbering.xml"/><Relationship Id="rId16" Type="http://schemas.openxmlformats.org/officeDocument/2006/relationships/hyperlink" Target="https://linkinghub.elsevier.com/retrieve/pii/B978012384730000170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Office_Word_Document2.docx"/><Relationship Id="rId5" Type="http://schemas.openxmlformats.org/officeDocument/2006/relationships/webSettings" Target="webSettings.xml"/><Relationship Id="rId15" Type="http://schemas.openxmlformats.org/officeDocument/2006/relationships/hyperlink" Target="https://www.ifrc.org/docs/idrl/I283EN.pdf" TargetMode="Externa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Office_Word_Document1.docx"/><Relationship Id="rId14" Type="http://schemas.openxmlformats.org/officeDocument/2006/relationships/hyperlink" Target="https://apps.who.int/iris/handle/10665/4429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66E5B1-6694-48E5-8D7E-FB1970A65D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13</Pages>
  <Words>3404</Words>
  <Characters>19403</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userpc</dc:creator>
  <cp:lastModifiedBy>library</cp:lastModifiedBy>
  <cp:revision>12</cp:revision>
  <dcterms:created xsi:type="dcterms:W3CDTF">2025-10-20T09:40:00Z</dcterms:created>
  <dcterms:modified xsi:type="dcterms:W3CDTF">2025-10-21T11:33:00Z</dcterms:modified>
</cp:coreProperties>
</file>