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endnotes.xml" ContentType="application/vnd.openxmlformats-officedocument.wordprocessingml.endnotes+xml"/>
  <Override PartName="/word/glossary/fontTable.xml" ContentType="application/vnd.openxmlformats-officedocument.wordprocessingml.fontTable+xml"/>
  <Override PartName="/word/glossary/footnotes.xml" ContentType="application/vnd.openxmlformats-officedocument.wordprocessingml.footnotes+xml"/>
  <Override PartName="/word/glossary/settings.xml" ContentType="application/vnd.openxmlformats-officedocument.wordprocessingml.settings+xml"/>
  <Override PartName="/word/glossary/styles.xml" ContentType="application/vnd.openxmlformats-officedocument.wordprocessingml.styl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B7C2FE9">
      <w:pPr>
        <w:pStyle w:val="2"/>
        <w:jc w:val="center"/>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LABOUR FORCE STATISTICS IN NIGERIA (2019/2020)</w:t>
      </w:r>
    </w:p>
    <w:p w14:paraId="73680A4C">
      <w:pPr>
        <w:pStyle w:val="3"/>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Introduction</w:t>
      </w:r>
    </w:p>
    <w:p w14:paraId="702B366E">
      <w:pPr>
        <w:jc w:val="both"/>
        <w:rPr>
          <w:rFonts w:hint="default" w:ascii="Times New Roman" w:hAnsi="Times New Roman" w:cs="Times New Roman"/>
          <w:b w:val="0"/>
          <w:bCs w:val="0"/>
          <w:color w:val="000000"/>
          <w:sz w:val="24"/>
          <w:szCs w:val="24"/>
        </w:rPr>
      </w:pPr>
      <w:r>
        <w:rPr>
          <w:rFonts w:hint="default" w:ascii="Times New Roman" w:hAnsi="Times New Roman" w:cs="Times New Roman"/>
          <w:b w:val="0"/>
          <w:bCs w:val="0"/>
          <w:sz w:val="24"/>
          <w:szCs w:val="24"/>
        </w:rPr>
        <w:t>Nigeria is the most populated country in Africa with over 211 million people, with 43.3 per cent of its population aged 0 – 14, 53.9 per cent</w:t>
      </w:r>
      <w:r>
        <w:rPr>
          <w:rFonts w:hint="default" w:ascii="Times New Roman" w:hAnsi="Times New Roman" w:cs="Times New Roman"/>
          <w:b w:val="0"/>
          <w:bCs w:val="0"/>
          <w:sz w:val="24"/>
          <w:szCs w:val="24"/>
          <w:lang w:val="en-US"/>
        </w:rPr>
        <w:t xml:space="preserve"> </w:t>
      </w:r>
      <w:r>
        <w:rPr>
          <w:rFonts w:hint="default" w:ascii="Times New Roman" w:hAnsi="Times New Roman" w:cs="Times New Roman"/>
          <w:b w:val="0"/>
          <w:bCs w:val="0"/>
          <w:sz w:val="24"/>
          <w:szCs w:val="24"/>
        </w:rPr>
        <w:t>aged 15 – 64 and 2.8 per cent from 65 and above</w:t>
      </w:r>
      <w:sdt>
        <w:sdtPr>
          <w:rPr>
            <w:rFonts w:hint="default" w:ascii="Times New Roman" w:hAnsi="Times New Roman" w:cs="Times New Roman"/>
            <w:b w:val="0"/>
            <w:bCs w:val="0"/>
            <w:color w:val="000000"/>
            <w:sz w:val="24"/>
            <w:szCs w:val="24"/>
          </w:rPr>
          <w:tag w:val="MENDELEY_CITATION_v3_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"/>
          <w:id w:val="582796777"/>
          <w:placeholder>
            <w:docPart w:val="DefaultPlaceholder_-1854013440"/>
          </w:placeholder>
        </w:sdtPr>
        <w:sdtEndPr>
          <w:rPr>
            <w:rFonts w:hint="default" w:ascii="Times New Roman" w:hAnsi="Times New Roman" w:cs="Times New Roman"/>
            <w:b w:val="0"/>
            <w:bCs w:val="0"/>
            <w:color w:val="000000"/>
            <w:sz w:val="24"/>
            <w:szCs w:val="24"/>
          </w:rPr>
        </w:sdtEndPr>
        <w:sdtContent>
          <w:r>
            <w:rPr>
              <w:rFonts w:hint="default" w:ascii="Times New Roman" w:hAnsi="Times New Roman" w:eastAsia="Times New Roman" w:cs="Times New Roman"/>
              <w:b w:val="0"/>
              <w:bCs w:val="0"/>
              <w:color w:val="000000"/>
              <w:sz w:val="24"/>
              <w:szCs w:val="24"/>
            </w:rPr>
            <w:t>(</w:t>
          </w:r>
          <w:r>
            <w:rPr>
              <w:rFonts w:hint="default" w:ascii="Times New Roman" w:hAnsi="Times New Roman" w:cs="Times New Roman"/>
              <w:b w:val="0"/>
              <w:bCs w:val="0"/>
              <w:sz w:val="24"/>
              <w:szCs w:val="24"/>
            </w:rPr>
            <w:t>UNFPA</w:t>
          </w:r>
          <w:r>
            <w:rPr>
              <w:rFonts w:hint="default" w:ascii="Times New Roman" w:hAnsi="Times New Roman" w:cs="Times New Roman"/>
              <w:b w:val="0"/>
              <w:bCs w:val="0"/>
              <w:sz w:val="24"/>
              <w:szCs w:val="24"/>
              <w:lang w:val="en-US"/>
            </w:rPr>
            <w:t xml:space="preserve">., </w:t>
          </w:r>
          <w:r>
            <w:rPr>
              <w:rFonts w:hint="default" w:ascii="Times New Roman" w:hAnsi="Times New Roman" w:cs="Times New Roman"/>
              <w:b w:val="0"/>
              <w:bCs w:val="0"/>
              <w:sz w:val="24"/>
              <w:szCs w:val="24"/>
            </w:rPr>
            <w:t>2021</w:t>
          </w:r>
          <w:r>
            <w:rPr>
              <w:rFonts w:hint="default" w:ascii="Times New Roman" w:hAnsi="Times New Roman" w:eastAsia="Times New Roman" w:cs="Times New Roman"/>
              <w:b w:val="0"/>
              <w:bCs w:val="0"/>
              <w:color w:val="000000"/>
              <w:sz w:val="24"/>
              <w:szCs w:val="24"/>
            </w:rPr>
            <w:t>).</w:t>
          </w:r>
        </w:sdtContent>
      </w:sdt>
      <w:r>
        <w:rPr>
          <w:rFonts w:hint="default" w:ascii="Times New Roman" w:hAnsi="Times New Roman" w:cs="Times New Roman"/>
          <w:b w:val="0"/>
          <w:bCs w:val="0"/>
          <w:color w:val="000000"/>
          <w:sz w:val="24"/>
          <w:szCs w:val="24"/>
        </w:rPr>
        <w:t>A country’s population consists of dependent and independent populations. The dependent population is between ages 0 to 14 and age 66 and above. The independent population also referred to as the working-age population refers to individuals within the age threshold of 15 to 64 who are eligible to work, they are usually above the legal working age. It is the combination of the labour force and out of</w:t>
      </w:r>
      <w:r>
        <w:rPr>
          <w:rFonts w:hint="default" w:ascii="Times New Roman" w:hAnsi="Times New Roman" w:cs="Times New Roman"/>
          <w:b w:val="0"/>
          <w:bCs w:val="0"/>
          <w:color w:val="000000"/>
          <w:sz w:val="24"/>
          <w:szCs w:val="24"/>
          <w:lang w:val="en-US"/>
        </w:rPr>
        <w:t xml:space="preserve"> </w:t>
      </w:r>
      <w:r>
        <w:rPr>
          <w:rFonts w:hint="default" w:ascii="Times New Roman" w:hAnsi="Times New Roman" w:cs="Times New Roman"/>
          <w:b w:val="0"/>
          <w:bCs w:val="0"/>
          <w:color w:val="000000"/>
          <w:sz w:val="24"/>
          <w:szCs w:val="24"/>
        </w:rPr>
        <w:t>the labour force</w:t>
      </w:r>
      <w:r>
        <w:rPr>
          <w:rFonts w:hint="default" w:ascii="Times New Roman" w:hAnsi="Times New Roman" w:cs="Times New Roman"/>
          <w:b w:val="0"/>
          <w:bCs w:val="0"/>
          <w:color w:val="000000"/>
          <w:sz w:val="24"/>
          <w:szCs w:val="24"/>
          <w:lang w:val="en-US"/>
        </w:rPr>
        <w:t xml:space="preserve"> (</w:t>
      </w:r>
      <w:r>
        <w:rPr>
          <w:rFonts w:hint="default" w:ascii="Times New Roman" w:hAnsi="Times New Roman" w:eastAsia="SimSun" w:cs="Times New Roman"/>
          <w:b w:val="0"/>
          <w:bCs w:val="0"/>
          <w:i w:val="0"/>
          <w:iCs w:val="0"/>
          <w:caps w:val="0"/>
          <w:color w:val="222222"/>
          <w:spacing w:val="0"/>
          <w:sz w:val="24"/>
          <w:szCs w:val="24"/>
          <w:shd w:val="clear" w:fill="FFFFFF"/>
        </w:rPr>
        <w:t>Dorling</w:t>
      </w:r>
      <w:r>
        <w:rPr>
          <w:rFonts w:hint="default" w:ascii="Times New Roman" w:hAnsi="Times New Roman" w:eastAsia="SimSun" w:cs="Times New Roman"/>
          <w:b w:val="0"/>
          <w:bCs w:val="0"/>
          <w:i w:val="0"/>
          <w:iCs w:val="0"/>
          <w:caps w:val="0"/>
          <w:color w:val="222222"/>
          <w:spacing w:val="0"/>
          <w:sz w:val="24"/>
          <w:szCs w:val="24"/>
          <w:shd w:val="clear" w:fill="FFFFFF"/>
          <w:lang w:val="en-US"/>
        </w:rPr>
        <w:t>,</w:t>
      </w:r>
      <w:r>
        <w:rPr>
          <w:rFonts w:hint="default" w:ascii="Times New Roman" w:hAnsi="Times New Roman" w:eastAsia="SimSun" w:cs="Times New Roman"/>
          <w:b w:val="0"/>
          <w:bCs w:val="0"/>
          <w:i w:val="0"/>
          <w:iCs w:val="0"/>
          <w:caps w:val="0"/>
          <w:color w:val="222222"/>
          <w:spacing w:val="0"/>
          <w:sz w:val="24"/>
          <w:szCs w:val="24"/>
          <w:shd w:val="clear" w:fill="FFFFFF"/>
        </w:rPr>
        <w:t>. 2021).</w:t>
      </w:r>
    </w:p>
    <w:p w14:paraId="37B305E9">
      <w:pPr>
        <w:jc w:val="both"/>
        <w:rPr>
          <w:rFonts w:hint="default" w:ascii="Times New Roman" w:hAnsi="Times New Roman" w:cs="Times New Roman"/>
          <w:b w:val="0"/>
          <w:bCs w:val="0"/>
          <w:sz w:val="24"/>
          <w:szCs w:val="24"/>
          <w:lang w:val="en-US"/>
        </w:rPr>
      </w:pPr>
      <w:r>
        <w:rPr>
          <w:rFonts w:hint="default" w:ascii="Times New Roman" w:hAnsi="Times New Roman" w:cs="Times New Roman"/>
          <w:b w:val="0"/>
          <w:bCs w:val="0"/>
          <w:color w:val="000000"/>
          <w:sz w:val="24"/>
          <w:szCs w:val="24"/>
          <w:lang w:val="en-US"/>
        </w:rPr>
        <w:t xml:space="preserve">  </w:t>
      </w:r>
      <w:r>
        <w:rPr>
          <w:rFonts w:hint="default" w:ascii="Times New Roman" w:hAnsi="Times New Roman" w:cs="Times New Roman"/>
          <w:b w:val="0"/>
          <w:bCs w:val="0"/>
          <w:sz w:val="24"/>
          <w:szCs w:val="24"/>
        </w:rPr>
        <w:t xml:space="preserve">The labour force participation rate (LFPR) is the labour force as a percentage of the working-age population. It measures how much of a country's working-age population actively participates in the labour market, either by working or looking for a job; it indicates the quantity of the labour supply available to produce goods and services for the working-age population </w:t>
      </w:r>
      <w:sdt>
        <w:sdtPr>
          <w:rPr>
            <w:rFonts w:hint="default" w:ascii="Times New Roman" w:hAnsi="Times New Roman" w:cs="Times New Roman"/>
            <w:b w:val="0"/>
            <w:bCs w:val="0"/>
            <w:color w:val="000000"/>
            <w:sz w:val="24"/>
            <w:szCs w:val="24"/>
          </w:rPr>
          <w:tag w:val="MENDELEY_CITATION_v3_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"/>
          <w:id w:val="-2050522333"/>
          <w:placeholder>
            <w:docPart w:val="DefaultPlaceholder_-1854013440"/>
          </w:placeholder>
        </w:sdtPr>
        <w:sdtEndPr>
          <w:rPr>
            <w:rFonts w:hint="default" w:ascii="Times New Roman" w:hAnsi="Times New Roman" w:cs="Times New Roman"/>
            <w:b w:val="0"/>
            <w:bCs w:val="0"/>
            <w:color w:val="000000"/>
            <w:sz w:val="24"/>
            <w:szCs w:val="24"/>
          </w:rPr>
        </w:sdtEndPr>
        <w:sdtContent>
          <w:r>
            <w:rPr>
              <w:rFonts w:hint="default" w:ascii="Times New Roman" w:hAnsi="Times New Roman" w:eastAsia="Times New Roman" w:cs="Times New Roman"/>
              <w:b w:val="0"/>
              <w:bCs w:val="0"/>
              <w:color w:val="000000"/>
              <w:sz w:val="24"/>
              <w:szCs w:val="24"/>
            </w:rPr>
            <w:t>(Labour Force Participation Rate)</w:t>
          </w:r>
        </w:sdtContent>
      </w:sdt>
      <w:r>
        <w:rPr>
          <w:rFonts w:hint="default" w:ascii="Times New Roman" w:hAnsi="Times New Roman" w:cs="Times New Roman"/>
          <w:b w:val="0"/>
          <w:bCs w:val="0"/>
          <w:sz w:val="24"/>
          <w:szCs w:val="24"/>
        </w:rPr>
        <w:t>. The LFPR of Nigeria dropped in 2019 to 58.9 per cent as against 76.3 per cent in 2017</w:t>
      </w:r>
      <w:r>
        <w:rPr>
          <w:rFonts w:hint="default" w:ascii="Times New Roman" w:hAnsi="Times New Roman" w:cs="Times New Roman"/>
          <w:b w:val="0"/>
          <w:bCs w:val="0"/>
          <w:sz w:val="24"/>
          <w:szCs w:val="24"/>
          <w:lang w:val="en-US"/>
        </w:rPr>
        <w:t>,</w:t>
      </w:r>
      <w:r>
        <w:rPr>
          <w:rFonts w:hint="default" w:ascii="Times New Roman" w:hAnsi="Times New Roman" w:cs="Times New Roman"/>
          <w:b w:val="0"/>
          <w:bCs w:val="0"/>
          <w:sz w:val="24"/>
          <w:szCs w:val="24"/>
        </w:rPr>
        <w:t xml:space="preserve"> implying that the out of labour force is growing compared to the labour force population. This indicates that either the level of the unemployed workers in the labour force got discouraged and moved out of the labour force or new entrants into the working age are students who still want to pursue further academic certifications hence remaining out of the labour force</w:t>
      </w:r>
      <w:r>
        <w:rPr>
          <w:rFonts w:hint="default" w:ascii="Times New Roman" w:hAnsi="Times New Roman" w:cs="Times New Roman"/>
          <w:b w:val="0"/>
          <w:bCs w:val="0"/>
          <w:sz w:val="24"/>
          <w:szCs w:val="24"/>
          <w:lang w:val="en-US"/>
        </w:rPr>
        <w:t xml:space="preserve">  (ILO &amp; </w:t>
      </w:r>
      <w:r>
        <w:rPr>
          <w:rStyle w:val="18"/>
          <w:rFonts w:hint="default" w:ascii="Times New Roman" w:hAnsi="Times New Roman" w:eastAsia="SimSun" w:cs="Times New Roman"/>
          <w:b w:val="0"/>
          <w:bCs w:val="0"/>
          <w:sz w:val="24"/>
          <w:szCs w:val="24"/>
        </w:rPr>
        <w:t>IndexMundi</w:t>
      </w:r>
      <w:r>
        <w:rPr>
          <w:rFonts w:hint="default" w:ascii="Times New Roman" w:hAnsi="Times New Roman" w:cs="Times New Roman"/>
          <w:b w:val="0"/>
          <w:bCs w:val="0"/>
          <w:sz w:val="24"/>
          <w:szCs w:val="24"/>
          <w:lang w:val="en-US"/>
        </w:rPr>
        <w:t>,. 2024).</w:t>
      </w:r>
    </w:p>
    <w:p w14:paraId="59F20E9C">
      <w:pPr>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A breakdown of LFPR by zone is shown in Figure 1 below. It is discovered that higher labour participation is seen in the Southern (e.g., South-South 67.2 per cent) part of Nigeria as compared to the Northern part (e.g., North West 45 per cent) except in the North</w:t>
      </w:r>
      <w:r>
        <w:rPr>
          <w:rFonts w:hint="default" w:ascii="Times New Roman" w:hAnsi="Times New Roman" w:cs="Times New Roman"/>
          <w:b w:val="0"/>
          <w:bCs w:val="0"/>
          <w:sz w:val="24"/>
          <w:szCs w:val="24"/>
          <w:lang w:val="en-US"/>
        </w:rPr>
        <w:t xml:space="preserve"> </w:t>
      </w:r>
      <w:r>
        <w:rPr>
          <w:rFonts w:hint="default" w:ascii="Times New Roman" w:hAnsi="Times New Roman" w:cs="Times New Roman"/>
          <w:b w:val="0"/>
          <w:bCs w:val="0"/>
          <w:sz w:val="24"/>
          <w:szCs w:val="24"/>
        </w:rPr>
        <w:t>Central with 60.3 per cent. The North, specifically the North East and North West, perform poorly on almost all Human Development Indicators compared to the South. Unemployment and underemployment rates in the North are due to poor education facilities and enrollment rate (53 per cent); and the rise of insurgency and security challenges in the region.  The North is characterised by a high fertility</w:t>
      </w:r>
      <w:r>
        <w:rPr>
          <w:rStyle w:val="8"/>
          <w:rFonts w:hint="default" w:ascii="Times New Roman" w:hAnsi="Times New Roman" w:cs="Times New Roman"/>
          <w:b w:val="0"/>
          <w:bCs w:val="0"/>
          <w:sz w:val="24"/>
          <w:szCs w:val="24"/>
        </w:rPr>
        <w:t xml:space="preserve"> </w:t>
      </w:r>
      <w:r>
        <w:rPr>
          <w:rFonts w:hint="default" w:ascii="Times New Roman" w:hAnsi="Times New Roman" w:cs="Times New Roman"/>
          <w:b w:val="0"/>
          <w:bCs w:val="0"/>
          <w:sz w:val="24"/>
          <w:szCs w:val="24"/>
        </w:rPr>
        <w:t xml:space="preserve">rate </w:t>
      </w:r>
      <w:sdt>
        <w:sdtPr>
          <w:rPr>
            <w:rFonts w:hint="default" w:ascii="Times New Roman" w:hAnsi="Times New Roman" w:cs="Times New Roman"/>
            <w:b w:val="0"/>
            <w:bCs w:val="0"/>
            <w:color w:val="000000"/>
            <w:sz w:val="24"/>
            <w:szCs w:val="24"/>
          </w:rPr>
          <w:tag w:val="MENDELEY_CITATION_v3_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"/>
          <w:id w:val="-1614196333"/>
          <w:placeholder>
            <w:docPart w:val="FEF17385C8C44BABBFDC833A6C34865F"/>
          </w:placeholder>
        </w:sdtPr>
        <w:sdtEndPr>
          <w:rPr>
            <w:rFonts w:hint="default" w:ascii="Times New Roman" w:hAnsi="Times New Roman" w:cs="Times New Roman"/>
            <w:b w:val="0"/>
            <w:bCs w:val="0"/>
            <w:color w:val="000000"/>
            <w:sz w:val="24"/>
            <w:szCs w:val="24"/>
          </w:rPr>
        </w:sdtEndPr>
        <w:sdtContent>
          <w:r>
            <w:rPr>
              <w:rFonts w:hint="default" w:ascii="Times New Roman" w:hAnsi="Times New Roman" w:cs="Times New Roman"/>
              <w:b w:val="0"/>
              <w:bCs w:val="0"/>
              <w:color w:val="000000"/>
              <w:sz w:val="24"/>
              <w:szCs w:val="24"/>
            </w:rPr>
            <w:t>(Adebowale, 2019; Onwuka et al., 2021)</w:t>
          </w:r>
        </w:sdtContent>
      </w:sdt>
      <w:r>
        <w:rPr>
          <w:rFonts w:hint="default" w:ascii="Times New Roman" w:hAnsi="Times New Roman" w:cs="Times New Roman"/>
          <w:b w:val="0"/>
          <w:bCs w:val="0"/>
          <w:sz w:val="24"/>
          <w:szCs w:val="24"/>
        </w:rPr>
        <w:t xml:space="preserve"> coupled with a growing youth population evidenced by high poverty rates</w:t>
      </w:r>
      <w:r>
        <w:rPr>
          <w:rFonts w:hint="default" w:ascii="Times New Roman" w:hAnsi="Times New Roman" w:cs="Times New Roman"/>
          <w:b w:val="0"/>
          <w:bCs w:val="0"/>
          <w:sz w:val="24"/>
          <w:szCs w:val="24"/>
          <w:lang w:val="en-US"/>
        </w:rPr>
        <w:t xml:space="preserve"> </w:t>
      </w:r>
      <w:r>
        <w:rPr>
          <w:rFonts w:hint="default" w:ascii="Times New Roman" w:hAnsi="Times New Roman" w:cs="Times New Roman"/>
          <w:b w:val="0"/>
          <w:bCs w:val="0"/>
          <w:sz w:val="24"/>
          <w:szCs w:val="24"/>
        </w:rPr>
        <w:t xml:space="preserve">with little or no corresponding job availability or developments leaving a larger part of the population resolving to alms begging. Due to the insurgency, people have to move to Internally Displaced Persons (IDP) camps hence, hindering economic activities in the region making it a hub for joblessness and poorly skilled people </w:t>
      </w:r>
      <w:sdt>
        <w:sdtPr>
          <w:rPr>
            <w:rFonts w:hint="default" w:ascii="Times New Roman" w:hAnsi="Times New Roman" w:cs="Times New Roman"/>
            <w:b w:val="0"/>
            <w:bCs w:val="0"/>
            <w:sz w:val="24"/>
            <w:szCs w:val="24"/>
          </w:rPr>
          <w:tag w:val="MENDELEY_CITATION_v3_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"/>
          <w:id w:val="2086950951"/>
          <w:placeholder>
            <w:docPart w:val="DefaultPlaceholder_-1854013440"/>
          </w:placeholder>
        </w:sdtPr>
        <w:sdtEndPr>
          <w:rPr>
            <w:rFonts w:hint="default" w:ascii="Times New Roman" w:hAnsi="Times New Roman" w:cs="Times New Roman"/>
            <w:b w:val="0"/>
            <w:bCs w:val="0"/>
            <w:sz w:val="24"/>
            <w:szCs w:val="24"/>
          </w:rPr>
        </w:sdtEndPr>
        <w:sdtContent>
          <w:r>
            <w:rPr>
              <w:rFonts w:hint="default" w:ascii="Times New Roman" w:hAnsi="Times New Roman" w:eastAsia="Times New Roman" w:cs="Times New Roman"/>
              <w:b w:val="0"/>
              <w:bCs w:val="0"/>
              <w:sz w:val="24"/>
              <w:szCs w:val="24"/>
            </w:rPr>
            <w:t>(Olusesan Familusi &amp; Ojo Oshomoh, 2019; Robert , 2020)</w:t>
          </w:r>
        </w:sdtContent>
      </w:sdt>
      <w:r>
        <w:rPr>
          <w:rFonts w:hint="default" w:ascii="Times New Roman" w:hAnsi="Times New Roman" w:cs="Times New Roman"/>
          <w:b w:val="0"/>
          <w:bCs w:val="0"/>
          <w:sz w:val="24"/>
          <w:szCs w:val="24"/>
        </w:rPr>
        <w:t xml:space="preserve">. </w:t>
      </w:r>
    </w:p>
    <w:p w14:paraId="653F2974">
      <w:pPr>
        <w:rPr>
          <w:rFonts w:hint="default" w:ascii="Times New Roman" w:hAnsi="Times New Roman" w:cs="Times New Roman"/>
          <w:b w:val="0"/>
          <w:bCs w:val="0"/>
          <w:i/>
          <w:iCs/>
          <w:color w:val="44546A" w:themeColor="text2"/>
          <w:sz w:val="24"/>
          <w:szCs w:val="24"/>
        </w:rPr>
      </w:pPr>
      <w:r>
        <w:rPr>
          <w:rFonts w:hint="default" w:ascii="Times New Roman" w:hAnsi="Times New Roman" w:cs="Times New Roman"/>
          <w:b w:val="0"/>
          <w:bCs w:val="0"/>
          <w:sz w:val="24"/>
          <w:szCs w:val="24"/>
        </w:rPr>
        <w:br w:type="page"/>
      </w:r>
    </w:p>
    <w:p w14:paraId="79AFE229">
      <w:pPr>
        <w:pStyle w:val="7"/>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Figure </w:t>
      </w:r>
      <w:r>
        <w:rPr>
          <w:rFonts w:hint="default" w:ascii="Times New Roman" w:hAnsi="Times New Roman" w:cs="Times New Roman"/>
          <w:b w:val="0"/>
          <w:bCs w:val="0"/>
          <w:sz w:val="24"/>
          <w:szCs w:val="24"/>
        </w:rPr>
        <w:fldChar w:fldCharType="begin"/>
      </w:r>
      <w:r>
        <w:rPr>
          <w:rFonts w:hint="default" w:ascii="Times New Roman" w:hAnsi="Times New Roman" w:cs="Times New Roman"/>
          <w:b w:val="0"/>
          <w:bCs w:val="0"/>
          <w:sz w:val="24"/>
          <w:szCs w:val="24"/>
        </w:rPr>
        <w:instrText xml:space="preserve"> SEQ Figure \* ARABIC </w:instrText>
      </w:r>
      <w:r>
        <w:rPr>
          <w:rFonts w:hint="default" w:ascii="Times New Roman" w:hAnsi="Times New Roman" w:cs="Times New Roman"/>
          <w:b w:val="0"/>
          <w:bCs w:val="0"/>
          <w:sz w:val="24"/>
          <w:szCs w:val="24"/>
        </w:rPr>
        <w:fldChar w:fldCharType="separate"/>
      </w:r>
      <w:r>
        <w:rPr>
          <w:rFonts w:hint="default" w:ascii="Times New Roman" w:hAnsi="Times New Roman" w:cs="Times New Roman"/>
          <w:b w:val="0"/>
          <w:bCs w:val="0"/>
          <w:sz w:val="24"/>
          <w:szCs w:val="24"/>
        </w:rPr>
        <w:t>1</w:t>
      </w:r>
      <w:r>
        <w:rPr>
          <w:rFonts w:hint="default" w:ascii="Times New Roman" w:hAnsi="Times New Roman" w:cs="Times New Roman"/>
          <w:b w:val="0"/>
          <w:bCs w:val="0"/>
          <w:sz w:val="24"/>
          <w:szCs w:val="24"/>
        </w:rPr>
        <w:fldChar w:fldCharType="end"/>
      </w:r>
      <w:r>
        <w:rPr>
          <w:rFonts w:hint="default" w:ascii="Times New Roman" w:hAnsi="Times New Roman" w:cs="Times New Roman"/>
          <w:b w:val="0"/>
          <w:bCs w:val="0"/>
          <w:sz w:val="24"/>
          <w:szCs w:val="24"/>
        </w:rPr>
        <w:t>: LFPR by region</w:t>
      </w:r>
    </w:p>
    <w:p w14:paraId="4924A881">
      <w:pPr>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drawing>
          <wp:inline distT="0" distB="0" distL="0" distR="0">
            <wp:extent cx="4572000" cy="2743200"/>
            <wp:effectExtent l="0" t="0" r="0" b="0"/>
            <wp:docPr id="5" name="Chart 5"/>
            <wp:cNvGraphicFramePr>
              <a:graphicFrameLocks xmlns:a="http://schemas.openxmlformats.org/drawingml/2006/main" noGrp="1" noChangeAspect="1" noMove="1" noResize="1"/>
            </wp:cNvGraphicFramePr>
            <a:graphic xmlns:a="http://schemas.openxmlformats.org/drawingml/2006/main">
              <a:graphicData uri="http://schemas.openxmlformats.org/drawingml/2006/picture">
                <pic:pic xmlns:pic="http://schemas.openxmlformats.org/drawingml/2006/picture">
                  <pic:nvPicPr>
                    <pic:cNvPr id="5" name="Chart 5"/>
                    <pic:cNvPicPr>
                      <a:picLocks noGrp="1" noChangeAspect="1" noMove="1" noResize="1" noEditPoints="1" noAdjustHandles="1" noChangeArrowheads="1" noChangeShapeType="1"/>
                    </pic:cNvPicPr>
                  </pic:nvPicPr>
                  <pic:blipFill>
                    <a:blip r:embed="rId6"/>
                    <a:stretch>
                      <a:fillRect/>
                    </a:stretch>
                  </pic:blipFill>
                  <pic:spPr>
                    <a:xfrm>
                      <a:off x="0" y="0"/>
                      <a:ext cx="4572000" cy="2743200"/>
                    </a:xfrm>
                    <a:prstGeom prst="rect">
                      <a:avLst/>
                    </a:prstGeom>
                  </pic:spPr>
                </pic:pic>
              </a:graphicData>
            </a:graphic>
          </wp:inline>
        </w:drawing>
      </w:r>
    </w:p>
    <w:p w14:paraId="3704C887">
      <w:pPr>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Source: Author’s Computation Based on Data from Labour Force Statistics NBS, 2020.</w:t>
      </w:r>
    </w:p>
    <w:p w14:paraId="33675492">
      <w:pPr>
        <w:pStyle w:val="3"/>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Nature of Employment</w:t>
      </w:r>
    </w:p>
    <w:p w14:paraId="348798D9">
      <w:pPr>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Persons in employment are defined as part of working age who are engaged in any activity to produce goods or provide services for pay or profit during a short reference period. Nature of employment can be categorised into 3; employment by economic activity, employment by the number of working hours and employment by income earning </w:t>
      </w:r>
      <w:sdt>
        <w:sdtPr>
          <w:rPr>
            <w:rFonts w:hint="default" w:ascii="Times New Roman" w:hAnsi="Times New Roman" w:cs="Times New Roman"/>
            <w:b w:val="0"/>
            <w:bCs w:val="0"/>
            <w:color w:val="000000"/>
            <w:sz w:val="24"/>
            <w:szCs w:val="24"/>
          </w:rPr>
          <w:tag w:val="MENDELEY_CITATION_v3_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"/>
          <w:id w:val="1059358893"/>
          <w:placeholder>
            <w:docPart w:val="DefaultPlaceholder_-1854013440"/>
          </w:placeholder>
        </w:sdtPr>
        <w:sdtEndPr>
          <w:rPr>
            <w:rFonts w:hint="default" w:ascii="Times New Roman" w:hAnsi="Times New Roman" w:cs="Times New Roman"/>
            <w:b w:val="0"/>
            <w:bCs w:val="0"/>
            <w:color w:val="000000"/>
            <w:sz w:val="24"/>
            <w:szCs w:val="24"/>
          </w:rPr>
        </w:sdtEndPr>
        <w:sdtContent>
          <w:r>
            <w:rPr>
              <w:rFonts w:hint="default" w:ascii="Times New Roman" w:hAnsi="Times New Roman" w:cs="Times New Roman"/>
              <w:b w:val="0"/>
              <w:bCs w:val="0"/>
              <w:color w:val="000000"/>
              <w:sz w:val="24"/>
              <w:szCs w:val="24"/>
            </w:rPr>
            <w:t>(ILO</w:t>
          </w:r>
          <w:r>
            <w:rPr>
              <w:rFonts w:hint="default" w:ascii="Times New Roman" w:hAnsi="Times New Roman" w:cs="Times New Roman"/>
              <w:b w:val="0"/>
              <w:bCs w:val="0"/>
              <w:color w:val="000000"/>
              <w:sz w:val="24"/>
              <w:szCs w:val="24"/>
              <w:lang w:val="en-US"/>
            </w:rPr>
            <w:t>, 2023</w:t>
          </w:r>
          <w:r>
            <w:rPr>
              <w:rFonts w:hint="default" w:ascii="Times New Roman" w:hAnsi="Times New Roman" w:cs="Times New Roman"/>
              <w:b w:val="0"/>
              <w:bCs w:val="0"/>
              <w:color w:val="000000"/>
              <w:sz w:val="24"/>
              <w:szCs w:val="24"/>
            </w:rPr>
            <w:t>)</w:t>
          </w:r>
        </w:sdtContent>
      </w:sdt>
      <w:r>
        <w:rPr>
          <w:rFonts w:hint="default" w:ascii="Times New Roman" w:hAnsi="Times New Roman" w:cs="Times New Roman"/>
          <w:b w:val="0"/>
          <w:bCs w:val="0"/>
          <w:sz w:val="24"/>
          <w:szCs w:val="24"/>
        </w:rPr>
        <w:t>.</w:t>
      </w:r>
    </w:p>
    <w:p w14:paraId="6E96E4CC">
      <w:pPr>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Employment by economic activity includes paid employment, self-employment and family</w:t>
      </w:r>
      <w:r>
        <w:rPr>
          <w:rFonts w:hint="default" w:ascii="Times New Roman" w:hAnsi="Times New Roman" w:cs="Times New Roman"/>
          <w:b w:val="0"/>
          <w:bCs w:val="0"/>
          <w:sz w:val="24"/>
          <w:szCs w:val="24"/>
          <w:lang w:val="en-US"/>
        </w:rPr>
        <w:t xml:space="preserve"> </w:t>
      </w:r>
      <w:r>
        <w:rPr>
          <w:rFonts w:hint="default" w:ascii="Times New Roman" w:hAnsi="Times New Roman" w:cs="Times New Roman"/>
          <w:b w:val="0"/>
          <w:bCs w:val="0"/>
          <w:sz w:val="24"/>
          <w:szCs w:val="24"/>
        </w:rPr>
        <w:t>enterprise. Employment by working hours is either full-time employment or part-time employment (also called underemployed). An individual is engaged in full-time employment if the person works for at least 40 hours a week while one engaged in part-time employment works between 20 to 30 hours a week. Any individual who worked from 19 hours to 0 hours in a week is referred to as unemployed. The underemployment rate is the percentage of underemployed in the labour force</w:t>
      </w:r>
      <w:sdt>
        <w:sdtPr>
          <w:rPr>
            <w:rFonts w:hint="default" w:ascii="Times New Roman" w:hAnsi="Times New Roman" w:cs="Times New Roman"/>
            <w:b w:val="0"/>
            <w:bCs w:val="0"/>
            <w:color w:val="000000"/>
            <w:sz w:val="24"/>
            <w:szCs w:val="24"/>
          </w:rPr>
          <w:tag w:val="MENDELEY_CITATION_v3_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"/>
          <w:id w:val="-1292589863"/>
          <w:placeholder>
            <w:docPart w:val="DefaultPlaceholder_-1854013440"/>
          </w:placeholder>
        </w:sdtPr>
        <w:sdtEndPr>
          <w:rPr>
            <w:rFonts w:hint="default" w:ascii="Times New Roman" w:hAnsi="Times New Roman" w:cs="Times New Roman"/>
            <w:b w:val="0"/>
            <w:bCs w:val="0"/>
            <w:color w:val="000000"/>
            <w:sz w:val="24"/>
            <w:szCs w:val="24"/>
          </w:rPr>
        </w:sdtEndPr>
        <w:sdtContent>
          <w:r>
            <w:rPr>
              <w:rFonts w:hint="default" w:ascii="Times New Roman" w:hAnsi="Times New Roman" w:cs="Times New Roman"/>
              <w:b w:val="0"/>
              <w:bCs w:val="0"/>
              <w:color w:val="000000"/>
              <w:sz w:val="24"/>
              <w:szCs w:val="24"/>
            </w:rPr>
            <w:t>(NBS, 2021)</w:t>
          </w:r>
        </w:sdtContent>
      </w:sdt>
      <w:r>
        <w:rPr>
          <w:rFonts w:hint="default" w:ascii="Times New Roman" w:hAnsi="Times New Roman" w:cs="Times New Roman"/>
          <w:b w:val="0"/>
          <w:bCs w:val="0"/>
          <w:sz w:val="24"/>
          <w:szCs w:val="24"/>
        </w:rPr>
        <w:t>.</w:t>
      </w:r>
    </w:p>
    <w:p w14:paraId="72A2AFA7">
      <w:pPr>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Looking at the nature of employment across zones as shown in Figure 2 below, South West has the highest full-time employment (60.9 per cent) followed by North Central (46.5 per cent) while North East has the lowest (30.1 per cent). In terms of part-time employment, the reverse is the case for the South West as it has the lowest part-time employment (15.2 per cent) and the North West the highest with 30.2 per cent.</w:t>
      </w:r>
    </w:p>
    <w:p w14:paraId="2B727056">
      <w:pPr>
        <w:rPr>
          <w:rFonts w:hint="default" w:ascii="Times New Roman" w:hAnsi="Times New Roman" w:cs="Times New Roman"/>
          <w:b w:val="0"/>
          <w:bCs w:val="0"/>
          <w:i/>
          <w:iCs/>
          <w:color w:val="44546A" w:themeColor="text2"/>
          <w:sz w:val="24"/>
          <w:szCs w:val="24"/>
        </w:rPr>
      </w:pPr>
      <w:r>
        <w:rPr>
          <w:rFonts w:hint="default" w:ascii="Times New Roman" w:hAnsi="Times New Roman" w:cs="Times New Roman"/>
          <w:b w:val="0"/>
          <w:bCs w:val="0"/>
          <w:sz w:val="24"/>
          <w:szCs w:val="24"/>
        </w:rPr>
        <w:br w:type="page"/>
      </w:r>
    </w:p>
    <w:p w14:paraId="3FBC701A">
      <w:pPr>
        <w:pStyle w:val="7"/>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Figure </w:t>
      </w:r>
      <w:r>
        <w:rPr>
          <w:rFonts w:hint="default" w:ascii="Times New Roman" w:hAnsi="Times New Roman" w:cs="Times New Roman"/>
          <w:b w:val="0"/>
          <w:bCs w:val="0"/>
          <w:sz w:val="24"/>
          <w:szCs w:val="24"/>
        </w:rPr>
        <w:fldChar w:fldCharType="begin"/>
      </w:r>
      <w:r>
        <w:rPr>
          <w:rFonts w:hint="default" w:ascii="Times New Roman" w:hAnsi="Times New Roman" w:cs="Times New Roman"/>
          <w:b w:val="0"/>
          <w:bCs w:val="0"/>
          <w:sz w:val="24"/>
          <w:szCs w:val="24"/>
        </w:rPr>
        <w:instrText xml:space="preserve"> SEQ Figure \* ARABIC </w:instrText>
      </w:r>
      <w:r>
        <w:rPr>
          <w:rFonts w:hint="default" w:ascii="Times New Roman" w:hAnsi="Times New Roman" w:cs="Times New Roman"/>
          <w:b w:val="0"/>
          <w:bCs w:val="0"/>
          <w:sz w:val="24"/>
          <w:szCs w:val="24"/>
        </w:rPr>
        <w:fldChar w:fldCharType="separate"/>
      </w:r>
      <w:r>
        <w:rPr>
          <w:rFonts w:hint="default" w:ascii="Times New Roman" w:hAnsi="Times New Roman" w:cs="Times New Roman"/>
          <w:b w:val="0"/>
          <w:bCs w:val="0"/>
          <w:sz w:val="24"/>
          <w:szCs w:val="24"/>
        </w:rPr>
        <w:t>2</w:t>
      </w:r>
      <w:r>
        <w:rPr>
          <w:rFonts w:hint="default" w:ascii="Times New Roman" w:hAnsi="Times New Roman" w:cs="Times New Roman"/>
          <w:b w:val="0"/>
          <w:bCs w:val="0"/>
          <w:sz w:val="24"/>
          <w:szCs w:val="24"/>
        </w:rPr>
        <w:fldChar w:fldCharType="end"/>
      </w:r>
      <w:r>
        <w:rPr>
          <w:rFonts w:hint="default" w:ascii="Times New Roman" w:hAnsi="Times New Roman" w:cs="Times New Roman"/>
          <w:b w:val="0"/>
          <w:bCs w:val="0"/>
          <w:sz w:val="24"/>
          <w:szCs w:val="24"/>
        </w:rPr>
        <w:t>: Employment by Zone</w:t>
      </w:r>
    </w:p>
    <w:p w14:paraId="31D8434B">
      <w:pPr>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drawing>
          <wp:inline distT="0" distB="0" distL="0" distR="0">
            <wp:extent cx="4572000" cy="2743200"/>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2AA4DF46">
      <w:pPr>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Source: Author’s Computation Based on Data from Labour Force Statistics NBS, 2020.</w:t>
      </w:r>
    </w:p>
    <w:p w14:paraId="1DCCB77A">
      <w:pPr>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A glance at the nature of employment by age, full employment is more common among ages 25 to 64 and lowest among 15 to 24. This can be related to the fact that ages 15 to 24 are the student age, so most people there are either students or hoping to get back to school soon. Also, students who sponsor themselves through school engage more in part-time employment so they can attend school, another view is that most individuals in this age group lack the experience and certification to be able to get full-time time work. </w:t>
      </w:r>
    </w:p>
    <w:p w14:paraId="466CE440">
      <w:pPr>
        <w:pStyle w:val="7"/>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Figure </w:t>
      </w:r>
      <w:r>
        <w:rPr>
          <w:rFonts w:hint="default" w:ascii="Times New Roman" w:hAnsi="Times New Roman" w:cs="Times New Roman"/>
          <w:b w:val="0"/>
          <w:bCs w:val="0"/>
          <w:sz w:val="24"/>
          <w:szCs w:val="24"/>
        </w:rPr>
        <w:fldChar w:fldCharType="begin"/>
      </w:r>
      <w:r>
        <w:rPr>
          <w:rFonts w:hint="default" w:ascii="Times New Roman" w:hAnsi="Times New Roman" w:cs="Times New Roman"/>
          <w:b w:val="0"/>
          <w:bCs w:val="0"/>
          <w:sz w:val="24"/>
          <w:szCs w:val="24"/>
        </w:rPr>
        <w:instrText xml:space="preserve"> SEQ Figure \* ARABIC </w:instrText>
      </w:r>
      <w:r>
        <w:rPr>
          <w:rFonts w:hint="default" w:ascii="Times New Roman" w:hAnsi="Times New Roman" w:cs="Times New Roman"/>
          <w:b w:val="0"/>
          <w:bCs w:val="0"/>
          <w:sz w:val="24"/>
          <w:szCs w:val="24"/>
        </w:rPr>
        <w:fldChar w:fldCharType="separate"/>
      </w:r>
      <w:r>
        <w:rPr>
          <w:rFonts w:hint="default" w:ascii="Times New Roman" w:hAnsi="Times New Roman" w:cs="Times New Roman"/>
          <w:b w:val="0"/>
          <w:bCs w:val="0"/>
          <w:sz w:val="24"/>
          <w:szCs w:val="24"/>
        </w:rPr>
        <w:t>3</w:t>
      </w:r>
      <w:r>
        <w:rPr>
          <w:rFonts w:hint="default" w:ascii="Times New Roman" w:hAnsi="Times New Roman" w:cs="Times New Roman"/>
          <w:b w:val="0"/>
          <w:bCs w:val="0"/>
          <w:sz w:val="24"/>
          <w:szCs w:val="24"/>
        </w:rPr>
        <w:fldChar w:fldCharType="end"/>
      </w:r>
      <w:r>
        <w:rPr>
          <w:rFonts w:hint="default" w:ascii="Times New Roman" w:hAnsi="Times New Roman" w:cs="Times New Roman"/>
          <w:b w:val="0"/>
          <w:bCs w:val="0"/>
          <w:sz w:val="24"/>
          <w:szCs w:val="24"/>
        </w:rPr>
        <w:t>: Employment by Age</w:t>
      </w:r>
    </w:p>
    <w:p w14:paraId="1E346A8B">
      <w:pPr>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drawing>
          <wp:inline distT="0" distB="0" distL="0" distR="0">
            <wp:extent cx="4572000" cy="27432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AA24CCD">
      <w:pPr>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Source: Author’s Computation Based on Data from Labour Force Statistics NBS, 2020.</w:t>
      </w:r>
    </w:p>
    <w:p w14:paraId="548E8FF0">
      <w:pPr>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br w:type="textWrapping" w:clear="all"/>
      </w:r>
      <w:r>
        <w:rPr>
          <w:rFonts w:hint="default" w:ascii="Times New Roman" w:hAnsi="Times New Roman" w:cs="Times New Roman"/>
          <w:b w:val="0"/>
          <w:bCs w:val="0"/>
          <w:sz w:val="24"/>
          <w:szCs w:val="24"/>
        </w:rPr>
        <w:t>From an educational perceptive, full-time employment is most seen amongst post-degree holders (this comprises masters, PhD, Professionals and Experts) 55.7 per cent as compared to those without education (40.7 per cent). Ironically, those without educational qualifications are more in part-time employment (30.9 per cent) as compared to those with post-degree qualifications (18.4 per cent).</w:t>
      </w:r>
    </w:p>
    <w:p w14:paraId="25FBA7C8">
      <w:pPr>
        <w:pStyle w:val="7"/>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Figure </w:t>
      </w:r>
      <w:r>
        <w:rPr>
          <w:rFonts w:hint="default" w:ascii="Times New Roman" w:hAnsi="Times New Roman" w:cs="Times New Roman"/>
          <w:b w:val="0"/>
          <w:bCs w:val="0"/>
          <w:sz w:val="24"/>
          <w:szCs w:val="24"/>
        </w:rPr>
        <w:fldChar w:fldCharType="begin"/>
      </w:r>
      <w:r>
        <w:rPr>
          <w:rFonts w:hint="default" w:ascii="Times New Roman" w:hAnsi="Times New Roman" w:cs="Times New Roman"/>
          <w:b w:val="0"/>
          <w:bCs w:val="0"/>
          <w:sz w:val="24"/>
          <w:szCs w:val="24"/>
        </w:rPr>
        <w:instrText xml:space="preserve"> SEQ Figure \* ARABIC </w:instrText>
      </w:r>
      <w:r>
        <w:rPr>
          <w:rFonts w:hint="default" w:ascii="Times New Roman" w:hAnsi="Times New Roman" w:cs="Times New Roman"/>
          <w:b w:val="0"/>
          <w:bCs w:val="0"/>
          <w:sz w:val="24"/>
          <w:szCs w:val="24"/>
        </w:rPr>
        <w:fldChar w:fldCharType="separate"/>
      </w:r>
      <w:r>
        <w:rPr>
          <w:rFonts w:hint="default" w:ascii="Times New Roman" w:hAnsi="Times New Roman" w:cs="Times New Roman"/>
          <w:b w:val="0"/>
          <w:bCs w:val="0"/>
          <w:sz w:val="24"/>
          <w:szCs w:val="24"/>
        </w:rPr>
        <w:t>4</w:t>
      </w:r>
      <w:r>
        <w:rPr>
          <w:rFonts w:hint="default" w:ascii="Times New Roman" w:hAnsi="Times New Roman" w:cs="Times New Roman"/>
          <w:b w:val="0"/>
          <w:bCs w:val="0"/>
          <w:sz w:val="24"/>
          <w:szCs w:val="24"/>
        </w:rPr>
        <w:fldChar w:fldCharType="end"/>
      </w:r>
      <w:r>
        <w:rPr>
          <w:rFonts w:hint="default" w:ascii="Times New Roman" w:hAnsi="Times New Roman" w:cs="Times New Roman"/>
          <w:b w:val="0"/>
          <w:bCs w:val="0"/>
          <w:sz w:val="24"/>
          <w:szCs w:val="24"/>
        </w:rPr>
        <w:t>: Employment by Education</w:t>
      </w:r>
    </w:p>
    <w:p w14:paraId="77FC7E21">
      <w:pPr>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drawing>
          <wp:inline distT="0" distB="0" distL="0" distR="0">
            <wp:extent cx="4572000" cy="2743200"/>
            <wp:effectExtent l="0" t="0" r="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BB3E32C">
      <w:pPr>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Source: Author’s Computation Based on Data from Labour Force Statistics NBS, 2020.</w:t>
      </w:r>
    </w:p>
    <w:p w14:paraId="16A91198">
      <w:pPr>
        <w:pStyle w:val="3"/>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Unemployment</w:t>
      </w:r>
    </w:p>
    <w:p w14:paraId="19DF3666">
      <w:pPr>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Unemployment is a situation where individuals of the working-age are not in any form of employment and are available to work. Unemployment is seen from two sides; the Gross unemployment rate (GUR) which is the sum of unemployed and underemployed as a percentage of the labour force and the Narrow unemployment rate (NUR) which is unemployed as a percentage of the labour force. There has been an all-time increase in the unemployment rate in Nigeria. Currently, the unemployment in Nigeria is 59.3 per cent (narrow is 28.4 per cent)</w:t>
      </w:r>
      <w:sdt>
        <w:sdtPr>
          <w:rPr>
            <w:rFonts w:hint="default" w:ascii="Times New Roman" w:hAnsi="Times New Roman" w:cs="Times New Roman"/>
            <w:b w:val="0"/>
            <w:bCs w:val="0"/>
            <w:color w:val="000000"/>
            <w:sz w:val="24"/>
            <w:szCs w:val="24"/>
          </w:rPr>
          <w:tag w:val="MENDELEY_CITATION_v3_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"/>
          <w:id w:val="-1540348953"/>
          <w:placeholder>
            <w:docPart w:val="DefaultPlaceholder_-1854013440"/>
          </w:placeholder>
        </w:sdtPr>
        <w:sdtEndPr>
          <w:rPr>
            <w:rFonts w:hint="default" w:ascii="Times New Roman" w:hAnsi="Times New Roman" w:cs="Times New Roman"/>
            <w:b w:val="0"/>
            <w:bCs w:val="0"/>
            <w:color w:val="000000"/>
            <w:sz w:val="24"/>
            <w:szCs w:val="24"/>
          </w:rPr>
        </w:sdtEndPr>
        <w:sdtContent>
          <w:r>
            <w:rPr>
              <w:rFonts w:hint="default" w:ascii="Times New Roman" w:hAnsi="Times New Roman" w:cs="Times New Roman"/>
              <w:b w:val="0"/>
              <w:bCs w:val="0"/>
              <w:color w:val="000000"/>
              <w:sz w:val="24"/>
              <w:szCs w:val="24"/>
            </w:rPr>
            <w:t>(NBS, 2021)</w:t>
          </w:r>
        </w:sdtContent>
      </w:sdt>
      <w:r>
        <w:rPr>
          <w:rFonts w:hint="default" w:ascii="Times New Roman" w:hAnsi="Times New Roman" w:cs="Times New Roman"/>
          <w:b w:val="0"/>
          <w:bCs w:val="0"/>
          <w:sz w:val="24"/>
          <w:szCs w:val="24"/>
        </w:rPr>
        <w:t>. Disaggregating it by region, the Southwest has the lowest gross unemployment rate (39.1 per cent) followed by Northcentral (56 per cent). These two regions house the country’s economic hub (Lagos) and the Federal capital territory (Abuja) of the country. This shows that most businesses and economic activities take place in these regions and also, growing industrialisation, business opportunities and commercial activities are reasons for low unemployment rates in these regions</w:t>
      </w:r>
      <w:sdt>
        <w:sdtPr>
          <w:rPr>
            <w:rFonts w:hint="default" w:ascii="Times New Roman" w:hAnsi="Times New Roman" w:cs="Times New Roman"/>
            <w:b w:val="0"/>
            <w:bCs w:val="0"/>
            <w:color w:val="000000"/>
            <w:sz w:val="24"/>
            <w:szCs w:val="24"/>
          </w:rPr>
          <w:tag w:val="MENDELEY_CITATION_v3_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"/>
          <w:id w:val="-492571263"/>
          <w:placeholder>
            <w:docPart w:val="DefaultPlaceholder_-1854013440"/>
          </w:placeholder>
        </w:sdtPr>
        <w:sdtEndPr>
          <w:rPr>
            <w:rFonts w:hint="default" w:ascii="Times New Roman" w:hAnsi="Times New Roman" w:cs="Times New Roman"/>
            <w:b w:val="0"/>
            <w:bCs w:val="0"/>
            <w:color w:val="000000"/>
            <w:sz w:val="24"/>
            <w:szCs w:val="24"/>
          </w:rPr>
        </w:sdtEndPr>
        <w:sdtContent>
          <w:r>
            <w:rPr>
              <w:rFonts w:hint="default" w:ascii="Times New Roman" w:hAnsi="Times New Roman" w:cs="Times New Roman"/>
              <w:b w:val="0"/>
              <w:bCs w:val="0"/>
              <w:color w:val="000000"/>
              <w:sz w:val="24"/>
              <w:szCs w:val="24"/>
            </w:rPr>
            <w:t>(PWC, 2018)</w:t>
          </w:r>
        </w:sdtContent>
      </w:sdt>
      <w:r>
        <w:rPr>
          <w:rFonts w:hint="default" w:ascii="Times New Roman" w:hAnsi="Times New Roman" w:cs="Times New Roman"/>
          <w:b w:val="0"/>
          <w:bCs w:val="0"/>
          <w:sz w:val="24"/>
          <w:szCs w:val="24"/>
        </w:rPr>
        <w:t>. The northeast has the highest unemployment rate because the majority of the population are farmers implying predominance of seasonal occupation coupled with the security challenges impacting the commercial and agricultural activities in the region.</w:t>
      </w:r>
    </w:p>
    <w:p w14:paraId="133925A4">
      <w:pPr>
        <w:rPr>
          <w:rFonts w:hint="default" w:ascii="Times New Roman" w:hAnsi="Times New Roman" w:cs="Times New Roman"/>
          <w:b w:val="0"/>
          <w:bCs w:val="0"/>
          <w:i/>
          <w:iCs/>
          <w:color w:val="44546A" w:themeColor="text2"/>
          <w:sz w:val="24"/>
          <w:szCs w:val="24"/>
        </w:rPr>
      </w:pPr>
      <w:r>
        <w:rPr>
          <w:rFonts w:hint="default" w:ascii="Times New Roman" w:hAnsi="Times New Roman" w:cs="Times New Roman"/>
          <w:b w:val="0"/>
          <w:bCs w:val="0"/>
          <w:sz w:val="24"/>
          <w:szCs w:val="24"/>
        </w:rPr>
        <w:br w:type="page"/>
      </w:r>
    </w:p>
    <w:p w14:paraId="11987ED2">
      <w:pPr>
        <w:pStyle w:val="7"/>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Figure </w:t>
      </w:r>
      <w:r>
        <w:rPr>
          <w:rFonts w:hint="default" w:ascii="Times New Roman" w:hAnsi="Times New Roman" w:cs="Times New Roman"/>
          <w:b w:val="0"/>
          <w:bCs w:val="0"/>
          <w:sz w:val="24"/>
          <w:szCs w:val="24"/>
        </w:rPr>
        <w:fldChar w:fldCharType="begin"/>
      </w:r>
      <w:r>
        <w:rPr>
          <w:rFonts w:hint="default" w:ascii="Times New Roman" w:hAnsi="Times New Roman" w:cs="Times New Roman"/>
          <w:b w:val="0"/>
          <w:bCs w:val="0"/>
          <w:sz w:val="24"/>
          <w:szCs w:val="24"/>
        </w:rPr>
        <w:instrText xml:space="preserve"> SEQ Figure \* ARABIC </w:instrText>
      </w:r>
      <w:r>
        <w:rPr>
          <w:rFonts w:hint="default" w:ascii="Times New Roman" w:hAnsi="Times New Roman" w:cs="Times New Roman"/>
          <w:b w:val="0"/>
          <w:bCs w:val="0"/>
          <w:sz w:val="24"/>
          <w:szCs w:val="24"/>
        </w:rPr>
        <w:fldChar w:fldCharType="separate"/>
      </w:r>
      <w:r>
        <w:rPr>
          <w:rFonts w:hint="default" w:ascii="Times New Roman" w:hAnsi="Times New Roman" w:cs="Times New Roman"/>
          <w:b w:val="0"/>
          <w:bCs w:val="0"/>
          <w:sz w:val="24"/>
          <w:szCs w:val="24"/>
        </w:rPr>
        <w:t>5</w:t>
      </w:r>
      <w:r>
        <w:rPr>
          <w:rFonts w:hint="default" w:ascii="Times New Roman" w:hAnsi="Times New Roman" w:cs="Times New Roman"/>
          <w:b w:val="0"/>
          <w:bCs w:val="0"/>
          <w:sz w:val="24"/>
          <w:szCs w:val="24"/>
        </w:rPr>
        <w:fldChar w:fldCharType="end"/>
      </w:r>
      <w:r>
        <w:rPr>
          <w:rFonts w:hint="default" w:ascii="Times New Roman" w:hAnsi="Times New Roman" w:cs="Times New Roman"/>
          <w:b w:val="0"/>
          <w:bCs w:val="0"/>
          <w:sz w:val="24"/>
          <w:szCs w:val="24"/>
        </w:rPr>
        <w:t>: Unemployment by Zone</w:t>
      </w:r>
    </w:p>
    <w:p w14:paraId="1C3394E3">
      <w:pPr>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drawing>
          <wp:inline distT="0" distB="0" distL="0" distR="0">
            <wp:extent cx="4705350" cy="2066925"/>
            <wp:effectExtent l="4445" t="4445" r="14605" b="508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EFE834A">
      <w:pPr>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Source: Author’s Computation Based on Data from Labour Force Statistics NBS, 2020.</w:t>
      </w:r>
    </w:p>
    <w:p w14:paraId="374C97AA">
      <w:pPr>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Looking at unemployment by age, there seems to be a pattern, both gross and narrow unemployment declines as age increases.  Unemployment is highest for ages 15 to 24 (73.2 and 53.4 per cent respectively). This is seemly normal as this age group is referred to as the student population. Hence, the majority of the people here are students and are not seeking employment. This is followed by age 25 to 34 (58.8 and 37.2 per cent), people in this age group are referred to as new entrants who have just entered the labour market without experience and are not conversant with how it works. Due to information asymmetry and skills mismatch, most new entrants find it difficult to secure jobs instead they spend their time either learning new skills or upskilling to fit into the demands of the labour market. Unemployment is lower for ages 35 to 44 (50.7 and 27.2) and 45 to 54 (49.8 and 25.4), it is believed that people in this age bracket (35 to 44) have been in the labour market for a while and have developed the necessary skills and experience needed in the market. Individuals between 45 and 65 are already planning to retire as they have reached or are close to the retirement age set by the government; this is populated by people in senior and managerial roles or consultants.</w:t>
      </w:r>
    </w:p>
    <w:p w14:paraId="67EDFC88">
      <w:pPr>
        <w:rPr>
          <w:rFonts w:hint="default" w:ascii="Times New Roman" w:hAnsi="Times New Roman" w:cs="Times New Roman"/>
          <w:b w:val="0"/>
          <w:bCs w:val="0"/>
          <w:i/>
          <w:iCs/>
          <w:color w:val="44546A" w:themeColor="text2"/>
          <w:sz w:val="24"/>
          <w:szCs w:val="24"/>
        </w:rPr>
      </w:pPr>
      <w:r>
        <w:rPr>
          <w:rFonts w:hint="default" w:ascii="Times New Roman" w:hAnsi="Times New Roman" w:cs="Times New Roman"/>
          <w:b w:val="0"/>
          <w:bCs w:val="0"/>
          <w:sz w:val="24"/>
          <w:szCs w:val="24"/>
        </w:rPr>
        <w:br w:type="page"/>
      </w:r>
    </w:p>
    <w:p w14:paraId="350630B1">
      <w:pPr>
        <w:pStyle w:val="7"/>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Figure </w:t>
      </w:r>
      <w:r>
        <w:rPr>
          <w:rFonts w:hint="default" w:ascii="Times New Roman" w:hAnsi="Times New Roman" w:cs="Times New Roman"/>
          <w:b w:val="0"/>
          <w:bCs w:val="0"/>
          <w:sz w:val="24"/>
          <w:szCs w:val="24"/>
        </w:rPr>
        <w:fldChar w:fldCharType="begin"/>
      </w:r>
      <w:r>
        <w:rPr>
          <w:rFonts w:hint="default" w:ascii="Times New Roman" w:hAnsi="Times New Roman" w:cs="Times New Roman"/>
          <w:b w:val="0"/>
          <w:bCs w:val="0"/>
          <w:sz w:val="24"/>
          <w:szCs w:val="24"/>
        </w:rPr>
        <w:instrText xml:space="preserve"> SEQ Figure \* ARABIC </w:instrText>
      </w:r>
      <w:r>
        <w:rPr>
          <w:rFonts w:hint="default" w:ascii="Times New Roman" w:hAnsi="Times New Roman" w:cs="Times New Roman"/>
          <w:b w:val="0"/>
          <w:bCs w:val="0"/>
          <w:sz w:val="24"/>
          <w:szCs w:val="24"/>
        </w:rPr>
        <w:fldChar w:fldCharType="separate"/>
      </w:r>
      <w:r>
        <w:rPr>
          <w:rFonts w:hint="default" w:ascii="Times New Roman" w:hAnsi="Times New Roman" w:cs="Times New Roman"/>
          <w:b w:val="0"/>
          <w:bCs w:val="0"/>
          <w:sz w:val="24"/>
          <w:szCs w:val="24"/>
        </w:rPr>
        <w:t>6</w:t>
      </w:r>
      <w:r>
        <w:rPr>
          <w:rFonts w:hint="default" w:ascii="Times New Roman" w:hAnsi="Times New Roman" w:cs="Times New Roman"/>
          <w:b w:val="0"/>
          <w:bCs w:val="0"/>
          <w:sz w:val="24"/>
          <w:szCs w:val="24"/>
        </w:rPr>
        <w:fldChar w:fldCharType="end"/>
      </w:r>
      <w:r>
        <w:rPr>
          <w:rFonts w:hint="default" w:ascii="Times New Roman" w:hAnsi="Times New Roman" w:cs="Times New Roman"/>
          <w:b w:val="0"/>
          <w:bCs w:val="0"/>
          <w:sz w:val="24"/>
          <w:szCs w:val="24"/>
        </w:rPr>
        <w:t xml:space="preserve">: Employment by Age </w:t>
      </w:r>
    </w:p>
    <w:p w14:paraId="485E50FC">
      <w:pPr>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drawing>
          <wp:inline distT="0" distB="0" distL="0" distR="0">
            <wp:extent cx="4572000" cy="2743200"/>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B748CA3">
      <w:pPr>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Source: Author’s Computation Based on Data from Labour Force Statistics NBS, 2020.</w:t>
      </w:r>
    </w:p>
    <w:p w14:paraId="5E1D4174">
      <w:pPr>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Unemployment by educational qualification indicates that the higher the educational qualification the lower the unemployment rate. Those without any form of educational qualification have the highest unemployment rate (59.3 per cent) whilst those with post-graduate degree qualifications have the lowest unemployment rate (44.3 per cent). This show that people with higher qualification are more employable as compared to those with lower or no qualification. On the other hand, the narrow unemployment rate is high among pre-degree and degree holders. </w:t>
      </w:r>
    </w:p>
    <w:p w14:paraId="0DF8ECDE">
      <w:pPr>
        <w:pStyle w:val="7"/>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Figure </w:t>
      </w:r>
      <w:r>
        <w:rPr>
          <w:rFonts w:hint="default" w:ascii="Times New Roman" w:hAnsi="Times New Roman" w:cs="Times New Roman"/>
          <w:b w:val="0"/>
          <w:bCs w:val="0"/>
          <w:sz w:val="24"/>
          <w:szCs w:val="24"/>
        </w:rPr>
        <w:fldChar w:fldCharType="begin"/>
      </w:r>
      <w:r>
        <w:rPr>
          <w:rFonts w:hint="default" w:ascii="Times New Roman" w:hAnsi="Times New Roman" w:cs="Times New Roman"/>
          <w:b w:val="0"/>
          <w:bCs w:val="0"/>
          <w:sz w:val="24"/>
          <w:szCs w:val="24"/>
        </w:rPr>
        <w:instrText xml:space="preserve"> SEQ Figure \* ARABIC </w:instrText>
      </w:r>
      <w:r>
        <w:rPr>
          <w:rFonts w:hint="default" w:ascii="Times New Roman" w:hAnsi="Times New Roman" w:cs="Times New Roman"/>
          <w:b w:val="0"/>
          <w:bCs w:val="0"/>
          <w:sz w:val="24"/>
          <w:szCs w:val="24"/>
        </w:rPr>
        <w:fldChar w:fldCharType="separate"/>
      </w:r>
      <w:r>
        <w:rPr>
          <w:rFonts w:hint="default" w:ascii="Times New Roman" w:hAnsi="Times New Roman" w:cs="Times New Roman"/>
          <w:b w:val="0"/>
          <w:bCs w:val="0"/>
          <w:sz w:val="24"/>
          <w:szCs w:val="24"/>
        </w:rPr>
        <w:t>7</w:t>
      </w:r>
      <w:r>
        <w:rPr>
          <w:rFonts w:hint="default" w:ascii="Times New Roman" w:hAnsi="Times New Roman" w:cs="Times New Roman"/>
          <w:b w:val="0"/>
          <w:bCs w:val="0"/>
          <w:sz w:val="24"/>
          <w:szCs w:val="24"/>
        </w:rPr>
        <w:fldChar w:fldCharType="end"/>
      </w:r>
      <w:r>
        <w:rPr>
          <w:rFonts w:hint="default" w:ascii="Times New Roman" w:hAnsi="Times New Roman" w:cs="Times New Roman"/>
          <w:b w:val="0"/>
          <w:bCs w:val="0"/>
          <w:sz w:val="24"/>
          <w:szCs w:val="24"/>
        </w:rPr>
        <w:t>: Unemployment by Education</w:t>
      </w:r>
    </w:p>
    <w:p w14:paraId="7406CF23">
      <w:pPr>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drawing>
          <wp:inline distT="0" distB="0" distL="0" distR="0">
            <wp:extent cx="4572000" cy="2743200"/>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665481E1">
      <w:pPr>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Source: Author’s Computation Based on Data from Labour Force Statistics NBS, 2020.</w:t>
      </w:r>
    </w:p>
    <w:p w14:paraId="078B3D8C">
      <w:pPr>
        <w:pStyle w:val="3"/>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Labour Underutilisation Rate</w:t>
      </w:r>
    </w:p>
    <w:p w14:paraId="0863EE69">
      <w:pPr>
        <w:jc w:val="both"/>
        <w:rPr>
          <w:rFonts w:hint="default" w:ascii="Times New Roman" w:hAnsi="Times New Roman" w:cs="Times New Roman"/>
          <w:b w:val="0"/>
          <w:bCs w:val="0"/>
          <w:sz w:val="24"/>
          <w:szCs w:val="24"/>
          <w:lang w:val="en-US"/>
        </w:rPr>
      </w:pPr>
      <w:r>
        <w:rPr>
          <w:rFonts w:hint="default" w:ascii="Times New Roman" w:hAnsi="Times New Roman" w:cs="Times New Roman"/>
          <w:b w:val="0"/>
          <w:bCs w:val="0"/>
          <w:sz w:val="24"/>
          <w:szCs w:val="24"/>
        </w:rPr>
        <w:t>The labour force is underutilized when there is a mismatch between the supply of labour and the employment opportunities available to labour (demand). It is the sum of underemployed, unemployed and discouraged workers as a percentage of the extended labour force</w:t>
      </w:r>
      <w:sdt>
        <w:sdtPr>
          <w:rPr>
            <w:rFonts w:hint="default" w:ascii="Times New Roman" w:hAnsi="Times New Roman" w:cs="Times New Roman"/>
            <w:b w:val="0"/>
            <w:bCs w:val="0"/>
            <w:color w:val="000000"/>
            <w:sz w:val="24"/>
            <w:szCs w:val="24"/>
          </w:rPr>
          <w:tag w:val="MENDELEY_CITATION_v3_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"/>
          <w:id w:val="102236788"/>
          <w:placeholder>
            <w:docPart w:val="DefaultPlaceholder_-1854013440"/>
          </w:placeholder>
        </w:sdtPr>
        <w:sdtEndPr>
          <w:rPr>
            <w:rFonts w:hint="default" w:ascii="Times New Roman" w:hAnsi="Times New Roman" w:cs="Times New Roman"/>
            <w:b w:val="0"/>
            <w:bCs w:val="0"/>
            <w:color w:val="000000"/>
            <w:sz w:val="24"/>
            <w:szCs w:val="24"/>
          </w:rPr>
        </w:sdtEndPr>
        <w:sdtContent>
          <w:r>
            <w:rPr>
              <w:rFonts w:hint="default" w:ascii="Times New Roman" w:hAnsi="Times New Roman" w:cs="Times New Roman"/>
              <w:b w:val="0"/>
              <w:bCs w:val="0"/>
              <w:color w:val="000000"/>
              <w:sz w:val="24"/>
              <w:szCs w:val="24"/>
            </w:rPr>
            <w:t>(Castillo, 2011)</w:t>
          </w:r>
        </w:sdtContent>
      </w:sdt>
      <w:r>
        <w:rPr>
          <w:rFonts w:hint="default" w:ascii="Times New Roman" w:hAnsi="Times New Roman" w:cs="Times New Roman"/>
          <w:b w:val="0"/>
          <w:bCs w:val="0"/>
          <w:sz w:val="24"/>
          <w:szCs w:val="24"/>
        </w:rPr>
        <w:t>. Discouraged workers refer to people of working age who were unemployed and available for work during a specified period but did not look for work for reasons such as believing there were no jobs available, believing there were not qualified for the available jobs or have given up hope of finding work. The number of discouraged workers as of 2019 is 546,310.</w:t>
      </w:r>
      <w:r>
        <w:rPr>
          <w:rFonts w:hint="default" w:ascii="Times New Roman" w:hAnsi="Times New Roman" w:cs="Times New Roman"/>
          <w:b w:val="0"/>
          <w:bCs w:val="0"/>
          <w:sz w:val="24"/>
          <w:szCs w:val="24"/>
          <w:lang w:val="en-US"/>
        </w:rPr>
        <w:t xml:space="preserve"> </w:t>
      </w:r>
      <w:r>
        <w:rPr>
          <w:rFonts w:hint="default" w:ascii="Times New Roman" w:hAnsi="Times New Roman" w:cs="Times New Roman"/>
          <w:b w:val="0"/>
          <w:bCs w:val="0"/>
          <w:sz w:val="24"/>
          <w:szCs w:val="24"/>
        </w:rPr>
        <w:t>Extended labour force: individuals able to work (labour force + out of labour force due to discouragement)</w:t>
      </w:r>
      <w:sdt>
        <w:sdtPr>
          <w:rPr>
            <w:rFonts w:hint="default" w:ascii="Times New Roman" w:hAnsi="Times New Roman" w:cs="Times New Roman"/>
            <w:b w:val="0"/>
            <w:bCs w:val="0"/>
            <w:color w:val="000000"/>
            <w:sz w:val="24"/>
            <w:szCs w:val="24"/>
          </w:rPr>
          <w:tag w:val="MENDELEY_CITATION_v3_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"/>
          <w:id w:val="147467671"/>
          <w:placeholder>
            <w:docPart w:val="{f2567830-e371-4729-abf8-788db75d931e}"/>
          </w:placeholder>
        </w:sdtPr>
        <w:sdtEndPr>
          <w:rPr>
            <w:rFonts w:hint="default" w:ascii="Times New Roman" w:hAnsi="Times New Roman" w:cs="Times New Roman"/>
            <w:b w:val="0"/>
            <w:bCs w:val="0"/>
            <w:color w:val="000000"/>
            <w:sz w:val="24"/>
            <w:szCs w:val="24"/>
          </w:rPr>
        </w:sdtEndPr>
        <w:sdtContent>
          <w:r>
            <w:rPr>
              <w:rFonts w:hint="default" w:ascii="Times New Roman" w:hAnsi="Times New Roman" w:cs="Times New Roman"/>
              <w:b w:val="0"/>
              <w:bCs w:val="0"/>
              <w:color w:val="000000"/>
              <w:sz w:val="24"/>
              <w:szCs w:val="24"/>
            </w:rPr>
            <w:t>(ILO</w:t>
          </w:r>
          <w:r>
            <w:rPr>
              <w:rFonts w:hint="default" w:ascii="Times New Roman" w:hAnsi="Times New Roman" w:cs="Times New Roman"/>
              <w:b w:val="0"/>
              <w:bCs w:val="0"/>
              <w:color w:val="000000"/>
              <w:sz w:val="24"/>
              <w:szCs w:val="24"/>
              <w:lang w:val="en-US"/>
            </w:rPr>
            <w:t>, 2013</w:t>
          </w:r>
          <w:r>
            <w:rPr>
              <w:rFonts w:hint="default" w:ascii="Times New Roman" w:hAnsi="Times New Roman" w:cs="Times New Roman"/>
              <w:b w:val="0"/>
              <w:bCs w:val="0"/>
              <w:color w:val="000000"/>
              <w:sz w:val="24"/>
              <w:szCs w:val="24"/>
            </w:rPr>
            <w:t>)</w:t>
          </w:r>
        </w:sdtContent>
      </w:sdt>
      <w:r>
        <w:rPr>
          <w:rFonts w:hint="default" w:ascii="Times New Roman" w:hAnsi="Times New Roman" w:cs="Times New Roman"/>
          <w:b w:val="0"/>
          <w:bCs w:val="0"/>
          <w:color w:val="000000"/>
          <w:sz w:val="24"/>
          <w:szCs w:val="24"/>
          <w:lang w:val="en-US"/>
        </w:rPr>
        <w:t>.</w:t>
      </w:r>
    </w:p>
    <w:p w14:paraId="47D5F221">
      <w:pPr>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Labour underutilization is currently 56 per cent.</w:t>
      </w:r>
      <w:r>
        <w:rPr>
          <w:rFonts w:hint="default" w:ascii="Times New Roman" w:hAnsi="Times New Roman" w:cs="Times New Roman"/>
          <w:b w:val="0"/>
          <w:bCs w:val="0"/>
          <w:sz w:val="24"/>
          <w:szCs w:val="24"/>
          <w:lang w:val="en-US"/>
        </w:rPr>
        <w:t xml:space="preserve"> </w:t>
      </w:r>
      <w:r>
        <w:rPr>
          <w:rFonts w:hint="default" w:ascii="Times New Roman" w:hAnsi="Times New Roman" w:cs="Times New Roman"/>
          <w:b w:val="0"/>
          <w:bCs w:val="0"/>
          <w:sz w:val="24"/>
          <w:szCs w:val="24"/>
        </w:rPr>
        <w:t>This means that 56 per cent of the labour market is untapped or underutilised. This indicates the inability of the Nigerian economy to generate employment for individuals who are unemployed and available to be employed but not actively seeking work</w:t>
      </w:r>
      <w:r>
        <w:rPr>
          <w:rFonts w:hint="default" w:ascii="Times New Roman" w:hAnsi="Times New Roman" w:cs="Times New Roman"/>
          <w:b w:val="0"/>
          <w:bCs w:val="0"/>
          <w:color w:val="230050"/>
          <w:sz w:val="24"/>
          <w:szCs w:val="24"/>
          <w:shd w:val="clear" w:color="auto" w:fill="FFFFFF"/>
        </w:rPr>
        <w:t xml:space="preserve">.  </w:t>
      </w:r>
    </w:p>
    <w:p w14:paraId="2169580B">
      <w:pPr>
        <w:jc w:val="both"/>
        <w:rPr>
          <w:rFonts w:hint="default" w:ascii="Times New Roman" w:hAnsi="Times New Roman" w:cs="Times New Roman"/>
          <w:b w:val="0"/>
          <w:bCs w:val="0"/>
          <w:sz w:val="24"/>
          <w:szCs w:val="24"/>
        </w:rPr>
      </w:pPr>
    </w:p>
    <w:p w14:paraId="381CAD16">
      <w:pPr>
        <w:pStyle w:val="3"/>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Section 5: Further Discussions and Conclusion </w:t>
      </w:r>
    </w:p>
    <w:p w14:paraId="616D2560">
      <w:pPr>
        <w:jc w:val="both"/>
        <w:rPr>
          <w:rFonts w:hint="default" w:ascii="Times New Roman" w:hAnsi="Times New Roman" w:cs="Times New Roman"/>
          <w:b w:val="0"/>
          <w:bCs w:val="0"/>
          <w:sz w:val="24"/>
          <w:szCs w:val="24"/>
        </w:rPr>
      </w:pPr>
      <w:bookmarkStart w:id="0" w:name="_GoBack"/>
      <w:r>
        <w:rPr>
          <w:rFonts w:hint="default" w:ascii="Times New Roman" w:hAnsi="Times New Roman" w:cs="Times New Roman"/>
          <w:b w:val="0"/>
          <w:bCs w:val="0"/>
          <w:sz w:val="24"/>
          <w:szCs w:val="24"/>
        </w:rPr>
        <w:t xml:space="preserve">The labour market is populated yearly with thousands of new entrants without job opportunities to complement this boom in the labour market. Nigeria has a very rich labour force with a high labour force participation rate but negative economic and socio-economic conditions have had impacts on the ability of the economy to create jobs. From the analysis above, there is an abundant supply of labour (showing high LFPR across zones) with less demand for it (showing high unemployment rates by zone, age group and qualifications. An explanation for these high employment rates </w:t>
      </w:r>
      <w:bookmarkEnd w:id="0"/>
      <w:r>
        <w:rPr>
          <w:rFonts w:hint="default" w:ascii="Times New Roman" w:hAnsi="Times New Roman" w:cs="Times New Roman"/>
          <w:b w:val="0"/>
          <w:bCs w:val="0"/>
          <w:sz w:val="24"/>
          <w:szCs w:val="24"/>
        </w:rPr>
        <w:t xml:space="preserve">is related to the high labour underutilization rate which is a measure of unemployment. </w:t>
      </w:r>
    </w:p>
    <w:p w14:paraId="1AC7C76E">
      <w:pPr>
        <w:spacing w:after="0"/>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The population and labour force of Nigeria has continued to grow but without corresponding growth in</w:t>
      </w:r>
      <w:r>
        <w:rPr>
          <w:rFonts w:hint="default" w:ascii="Times New Roman" w:hAnsi="Times New Roman" w:cs="Times New Roman"/>
          <w:b w:val="0"/>
          <w:bCs w:val="0"/>
          <w:sz w:val="24"/>
          <w:szCs w:val="24"/>
          <w:lang w:val="en-US"/>
        </w:rPr>
        <w:t xml:space="preserve"> </w:t>
      </w:r>
      <w:r>
        <w:rPr>
          <w:rFonts w:hint="default" w:ascii="Times New Roman" w:hAnsi="Times New Roman" w:cs="Times New Roman"/>
          <w:b w:val="0"/>
          <w:bCs w:val="0"/>
          <w:sz w:val="24"/>
          <w:szCs w:val="24"/>
        </w:rPr>
        <w:t xml:space="preserve">employment creation. Nigeria is not harnessing its labour force to its full capacity, with jobs creation not matching the growing labour force, despite continued growth in the economy </w:t>
      </w:r>
      <w:sdt>
        <w:sdtPr>
          <w:rPr>
            <w:rFonts w:hint="default" w:ascii="Times New Roman" w:hAnsi="Times New Roman" w:cs="Times New Roman"/>
            <w:b w:val="0"/>
            <w:bCs w:val="0"/>
            <w:sz w:val="24"/>
            <w:szCs w:val="24"/>
          </w:rPr>
          <w:tag w:val="MENDELEY_CITATION_v3_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"/>
          <w:id w:val="-1871455425"/>
          <w:placeholder>
            <w:docPart w:val="DefaultPlaceholder_-1854013440"/>
          </w:placeholder>
        </w:sdtPr>
        <w:sdtEndPr>
          <w:rPr>
            <w:rFonts w:hint="default" w:ascii="Times New Roman" w:hAnsi="Times New Roman" w:cs="Times New Roman"/>
            <w:b w:val="0"/>
            <w:bCs w:val="0"/>
            <w:sz w:val="24"/>
            <w:szCs w:val="24"/>
          </w:rPr>
        </w:sdtEndPr>
        <w:sdtContent>
          <w:r>
            <w:rPr>
              <w:rFonts w:hint="default" w:ascii="Times New Roman" w:hAnsi="Times New Roman" w:eastAsia="Times New Roman" w:cs="Times New Roman"/>
              <w:b w:val="0"/>
              <w:bCs w:val="0"/>
              <w:sz w:val="24"/>
              <w:szCs w:val="24"/>
            </w:rPr>
            <w:t>(ILO &amp; NGA, 2018)</w:t>
          </w:r>
        </w:sdtContent>
      </w:sdt>
      <w:r>
        <w:rPr>
          <w:rFonts w:hint="default" w:ascii="Times New Roman" w:hAnsi="Times New Roman" w:cs="Times New Roman"/>
          <w:b w:val="0"/>
          <w:bCs w:val="0"/>
          <w:sz w:val="24"/>
          <w:szCs w:val="24"/>
        </w:rPr>
        <w:t xml:space="preserve">. This showcases jobless growth in the economy as the quality of economic growth is critical to job creation. Economic growth is largely sustained by factor reallocations instead of productivity enhancement showing low employment elasticity. Employment has not been responsive to economic growth to reduce rising unemployment rates (employment elasticity) because economic growth rates are non-inclusive, they are fueled more by the oil industry than the employment-elastic sectors </w:t>
      </w:r>
      <w:sdt>
        <w:sdtPr>
          <w:rPr>
            <w:rFonts w:hint="default" w:ascii="Times New Roman" w:hAnsi="Times New Roman" w:cs="Times New Roman"/>
            <w:b w:val="0"/>
            <w:bCs w:val="0"/>
            <w:color w:val="000000"/>
            <w:sz w:val="24"/>
            <w:szCs w:val="24"/>
          </w:rPr>
          <w:tag w:val="MENDELEY_CITATION_v3_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"/>
          <w:id w:val="285323004"/>
          <w:placeholder>
            <w:docPart w:val="DefaultPlaceholder_-1854013440"/>
          </w:placeholder>
        </w:sdtPr>
        <w:sdtEndPr>
          <w:rPr>
            <w:rFonts w:hint="default" w:ascii="Times New Roman" w:hAnsi="Times New Roman" w:cs="Times New Roman"/>
            <w:b w:val="0"/>
            <w:bCs w:val="0"/>
            <w:color w:val="000000"/>
            <w:sz w:val="24"/>
            <w:szCs w:val="24"/>
          </w:rPr>
        </w:sdtEndPr>
        <w:sdtContent>
          <w:r>
            <w:rPr>
              <w:rFonts w:hint="default" w:ascii="Times New Roman" w:hAnsi="Times New Roman" w:cs="Times New Roman"/>
              <w:b w:val="0"/>
              <w:bCs w:val="0"/>
              <w:color w:val="000000"/>
              <w:sz w:val="24"/>
              <w:szCs w:val="24"/>
            </w:rPr>
            <w:t>(Ajakaiye et al., 201</w:t>
          </w:r>
          <w:r>
            <w:rPr>
              <w:rFonts w:hint="default" w:ascii="Times New Roman" w:hAnsi="Times New Roman" w:cs="Times New Roman"/>
              <w:b w:val="0"/>
              <w:bCs w:val="0"/>
              <w:color w:val="000000"/>
              <w:sz w:val="24"/>
              <w:szCs w:val="24"/>
              <w:lang w:val="en-US"/>
            </w:rPr>
            <w:t>5</w:t>
          </w:r>
          <w:r>
            <w:rPr>
              <w:rFonts w:hint="default" w:ascii="Times New Roman" w:hAnsi="Times New Roman" w:cs="Times New Roman"/>
              <w:b w:val="0"/>
              <w:bCs w:val="0"/>
              <w:color w:val="000000"/>
              <w:sz w:val="24"/>
              <w:szCs w:val="24"/>
            </w:rPr>
            <w:t>; PWC, 2018)</w:t>
          </w:r>
        </w:sdtContent>
      </w:sdt>
      <w:r>
        <w:rPr>
          <w:rFonts w:hint="default" w:ascii="Times New Roman" w:hAnsi="Times New Roman" w:cs="Times New Roman"/>
          <w:b w:val="0"/>
          <w:bCs w:val="0"/>
          <w:sz w:val="24"/>
          <w:szCs w:val="24"/>
        </w:rPr>
        <w:t xml:space="preserve">. </w:t>
      </w:r>
    </w:p>
    <w:p w14:paraId="1D2CD618">
      <w:pPr>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The economy lacks the potential to provide productive jobs that can absorb labour constantly. It is unable to support itself locally due to a lack of engineering infrastructure (industrialisation), resulting in job exportation through widespread import dependency. Nigeria's economy is based on agriculture, but the recent collapse of the rural economy as a result of pervasive insecurity especially in the North has exacerbated the country's unemployment rate.  Labour is leaving the low productivity agricultural sector for the high paying service sector.</w:t>
      </w:r>
    </w:p>
    <w:p w14:paraId="281F93A7">
      <w:pPr>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In conclusion, there is a need to identify the potential employment growth sectors and ensure their development.</w:t>
      </w:r>
    </w:p>
    <w:p w14:paraId="21A1F9FA">
      <w:pPr>
        <w:jc w:val="both"/>
        <w:rPr>
          <w:rFonts w:hint="default" w:ascii="Times New Roman" w:hAnsi="Times New Roman" w:cs="Times New Roman"/>
          <w:b w:val="0"/>
          <w:bCs w:val="0"/>
          <w:sz w:val="24"/>
          <w:szCs w:val="24"/>
        </w:rPr>
      </w:pPr>
    </w:p>
    <w:p w14:paraId="0A64ACC3">
      <w:pPr>
        <w:jc w:val="both"/>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REFERENCES</w:t>
      </w:r>
      <w:r>
        <w:rPr>
          <w:rFonts w:hint="default" w:ascii="Times New Roman" w:hAnsi="Times New Roman" w:eastAsia="SimSun" w:cs="Times New Roman"/>
          <w:b w:val="0"/>
          <w:bCs w:val="0"/>
          <w:i w:val="0"/>
          <w:iCs w:val="0"/>
          <w:caps w:val="0"/>
          <w:color w:val="222222"/>
          <w:spacing w:val="0"/>
          <w:sz w:val="24"/>
          <w:szCs w:val="24"/>
          <w:shd w:val="clear" w:fill="FFFFFF"/>
        </w:rPr>
        <w:t>.</w:t>
      </w:r>
    </w:p>
    <w:p w14:paraId="172B919D">
      <w:pPr>
        <w:autoSpaceDE w:val="0"/>
        <w:autoSpaceDN w:val="0"/>
        <w:ind w:hanging="480"/>
        <w:rPr>
          <w:rFonts w:hint="default" w:ascii="Times New Roman" w:hAnsi="Times New Roman" w:eastAsia="SimSun" w:cs="Times New Roman"/>
          <w:b w:val="0"/>
          <w:bCs w:val="0"/>
          <w:i w:val="0"/>
          <w:iCs w:val="0"/>
          <w:caps w:val="0"/>
          <w:color w:val="222222"/>
          <w:spacing w:val="0"/>
          <w:sz w:val="24"/>
          <w:szCs w:val="24"/>
          <w:shd w:val="clear" w:fill="FFFFFF"/>
        </w:rPr>
      </w:pPr>
      <w:r>
        <w:rPr>
          <w:rFonts w:hint="default" w:ascii="Times New Roman" w:hAnsi="Times New Roman" w:eastAsia="SimSun" w:cs="Times New Roman"/>
          <w:b w:val="0"/>
          <w:bCs w:val="0"/>
          <w:i w:val="0"/>
          <w:iCs w:val="0"/>
          <w:caps w:val="0"/>
          <w:color w:val="222222"/>
          <w:spacing w:val="0"/>
          <w:sz w:val="24"/>
          <w:szCs w:val="24"/>
          <w:shd w:val="clear" w:fill="FFFFFF"/>
        </w:rPr>
        <w:t>Adebowale, A. S. (2019). Ethnic disparities in fertility and its determinants in Nigeria. </w:t>
      </w:r>
      <w:r>
        <w:rPr>
          <w:rFonts w:hint="default" w:ascii="Times New Roman" w:hAnsi="Times New Roman" w:eastAsia="SimSun" w:cs="Times New Roman"/>
          <w:b w:val="0"/>
          <w:bCs w:val="0"/>
          <w:i/>
          <w:iCs/>
          <w:caps w:val="0"/>
          <w:color w:val="222222"/>
          <w:spacing w:val="0"/>
          <w:sz w:val="24"/>
          <w:szCs w:val="24"/>
          <w:shd w:val="clear" w:fill="FFFFFF"/>
        </w:rPr>
        <w:t>Fertility research and practice</w:t>
      </w:r>
      <w:r>
        <w:rPr>
          <w:rFonts w:hint="default" w:ascii="Times New Roman" w:hAnsi="Times New Roman" w:eastAsia="SimSun" w:cs="Times New Roman"/>
          <w:b w:val="0"/>
          <w:bCs w:val="0"/>
          <w:i w:val="0"/>
          <w:iCs w:val="0"/>
          <w:caps w:val="0"/>
          <w:color w:val="222222"/>
          <w:spacing w:val="0"/>
          <w:sz w:val="24"/>
          <w:szCs w:val="24"/>
          <w:shd w:val="clear" w:fill="FFFFFF"/>
        </w:rPr>
        <w:t>, </w:t>
      </w:r>
      <w:r>
        <w:rPr>
          <w:rFonts w:hint="default" w:ascii="Times New Roman" w:hAnsi="Times New Roman" w:eastAsia="SimSun" w:cs="Times New Roman"/>
          <w:b w:val="0"/>
          <w:bCs w:val="0"/>
          <w:i/>
          <w:iCs/>
          <w:caps w:val="0"/>
          <w:color w:val="222222"/>
          <w:spacing w:val="0"/>
          <w:sz w:val="24"/>
          <w:szCs w:val="24"/>
          <w:shd w:val="clear" w:fill="FFFFFF"/>
        </w:rPr>
        <w:t>5</w:t>
      </w:r>
      <w:r>
        <w:rPr>
          <w:rFonts w:hint="default" w:ascii="Times New Roman" w:hAnsi="Times New Roman" w:eastAsia="SimSun" w:cs="Times New Roman"/>
          <w:b w:val="0"/>
          <w:bCs w:val="0"/>
          <w:i w:val="0"/>
          <w:iCs w:val="0"/>
          <w:caps w:val="0"/>
          <w:color w:val="222222"/>
          <w:spacing w:val="0"/>
          <w:sz w:val="24"/>
          <w:szCs w:val="24"/>
          <w:shd w:val="clear" w:fill="FFFFFF"/>
        </w:rPr>
        <w:t>(1), 3.</w:t>
      </w:r>
    </w:p>
    <w:sdt>
      <w:sdtPr>
        <w:rPr>
          <w:rFonts w:hint="default" w:ascii="Times New Roman" w:hAnsi="Times New Roman" w:cs="Times New Roman"/>
          <w:b w:val="0"/>
          <w:bCs w:val="0"/>
          <w:sz w:val="24"/>
          <w:szCs w:val="24"/>
        </w:rPr>
        <w:tag w:val="MENDELEY_BIBLIOGRAPHY"/>
        <w:id w:val="2052493978"/>
        <w:placeholder>
          <w:docPart w:val="DefaultPlaceholder_-1854013440"/>
        </w:placeholder>
      </w:sdtPr>
      <w:sdtEndPr>
        <w:rPr>
          <w:rFonts w:hint="default" w:ascii="Times New Roman" w:hAnsi="Times New Roman" w:cs="Times New Roman"/>
          <w:b w:val="0"/>
          <w:bCs w:val="0"/>
          <w:sz w:val="24"/>
          <w:szCs w:val="24"/>
        </w:rPr>
      </w:sdtEndPr>
      <w:sdtContent>
        <w:p w14:paraId="4B733BA8">
          <w:pPr>
            <w:autoSpaceDE w:val="0"/>
            <w:autoSpaceDN w:val="0"/>
            <w:ind w:hanging="480"/>
            <w:rPr>
              <w:rFonts w:hint="default" w:ascii="Times New Roman" w:hAnsi="Times New Roman" w:eastAsia="SimSun" w:cs="Times New Roman"/>
              <w:b w:val="0"/>
              <w:bCs w:val="0"/>
              <w:i w:val="0"/>
              <w:iCs w:val="0"/>
              <w:caps w:val="0"/>
              <w:color w:val="222222"/>
              <w:spacing w:val="0"/>
              <w:sz w:val="24"/>
              <w:szCs w:val="24"/>
              <w:shd w:val="clear" w:fill="FFFFFF"/>
            </w:rPr>
          </w:pPr>
          <w:r>
            <w:rPr>
              <w:rFonts w:hint="default" w:ascii="Times New Roman" w:hAnsi="Times New Roman" w:eastAsia="SimSun" w:cs="Times New Roman"/>
              <w:b w:val="0"/>
              <w:bCs w:val="0"/>
              <w:i w:val="0"/>
              <w:iCs w:val="0"/>
              <w:caps w:val="0"/>
              <w:color w:val="222222"/>
              <w:spacing w:val="0"/>
              <w:sz w:val="24"/>
              <w:szCs w:val="24"/>
              <w:shd w:val="clear" w:fill="FFFFFF"/>
            </w:rPr>
            <w:t>Ajakaiye, O., Jerome, A. T., Nabena, D., &amp; Alaba, O. A. (2015). </w:t>
          </w:r>
          <w:r>
            <w:rPr>
              <w:rFonts w:hint="default" w:ascii="Times New Roman" w:hAnsi="Times New Roman" w:eastAsia="SimSun" w:cs="Times New Roman"/>
              <w:b w:val="0"/>
              <w:bCs w:val="0"/>
              <w:i/>
              <w:iCs/>
              <w:caps w:val="0"/>
              <w:color w:val="222222"/>
              <w:spacing w:val="0"/>
              <w:sz w:val="24"/>
              <w:szCs w:val="24"/>
              <w:shd w:val="clear" w:fill="FFFFFF"/>
            </w:rPr>
            <w:t>Understanding the relationship between growth and employment in Nigeria</w:t>
          </w:r>
          <w:r>
            <w:rPr>
              <w:rFonts w:hint="default" w:ascii="Times New Roman" w:hAnsi="Times New Roman" w:eastAsia="SimSun" w:cs="Times New Roman"/>
              <w:b w:val="0"/>
              <w:bCs w:val="0"/>
              <w:i w:val="0"/>
              <w:iCs w:val="0"/>
              <w:caps w:val="0"/>
              <w:color w:val="222222"/>
              <w:spacing w:val="0"/>
              <w:sz w:val="24"/>
              <w:szCs w:val="24"/>
              <w:shd w:val="clear" w:fill="FFFFFF"/>
            </w:rPr>
            <w:t> (No. 2015/124). WIDER Working Paper.</w:t>
          </w:r>
        </w:p>
        <w:p w14:paraId="5BA0987A">
          <w:pPr>
            <w:autoSpaceDE w:val="0"/>
            <w:autoSpaceDN w:val="0"/>
            <w:ind w:hanging="480"/>
            <w:rPr>
              <w:rFonts w:hint="default" w:ascii="Times New Roman" w:hAnsi="Times New Roman" w:eastAsia="SimSun" w:cs="Times New Roman"/>
              <w:i w:val="0"/>
              <w:iCs w:val="0"/>
              <w:caps w:val="0"/>
              <w:color w:val="222222"/>
              <w:spacing w:val="0"/>
              <w:sz w:val="24"/>
              <w:szCs w:val="24"/>
              <w:shd w:val="clear" w:fill="FFFFFF"/>
            </w:rPr>
          </w:pPr>
          <w:r>
            <w:rPr>
              <w:rFonts w:hint="default" w:ascii="Times New Roman" w:hAnsi="Times New Roman" w:eastAsia="SimSun" w:cs="Times New Roman"/>
              <w:i w:val="0"/>
              <w:iCs w:val="0"/>
              <w:caps w:val="0"/>
              <w:color w:val="222222"/>
              <w:spacing w:val="0"/>
              <w:sz w:val="24"/>
              <w:szCs w:val="24"/>
              <w:shd w:val="clear" w:fill="FFFFFF"/>
            </w:rPr>
            <w:t>Castillo, M. D. (2011). Labour Force Framework: Concepts, Definitions, Issues and Classifications. </w:t>
          </w:r>
          <w:r>
            <w:rPr>
              <w:rFonts w:hint="default" w:ascii="Times New Roman" w:hAnsi="Times New Roman" w:eastAsia="SimSun" w:cs="Times New Roman"/>
              <w:i/>
              <w:iCs/>
              <w:caps w:val="0"/>
              <w:color w:val="222222"/>
              <w:spacing w:val="0"/>
              <w:sz w:val="24"/>
              <w:szCs w:val="24"/>
              <w:shd w:val="clear" w:fill="FFFFFF"/>
            </w:rPr>
            <w:t>ILO, presentation on Spain. CBS (2002). Nepal Labour Force Survey I, Kathmandu: Central Bureau of Statistics. CBS (2008). Official Statistics of Nepal, Kathmandu: Central Bureau of Statistics. CBS (2014). Annual Household Survey, Kathmandu: Central Bureau of Statistics</w:t>
          </w:r>
          <w:r>
            <w:rPr>
              <w:rFonts w:hint="default" w:ascii="Times New Roman" w:hAnsi="Times New Roman" w:eastAsia="SimSun" w:cs="Times New Roman"/>
              <w:i w:val="0"/>
              <w:iCs w:val="0"/>
              <w:caps w:val="0"/>
              <w:color w:val="222222"/>
              <w:spacing w:val="0"/>
              <w:sz w:val="24"/>
              <w:szCs w:val="24"/>
              <w:shd w:val="clear" w:fill="FFFFFF"/>
            </w:rPr>
            <w:t>.</w:t>
          </w:r>
        </w:p>
        <w:p w14:paraId="3ADEACFA">
          <w:pPr>
            <w:autoSpaceDE w:val="0"/>
            <w:autoSpaceDN w:val="0"/>
            <w:ind w:hanging="480"/>
            <w:rPr>
              <w:rFonts w:hint="default" w:ascii="Times New Roman" w:hAnsi="Times New Roman" w:eastAsia="Times New Roman" w:cs="Times New Roman"/>
              <w:b w:val="0"/>
              <w:bCs w:val="0"/>
              <w:sz w:val="24"/>
              <w:szCs w:val="24"/>
            </w:rPr>
          </w:pPr>
          <w:r>
            <w:rPr>
              <w:rFonts w:hint="default" w:ascii="Times New Roman" w:hAnsi="Times New Roman" w:eastAsia="SimSun" w:cs="Times New Roman"/>
              <w:b w:val="0"/>
              <w:bCs w:val="0"/>
              <w:i w:val="0"/>
              <w:iCs w:val="0"/>
              <w:caps w:val="0"/>
              <w:color w:val="222222"/>
              <w:spacing w:val="0"/>
              <w:sz w:val="24"/>
              <w:szCs w:val="24"/>
              <w:shd w:val="clear" w:fill="FFFFFF"/>
            </w:rPr>
            <w:t>Dorling, D. (2021). World population prospects at the UN: our numbers are not our problem?. In </w:t>
          </w:r>
          <w:r>
            <w:rPr>
              <w:rFonts w:hint="default" w:ascii="Times New Roman" w:hAnsi="Times New Roman" w:eastAsia="SimSun" w:cs="Times New Roman"/>
              <w:b w:val="0"/>
              <w:bCs w:val="0"/>
              <w:i/>
              <w:iCs/>
              <w:caps w:val="0"/>
              <w:color w:val="222222"/>
              <w:spacing w:val="0"/>
              <w:sz w:val="24"/>
              <w:szCs w:val="24"/>
              <w:shd w:val="clear" w:fill="FFFFFF"/>
            </w:rPr>
            <w:t>The struggle for social sustainability</w:t>
          </w:r>
          <w:r>
            <w:rPr>
              <w:rFonts w:hint="default" w:ascii="Times New Roman" w:hAnsi="Times New Roman" w:eastAsia="SimSun" w:cs="Times New Roman"/>
              <w:b w:val="0"/>
              <w:bCs w:val="0"/>
              <w:i w:val="0"/>
              <w:iCs w:val="0"/>
              <w:caps w:val="0"/>
              <w:color w:val="222222"/>
              <w:spacing w:val="0"/>
              <w:sz w:val="24"/>
              <w:szCs w:val="24"/>
              <w:shd w:val="clear" w:fill="FFFFFF"/>
            </w:rPr>
            <w:t> (pp. 129-154). Policy Press.</w:t>
          </w:r>
        </w:p>
        <w:p w14:paraId="15799186">
          <w:pPr>
            <w:autoSpaceDE w:val="0"/>
            <w:autoSpaceDN w:val="0"/>
            <w:ind w:hanging="480"/>
            <w:rPr>
              <w:rFonts w:hint="default" w:ascii="Times New Roman" w:hAnsi="Times New Roman" w:eastAsia="Times New Roman" w:cs="Times New Roman"/>
              <w:b w:val="0"/>
              <w:bCs w:val="0"/>
              <w:sz w:val="24"/>
              <w:szCs w:val="24"/>
            </w:rPr>
          </w:pPr>
          <w:r>
            <w:rPr>
              <w:rFonts w:hint="default" w:ascii="Times New Roman" w:hAnsi="Times New Roman" w:eastAsia="SimSun" w:cs="Times New Roman"/>
              <w:sz w:val="24"/>
              <w:szCs w:val="24"/>
              <w:lang w:val="en-US"/>
            </w:rPr>
            <w:t>I</w:t>
          </w:r>
          <w:r>
            <w:rPr>
              <w:rFonts w:hint="default" w:ascii="Times New Roman" w:hAnsi="Times New Roman" w:eastAsia="SimSun" w:cs="Times New Roman"/>
              <w:sz w:val="24"/>
              <w:szCs w:val="24"/>
            </w:rPr>
            <w:t>nternational Labour Organization</w:t>
          </w:r>
          <w:r>
            <w:rPr>
              <w:rFonts w:hint="default" w:ascii="Times New Roman" w:hAnsi="Times New Roman" w:eastAsia="Arial" w:cs="Times New Roman"/>
              <w:i w:val="0"/>
              <w:iCs w:val="0"/>
              <w:caps w:val="0"/>
              <w:color w:val="0A0A0A"/>
              <w:spacing w:val="0"/>
              <w:sz w:val="24"/>
              <w:szCs w:val="24"/>
              <w:shd w:val="clear" w:fill="FFFFFF"/>
            </w:rPr>
            <w:t xml:space="preserve"> (ILO)</w:t>
          </w:r>
          <w:r>
            <w:rPr>
              <w:rFonts w:hint="default" w:ascii="Times New Roman" w:hAnsi="Times New Roman" w:eastAsia="SimSun" w:cs="Times New Roman"/>
              <w:sz w:val="24"/>
              <w:szCs w:val="24"/>
            </w:rPr>
            <w:t xml:space="preserve">. (2023). </w:t>
          </w:r>
          <w:r>
            <w:rPr>
              <w:rStyle w:val="11"/>
              <w:rFonts w:hint="default" w:ascii="Times New Roman" w:hAnsi="Times New Roman" w:eastAsia="SimSun" w:cs="Times New Roman"/>
              <w:sz w:val="24"/>
              <w:szCs w:val="24"/>
            </w:rPr>
            <w:t>ILOSTAT—Concepts and definitions: Employment</w:t>
          </w:r>
          <w:r>
            <w:rPr>
              <w:rFonts w:hint="default" w:ascii="Times New Roman" w:hAnsi="Times New Roman" w:eastAsia="SimSun" w:cs="Times New Roman"/>
              <w:sz w:val="24"/>
              <w:szCs w:val="24"/>
            </w:rPr>
            <w:t xml:space="preserve">. </w:t>
          </w:r>
          <w:r>
            <w:rPr>
              <w:rFonts w:hint="default" w:ascii="Times New Roman" w:hAnsi="Times New Roman" w:eastAsia="SimSun" w:cs="Times New Roman"/>
              <w:sz w:val="24"/>
              <w:szCs w:val="24"/>
            </w:rPr>
            <w:fldChar w:fldCharType="begin"/>
          </w:r>
          <w:r>
            <w:rPr>
              <w:rFonts w:hint="default" w:ascii="Times New Roman" w:hAnsi="Times New Roman" w:eastAsia="SimSun" w:cs="Times New Roman"/>
              <w:sz w:val="24"/>
              <w:szCs w:val="24"/>
            </w:rPr>
            <w:instrText xml:space="preserve"> HYPERLINK "https://ilostat.ilo.org/methods/concepts-and-definitions/?utm_source=chatgpt.com" \t "_new" </w:instrText>
          </w:r>
          <w:r>
            <w:rPr>
              <w:rFonts w:hint="default" w:ascii="Times New Roman" w:hAnsi="Times New Roman" w:eastAsia="SimSun" w:cs="Times New Roman"/>
              <w:sz w:val="24"/>
              <w:szCs w:val="24"/>
            </w:rPr>
            <w:fldChar w:fldCharType="separate"/>
          </w:r>
          <w:r>
            <w:rPr>
              <w:rStyle w:val="16"/>
              <w:rFonts w:hint="default" w:ascii="Times New Roman" w:hAnsi="Times New Roman" w:eastAsia="SimSun" w:cs="Times New Roman"/>
              <w:sz w:val="24"/>
              <w:szCs w:val="24"/>
            </w:rPr>
            <w:t>https://ilostat.ilo.org/methods/concepts-and-definitions/</w:t>
          </w:r>
          <w:r>
            <w:rPr>
              <w:rFonts w:hint="default" w:ascii="Times New Roman" w:hAnsi="Times New Roman" w:eastAsia="SimSun" w:cs="Times New Roman"/>
              <w:sz w:val="24"/>
              <w:szCs w:val="24"/>
            </w:rPr>
            <w:fldChar w:fldCharType="end"/>
          </w:r>
        </w:p>
        <w:p w14:paraId="349D83FC">
          <w:pPr>
            <w:autoSpaceDE w:val="0"/>
            <w:autoSpaceDN w:val="0"/>
            <w:ind w:hanging="480"/>
            <w:rPr>
              <w:rFonts w:hint="default" w:ascii="Times New Roman" w:hAnsi="Times New Roman" w:eastAsia="Times New Roman" w:cs="Times New Roman"/>
              <w:b w:val="0"/>
              <w:bCs w:val="0"/>
              <w:sz w:val="24"/>
              <w:szCs w:val="24"/>
            </w:rPr>
          </w:pPr>
          <w:r>
            <w:rPr>
              <w:rFonts w:hint="default" w:ascii="Times New Roman" w:hAnsi="Times New Roman" w:eastAsia="Times New Roman" w:cs="Times New Roman"/>
              <w:b w:val="0"/>
              <w:bCs w:val="0"/>
              <w:sz w:val="24"/>
              <w:szCs w:val="24"/>
            </w:rPr>
            <w:t xml:space="preserve">ILO. (n.d.-a). </w:t>
          </w:r>
          <w:r>
            <w:rPr>
              <w:rFonts w:hint="default" w:ascii="Times New Roman" w:hAnsi="Times New Roman" w:eastAsia="Times New Roman" w:cs="Times New Roman"/>
              <w:b w:val="0"/>
              <w:bCs w:val="0"/>
              <w:i/>
              <w:iCs/>
              <w:sz w:val="24"/>
              <w:szCs w:val="24"/>
            </w:rPr>
            <w:t>ILO Glossary of Statistical Terms Administrative records</w:t>
          </w:r>
          <w:r>
            <w:rPr>
              <w:rFonts w:hint="default" w:ascii="Times New Roman" w:hAnsi="Times New Roman" w:eastAsia="Times New Roman" w:cs="Times New Roman"/>
              <w:b w:val="0"/>
              <w:bCs w:val="0"/>
              <w:sz w:val="24"/>
              <w:szCs w:val="24"/>
            </w:rPr>
            <w:t>.</w:t>
          </w:r>
        </w:p>
        <w:p w14:paraId="0E4373C7">
          <w:pPr>
            <w:autoSpaceDE w:val="0"/>
            <w:autoSpaceDN w:val="0"/>
            <w:ind w:hanging="480"/>
            <w:rPr>
              <w:rFonts w:hint="default" w:ascii="Times New Roman" w:hAnsi="Times New Roman" w:eastAsia="Times New Roman" w:cs="Times New Roman"/>
              <w:b w:val="0"/>
              <w:bCs w:val="0"/>
              <w:sz w:val="24"/>
              <w:szCs w:val="24"/>
            </w:rPr>
          </w:pPr>
          <w:r>
            <w:rPr>
              <w:rFonts w:hint="default" w:ascii="Times New Roman" w:hAnsi="Times New Roman" w:eastAsia="Times New Roman" w:cs="Times New Roman"/>
              <w:b w:val="0"/>
              <w:bCs w:val="0"/>
              <w:sz w:val="24"/>
              <w:szCs w:val="24"/>
              <w:lang w:val="en-US"/>
            </w:rPr>
            <w:t xml:space="preserve"> </w:t>
          </w:r>
          <w:r>
            <w:rPr>
              <w:rFonts w:hint="default" w:ascii="Times New Roman" w:hAnsi="Times New Roman" w:eastAsia="SimSun" w:cs="Times New Roman"/>
              <w:sz w:val="24"/>
              <w:szCs w:val="24"/>
            </w:rPr>
            <w:t xml:space="preserve">International Labour Organization. (2013). </w:t>
          </w:r>
          <w:r>
            <w:rPr>
              <w:rStyle w:val="11"/>
              <w:rFonts w:hint="default" w:ascii="Times New Roman" w:hAnsi="Times New Roman" w:eastAsia="SimSun" w:cs="Times New Roman"/>
              <w:sz w:val="24"/>
              <w:szCs w:val="24"/>
            </w:rPr>
            <w:t>Resolution concerning statistics of work, employment and labour underutilization</w:t>
          </w:r>
          <w:r>
            <w:rPr>
              <w:rFonts w:hint="default" w:ascii="Times New Roman" w:hAnsi="Times New Roman" w:eastAsia="SimSun" w:cs="Times New Roman"/>
              <w:sz w:val="24"/>
              <w:szCs w:val="24"/>
            </w:rPr>
            <w:t xml:space="preserve"> (19th International Conference of Labour Statisticians). https://www.ilo.org/global/statistics-and-databases/standards-and-guidelines/resolutions-adopted-by-international-conferences-of-labour-statisticians/WCMS_230304/lang--en/index.htm</w:t>
          </w:r>
        </w:p>
        <w:p w14:paraId="594CE665">
          <w:pPr>
            <w:autoSpaceDE w:val="0"/>
            <w:autoSpaceDN w:val="0"/>
            <w:ind w:hanging="480"/>
            <w:rPr>
              <w:rFonts w:hint="default" w:ascii="Times New Roman" w:hAnsi="Times New Roman" w:eastAsia="SimSun" w:cs="Times New Roman"/>
              <w:b w:val="0"/>
              <w:bCs w:val="0"/>
              <w:sz w:val="24"/>
              <w:szCs w:val="24"/>
            </w:rPr>
          </w:pPr>
          <w:r>
            <w:rPr>
              <w:rStyle w:val="18"/>
              <w:rFonts w:hint="default" w:ascii="Times New Roman" w:hAnsi="Times New Roman" w:eastAsia="SimSun" w:cs="Times New Roman"/>
              <w:b w:val="0"/>
              <w:bCs w:val="0"/>
              <w:sz w:val="24"/>
              <w:szCs w:val="24"/>
            </w:rPr>
            <w:t>International Labour Organization (ILO).</w:t>
          </w:r>
          <w:r>
            <w:rPr>
              <w:rFonts w:hint="default" w:ascii="Times New Roman" w:hAnsi="Times New Roman" w:eastAsia="SimSun" w:cs="Times New Roman"/>
              <w:b w:val="0"/>
              <w:bCs w:val="0"/>
              <w:sz w:val="24"/>
              <w:szCs w:val="24"/>
            </w:rPr>
            <w:t xml:space="preserve"> (2024). </w:t>
          </w:r>
          <w:r>
            <w:rPr>
              <w:rStyle w:val="11"/>
              <w:rFonts w:hint="default" w:ascii="Times New Roman" w:hAnsi="Times New Roman" w:eastAsia="SimSun" w:cs="Times New Roman"/>
              <w:b w:val="0"/>
              <w:bCs w:val="0"/>
              <w:sz w:val="24"/>
              <w:szCs w:val="24"/>
            </w:rPr>
            <w:t>ILOSTAT database: Labour force participation rate</w:t>
          </w:r>
          <w:r>
            <w:rPr>
              <w:rFonts w:hint="default" w:ascii="Times New Roman" w:hAnsi="Times New Roman" w:eastAsia="SimSun" w:cs="Times New Roman"/>
              <w:b w:val="0"/>
              <w:bCs w:val="0"/>
              <w:sz w:val="24"/>
              <w:szCs w:val="24"/>
            </w:rPr>
            <w:t>.</w:t>
          </w:r>
          <w:r>
            <w:rPr>
              <w:rFonts w:hint="default" w:ascii="Times New Roman" w:hAnsi="Times New Roman" w:eastAsia="SimSun" w:cs="Times New Roman"/>
              <w:b w:val="0"/>
              <w:bCs w:val="0"/>
              <w:sz w:val="24"/>
              <w:szCs w:val="24"/>
            </w:rPr>
            <w:br w:type="textWrapping"/>
          </w:r>
          <w:r>
            <w:rPr>
              <w:rFonts w:hint="default" w:ascii="Times New Roman" w:hAnsi="Times New Roman" w:eastAsia="SimSun" w:cs="Times New Roman"/>
              <w:b w:val="0"/>
              <w:bCs w:val="0"/>
              <w:sz w:val="24"/>
              <w:szCs w:val="24"/>
            </w:rPr>
            <w:fldChar w:fldCharType="begin"/>
          </w:r>
          <w:r>
            <w:rPr>
              <w:rFonts w:hint="default" w:ascii="Times New Roman" w:hAnsi="Times New Roman" w:eastAsia="SimSun" w:cs="Times New Roman"/>
              <w:b w:val="0"/>
              <w:bCs w:val="0"/>
              <w:sz w:val="24"/>
              <w:szCs w:val="24"/>
            </w:rPr>
            <w:instrText xml:space="preserve"> HYPERLINK "https://ilostat.ilo.org/topics/population-and-labour-force/" \t "_new" </w:instrText>
          </w:r>
          <w:r>
            <w:rPr>
              <w:rFonts w:hint="default" w:ascii="Times New Roman" w:hAnsi="Times New Roman" w:eastAsia="SimSun" w:cs="Times New Roman"/>
              <w:b w:val="0"/>
              <w:bCs w:val="0"/>
              <w:sz w:val="24"/>
              <w:szCs w:val="24"/>
            </w:rPr>
            <w:fldChar w:fldCharType="separate"/>
          </w:r>
          <w:r>
            <w:rPr>
              <w:rStyle w:val="16"/>
              <w:rFonts w:hint="default" w:ascii="Times New Roman" w:hAnsi="Times New Roman" w:eastAsia="SimSun" w:cs="Times New Roman"/>
              <w:b w:val="0"/>
              <w:bCs w:val="0"/>
              <w:sz w:val="24"/>
              <w:szCs w:val="24"/>
            </w:rPr>
            <w:t>https://ilostat.ilo.org/topics/population-and-labour-force/</w:t>
          </w:r>
          <w:r>
            <w:rPr>
              <w:rFonts w:hint="default" w:ascii="Times New Roman" w:hAnsi="Times New Roman" w:eastAsia="SimSun" w:cs="Times New Roman"/>
              <w:b w:val="0"/>
              <w:bCs w:val="0"/>
              <w:sz w:val="24"/>
              <w:szCs w:val="24"/>
            </w:rPr>
            <w:fldChar w:fldCharType="end"/>
          </w:r>
        </w:p>
        <w:p w14:paraId="0F84CC85">
          <w:pPr>
            <w:autoSpaceDE w:val="0"/>
            <w:autoSpaceDN w:val="0"/>
            <w:ind w:hanging="480"/>
            <w:rPr>
              <w:rFonts w:hint="default" w:ascii="Times New Roman" w:hAnsi="Times New Roman" w:eastAsia="SimSun" w:cs="Times New Roman"/>
              <w:b w:val="0"/>
              <w:bCs w:val="0"/>
              <w:sz w:val="24"/>
              <w:szCs w:val="24"/>
            </w:rPr>
          </w:pPr>
          <w:r>
            <w:rPr>
              <w:rStyle w:val="18"/>
              <w:rFonts w:hint="default" w:ascii="Times New Roman" w:hAnsi="Times New Roman" w:eastAsia="SimSun" w:cs="Times New Roman"/>
              <w:b w:val="0"/>
              <w:bCs w:val="0"/>
              <w:sz w:val="24"/>
              <w:szCs w:val="24"/>
            </w:rPr>
            <w:t>IndexMundi.</w:t>
          </w:r>
          <w:r>
            <w:rPr>
              <w:rFonts w:hint="default" w:ascii="Times New Roman" w:hAnsi="Times New Roman" w:eastAsia="SimSun" w:cs="Times New Roman"/>
              <w:b w:val="0"/>
              <w:bCs w:val="0"/>
              <w:sz w:val="24"/>
              <w:szCs w:val="24"/>
            </w:rPr>
            <w:t xml:space="preserve"> (2024). </w:t>
          </w:r>
          <w:r>
            <w:rPr>
              <w:rStyle w:val="11"/>
              <w:rFonts w:hint="default" w:ascii="Times New Roman" w:hAnsi="Times New Roman" w:eastAsia="SimSun" w:cs="Times New Roman"/>
              <w:b w:val="0"/>
              <w:bCs w:val="0"/>
              <w:sz w:val="24"/>
              <w:szCs w:val="24"/>
            </w:rPr>
            <w:t>Nigeria – Labor force participation rate, total (% of total population ages 15+)</w:t>
          </w:r>
          <w:r>
            <w:rPr>
              <w:rFonts w:hint="default" w:ascii="Times New Roman" w:hAnsi="Times New Roman" w:eastAsia="SimSun" w:cs="Times New Roman"/>
              <w:b w:val="0"/>
              <w:bCs w:val="0"/>
              <w:sz w:val="24"/>
              <w:szCs w:val="24"/>
            </w:rPr>
            <w:t xml:space="preserve"> (national estimate, sourced from ILOSTAT).</w:t>
          </w:r>
          <w:r>
            <w:rPr>
              <w:rFonts w:hint="default" w:ascii="Times New Roman" w:hAnsi="Times New Roman" w:eastAsia="SimSun" w:cs="Times New Roman"/>
              <w:b w:val="0"/>
              <w:bCs w:val="0"/>
              <w:sz w:val="24"/>
              <w:szCs w:val="24"/>
            </w:rPr>
            <w:br w:type="textWrapping"/>
          </w:r>
          <w:r>
            <w:rPr>
              <w:rFonts w:hint="default" w:ascii="Times New Roman" w:hAnsi="Times New Roman" w:eastAsia="SimSun" w:cs="Times New Roman"/>
              <w:b w:val="0"/>
              <w:bCs w:val="0"/>
              <w:sz w:val="24"/>
              <w:szCs w:val="24"/>
            </w:rPr>
            <w:fldChar w:fldCharType="begin"/>
          </w:r>
          <w:r>
            <w:rPr>
              <w:rFonts w:hint="default" w:ascii="Times New Roman" w:hAnsi="Times New Roman" w:eastAsia="SimSun" w:cs="Times New Roman"/>
              <w:b w:val="0"/>
              <w:bCs w:val="0"/>
              <w:sz w:val="24"/>
              <w:szCs w:val="24"/>
            </w:rPr>
            <w:instrText xml:space="preserve"> HYPERLINK "https://www.indexmundi.com/facts/nigeria/labor-force-participation-rate?utm_source=chatgpt.com" \t "_new" </w:instrText>
          </w:r>
          <w:r>
            <w:rPr>
              <w:rFonts w:hint="default" w:ascii="Times New Roman" w:hAnsi="Times New Roman" w:eastAsia="SimSun" w:cs="Times New Roman"/>
              <w:b w:val="0"/>
              <w:bCs w:val="0"/>
              <w:sz w:val="24"/>
              <w:szCs w:val="24"/>
            </w:rPr>
            <w:fldChar w:fldCharType="separate"/>
          </w:r>
          <w:r>
            <w:rPr>
              <w:rStyle w:val="16"/>
              <w:rFonts w:hint="default" w:ascii="Times New Roman" w:hAnsi="Times New Roman" w:eastAsia="SimSun" w:cs="Times New Roman"/>
              <w:b w:val="0"/>
              <w:bCs w:val="0"/>
              <w:sz w:val="24"/>
              <w:szCs w:val="24"/>
            </w:rPr>
            <w:t>https://www.indexmundi.com/facts/nigeria/labor-force-participation-rate</w:t>
          </w:r>
          <w:r>
            <w:rPr>
              <w:rFonts w:hint="default" w:ascii="Times New Roman" w:hAnsi="Times New Roman" w:eastAsia="SimSun" w:cs="Times New Roman"/>
              <w:b w:val="0"/>
              <w:bCs w:val="0"/>
              <w:sz w:val="24"/>
              <w:szCs w:val="24"/>
            </w:rPr>
            <w:fldChar w:fldCharType="end"/>
          </w:r>
        </w:p>
        <w:p w14:paraId="14677FDB">
          <w:pPr>
            <w:autoSpaceDE w:val="0"/>
            <w:autoSpaceDN w:val="0"/>
            <w:ind w:hanging="480"/>
            <w:rPr>
              <w:rFonts w:hint="default" w:ascii="Times New Roman" w:hAnsi="Times New Roman" w:eastAsia="helvetica" w:cs="Times New Roman"/>
              <w:b w:val="0"/>
              <w:bCs w:val="0"/>
              <w:caps w:val="0"/>
              <w:color w:val="000000" w:themeColor="text1"/>
              <w:spacing w:val="0"/>
              <w:kern w:val="0"/>
              <w:sz w:val="24"/>
              <w:szCs w:val="24"/>
              <w:shd w:val="clear" w:fill="FFFFFF"/>
              <w:lang w:val="en-US" w:eastAsia="zh-CN" w:bidi="ar"/>
            </w:rPr>
          </w:pPr>
          <w:r>
            <w:rPr>
              <w:rFonts w:hint="default" w:ascii="Times New Roman" w:hAnsi="Times New Roman" w:eastAsia="helvetica" w:cs="Times New Roman"/>
              <w:b w:val="0"/>
              <w:bCs w:val="0"/>
              <w:caps w:val="0"/>
              <w:color w:val="000000" w:themeColor="text1"/>
              <w:spacing w:val="0"/>
              <w:kern w:val="0"/>
              <w:sz w:val="24"/>
              <w:szCs w:val="24"/>
              <w:shd w:val="clear" w:fill="FFFFFF"/>
              <w:lang w:val="en-US" w:eastAsia="zh-CN" w:bidi="ar"/>
            </w:rPr>
            <w:t>International Labour Organization , &amp; National Government Agency (ILO &amp; NGA)</w:t>
          </w:r>
        </w:p>
        <w:p w14:paraId="2F64BC01">
          <w:pPr>
            <w:autoSpaceDE w:val="0"/>
            <w:autoSpaceDN w:val="0"/>
            <w:ind w:hanging="480"/>
            <w:rPr>
              <w:rFonts w:hint="default" w:ascii="Times New Roman" w:hAnsi="Times New Roman" w:eastAsia="helvetica" w:cs="Times New Roman"/>
              <w:b w:val="0"/>
              <w:bCs w:val="0"/>
              <w:caps w:val="0"/>
              <w:color w:val="000000" w:themeColor="text1"/>
              <w:spacing w:val="0"/>
              <w:sz w:val="24"/>
              <w:szCs w:val="24"/>
            </w:rPr>
          </w:pPr>
          <w:r>
            <w:rPr>
              <w:rFonts w:hint="default" w:ascii="Times New Roman" w:hAnsi="Times New Roman" w:eastAsia="helvetica" w:cs="Times New Roman"/>
              <w:b w:val="0"/>
              <w:bCs w:val="0"/>
              <w:caps w:val="0"/>
              <w:color w:val="000000" w:themeColor="text1"/>
              <w:spacing w:val="0"/>
              <w:kern w:val="0"/>
              <w:sz w:val="24"/>
              <w:szCs w:val="24"/>
              <w:shd w:val="clear" w:fill="FFFFFF"/>
              <w:lang w:val="en-US" w:eastAsia="zh-CN" w:bidi="ar"/>
            </w:rPr>
            <w:t> (2018). Decent Work Country Programme II. Geneva: International Labour Organization. https://www.ilo.org/sites/default/files/wcmsp5/groups/public/@dgreports/@stat/documents/publication/wcms_647109.pdf</w:t>
          </w:r>
        </w:p>
        <w:p w14:paraId="21F9108B">
          <w:pPr>
            <w:autoSpaceDE w:val="0"/>
            <w:autoSpaceDN w:val="0"/>
            <w:ind w:hanging="480"/>
            <w:rPr>
              <w:rFonts w:hint="default" w:ascii="Times New Roman" w:hAnsi="Times New Roman" w:eastAsia="SimSun" w:cs="Times New Roman"/>
              <w:b w:val="0"/>
              <w:bCs w:val="0"/>
              <w:i w:val="0"/>
              <w:iCs w:val="0"/>
              <w:caps w:val="0"/>
              <w:color w:val="222222"/>
              <w:spacing w:val="0"/>
              <w:sz w:val="24"/>
              <w:szCs w:val="24"/>
              <w:shd w:val="clear" w:fill="FFFFFF"/>
            </w:rPr>
          </w:pPr>
          <w:r>
            <w:rPr>
              <w:rFonts w:hint="default" w:ascii="Times New Roman" w:hAnsi="Times New Roman" w:eastAsia="SimSun" w:cs="Times New Roman"/>
              <w:b w:val="0"/>
              <w:bCs w:val="0"/>
              <w:i w:val="0"/>
              <w:iCs w:val="0"/>
              <w:caps w:val="0"/>
              <w:color w:val="222222"/>
              <w:spacing w:val="0"/>
              <w:sz w:val="24"/>
              <w:szCs w:val="24"/>
              <w:shd w:val="clear" w:fill="FFFFFF"/>
            </w:rPr>
            <w:t>National Bureau of Statistics. (2021). Labor force statistics: Unemployment and underemployment report (Q4 2020).</w:t>
          </w:r>
        </w:p>
        <w:p w14:paraId="33CB6F58">
          <w:pPr>
            <w:autoSpaceDE w:val="0"/>
            <w:autoSpaceDN w:val="0"/>
            <w:ind w:hanging="480"/>
            <w:rPr>
              <w:rFonts w:hint="default" w:ascii="Times New Roman" w:hAnsi="Times New Roman" w:eastAsia="Times New Roman" w:cs="Times New Roman"/>
              <w:b w:val="0"/>
              <w:bCs w:val="0"/>
              <w:sz w:val="24"/>
              <w:szCs w:val="24"/>
            </w:rPr>
          </w:pPr>
          <w:r>
            <w:rPr>
              <w:rFonts w:hint="default" w:ascii="Times New Roman" w:hAnsi="Times New Roman" w:eastAsia="SimSun" w:cs="Times New Roman"/>
              <w:b w:val="0"/>
              <w:bCs w:val="0"/>
              <w:i w:val="0"/>
              <w:iCs w:val="0"/>
              <w:caps w:val="0"/>
              <w:color w:val="222222"/>
              <w:spacing w:val="0"/>
              <w:sz w:val="24"/>
              <w:szCs w:val="24"/>
              <w:shd w:val="clear" w:fill="FFFFFF"/>
            </w:rPr>
            <w:t>Familusi, O. O., &amp; Oshomoh, T. O. (2018). Socio-economic implications of Boko haram insurgency in northern Nigeria. </w:t>
          </w:r>
          <w:r>
            <w:rPr>
              <w:rFonts w:hint="default" w:ascii="Times New Roman" w:hAnsi="Times New Roman" w:eastAsia="SimSun" w:cs="Times New Roman"/>
              <w:b w:val="0"/>
              <w:bCs w:val="0"/>
              <w:i/>
              <w:iCs/>
              <w:caps w:val="0"/>
              <w:color w:val="222222"/>
              <w:spacing w:val="0"/>
              <w:sz w:val="24"/>
              <w:szCs w:val="24"/>
              <w:shd w:val="clear" w:fill="FFFFFF"/>
            </w:rPr>
            <w:t>KIU Journal of Social Sciences</w:t>
          </w:r>
          <w:r>
            <w:rPr>
              <w:rFonts w:hint="default" w:ascii="Times New Roman" w:hAnsi="Times New Roman" w:eastAsia="SimSun" w:cs="Times New Roman"/>
              <w:b w:val="0"/>
              <w:bCs w:val="0"/>
              <w:i w:val="0"/>
              <w:iCs w:val="0"/>
              <w:caps w:val="0"/>
              <w:color w:val="222222"/>
              <w:spacing w:val="0"/>
              <w:sz w:val="24"/>
              <w:szCs w:val="24"/>
              <w:shd w:val="clear" w:fill="FFFFFF"/>
            </w:rPr>
            <w:t>, </w:t>
          </w:r>
          <w:r>
            <w:rPr>
              <w:rFonts w:hint="default" w:ascii="Times New Roman" w:hAnsi="Times New Roman" w:eastAsia="SimSun" w:cs="Times New Roman"/>
              <w:b w:val="0"/>
              <w:bCs w:val="0"/>
              <w:i/>
              <w:iCs/>
              <w:caps w:val="0"/>
              <w:color w:val="222222"/>
              <w:spacing w:val="0"/>
              <w:sz w:val="24"/>
              <w:szCs w:val="24"/>
              <w:shd w:val="clear" w:fill="FFFFFF"/>
            </w:rPr>
            <w:t>4</w:t>
          </w:r>
          <w:r>
            <w:rPr>
              <w:rFonts w:hint="default" w:ascii="Times New Roman" w:hAnsi="Times New Roman" w:eastAsia="SimSun" w:cs="Times New Roman"/>
              <w:b w:val="0"/>
              <w:bCs w:val="0"/>
              <w:i w:val="0"/>
              <w:iCs w:val="0"/>
              <w:caps w:val="0"/>
              <w:color w:val="222222"/>
              <w:spacing w:val="0"/>
              <w:sz w:val="24"/>
              <w:szCs w:val="24"/>
              <w:shd w:val="clear" w:fill="FFFFFF"/>
            </w:rPr>
            <w:t>(2), 213-223.</w:t>
          </w:r>
        </w:p>
        <w:p w14:paraId="259DEB60">
          <w:pPr>
            <w:autoSpaceDE w:val="0"/>
            <w:autoSpaceDN w:val="0"/>
            <w:ind w:hanging="480"/>
            <w:rPr>
              <w:rFonts w:hint="default" w:ascii="Times New Roman" w:hAnsi="Times New Roman" w:eastAsia="Times New Roman" w:cs="Times New Roman"/>
              <w:b w:val="0"/>
              <w:bCs w:val="0"/>
              <w:sz w:val="24"/>
              <w:szCs w:val="24"/>
            </w:rPr>
          </w:pPr>
          <w:r>
            <w:rPr>
              <w:rFonts w:hint="default" w:ascii="Times New Roman" w:hAnsi="Times New Roman" w:eastAsia="Times New Roman" w:cs="Times New Roman"/>
              <w:b w:val="0"/>
              <w:bCs w:val="0"/>
              <w:sz w:val="24"/>
              <w:szCs w:val="24"/>
            </w:rPr>
            <w:t xml:space="preserve">Onwuka, G. I., Babayemi, W. A., Idris, Y., &amp; James, T. O. (2021). Assessment of the Fertility Pattern of Women in North Western Nigeria. In </w:t>
          </w:r>
          <w:r>
            <w:rPr>
              <w:rFonts w:hint="default" w:ascii="Times New Roman" w:hAnsi="Times New Roman" w:eastAsia="Times New Roman" w:cs="Times New Roman"/>
              <w:b w:val="0"/>
              <w:bCs w:val="0"/>
              <w:i/>
              <w:iCs/>
              <w:sz w:val="24"/>
              <w:szCs w:val="24"/>
            </w:rPr>
            <w:t>International Journal of Research and Scientific Innovation (IJRSI) |: Vol. VIII</w:t>
          </w:r>
          <w:r>
            <w:rPr>
              <w:rFonts w:hint="default" w:ascii="Times New Roman" w:hAnsi="Times New Roman" w:eastAsia="Times New Roman" w:cs="Times New Roman"/>
              <w:b w:val="0"/>
              <w:bCs w:val="0"/>
              <w:sz w:val="24"/>
              <w:szCs w:val="24"/>
            </w:rPr>
            <w:t xml:space="preserve">. </w:t>
          </w:r>
          <w:r>
            <w:rPr>
              <w:rFonts w:hint="default" w:ascii="Times New Roman" w:hAnsi="Times New Roman" w:eastAsia="Times New Roman" w:cs="Times New Roman"/>
              <w:b w:val="0"/>
              <w:bCs w:val="0"/>
              <w:sz w:val="24"/>
              <w:szCs w:val="24"/>
            </w:rPr>
            <w:fldChar w:fldCharType="begin"/>
          </w:r>
          <w:r>
            <w:rPr>
              <w:rFonts w:hint="default" w:ascii="Times New Roman" w:hAnsi="Times New Roman" w:eastAsia="Times New Roman" w:cs="Times New Roman"/>
              <w:b w:val="0"/>
              <w:bCs w:val="0"/>
              <w:sz w:val="24"/>
              <w:szCs w:val="24"/>
            </w:rPr>
            <w:instrText xml:space="preserve"> HYPERLINK "http://www.rsisinternational.org" </w:instrText>
          </w:r>
          <w:r>
            <w:rPr>
              <w:rFonts w:hint="default" w:ascii="Times New Roman" w:hAnsi="Times New Roman" w:eastAsia="Times New Roman" w:cs="Times New Roman"/>
              <w:b w:val="0"/>
              <w:bCs w:val="0"/>
              <w:sz w:val="24"/>
              <w:szCs w:val="24"/>
            </w:rPr>
            <w:fldChar w:fldCharType="separate"/>
          </w:r>
          <w:r>
            <w:rPr>
              <w:rStyle w:val="16"/>
              <w:rFonts w:hint="default" w:ascii="Times New Roman" w:hAnsi="Times New Roman" w:eastAsia="Times New Roman" w:cs="Times New Roman"/>
              <w:b w:val="0"/>
              <w:bCs w:val="0"/>
              <w:sz w:val="24"/>
              <w:szCs w:val="24"/>
            </w:rPr>
            <w:t>www.rsisinternational.org</w:t>
          </w:r>
          <w:r>
            <w:rPr>
              <w:rFonts w:hint="default" w:ascii="Times New Roman" w:hAnsi="Times New Roman" w:eastAsia="Times New Roman" w:cs="Times New Roman"/>
              <w:b w:val="0"/>
              <w:bCs w:val="0"/>
              <w:sz w:val="24"/>
              <w:szCs w:val="24"/>
            </w:rPr>
            <w:fldChar w:fldCharType="end"/>
          </w:r>
        </w:p>
        <w:p w14:paraId="36F8EB3F">
          <w:pPr>
            <w:autoSpaceDE w:val="0"/>
            <w:autoSpaceDN w:val="0"/>
            <w:ind w:hanging="480"/>
            <w:rPr>
              <w:rFonts w:hint="default" w:ascii="Times New Roman" w:hAnsi="Times New Roman" w:eastAsia="Times New Roman" w:cs="Times New Roman"/>
              <w:b w:val="0"/>
              <w:bCs w:val="0"/>
              <w:sz w:val="24"/>
              <w:szCs w:val="24"/>
            </w:rPr>
          </w:pPr>
          <w:r>
            <w:rPr>
              <w:rFonts w:hint="default" w:ascii="Times New Roman" w:hAnsi="Times New Roman" w:eastAsia="Times New Roman" w:cs="Times New Roman"/>
              <w:b w:val="0"/>
              <w:bCs w:val="0"/>
              <w:sz w:val="24"/>
              <w:szCs w:val="24"/>
            </w:rPr>
            <w:t xml:space="preserve">PWC. (2018). </w:t>
          </w:r>
          <w:r>
            <w:rPr>
              <w:rFonts w:hint="default" w:ascii="Times New Roman" w:hAnsi="Times New Roman" w:eastAsia="Times New Roman" w:cs="Times New Roman"/>
              <w:b w:val="0"/>
              <w:bCs w:val="0"/>
              <w:i/>
              <w:iCs/>
              <w:sz w:val="24"/>
              <w:szCs w:val="24"/>
            </w:rPr>
            <w:t>Structural transformation and jobless growth in Nigeria</w:t>
          </w:r>
          <w:r>
            <w:rPr>
              <w:rFonts w:hint="default" w:ascii="Times New Roman" w:hAnsi="Times New Roman" w:eastAsia="Times New Roman" w:cs="Times New Roman"/>
              <w:b w:val="0"/>
              <w:bCs w:val="0"/>
              <w:sz w:val="24"/>
              <w:szCs w:val="24"/>
            </w:rPr>
            <w:t xml:space="preserve">. </w:t>
          </w:r>
          <w:r>
            <w:rPr>
              <w:rFonts w:hint="default" w:ascii="Times New Roman" w:hAnsi="Times New Roman" w:eastAsia="Times New Roman" w:cs="Times New Roman"/>
              <w:b w:val="0"/>
              <w:bCs w:val="0"/>
              <w:sz w:val="24"/>
              <w:szCs w:val="24"/>
            </w:rPr>
            <w:fldChar w:fldCharType="begin"/>
          </w:r>
          <w:r>
            <w:rPr>
              <w:rFonts w:hint="default" w:ascii="Times New Roman" w:hAnsi="Times New Roman" w:eastAsia="Times New Roman" w:cs="Times New Roman"/>
              <w:b w:val="0"/>
              <w:bCs w:val="0"/>
              <w:sz w:val="24"/>
              <w:szCs w:val="24"/>
            </w:rPr>
            <w:instrText xml:space="preserve"> HYPERLINK "http://www.pwc.com/ng" </w:instrText>
          </w:r>
          <w:r>
            <w:rPr>
              <w:rFonts w:hint="default" w:ascii="Times New Roman" w:hAnsi="Times New Roman" w:eastAsia="Times New Roman" w:cs="Times New Roman"/>
              <w:b w:val="0"/>
              <w:bCs w:val="0"/>
              <w:sz w:val="24"/>
              <w:szCs w:val="24"/>
            </w:rPr>
            <w:fldChar w:fldCharType="separate"/>
          </w:r>
          <w:r>
            <w:rPr>
              <w:rStyle w:val="16"/>
              <w:rFonts w:hint="default" w:ascii="Times New Roman" w:hAnsi="Times New Roman" w:eastAsia="Times New Roman" w:cs="Times New Roman"/>
              <w:b w:val="0"/>
              <w:bCs w:val="0"/>
              <w:sz w:val="24"/>
              <w:szCs w:val="24"/>
            </w:rPr>
            <w:t>www.pwc.com/ng</w:t>
          </w:r>
          <w:r>
            <w:rPr>
              <w:rFonts w:hint="default" w:ascii="Times New Roman" w:hAnsi="Times New Roman" w:eastAsia="Times New Roman" w:cs="Times New Roman"/>
              <w:b w:val="0"/>
              <w:bCs w:val="0"/>
              <w:sz w:val="24"/>
              <w:szCs w:val="24"/>
            </w:rPr>
            <w:fldChar w:fldCharType="end"/>
          </w:r>
        </w:p>
        <w:p w14:paraId="20A8B126">
          <w:pPr>
            <w:autoSpaceDE w:val="0"/>
            <w:autoSpaceDN w:val="0"/>
            <w:ind w:hanging="480"/>
            <w:rPr>
              <w:rFonts w:hint="default" w:ascii="Times New Roman" w:hAnsi="Times New Roman" w:eastAsia="Times New Roman" w:cs="Times New Roman"/>
              <w:b w:val="0"/>
              <w:bCs w:val="0"/>
              <w:sz w:val="24"/>
              <w:szCs w:val="24"/>
            </w:rPr>
          </w:pPr>
          <w:r>
            <w:rPr>
              <w:rFonts w:hint="default" w:ascii="Times New Roman" w:hAnsi="Times New Roman" w:eastAsia="Times New Roman" w:cs="Times New Roman"/>
              <w:b w:val="0"/>
              <w:bCs w:val="0"/>
              <w:sz w:val="24"/>
              <w:szCs w:val="24"/>
            </w:rPr>
            <w:t xml:space="preserve">Avis, W. (2020). </w:t>
          </w:r>
          <w:r>
            <w:rPr>
              <w:rFonts w:hint="default" w:ascii="Times New Roman" w:hAnsi="Times New Roman" w:eastAsia="Times New Roman" w:cs="Times New Roman"/>
              <w:b w:val="0"/>
              <w:bCs w:val="0"/>
              <w:i/>
              <w:iCs/>
              <w:sz w:val="24"/>
              <w:szCs w:val="24"/>
            </w:rPr>
            <w:t>War Economy in North East Nigeria</w:t>
          </w:r>
          <w:r>
            <w:rPr>
              <w:rFonts w:hint="default" w:ascii="Times New Roman" w:hAnsi="Times New Roman" w:eastAsia="Times New Roman" w:cs="Times New Roman"/>
              <w:b w:val="0"/>
              <w:bCs w:val="0"/>
              <w:sz w:val="24"/>
              <w:szCs w:val="24"/>
            </w:rPr>
            <w:t>.</w:t>
          </w:r>
        </w:p>
        <w:p w14:paraId="3D1A665A">
          <w:pPr>
            <w:autoSpaceDE w:val="0"/>
            <w:autoSpaceDN w:val="0"/>
            <w:ind w:hanging="480"/>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 xml:space="preserve">United Nations Population Fund (UNFPA). (2021). </w:t>
          </w:r>
          <w:r>
            <w:rPr>
              <w:rStyle w:val="11"/>
              <w:rFonts w:hint="default" w:ascii="Times New Roman" w:hAnsi="Times New Roman" w:cs="Times New Roman"/>
              <w:b w:val="0"/>
              <w:bCs w:val="0"/>
              <w:sz w:val="24"/>
              <w:szCs w:val="24"/>
            </w:rPr>
            <w:t>World population dashboard: Nigeria</w:t>
          </w:r>
          <w:r>
            <w:rPr>
              <w:rFonts w:hint="default" w:ascii="Times New Roman" w:hAnsi="Times New Roman" w:cs="Times New Roman"/>
              <w:b w:val="0"/>
              <w:bCs w:val="0"/>
              <w:sz w:val="24"/>
              <w:szCs w:val="24"/>
            </w:rPr>
            <w:t>. United Nations Population Fund. https://www.unfpa.org/data/world-population/NG</w:t>
          </w:r>
        </w:p>
        <w:p w14:paraId="4AA41BC9">
          <w:pPr>
            <w:jc w:val="both"/>
            <w:rPr>
              <w:rFonts w:hint="default" w:ascii="Times New Roman" w:hAnsi="Times New Roman" w:cs="Times New Roman"/>
              <w:b w:val="0"/>
              <w:bCs w:val="0"/>
              <w:sz w:val="24"/>
              <w:szCs w:val="24"/>
            </w:rPr>
          </w:pPr>
        </w:p>
      </w:sdtContent>
    </w:sdt>
    <w:sectPr>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Calibri">
    <w:panose1 w:val="020F0502020204030204"/>
    <w:charset w:val="86"/>
    <w:family w:val="swiss"/>
    <w:pitch w:val="default"/>
    <w:sig w:usb0="E4002EFF" w:usb1="C200247B" w:usb2="00000009" w:usb3="00000000" w:csb0="200001FF" w:csb1="00000000"/>
  </w:font>
  <w:font w:name="Calibri Light">
    <w:panose1 w:val="020F0302020204030204"/>
    <w:charset w:val="00"/>
    <w:family w:val="swiss"/>
    <w:pitch w:val="default"/>
    <w:sig w:usb0="E4002EFF" w:usb1="C2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helvetica">
    <w:altName w:val="Segoe Print"/>
    <w:panose1 w:val="00000000000000000000"/>
    <w:charset w:val="00"/>
    <w:family w:val="auto"/>
    <w:pitch w:val="default"/>
    <w:sig w:usb0="00000000" w:usb1="00000000" w:usb2="00000000" w:usb3="00000000" w:csb0="00000000" w:csb1="00000000"/>
  </w:font>
  <w:font w:name="Microsoft YaHei">
    <w:panose1 w:val="020B0503020204020204"/>
    <w:charset w:val="86"/>
    <w:family w:val="auto"/>
    <w:pitch w:val="default"/>
    <w:sig w:usb0="80000287" w:usb1="2ACF3C50" w:usb2="00000016" w:usb3="00000000" w:csb0="0004001F" w:csb1="00000000"/>
  </w:font>
  <w:font w:name="Segoe Print">
    <w:panose1 w:val="02000600000000000000"/>
    <w:charset w:val="00"/>
    <w:family w:val="auto"/>
    <w:pitch w:val="default"/>
    <w:sig w:usb0="0000028F" w:usb1="00000000" w:usb2="00000000" w:usb3="00000000" w:csb0="2000009F" w:csb1="4701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displayHorizontalDrawingGridEvery w:val="1"/>
  <w:displayVerticalDrawingGridEvery w:val="1"/>
  <w:noPunctuationKerning w:val="1"/>
  <w:characterSpacingControl w:val="doNotCompress"/>
  <w:footnotePr>
    <w:footnote w:id="0"/>
    <w:footnote w:id="1"/>
  </w:footnotePr>
  <w:endnotePr>
    <w:endnote w:id="0"/>
    <w:endnote w:id="1"/>
  </w:endnotePr>
  <w:compat>
    <w:doNotExpandShiftReturn/>
    <w:doNotWrapTextWithPunct/>
    <w:doNotUseEastAsianBreakRules/>
    <w:compatSetting w:name="compatibilityMode" w:uri="http://schemas.microsoft.com/office/word" w:val="12"/>
  </w:compat>
  <w:rsids>
    <w:rsidRoot w:val="000C71D7"/>
    <w:rsid w:val="00002364"/>
    <w:rsid w:val="00011C45"/>
    <w:rsid w:val="00011E99"/>
    <w:rsid w:val="00020C0D"/>
    <w:rsid w:val="000249FC"/>
    <w:rsid w:val="00040FA9"/>
    <w:rsid w:val="0005523D"/>
    <w:rsid w:val="0006536F"/>
    <w:rsid w:val="00081A0F"/>
    <w:rsid w:val="000827B4"/>
    <w:rsid w:val="000C71D7"/>
    <w:rsid w:val="000F1BBD"/>
    <w:rsid w:val="000F2B50"/>
    <w:rsid w:val="001108F1"/>
    <w:rsid w:val="001362D9"/>
    <w:rsid w:val="00163F55"/>
    <w:rsid w:val="00164B3E"/>
    <w:rsid w:val="00173F2E"/>
    <w:rsid w:val="001A0E34"/>
    <w:rsid w:val="001A30C1"/>
    <w:rsid w:val="001E325C"/>
    <w:rsid w:val="00223070"/>
    <w:rsid w:val="0023087A"/>
    <w:rsid w:val="0027346B"/>
    <w:rsid w:val="00296FF6"/>
    <w:rsid w:val="002A746F"/>
    <w:rsid w:val="002B1A6C"/>
    <w:rsid w:val="002D69D0"/>
    <w:rsid w:val="00303065"/>
    <w:rsid w:val="003536DF"/>
    <w:rsid w:val="0036408B"/>
    <w:rsid w:val="003740BB"/>
    <w:rsid w:val="00397E72"/>
    <w:rsid w:val="003B4018"/>
    <w:rsid w:val="003B434E"/>
    <w:rsid w:val="003C38B4"/>
    <w:rsid w:val="003D5863"/>
    <w:rsid w:val="004064ED"/>
    <w:rsid w:val="00430601"/>
    <w:rsid w:val="004322CE"/>
    <w:rsid w:val="00442671"/>
    <w:rsid w:val="00447591"/>
    <w:rsid w:val="00453028"/>
    <w:rsid w:val="00456A2D"/>
    <w:rsid w:val="00473438"/>
    <w:rsid w:val="004736AA"/>
    <w:rsid w:val="004B33CF"/>
    <w:rsid w:val="004D2A56"/>
    <w:rsid w:val="005103AC"/>
    <w:rsid w:val="00521F3E"/>
    <w:rsid w:val="00542A22"/>
    <w:rsid w:val="00590532"/>
    <w:rsid w:val="005A4675"/>
    <w:rsid w:val="005C6AFC"/>
    <w:rsid w:val="005E1BB4"/>
    <w:rsid w:val="005E6C37"/>
    <w:rsid w:val="006155A5"/>
    <w:rsid w:val="00634E10"/>
    <w:rsid w:val="006540F9"/>
    <w:rsid w:val="00675B91"/>
    <w:rsid w:val="00693569"/>
    <w:rsid w:val="00697504"/>
    <w:rsid w:val="006A13BA"/>
    <w:rsid w:val="006B3D85"/>
    <w:rsid w:val="006B5820"/>
    <w:rsid w:val="006C3F70"/>
    <w:rsid w:val="006D1637"/>
    <w:rsid w:val="006D3432"/>
    <w:rsid w:val="006F0C83"/>
    <w:rsid w:val="007442B3"/>
    <w:rsid w:val="0075524B"/>
    <w:rsid w:val="007709D2"/>
    <w:rsid w:val="00782633"/>
    <w:rsid w:val="007D0BC0"/>
    <w:rsid w:val="007E3B29"/>
    <w:rsid w:val="007E4E09"/>
    <w:rsid w:val="0080195D"/>
    <w:rsid w:val="00822AD1"/>
    <w:rsid w:val="00846208"/>
    <w:rsid w:val="0087015A"/>
    <w:rsid w:val="00874C62"/>
    <w:rsid w:val="0088762F"/>
    <w:rsid w:val="00891138"/>
    <w:rsid w:val="00894DFE"/>
    <w:rsid w:val="008B323A"/>
    <w:rsid w:val="00907E44"/>
    <w:rsid w:val="00911874"/>
    <w:rsid w:val="00946BDD"/>
    <w:rsid w:val="00950252"/>
    <w:rsid w:val="00993626"/>
    <w:rsid w:val="009C0EC5"/>
    <w:rsid w:val="009D1406"/>
    <w:rsid w:val="009E76C3"/>
    <w:rsid w:val="00A030A3"/>
    <w:rsid w:val="00A55872"/>
    <w:rsid w:val="00A60622"/>
    <w:rsid w:val="00A748E7"/>
    <w:rsid w:val="00B12537"/>
    <w:rsid w:val="00B42920"/>
    <w:rsid w:val="00B80A82"/>
    <w:rsid w:val="00B90453"/>
    <w:rsid w:val="00B952FB"/>
    <w:rsid w:val="00BA6108"/>
    <w:rsid w:val="00BB1F5E"/>
    <w:rsid w:val="00BF206D"/>
    <w:rsid w:val="00C36A4E"/>
    <w:rsid w:val="00C45055"/>
    <w:rsid w:val="00C65766"/>
    <w:rsid w:val="00C96C9F"/>
    <w:rsid w:val="00CA1530"/>
    <w:rsid w:val="00CD6A69"/>
    <w:rsid w:val="00CE1828"/>
    <w:rsid w:val="00CE2084"/>
    <w:rsid w:val="00CE2D7C"/>
    <w:rsid w:val="00CE50B1"/>
    <w:rsid w:val="00D12310"/>
    <w:rsid w:val="00D17C51"/>
    <w:rsid w:val="00D51FF7"/>
    <w:rsid w:val="00D566B1"/>
    <w:rsid w:val="00DA1135"/>
    <w:rsid w:val="00DA3D36"/>
    <w:rsid w:val="00DB6AB7"/>
    <w:rsid w:val="00DC263B"/>
    <w:rsid w:val="00DE28DF"/>
    <w:rsid w:val="00DF512A"/>
    <w:rsid w:val="00E10178"/>
    <w:rsid w:val="00E5381B"/>
    <w:rsid w:val="00E5783D"/>
    <w:rsid w:val="00E62D7D"/>
    <w:rsid w:val="00E7514E"/>
    <w:rsid w:val="00EA0A0F"/>
    <w:rsid w:val="00EA3739"/>
    <w:rsid w:val="00EC47FB"/>
    <w:rsid w:val="00ED74DA"/>
    <w:rsid w:val="00EE3C4B"/>
    <w:rsid w:val="00EF53D7"/>
    <w:rsid w:val="00F34A6D"/>
    <w:rsid w:val="00F5469A"/>
    <w:rsid w:val="00F570F2"/>
    <w:rsid w:val="00F927F0"/>
    <w:rsid w:val="00FD1280"/>
    <w:rsid w:val="00FD5CBD"/>
    <w:rsid w:val="00FE2158"/>
    <w:rsid w:val="5CE73A8F"/>
    <w:rsid w:val="7C974E86"/>
    <w:rsid w:val="7E3524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SimSu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semiHidden="0" w:name="caption"/>
    <w:lsdException w:uiPriority="99" w:name="table of figures"/>
    <w:lsdException w:uiPriority="99" w:name="envelope address"/>
    <w:lsdException w:uiPriority="99" w:name="envelope return"/>
    <w:lsdException w:qFormat="1"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21"/>
    <w:qFormat/>
    <w:uiPriority w:val="9"/>
    <w:pPr>
      <w:keepNext/>
      <w:keepLines/>
      <w:spacing w:before="240" w:after="0"/>
      <w:outlineLvl w:val="0"/>
    </w:pPr>
    <w:rPr>
      <w:rFonts w:asciiTheme="majorHAnsi" w:hAnsiTheme="majorHAnsi" w:eastAsiaTheme="majorEastAsia" w:cstheme="majorBidi"/>
      <w:color w:val="2F5496" w:themeColor="accent1" w:themeShade="BF"/>
      <w:sz w:val="32"/>
      <w:szCs w:val="32"/>
    </w:rPr>
  </w:style>
  <w:style w:type="paragraph" w:styleId="3">
    <w:name w:val="heading 2"/>
    <w:basedOn w:val="1"/>
    <w:next w:val="1"/>
    <w:link w:val="22"/>
    <w:unhideWhenUsed/>
    <w:qFormat/>
    <w:uiPriority w:val="9"/>
    <w:pPr>
      <w:keepNext/>
      <w:keepLines/>
      <w:spacing w:before="40" w:after="0"/>
      <w:outlineLvl w:val="1"/>
    </w:pPr>
    <w:rPr>
      <w:rFonts w:asciiTheme="majorHAnsi" w:hAnsiTheme="majorHAnsi" w:eastAsiaTheme="majorEastAsia" w:cstheme="majorBidi"/>
      <w:color w:val="2F5496" w:themeColor="accent1" w:themeShade="BF"/>
      <w:sz w:val="26"/>
      <w:szCs w:val="26"/>
    </w:rPr>
  </w:style>
  <w:style w:type="paragraph" w:styleId="4">
    <w:name w:val="heading 3"/>
    <w:next w:val="1"/>
    <w:semiHidden/>
    <w:unhideWhenUsed/>
    <w:qFormat/>
    <w:uiPriority w:val="9"/>
    <w:pPr>
      <w:spacing w:before="0" w:beforeAutospacing="1" w:after="0" w:afterAutospacing="1"/>
      <w:jc w:val="left"/>
    </w:pPr>
    <w:rPr>
      <w:rFonts w:hint="eastAsia" w:ascii="SimSun" w:hAnsi="SimSun" w:eastAsia="SimSun" w:cs="SimSun"/>
      <w:b/>
      <w:bCs/>
      <w:kern w:val="0"/>
      <w:sz w:val="27"/>
      <w:szCs w:val="27"/>
      <w:lang w:val="en-US" w:eastAsia="zh-CN" w:bidi="ar"/>
    </w:rPr>
  </w:style>
  <w:style w:type="character" w:default="1" w:styleId="5">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7">
    <w:name w:val="caption"/>
    <w:basedOn w:val="1"/>
    <w:next w:val="1"/>
    <w:unhideWhenUsed/>
    <w:qFormat/>
    <w:uiPriority w:val="35"/>
    <w:pPr>
      <w:spacing w:after="200" w:line="240" w:lineRule="auto"/>
    </w:pPr>
    <w:rPr>
      <w:i/>
      <w:iCs/>
      <w:color w:val="44546A" w:themeColor="text2"/>
      <w:sz w:val="18"/>
      <w:szCs w:val="18"/>
    </w:rPr>
  </w:style>
  <w:style w:type="character" w:styleId="8">
    <w:name w:val="annotation reference"/>
    <w:basedOn w:val="5"/>
    <w:semiHidden/>
    <w:unhideWhenUsed/>
    <w:qFormat/>
    <w:uiPriority w:val="99"/>
    <w:rPr>
      <w:sz w:val="16"/>
      <w:szCs w:val="16"/>
    </w:rPr>
  </w:style>
  <w:style w:type="paragraph" w:styleId="9">
    <w:name w:val="annotation text"/>
    <w:basedOn w:val="1"/>
    <w:link w:val="27"/>
    <w:semiHidden/>
    <w:unhideWhenUsed/>
    <w:qFormat/>
    <w:uiPriority w:val="99"/>
    <w:pPr>
      <w:spacing w:line="240" w:lineRule="auto"/>
    </w:pPr>
    <w:rPr>
      <w:sz w:val="20"/>
      <w:szCs w:val="20"/>
    </w:rPr>
  </w:style>
  <w:style w:type="paragraph" w:styleId="10">
    <w:name w:val="annotation subject"/>
    <w:basedOn w:val="9"/>
    <w:next w:val="9"/>
    <w:link w:val="28"/>
    <w:semiHidden/>
    <w:unhideWhenUsed/>
    <w:uiPriority w:val="99"/>
    <w:rPr>
      <w:b/>
      <w:bCs/>
    </w:rPr>
  </w:style>
  <w:style w:type="character" w:styleId="11">
    <w:name w:val="Emphasis"/>
    <w:basedOn w:val="5"/>
    <w:qFormat/>
    <w:uiPriority w:val="20"/>
    <w:rPr>
      <w:i/>
      <w:iCs/>
    </w:rPr>
  </w:style>
  <w:style w:type="paragraph" w:styleId="12">
    <w:name w:val="footer"/>
    <w:basedOn w:val="1"/>
    <w:link w:val="20"/>
    <w:unhideWhenUsed/>
    <w:qFormat/>
    <w:uiPriority w:val="99"/>
    <w:pPr>
      <w:tabs>
        <w:tab w:val="center" w:pos="4680"/>
        <w:tab w:val="right" w:pos="9360"/>
      </w:tabs>
      <w:spacing w:after="0" w:line="240" w:lineRule="auto"/>
    </w:pPr>
  </w:style>
  <w:style w:type="character" w:styleId="13">
    <w:name w:val="footnote reference"/>
    <w:basedOn w:val="5"/>
    <w:semiHidden/>
    <w:unhideWhenUsed/>
    <w:qFormat/>
    <w:uiPriority w:val="99"/>
    <w:rPr>
      <w:vertAlign w:val="superscript"/>
    </w:rPr>
  </w:style>
  <w:style w:type="paragraph" w:styleId="14">
    <w:name w:val="footnote text"/>
    <w:basedOn w:val="1"/>
    <w:link w:val="25"/>
    <w:semiHidden/>
    <w:unhideWhenUsed/>
    <w:uiPriority w:val="99"/>
    <w:pPr>
      <w:spacing w:after="0" w:line="240" w:lineRule="auto"/>
    </w:pPr>
    <w:rPr>
      <w:sz w:val="20"/>
      <w:szCs w:val="20"/>
    </w:rPr>
  </w:style>
  <w:style w:type="paragraph" w:styleId="15">
    <w:name w:val="header"/>
    <w:basedOn w:val="1"/>
    <w:link w:val="19"/>
    <w:unhideWhenUsed/>
    <w:qFormat/>
    <w:uiPriority w:val="99"/>
    <w:pPr>
      <w:tabs>
        <w:tab w:val="center" w:pos="4680"/>
        <w:tab w:val="right" w:pos="9360"/>
      </w:tabs>
      <w:spacing w:after="0" w:line="240" w:lineRule="auto"/>
    </w:pPr>
  </w:style>
  <w:style w:type="character" w:styleId="16">
    <w:name w:val="Hyperlink"/>
    <w:basedOn w:val="5"/>
    <w:unhideWhenUsed/>
    <w:uiPriority w:val="99"/>
    <w:rPr>
      <w:color w:val="0563C1" w:themeColor="hyperlink"/>
      <w:u w:val="single"/>
    </w:rPr>
  </w:style>
  <w:style w:type="paragraph" w:styleId="17">
    <w:name w:val="Normal (Web)"/>
    <w:basedOn w:val="1"/>
    <w:semiHidden/>
    <w:unhideWhenUsed/>
    <w:qFormat/>
    <w:uiPriority w:val="99"/>
    <w:rPr>
      <w:sz w:val="24"/>
      <w:szCs w:val="24"/>
    </w:rPr>
  </w:style>
  <w:style w:type="character" w:styleId="18">
    <w:name w:val="Strong"/>
    <w:basedOn w:val="5"/>
    <w:qFormat/>
    <w:uiPriority w:val="22"/>
    <w:rPr>
      <w:b/>
      <w:bCs/>
    </w:rPr>
  </w:style>
  <w:style w:type="character" w:customStyle="1" w:styleId="19">
    <w:name w:val="Header Char"/>
    <w:basedOn w:val="5"/>
    <w:link w:val="15"/>
    <w:uiPriority w:val="99"/>
  </w:style>
  <w:style w:type="character" w:customStyle="1" w:styleId="20">
    <w:name w:val="Footer Char"/>
    <w:basedOn w:val="5"/>
    <w:link w:val="12"/>
    <w:qFormat/>
    <w:uiPriority w:val="99"/>
  </w:style>
  <w:style w:type="character" w:customStyle="1" w:styleId="21">
    <w:name w:val="Heading 1 Char"/>
    <w:basedOn w:val="5"/>
    <w:link w:val="2"/>
    <w:qFormat/>
    <w:uiPriority w:val="9"/>
    <w:rPr>
      <w:rFonts w:asciiTheme="majorHAnsi" w:hAnsiTheme="majorHAnsi" w:eastAsiaTheme="majorEastAsia" w:cstheme="majorBidi"/>
      <w:color w:val="2F5496" w:themeColor="accent1" w:themeShade="BF"/>
      <w:sz w:val="32"/>
      <w:szCs w:val="32"/>
    </w:rPr>
  </w:style>
  <w:style w:type="character" w:customStyle="1" w:styleId="22">
    <w:name w:val="Heading 2 Char"/>
    <w:basedOn w:val="5"/>
    <w:link w:val="3"/>
    <w:uiPriority w:val="9"/>
    <w:rPr>
      <w:rFonts w:asciiTheme="majorHAnsi" w:hAnsiTheme="majorHAnsi" w:eastAsiaTheme="majorEastAsia" w:cstheme="majorBidi"/>
      <w:color w:val="2F5496" w:themeColor="accent1" w:themeShade="BF"/>
      <w:sz w:val="26"/>
      <w:szCs w:val="26"/>
    </w:rPr>
  </w:style>
  <w:style w:type="paragraph" w:styleId="23">
    <w:name w:val="List Paragraph"/>
    <w:basedOn w:val="1"/>
    <w:qFormat/>
    <w:uiPriority w:val="34"/>
    <w:pPr>
      <w:ind w:left="720"/>
      <w:contextualSpacing/>
    </w:pPr>
  </w:style>
  <w:style w:type="character" w:styleId="24">
    <w:name w:val="Placeholder Text"/>
    <w:basedOn w:val="5"/>
    <w:semiHidden/>
    <w:qFormat/>
    <w:uiPriority w:val="99"/>
    <w:rPr>
      <w:color w:val="808080"/>
    </w:rPr>
  </w:style>
  <w:style w:type="character" w:customStyle="1" w:styleId="25">
    <w:name w:val="Footnote Text Char"/>
    <w:basedOn w:val="5"/>
    <w:link w:val="14"/>
    <w:semiHidden/>
    <w:qFormat/>
    <w:uiPriority w:val="99"/>
    <w:rPr>
      <w:sz w:val="20"/>
      <w:szCs w:val="20"/>
    </w:rPr>
  </w:style>
  <w:style w:type="character" w:customStyle="1" w:styleId="26">
    <w:name w:val="Unresolved Mention"/>
    <w:basedOn w:val="5"/>
    <w:semiHidden/>
    <w:unhideWhenUsed/>
    <w:qFormat/>
    <w:uiPriority w:val="99"/>
    <w:rPr>
      <w:color w:val="605E5C"/>
      <w:shd w:val="clear" w:color="auto" w:fill="E1DFDD"/>
    </w:rPr>
  </w:style>
  <w:style w:type="character" w:customStyle="1" w:styleId="27">
    <w:name w:val="Comment Text Char"/>
    <w:basedOn w:val="5"/>
    <w:link w:val="9"/>
    <w:semiHidden/>
    <w:uiPriority w:val="99"/>
    <w:rPr>
      <w:sz w:val="20"/>
      <w:szCs w:val="20"/>
    </w:rPr>
  </w:style>
  <w:style w:type="character" w:customStyle="1" w:styleId="28">
    <w:name w:val="Comment Subject Char"/>
    <w:basedOn w:val="27"/>
    <w:link w:val="10"/>
    <w:semiHidden/>
    <w:qFormat/>
    <w:uiPriority w:val="99"/>
    <w:rPr>
      <w:b/>
      <w:bCs/>
      <w:sz w:val="20"/>
      <w:szCs w:val="20"/>
    </w:rPr>
  </w:style>
</w:styles>
</file>

<file path=word/_rels/document.xml.rels><?xml version="1.0" encoding="UTF-8" standalone="yes"?>
<Relationships xmlns="http://schemas.openxmlformats.org/package/2006/relationships"><Relationship Id="rId9" Type="http://schemas.openxmlformats.org/officeDocument/2006/relationships/chart" Target="charts/chart3.xml"/><Relationship Id="rId8" Type="http://schemas.openxmlformats.org/officeDocument/2006/relationships/chart" Target="charts/chart2.xml"/><Relationship Id="rId7" Type="http://schemas.openxmlformats.org/officeDocument/2006/relationships/chart" Target="charts/chart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glossaryDocument" Target="glossary/document.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chart" Target="charts/chart6.xml"/><Relationship Id="rId11" Type="http://schemas.openxmlformats.org/officeDocument/2006/relationships/chart" Target="charts/chart5.xml"/><Relationship Id="rId10" Type="http://schemas.openxmlformats.org/officeDocument/2006/relationships/chart" Target="charts/chart4.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C:\Users\user\Downloads\LFS%20Tables%20-%20Q4,%202020.xlsx"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C:\Users\user\Downloads\LFS%20Tables%20-%20Q4,%202020.xlsx"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user\Downloads\LFS%20Tables%20-%20Q4,%202020.xlsx"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oleObject" Target="file:///C:\Users\user\Downloads\LFS%20Tables%20-%20Q4,%202020.xlsx"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user\Downloads\LFS%20Tables%20-%20Q4,%202020.xlsx" TargetMode="External"/></Relationships>
</file>

<file path=word/charts/_rels/chart6.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user\Downloads\LFS%20Tables%20-%20Q4,%2020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600" b="1" i="0" u="none" strike="noStrike" kern="1200" cap="all" spc="120" normalizeH="0" baseline="0">
                <a:solidFill>
                  <a:schemeClr val="tx1">
                    <a:lumMod val="65000"/>
                    <a:lumOff val="35000"/>
                  </a:schemeClr>
                </a:solidFill>
                <a:latin typeface="+mn-lt"/>
                <a:ea typeface="+mn-ea"/>
                <a:cs typeface="+mn-cs"/>
              </a:defRPr>
            </a:pPr>
            <a:r>
              <a:rPr lang="en-US"/>
              <a:t>Nature</a:t>
            </a:r>
            <a:r>
              <a:rPr lang="en-US" baseline="0"/>
              <a:t> of employment by Zone</a:t>
            </a:r>
            <a:endParaRPr lang="en-US"/>
          </a:p>
        </c:rich>
      </c:tx>
      <c:layout/>
      <c:overlay val="0"/>
      <c:spPr>
        <a:noFill/>
        <a:ln>
          <a:noFill/>
        </a:ln>
        <a:effectLst/>
      </c:spPr>
    </c:title>
    <c:autoTitleDeleted val="0"/>
    <c:plotArea>
      <c:layout/>
      <c:barChart>
        <c:barDir val="col"/>
        <c:grouping val="clustered"/>
        <c:varyColors val="0"/>
        <c:ser>
          <c:idx val="3"/>
          <c:order val="3"/>
          <c:tx>
            <c:strRef>
              <c:f>Sheet3!$E$3</c:f>
              <c:strCache>
                <c:ptCount val="1"/>
                <c:pt idx="0">
                  <c:v>Full Time</c:v>
                </c:pt>
              </c:strCache>
            </c:strRef>
          </c:tx>
          <c:spPr>
            <a:solidFill>
              <a:schemeClr val="accent4"/>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lang="en-US" sz="800" b="0" i="0" u="none" strike="noStrike" kern="1200" baseline="0">
                    <a:solidFill>
                      <a:schemeClr val="tx1">
                        <a:lumMod val="50000"/>
                        <a:lumOff val="50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Sheet3!$A$4:$A$9</c:f>
              <c:strCache>
                <c:ptCount val="6"/>
                <c:pt idx="0">
                  <c:v>North Central</c:v>
                </c:pt>
                <c:pt idx="1">
                  <c:v>North East</c:v>
                </c:pt>
                <c:pt idx="2">
                  <c:v>North West</c:v>
                </c:pt>
                <c:pt idx="3">
                  <c:v>South East</c:v>
                </c:pt>
                <c:pt idx="4">
                  <c:v>South South</c:v>
                </c:pt>
                <c:pt idx="5">
                  <c:v>South West</c:v>
                </c:pt>
              </c:strCache>
            </c:strRef>
          </c:cat>
          <c:val>
            <c:numRef>
              <c:f>Sheet3!$E$4:$E$9</c:f>
              <c:numCache>
                <c:formatCode>0.0</c:formatCode>
                <c:ptCount val="6"/>
                <c:pt idx="0">
                  <c:v>46.4802435902234</c:v>
                </c:pt>
                <c:pt idx="1">
                  <c:v>30.1114815757181</c:v>
                </c:pt>
                <c:pt idx="2">
                  <c:v>42.4229278848517</c:v>
                </c:pt>
                <c:pt idx="3">
                  <c:v>34.6893997630852</c:v>
                </c:pt>
                <c:pt idx="4">
                  <c:v>37.1484053591571</c:v>
                </c:pt>
                <c:pt idx="5">
                  <c:v>60.8867859096947</c:v>
                </c:pt>
              </c:numCache>
            </c:numRef>
          </c:val>
        </c:ser>
        <c:ser>
          <c:idx val="4"/>
          <c:order val="4"/>
          <c:tx>
            <c:strRef>
              <c:f>Sheet3!$F$3</c:f>
              <c:strCache>
                <c:ptCount val="1"/>
                <c:pt idx="0">
                  <c:v>Part time</c:v>
                </c:pt>
              </c:strCache>
            </c:strRef>
          </c:tx>
          <c:spPr>
            <a:solidFill>
              <a:schemeClr val="accent5"/>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lang="en-US" sz="800" b="0" i="0" u="none" strike="noStrike" kern="1200" baseline="0">
                    <a:solidFill>
                      <a:schemeClr val="tx1">
                        <a:lumMod val="50000"/>
                        <a:lumOff val="50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Sheet3!$A$4:$A$9</c:f>
              <c:strCache>
                <c:ptCount val="6"/>
                <c:pt idx="0">
                  <c:v>North Central</c:v>
                </c:pt>
                <c:pt idx="1">
                  <c:v>North East</c:v>
                </c:pt>
                <c:pt idx="2">
                  <c:v>North West</c:v>
                </c:pt>
                <c:pt idx="3">
                  <c:v>South East</c:v>
                </c:pt>
                <c:pt idx="4">
                  <c:v>South South</c:v>
                </c:pt>
                <c:pt idx="5">
                  <c:v>South West</c:v>
                </c:pt>
              </c:strCache>
            </c:strRef>
          </c:cat>
          <c:val>
            <c:numRef>
              <c:f>Sheet3!$F$4:$F$9</c:f>
              <c:numCache>
                <c:formatCode>0.0</c:formatCode>
                <c:ptCount val="6"/>
                <c:pt idx="0">
                  <c:v>28.1166944512103</c:v>
                </c:pt>
                <c:pt idx="1">
                  <c:v>28.5557629685096</c:v>
                </c:pt>
                <c:pt idx="2">
                  <c:v>30.1764571290367</c:v>
                </c:pt>
                <c:pt idx="3">
                  <c:v>20.1724101770365</c:v>
                </c:pt>
                <c:pt idx="4">
                  <c:v>19.4689557793564</c:v>
                </c:pt>
                <c:pt idx="5">
                  <c:v>15.1645048415115</c:v>
                </c:pt>
              </c:numCache>
            </c:numRef>
          </c:val>
        </c:ser>
        <c:dLbls>
          <c:showLegendKey val="0"/>
          <c:showVal val="1"/>
          <c:showCatName val="0"/>
          <c:showSerName val="0"/>
          <c:showPercent val="0"/>
          <c:showBubbleSize val="0"/>
        </c:dLbls>
        <c:gapWidth val="444"/>
        <c:overlap val="-90"/>
        <c:axId val="1453886511"/>
        <c:axId val="1453885679"/>
        <c:extLst>
          <c:ext xmlns:c15="http://schemas.microsoft.com/office/drawing/2012/chart" uri="{02D57815-91ED-43cb-92C2-25804820EDAC}">
            <c15:filteredBarSeries>
              <c15:ser>
                <c:idx val="0"/>
                <c:order val="0"/>
                <c:tx>
                  <c:strRef>
                    <c:extLst>
                      <c:ext uri="{02D57815-91ED-43cb-92C2-25804820EDAC}">
                        <c15:formulaRef>
                          <c15:sqref>Sheet3!$B$3</c15:sqref>
                        </c15:formulaRef>
                      </c:ext>
                    </c:extLst>
                    <c:strCache>
                      <c:ptCount val="1"/>
                      <c:pt idx="0">
                        <c:v>LFPR</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lang="en-US" sz="800" b="0" i="0" u="none" strike="noStrike" kern="1200" baseline="0">
                          <a:solidFill>
                            <a:schemeClr val="tx1">
                              <a:lumMod val="50000"/>
                              <a:lumOff val="50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extLst>
                      <c:ext uri="{02D57815-91ED-43cb-92C2-25804820EDAC}">
                        <c15:fullRef>
                          <c15:sqref/>
                        </c15:fullRef>
                        <c15:formulaRef>
                          <c15:sqref>Sheet3!$A$4:$A$9</c15:sqref>
                        </c15:formulaRef>
                      </c:ext>
                    </c:extLst>
                    <c:strCache>
                      <c:ptCount val="6"/>
                      <c:pt idx="0">
                        <c:v>North Central</c:v>
                      </c:pt>
                      <c:pt idx="1">
                        <c:v>North East</c:v>
                      </c:pt>
                      <c:pt idx="2">
                        <c:v>North West</c:v>
                      </c:pt>
                      <c:pt idx="3">
                        <c:v>South East</c:v>
                      </c:pt>
                      <c:pt idx="4">
                        <c:v>South South</c:v>
                      </c:pt>
                      <c:pt idx="5">
                        <c:v>South West</c:v>
                      </c:pt>
                    </c:strCache>
                  </c:strRef>
                </c:cat>
                <c:val>
                  <c:numRef>
                    <c:extLst>
                      <c:ext uri="{02D57815-91ED-43cb-92C2-25804820EDAC}">
                        <c15:formulaRef>
                          <c15:sqref>Sheet3!$B$4:$B$9</c15:sqref>
                        </c15:formulaRef>
                      </c:ext>
                    </c:extLst>
                    <c:numCache>
                      <c:formatCode>0.0</c:formatCode>
                      <c:ptCount val="6"/>
                      <c:pt idx="0">
                        <c:v>60.2718320992404</c:v>
                      </c:pt>
                      <c:pt idx="1">
                        <c:v>49.5609728078252</c:v>
                      </c:pt>
                      <c:pt idx="2">
                        <c:v>44.9738662965301</c:v>
                      </c:pt>
                      <c:pt idx="3">
                        <c:v>59.0151298949976</c:v>
                      </c:pt>
                      <c:pt idx="4">
                        <c:v>67.1810406073282</c:v>
                      </c:pt>
                      <c:pt idx="5">
                        <c:v>62.737065836482</c:v>
                      </c:pt>
                    </c:numCache>
                  </c:numRef>
                </c:val>
              </c15:ser>
            </c15:filteredBarSeries>
            <c15:filteredBarSeries>
              <c15:ser>
                <c:idx val="1"/>
                <c:order val="1"/>
                <c:tx>
                  <c:strRef>
                    <c:extLst>
                      <c:ext uri="{02D57815-91ED-43cb-92C2-25804820EDAC}">
                        <c15:formulaRef>
                          <c15:sqref>Sheet3!$C$3</c15:sqref>
                        </c15:formulaRef>
                      </c:ext>
                    </c:extLst>
                    <c:strCache>
                      <c:ptCount val="1"/>
                      <c:pt idx="0">
                        <c:v>GUR</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lang="en-US" sz="800" b="0" i="0" u="none" strike="noStrike" kern="1200" baseline="0">
                          <a:solidFill>
                            <a:schemeClr val="tx1">
                              <a:lumMod val="50000"/>
                              <a:lumOff val="50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extLst>
                      <c:ext uri="{02D57815-91ED-43cb-92C2-25804820EDAC}">
                        <c15:fullRef>
                          <c15:sqref/>
                        </c15:fullRef>
                        <c15:formulaRef>
                          <c15:sqref>Sheet3!$A$4:$A$9</c15:sqref>
                        </c15:formulaRef>
                      </c:ext>
                    </c:extLst>
                    <c:strCache>
                      <c:ptCount val="6"/>
                      <c:pt idx="0">
                        <c:v>North Central</c:v>
                      </c:pt>
                      <c:pt idx="1">
                        <c:v>North East</c:v>
                      </c:pt>
                      <c:pt idx="2">
                        <c:v>North West</c:v>
                      </c:pt>
                      <c:pt idx="3">
                        <c:v>South East</c:v>
                      </c:pt>
                      <c:pt idx="4">
                        <c:v>South South</c:v>
                      </c:pt>
                      <c:pt idx="5">
                        <c:v>South West</c:v>
                      </c:pt>
                    </c:strCache>
                  </c:strRef>
                </c:cat>
                <c:val>
                  <c:numRef>
                    <c:extLst>
                      <c:ext uri="{02D57815-91ED-43cb-92C2-25804820EDAC}">
                        <c15:formulaRef>
                          <c15:sqref>Sheet3!$C$4:$C$9</c15:sqref>
                        </c15:formulaRef>
                      </c:ext>
                    </c:extLst>
                    <c:numCache>
                      <c:formatCode>0.0</c:formatCode>
                      <c:ptCount val="6"/>
                      <c:pt idx="0">
                        <c:v>56.0183924221622</c:v>
                      </c:pt>
                      <c:pt idx="1">
                        <c:v>69.8885192952499</c:v>
                      </c:pt>
                      <c:pt idx="2">
                        <c:v>57.5770717135504</c:v>
                      </c:pt>
                      <c:pt idx="3">
                        <c:v>65.3106017635187</c:v>
                      </c:pt>
                      <c:pt idx="4">
                        <c:v>62.8515950903529</c:v>
                      </c:pt>
                      <c:pt idx="5">
                        <c:v>39.1132125098046</c:v>
                      </c:pt>
                    </c:numCache>
                  </c:numRef>
                </c:val>
              </c15:ser>
            </c15:filteredBarSeries>
            <c15:filteredBarSeries>
              <c15:ser>
                <c:idx val="2"/>
                <c:order val="2"/>
                <c:tx>
                  <c:strRef>
                    <c:extLst>
                      <c:ext uri="{02D57815-91ED-43cb-92C2-25804820EDAC}">
                        <c15:formulaRef>
                          <c15:sqref>Sheet3!$D$3</c15:sqref>
                        </c15:formulaRef>
                      </c:ext>
                    </c:extLst>
                    <c:strCache>
                      <c:ptCount val="1"/>
                      <c:pt idx="0">
                        <c:v>NUR</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lang="en-US" sz="800" b="0" i="0" u="none" strike="noStrike" kern="1200" baseline="0">
                          <a:solidFill>
                            <a:schemeClr val="tx1">
                              <a:lumMod val="50000"/>
                              <a:lumOff val="50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extLst>
                      <c:ext uri="{02D57815-91ED-43cb-92C2-25804820EDAC}">
                        <c15:fullRef>
                          <c15:sqref/>
                        </c15:fullRef>
                        <c15:formulaRef>
                          <c15:sqref>Sheet3!$A$4:$A$9</c15:sqref>
                        </c15:formulaRef>
                      </c:ext>
                    </c:extLst>
                    <c:strCache>
                      <c:ptCount val="6"/>
                      <c:pt idx="0">
                        <c:v>North Central</c:v>
                      </c:pt>
                      <c:pt idx="1">
                        <c:v>North East</c:v>
                      </c:pt>
                      <c:pt idx="2">
                        <c:v>North West</c:v>
                      </c:pt>
                      <c:pt idx="3">
                        <c:v>South East</c:v>
                      </c:pt>
                      <c:pt idx="4">
                        <c:v>South South</c:v>
                      </c:pt>
                      <c:pt idx="5">
                        <c:v>South West</c:v>
                      </c:pt>
                    </c:strCache>
                  </c:strRef>
                </c:cat>
                <c:val>
                  <c:numRef>
                    <c:extLst>
                      <c:ext uri="{02D57815-91ED-43cb-92C2-25804820EDAC}">
                        <c15:formulaRef>
                          <c15:sqref>Sheet3!$D$4:$D$9</c15:sqref>
                        </c15:formulaRef>
                      </c:ext>
                    </c:extLst>
                    <c:numCache>
                      <c:formatCode>0.0</c:formatCode>
                      <c:ptCount val="6"/>
                      <c:pt idx="0">
                        <c:v>27.9016979709518</c:v>
                      </c:pt>
                      <c:pt idx="1">
                        <c:v>41.3327563267403</c:v>
                      </c:pt>
                      <c:pt idx="2">
                        <c:v>27.4006145845138</c:v>
                      </c:pt>
                      <c:pt idx="3">
                        <c:v>45.1381915864822</c:v>
                      </c:pt>
                      <c:pt idx="4">
                        <c:v>43.3826393109965</c:v>
                      </c:pt>
                      <c:pt idx="5">
                        <c:v>23.9487076682931</c:v>
                      </c:pt>
                    </c:numCache>
                  </c:numRef>
                </c:val>
              </c15:ser>
            </c15:filteredBarSeries>
            <c15:filteredBarSeries>
              <c15:ser>
                <c:idx val="5"/>
                <c:order val="5"/>
                <c:tx>
                  <c:strRef>
                    <c:extLst>
                      <c:ext uri="{02D57815-91ED-43cb-92C2-25804820EDAC}">
                        <c15:formulaRef>
                          <c15:sqref>Sheet3!#REF!</c15:sqref>
                        </c15:formulaRef>
                      </c:ext>
                    </c:extLst>
                    <c:strCache>
                      <c:ptCount val="1"/>
                      <c:pt idx="0">
                        <c:v>#REF!</c:v>
                      </c:pt>
                    </c:strCache>
                  </c:strRef>
                </c:tx>
                <c:spPr>
                  <a:solidFill>
                    <a:schemeClr val="accent6"/>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lang="en-US" sz="800" b="0" i="0" u="none" strike="noStrike" kern="1200" baseline="0">
                          <a:solidFill>
                            <a:schemeClr val="tx1">
                              <a:lumMod val="50000"/>
                              <a:lumOff val="50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extLst>
                      <c:ext uri="{02D57815-91ED-43cb-92C2-25804820EDAC}">
                        <c15:fullRef>
                          <c15:sqref/>
                        </c15:fullRef>
                        <c15:formulaRef>
                          <c15:sqref>Sheet3!$A$4:$A$9</c15:sqref>
                        </c15:formulaRef>
                      </c:ext>
                    </c:extLst>
                    <c:strCache>
                      <c:ptCount val="6"/>
                      <c:pt idx="0">
                        <c:v>North Central</c:v>
                      </c:pt>
                      <c:pt idx="1">
                        <c:v>North East</c:v>
                      </c:pt>
                      <c:pt idx="2">
                        <c:v>North West</c:v>
                      </c:pt>
                      <c:pt idx="3">
                        <c:v>South East</c:v>
                      </c:pt>
                      <c:pt idx="4">
                        <c:v>South South</c:v>
                      </c:pt>
                      <c:pt idx="5">
                        <c:v>South West</c:v>
                      </c:pt>
                    </c:strCache>
                  </c:strRef>
                </c:cat>
                <c:val>
                  <c:numRef>
                    <c:extLst>
                      <c:ext uri="{02D57815-91ED-43cb-92C2-25804820EDAC}">
                        <c15:formulaRef>
                          <c15:sqref>Sheet3!#REF!</c15:sqref>
                        </c15:formulaRef>
                      </c:ext>
                    </c:extLst>
                    <c:numCache>
                      <c:formatCode>General</c:formatCode>
                      <c:ptCount val="1"/>
                      <c:pt idx="0">
                        <c:v>1</c:v>
                      </c:pt>
                    </c:numCache>
                  </c:numRef>
                </c:val>
              </c15:ser>
            </c15:filteredBarSeries>
          </c:ext>
        </c:extLst>
      </c:barChart>
      <c:catAx>
        <c:axId val="1453886511"/>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800" b="0" i="0" u="none" strike="noStrike" kern="1200" cap="all" spc="120" normalizeH="0" baseline="0">
                <a:solidFill>
                  <a:schemeClr val="tx1">
                    <a:lumMod val="65000"/>
                    <a:lumOff val="35000"/>
                  </a:schemeClr>
                </a:solidFill>
                <a:latin typeface="+mn-lt"/>
                <a:ea typeface="+mn-ea"/>
                <a:cs typeface="+mn-cs"/>
              </a:defRPr>
            </a:pPr>
          </a:p>
        </c:txPr>
        <c:crossAx val="1453885679"/>
        <c:crosses val="autoZero"/>
        <c:auto val="1"/>
        <c:lblAlgn val="ctr"/>
        <c:lblOffset val="100"/>
        <c:noMultiLvlLbl val="0"/>
      </c:catAx>
      <c:valAx>
        <c:axId val="1453885679"/>
        <c:scaling>
          <c:orientation val="minMax"/>
        </c:scaling>
        <c:delete val="1"/>
        <c:axPos val="l"/>
        <c:numFmt formatCode="0.0" sourceLinked="1"/>
        <c:majorTickMark val="none"/>
        <c:minorTickMark val="none"/>
        <c:tickLblPos val="nextTo"/>
        <c:txPr>
          <a:bodyPr rot="-6000000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453886511"/>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c518a4dd-4bc2-4f83-b816-663a657b51cd}"/>
      </c:ext>
    </c:extLst>
  </c:chart>
  <c:spPr>
    <a:solidFill>
      <a:schemeClr val="lt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600" b="1" i="0" u="none" strike="noStrike" kern="1200" cap="all" spc="120" normalizeH="0" baseline="0">
                <a:solidFill>
                  <a:schemeClr val="tx1">
                    <a:lumMod val="65000"/>
                    <a:lumOff val="35000"/>
                  </a:schemeClr>
                </a:solidFill>
                <a:latin typeface="+mn-lt"/>
                <a:ea typeface="+mn-ea"/>
                <a:cs typeface="+mn-cs"/>
              </a:defRPr>
            </a:pPr>
            <a:r>
              <a:rPr lang="en-US"/>
              <a:t>Nature</a:t>
            </a:r>
            <a:r>
              <a:rPr lang="en-US" baseline="0"/>
              <a:t> of employment by age</a:t>
            </a:r>
            <a:endParaRPr lang="en-US"/>
          </a:p>
        </c:rich>
      </c:tx>
      <c:layout/>
      <c:overlay val="0"/>
      <c:spPr>
        <a:noFill/>
        <a:ln>
          <a:noFill/>
        </a:ln>
        <a:effectLst/>
      </c:spPr>
    </c:title>
    <c:autoTitleDeleted val="0"/>
    <c:plotArea>
      <c:layout/>
      <c:barChart>
        <c:barDir val="col"/>
        <c:grouping val="clustered"/>
        <c:varyColors val="0"/>
        <c:ser>
          <c:idx val="2"/>
          <c:order val="2"/>
          <c:tx>
            <c:strRef>
              <c:f>Sheet3!$M$3</c:f>
              <c:strCache>
                <c:ptCount val="1"/>
                <c:pt idx="0">
                  <c:v>Full time</c:v>
                </c:pt>
              </c:strCache>
            </c:strRef>
          </c:tx>
          <c:spPr>
            <a:solidFill>
              <a:schemeClr val="accent4"/>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lang="en-US" sz="800" b="0" i="0" u="none" strike="noStrike" kern="1200" baseline="0">
                    <a:solidFill>
                      <a:schemeClr val="tx1">
                        <a:lumMod val="50000"/>
                        <a:lumOff val="50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Sheet3!$J$4:$J$8</c:f>
              <c:strCache>
                <c:ptCount val="5"/>
                <c:pt idx="0">
                  <c:v>15-24</c:v>
                </c:pt>
                <c:pt idx="1">
                  <c:v>25-34</c:v>
                </c:pt>
                <c:pt idx="2">
                  <c:v>35-44</c:v>
                </c:pt>
                <c:pt idx="3">
                  <c:v>45-54</c:v>
                </c:pt>
                <c:pt idx="4">
                  <c:v>55-64</c:v>
                </c:pt>
              </c:strCache>
            </c:strRef>
          </c:cat>
          <c:val>
            <c:numRef>
              <c:f>Sheet3!$M$4:$M$8</c:f>
              <c:numCache>
                <c:formatCode>0.0</c:formatCode>
                <c:ptCount val="5"/>
                <c:pt idx="0">
                  <c:v>26.8355905054926</c:v>
                </c:pt>
                <c:pt idx="1">
                  <c:v>41.2385644914478</c:v>
                </c:pt>
                <c:pt idx="2">
                  <c:v>49.2526746517728</c:v>
                </c:pt>
                <c:pt idx="3">
                  <c:v>50.2328044730502</c:v>
                </c:pt>
                <c:pt idx="4">
                  <c:v>48.4702411561261</c:v>
                </c:pt>
              </c:numCache>
            </c:numRef>
          </c:val>
        </c:ser>
        <c:ser>
          <c:idx val="3"/>
          <c:order val="3"/>
          <c:tx>
            <c:strRef>
              <c:f>Sheet3!$N$3</c:f>
              <c:strCache>
                <c:ptCount val="1"/>
                <c:pt idx="0">
                  <c:v>UER</c:v>
                </c:pt>
              </c:strCache>
            </c:strRef>
          </c:tx>
          <c:spPr>
            <a:solidFill>
              <a:srgbClr val="0070C0"/>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lang="en-US" sz="800" b="0" i="0" u="none" strike="noStrike" kern="1200" baseline="0">
                    <a:solidFill>
                      <a:schemeClr val="tx1">
                        <a:lumMod val="50000"/>
                        <a:lumOff val="50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Sheet3!$J$4:$J$8</c:f>
              <c:strCache>
                <c:ptCount val="5"/>
                <c:pt idx="0">
                  <c:v>15-24</c:v>
                </c:pt>
                <c:pt idx="1">
                  <c:v>25-34</c:v>
                </c:pt>
                <c:pt idx="2">
                  <c:v>35-44</c:v>
                </c:pt>
                <c:pt idx="3">
                  <c:v>45-54</c:v>
                </c:pt>
                <c:pt idx="4">
                  <c:v>55-64</c:v>
                </c:pt>
              </c:strCache>
            </c:strRef>
          </c:cat>
          <c:val>
            <c:numRef>
              <c:f>Sheet3!$N$4:$N$8</c:f>
              <c:numCache>
                <c:formatCode>0.0</c:formatCode>
                <c:ptCount val="5"/>
                <c:pt idx="0">
                  <c:v>19.7899177569755</c:v>
                </c:pt>
                <c:pt idx="1">
                  <c:v>21.6113160188824</c:v>
                </c:pt>
                <c:pt idx="2">
                  <c:v>23.5926687676972</c:v>
                </c:pt>
                <c:pt idx="3">
                  <c:v>24.3589212922145</c:v>
                </c:pt>
                <c:pt idx="4">
                  <c:v>25.6624023183486</c:v>
                </c:pt>
              </c:numCache>
            </c:numRef>
          </c:val>
        </c:ser>
        <c:dLbls>
          <c:showLegendKey val="0"/>
          <c:showVal val="1"/>
          <c:showCatName val="0"/>
          <c:showSerName val="0"/>
          <c:showPercent val="0"/>
          <c:showBubbleSize val="0"/>
        </c:dLbls>
        <c:gapWidth val="444"/>
        <c:overlap val="-90"/>
        <c:axId val="1525382191"/>
        <c:axId val="1525380111"/>
        <c:extLst>
          <c:ext xmlns:c15="http://schemas.microsoft.com/office/drawing/2012/chart" uri="{02D57815-91ED-43cb-92C2-25804820EDAC}">
            <c15:filteredBarSeries>
              <c15:ser>
                <c:idx val="0"/>
                <c:order val="0"/>
                <c:tx>
                  <c:strRef>
                    <c:extLst>
                      <c:ext uri="{02D57815-91ED-43cb-92C2-25804820EDAC}">
                        <c15:formulaRef>
                          <c15:sqref>Sheet3!$K$3</c15:sqref>
                        </c15:formulaRef>
                      </c:ext>
                    </c:extLst>
                    <c:strCache>
                      <c:ptCount val="1"/>
                      <c:pt idx="0">
                        <c:v>GUR</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lang="en-US" sz="800" b="0" i="0" u="none" strike="noStrike" kern="1200" baseline="0">
                          <a:solidFill>
                            <a:schemeClr val="tx1">
                              <a:lumMod val="50000"/>
                              <a:lumOff val="50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extLst>
                      <c:ext uri="{02D57815-91ED-43cb-92C2-25804820EDAC}">
                        <c15:fullRef>
                          <c15:sqref/>
                        </c15:fullRef>
                        <c15:formulaRef>
                          <c15:sqref>Sheet3!$J$4:$J$8</c15:sqref>
                        </c15:formulaRef>
                      </c:ext>
                    </c:extLst>
                    <c:strCache>
                      <c:ptCount val="5"/>
                      <c:pt idx="0">
                        <c:v>15-24</c:v>
                      </c:pt>
                      <c:pt idx="1">
                        <c:v>25-34</c:v>
                      </c:pt>
                      <c:pt idx="2">
                        <c:v>35-44</c:v>
                      </c:pt>
                      <c:pt idx="3">
                        <c:v>45-54</c:v>
                      </c:pt>
                      <c:pt idx="4">
                        <c:v>55-64</c:v>
                      </c:pt>
                    </c:strCache>
                  </c:strRef>
                </c:cat>
                <c:val>
                  <c:numRef>
                    <c:extLst>
                      <c:ext uri="{02D57815-91ED-43cb-92C2-25804820EDAC}">
                        <c15:formulaRef>
                          <c15:sqref>Sheet3!$K$4:$K$8</c15:sqref>
                        </c15:formulaRef>
                      </c:ext>
                    </c:extLst>
                    <c:numCache>
                      <c:formatCode>0.0</c:formatCode>
                      <c:ptCount val="5"/>
                      <c:pt idx="0">
                        <c:v>73.1644105094161</c:v>
                      </c:pt>
                      <c:pt idx="1">
                        <c:v>58.7614360062703</c:v>
                      </c:pt>
                      <c:pt idx="2">
                        <c:v>50.747327424105</c:v>
                      </c:pt>
                      <c:pt idx="3">
                        <c:v>49.767199285765</c:v>
                      </c:pt>
                      <c:pt idx="4">
                        <c:v>51.5297574471572</c:v>
                      </c:pt>
                    </c:numCache>
                  </c:numRef>
                </c:val>
              </c15:ser>
            </c15:filteredBarSeries>
            <c15:filteredBarSeries>
              <c15:ser>
                <c:idx val="1"/>
                <c:order val="1"/>
                <c:tx>
                  <c:strRef>
                    <c:extLst>
                      <c:ext uri="{02D57815-91ED-43cb-92C2-25804820EDAC}">
                        <c15:formulaRef>
                          <c15:sqref>Sheet3!$L$3</c15:sqref>
                        </c15:formulaRef>
                      </c:ext>
                    </c:extLst>
                    <c:strCache>
                      <c:ptCount val="1"/>
                      <c:pt idx="0">
                        <c:v>NUR</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lang="en-US" sz="800" b="0" i="0" u="none" strike="noStrike" kern="1200" baseline="0">
                          <a:solidFill>
                            <a:schemeClr val="tx1">
                              <a:lumMod val="50000"/>
                              <a:lumOff val="50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extLst>
                      <c:ext uri="{02D57815-91ED-43cb-92C2-25804820EDAC}">
                        <c15:fullRef>
                          <c15:sqref/>
                        </c15:fullRef>
                        <c15:formulaRef>
                          <c15:sqref>Sheet3!$J$4:$J$8</c15:sqref>
                        </c15:formulaRef>
                      </c:ext>
                    </c:extLst>
                    <c:strCache>
                      <c:ptCount val="5"/>
                      <c:pt idx="0">
                        <c:v>15-24</c:v>
                      </c:pt>
                      <c:pt idx="1">
                        <c:v>25-34</c:v>
                      </c:pt>
                      <c:pt idx="2">
                        <c:v>35-44</c:v>
                      </c:pt>
                      <c:pt idx="3">
                        <c:v>45-54</c:v>
                      </c:pt>
                      <c:pt idx="4">
                        <c:v>55-64</c:v>
                      </c:pt>
                    </c:strCache>
                  </c:strRef>
                </c:cat>
                <c:val>
                  <c:numRef>
                    <c:extLst>
                      <c:ext uri="{02D57815-91ED-43cb-92C2-25804820EDAC}">
                        <c15:formulaRef>
                          <c15:sqref>Sheet3!$L$4:$L$8</c15:sqref>
                        </c15:formulaRef>
                      </c:ext>
                    </c:extLst>
                    <c:numCache>
                      <c:formatCode>0.0</c:formatCode>
                      <c:ptCount val="5"/>
                      <c:pt idx="0">
                        <c:v>53.3744927524406</c:v>
                      </c:pt>
                      <c:pt idx="1">
                        <c:v>37.1501199873878</c:v>
                      </c:pt>
                      <c:pt idx="2">
                        <c:v>27.1546586564078</c:v>
                      </c:pt>
                      <c:pt idx="3">
                        <c:v>25.4082779935505</c:v>
                      </c:pt>
                      <c:pt idx="4">
                        <c:v>25.8673551288086</c:v>
                      </c:pt>
                    </c:numCache>
                  </c:numRef>
                </c:val>
              </c15:ser>
            </c15:filteredBarSeries>
          </c:ext>
        </c:extLst>
      </c:barChart>
      <c:catAx>
        <c:axId val="1525382191"/>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800" b="0" i="0" u="none" strike="noStrike" kern="1200" cap="all" spc="120" normalizeH="0" baseline="0">
                <a:solidFill>
                  <a:schemeClr val="tx1">
                    <a:lumMod val="65000"/>
                    <a:lumOff val="35000"/>
                  </a:schemeClr>
                </a:solidFill>
                <a:latin typeface="+mn-lt"/>
                <a:ea typeface="+mn-ea"/>
                <a:cs typeface="+mn-cs"/>
              </a:defRPr>
            </a:pPr>
          </a:p>
        </c:txPr>
        <c:crossAx val="1525380111"/>
        <c:crosses val="autoZero"/>
        <c:auto val="1"/>
        <c:lblAlgn val="ctr"/>
        <c:lblOffset val="100"/>
        <c:noMultiLvlLbl val="0"/>
      </c:catAx>
      <c:valAx>
        <c:axId val="1525380111"/>
        <c:scaling>
          <c:orientation val="minMax"/>
        </c:scaling>
        <c:delete val="1"/>
        <c:axPos val="l"/>
        <c:numFmt formatCode="0.0" sourceLinked="1"/>
        <c:majorTickMark val="none"/>
        <c:minorTickMark val="none"/>
        <c:tickLblPos val="nextTo"/>
        <c:txPr>
          <a:bodyPr rot="-6000000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525382191"/>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835759b4-3d58-45a4-a543-589bc4c8e969}"/>
      </c:ext>
    </c:extLst>
  </c:chart>
  <c:spPr>
    <a:solidFill>
      <a:schemeClr val="lt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a:t>NATURE</a:t>
            </a:r>
            <a:r>
              <a:rPr lang="en-US" baseline="0"/>
              <a:t> OF EMPLOYMENT BY EDUCATION</a:t>
            </a:r>
            <a:endParaRPr lang="en-US"/>
          </a:p>
        </c:rich>
      </c:tx>
      <c:layout/>
      <c:overlay val="0"/>
      <c:spPr>
        <a:noFill/>
        <a:ln>
          <a:noFill/>
        </a:ln>
        <a:effectLst/>
      </c:spPr>
    </c:title>
    <c:autoTitleDeleted val="0"/>
    <c:plotArea>
      <c:layout>
        <c:manualLayout>
          <c:layoutTarget val="inner"/>
          <c:xMode val="edge"/>
          <c:yMode val="edge"/>
          <c:x val="0.170638888888889"/>
          <c:y val="0.190972222222222"/>
          <c:w val="0.809222222222222"/>
          <c:h val="0.666666666666667"/>
        </c:manualLayout>
      </c:layout>
      <c:barChart>
        <c:barDir val="bar"/>
        <c:grouping val="clustered"/>
        <c:varyColors val="0"/>
        <c:ser>
          <c:idx val="0"/>
          <c:order val="0"/>
          <c:tx>
            <c:strRef>
              <c:f>Sheet3!$W$2</c:f>
              <c:strCache>
                <c:ptCount val="1"/>
                <c:pt idx="0">
                  <c:v>Full time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Sheet3!$V$3:$V$6</c:f>
              <c:strCache>
                <c:ptCount val="4"/>
                <c:pt idx="0">
                  <c:v>None</c:v>
                </c:pt>
                <c:pt idx="1">
                  <c:v>Pre Degree</c:v>
                </c:pt>
                <c:pt idx="2">
                  <c:v>Degree</c:v>
                </c:pt>
                <c:pt idx="3">
                  <c:v>Post Degree</c:v>
                </c:pt>
              </c:strCache>
            </c:strRef>
          </c:cat>
          <c:val>
            <c:numRef>
              <c:f>Sheet3!$W$3:$W$6</c:f>
              <c:numCache>
                <c:formatCode>0.0</c:formatCode>
                <c:ptCount val="4"/>
                <c:pt idx="0">
                  <c:v>40.7412171941379</c:v>
                </c:pt>
                <c:pt idx="1">
                  <c:v>44.2199883847116</c:v>
                </c:pt>
                <c:pt idx="2">
                  <c:v>47.5862274208631</c:v>
                </c:pt>
                <c:pt idx="3">
                  <c:v>55.6865631002821</c:v>
                </c:pt>
              </c:numCache>
            </c:numRef>
          </c:val>
        </c:ser>
        <c:ser>
          <c:idx val="1"/>
          <c:order val="1"/>
          <c:tx>
            <c:strRef>
              <c:f>Sheet3!$X$2</c:f>
              <c:strCache>
                <c:ptCount val="1"/>
                <c:pt idx="0">
                  <c:v>UER</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Sheet3!$V$3:$V$6</c:f>
              <c:strCache>
                <c:ptCount val="4"/>
                <c:pt idx="0">
                  <c:v>None</c:v>
                </c:pt>
                <c:pt idx="1">
                  <c:v>Pre Degree</c:v>
                </c:pt>
                <c:pt idx="2">
                  <c:v>Degree</c:v>
                </c:pt>
                <c:pt idx="3">
                  <c:v>Post Degree</c:v>
                </c:pt>
              </c:strCache>
            </c:strRef>
          </c:cat>
          <c:val>
            <c:numRef>
              <c:f>Sheet3!$X$3:$X$6</c:f>
              <c:numCache>
                <c:formatCode>0.0</c:formatCode>
                <c:ptCount val="4"/>
                <c:pt idx="0">
                  <c:v>30.8840946250004</c:v>
                </c:pt>
                <c:pt idx="1">
                  <c:v>20.3920282969409</c:v>
                </c:pt>
                <c:pt idx="2">
                  <c:v>16.4270864094762</c:v>
                </c:pt>
                <c:pt idx="3">
                  <c:v>18.394868656863</c:v>
                </c:pt>
              </c:numCache>
            </c:numRef>
          </c:val>
        </c:ser>
        <c:dLbls>
          <c:showLegendKey val="0"/>
          <c:showVal val="1"/>
          <c:showCatName val="0"/>
          <c:showSerName val="0"/>
          <c:showPercent val="0"/>
          <c:showBubbleSize val="0"/>
        </c:dLbls>
        <c:gapWidth val="182"/>
        <c:axId val="1539539423"/>
        <c:axId val="1539539839"/>
      </c:barChart>
      <c:catAx>
        <c:axId val="1539539423"/>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539539839"/>
        <c:crosses val="autoZero"/>
        <c:auto val="1"/>
        <c:lblAlgn val="ctr"/>
        <c:lblOffset val="100"/>
        <c:noMultiLvlLbl val="0"/>
      </c:catAx>
      <c:valAx>
        <c:axId val="1539539839"/>
        <c:scaling>
          <c:orientation val="minMax"/>
        </c:scaling>
        <c:delete val="1"/>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txPr>
          <a:bodyPr rot="-6000000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539539423"/>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c2abdcbe-2eab-4053-b26e-135b8e502ae0}"/>
      </c:ext>
    </c:extLst>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600" b="1" i="0" u="none" strike="noStrike" kern="1200" cap="all" spc="120" normalizeH="0" baseline="0">
                <a:solidFill>
                  <a:schemeClr val="tx1">
                    <a:lumMod val="65000"/>
                    <a:lumOff val="35000"/>
                  </a:schemeClr>
                </a:solidFill>
                <a:latin typeface="+mn-lt"/>
                <a:ea typeface="+mn-ea"/>
                <a:cs typeface="+mn-cs"/>
              </a:defRPr>
            </a:pPr>
            <a:r>
              <a:rPr lang="en-US"/>
              <a:t>uNEMPLOYMENT</a:t>
            </a:r>
            <a:r>
              <a:rPr lang="en-US" baseline="0"/>
              <a:t> BY ZONE</a:t>
            </a:r>
            <a:endParaRPr lang="en-US"/>
          </a:p>
        </c:rich>
      </c:tx>
      <c:layout/>
      <c:overlay val="0"/>
      <c:spPr>
        <a:noFill/>
        <a:ln>
          <a:noFill/>
        </a:ln>
        <a:effectLst/>
      </c:spPr>
    </c:title>
    <c:autoTitleDeleted val="0"/>
    <c:plotArea>
      <c:layout/>
      <c:barChart>
        <c:barDir val="col"/>
        <c:grouping val="clustered"/>
        <c:varyColors val="0"/>
        <c:ser>
          <c:idx val="1"/>
          <c:order val="1"/>
          <c:tx>
            <c:strRef>
              <c:f>Sheet3!$C$3</c:f>
              <c:strCache>
                <c:ptCount val="1"/>
                <c:pt idx="0">
                  <c:v>GUR</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lang="en-US" sz="800" b="0" i="0" u="none" strike="noStrike" kern="1200" baseline="0">
                    <a:solidFill>
                      <a:schemeClr val="tx1">
                        <a:lumMod val="50000"/>
                        <a:lumOff val="50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Sheet3!$A$4:$A$9</c:f>
              <c:strCache>
                <c:ptCount val="6"/>
                <c:pt idx="0">
                  <c:v>North Central</c:v>
                </c:pt>
                <c:pt idx="1">
                  <c:v>North East</c:v>
                </c:pt>
                <c:pt idx="2">
                  <c:v>North West</c:v>
                </c:pt>
                <c:pt idx="3">
                  <c:v>South East</c:v>
                </c:pt>
                <c:pt idx="4">
                  <c:v>South South</c:v>
                </c:pt>
                <c:pt idx="5">
                  <c:v>South West</c:v>
                </c:pt>
              </c:strCache>
            </c:strRef>
          </c:cat>
          <c:val>
            <c:numRef>
              <c:f>Sheet3!$C$4:$C$9</c:f>
              <c:numCache>
                <c:formatCode>0.0</c:formatCode>
                <c:ptCount val="6"/>
                <c:pt idx="0">
                  <c:v>56.0183924221622</c:v>
                </c:pt>
                <c:pt idx="1">
                  <c:v>69.8885192952499</c:v>
                </c:pt>
                <c:pt idx="2">
                  <c:v>57.5770717135504</c:v>
                </c:pt>
                <c:pt idx="3">
                  <c:v>65.3106017635187</c:v>
                </c:pt>
                <c:pt idx="4">
                  <c:v>62.8515950903529</c:v>
                </c:pt>
                <c:pt idx="5">
                  <c:v>39.1132125098046</c:v>
                </c:pt>
              </c:numCache>
            </c:numRef>
          </c:val>
        </c:ser>
        <c:ser>
          <c:idx val="2"/>
          <c:order val="2"/>
          <c:tx>
            <c:strRef>
              <c:f>Sheet3!$D$3</c:f>
              <c:strCache>
                <c:ptCount val="1"/>
                <c:pt idx="0">
                  <c:v>NUR</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lang="en-US" sz="800" b="0" i="0" u="none" strike="noStrike" kern="1200" baseline="0">
                    <a:solidFill>
                      <a:schemeClr val="tx1">
                        <a:lumMod val="50000"/>
                        <a:lumOff val="50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Sheet3!$A$4:$A$9</c:f>
              <c:strCache>
                <c:ptCount val="6"/>
                <c:pt idx="0">
                  <c:v>North Central</c:v>
                </c:pt>
                <c:pt idx="1">
                  <c:v>North East</c:v>
                </c:pt>
                <c:pt idx="2">
                  <c:v>North West</c:v>
                </c:pt>
                <c:pt idx="3">
                  <c:v>South East</c:v>
                </c:pt>
                <c:pt idx="4">
                  <c:v>South South</c:v>
                </c:pt>
                <c:pt idx="5">
                  <c:v>South West</c:v>
                </c:pt>
              </c:strCache>
            </c:strRef>
          </c:cat>
          <c:val>
            <c:numRef>
              <c:f>Sheet3!$D$4:$D$9</c:f>
              <c:numCache>
                <c:formatCode>0.0</c:formatCode>
                <c:ptCount val="6"/>
                <c:pt idx="0">
                  <c:v>27.9016979709518</c:v>
                </c:pt>
                <c:pt idx="1">
                  <c:v>41.3327563267403</c:v>
                </c:pt>
                <c:pt idx="2">
                  <c:v>27.4006145845138</c:v>
                </c:pt>
                <c:pt idx="3">
                  <c:v>45.1381915864822</c:v>
                </c:pt>
                <c:pt idx="4">
                  <c:v>43.3826393109965</c:v>
                </c:pt>
                <c:pt idx="5">
                  <c:v>23.9487076682931</c:v>
                </c:pt>
              </c:numCache>
            </c:numRef>
          </c:val>
        </c:ser>
        <c:dLbls>
          <c:showLegendKey val="0"/>
          <c:showVal val="1"/>
          <c:showCatName val="0"/>
          <c:showSerName val="0"/>
          <c:showPercent val="0"/>
          <c:showBubbleSize val="0"/>
        </c:dLbls>
        <c:gapWidth val="444"/>
        <c:overlap val="-90"/>
        <c:axId val="1618955471"/>
        <c:axId val="1618946735"/>
        <c:extLst>
          <c:ext xmlns:c15="http://schemas.microsoft.com/office/drawing/2012/chart" uri="{02D57815-91ED-43cb-92C2-25804820EDAC}">
            <c15:filteredBarSeries>
              <c15:ser>
                <c:idx val="0"/>
                <c:order val="0"/>
                <c:tx>
                  <c:strRef>
                    <c:extLst>
                      <c:ext uri="{02D57815-91ED-43cb-92C2-25804820EDAC}">
                        <c15:formulaRef>
                          <c15:sqref>Sheet3!$B$3</c15:sqref>
                        </c15:formulaRef>
                      </c:ext>
                    </c:extLst>
                    <c:strCache>
                      <c:ptCount val="1"/>
                      <c:pt idx="0">
                        <c:v>LFPR</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lang="en-US" sz="800" b="0" i="0" u="none" strike="noStrike" kern="1200" baseline="0">
                          <a:solidFill>
                            <a:schemeClr val="tx1">
                              <a:lumMod val="50000"/>
                              <a:lumOff val="50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extLst>
                      <c:ext uri="{02D57815-91ED-43cb-92C2-25804820EDAC}">
                        <c15:fullRef>
                          <c15:sqref/>
                        </c15:fullRef>
                        <c15:formulaRef>
                          <c15:sqref>Sheet3!$A$4:$A$9</c15:sqref>
                        </c15:formulaRef>
                      </c:ext>
                    </c:extLst>
                    <c:strCache>
                      <c:ptCount val="6"/>
                      <c:pt idx="0">
                        <c:v>North Central</c:v>
                      </c:pt>
                      <c:pt idx="1">
                        <c:v>North East</c:v>
                      </c:pt>
                      <c:pt idx="2">
                        <c:v>North West</c:v>
                      </c:pt>
                      <c:pt idx="3">
                        <c:v>South East</c:v>
                      </c:pt>
                      <c:pt idx="4">
                        <c:v>South South</c:v>
                      </c:pt>
                      <c:pt idx="5">
                        <c:v>South West</c:v>
                      </c:pt>
                    </c:strCache>
                  </c:strRef>
                </c:cat>
                <c:val>
                  <c:numRef>
                    <c:extLst>
                      <c:ext uri="{02D57815-91ED-43cb-92C2-25804820EDAC}">
                        <c15:formulaRef>
                          <c15:sqref>Sheet3!$B$4:$B$9</c15:sqref>
                        </c15:formulaRef>
                      </c:ext>
                    </c:extLst>
                    <c:numCache>
                      <c:formatCode>0.0</c:formatCode>
                      <c:ptCount val="6"/>
                      <c:pt idx="0">
                        <c:v>60.2718320992404</c:v>
                      </c:pt>
                      <c:pt idx="1">
                        <c:v>49.5609728078252</c:v>
                      </c:pt>
                      <c:pt idx="2">
                        <c:v>44.9738662965301</c:v>
                      </c:pt>
                      <c:pt idx="3">
                        <c:v>59.0151298949976</c:v>
                      </c:pt>
                      <c:pt idx="4">
                        <c:v>67.1810406073282</c:v>
                      </c:pt>
                      <c:pt idx="5">
                        <c:v>62.737065836482</c:v>
                      </c:pt>
                    </c:numCache>
                  </c:numRef>
                </c:val>
              </c15:ser>
            </c15:filteredBarSeries>
          </c:ext>
        </c:extLst>
      </c:barChart>
      <c:catAx>
        <c:axId val="1618955471"/>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800" b="0" i="0" u="none" strike="noStrike" kern="1200" cap="all" spc="120" normalizeH="0" baseline="0">
                <a:solidFill>
                  <a:schemeClr val="tx1">
                    <a:lumMod val="65000"/>
                    <a:lumOff val="35000"/>
                  </a:schemeClr>
                </a:solidFill>
                <a:latin typeface="+mn-lt"/>
                <a:ea typeface="+mn-ea"/>
                <a:cs typeface="+mn-cs"/>
              </a:defRPr>
            </a:pPr>
          </a:p>
        </c:txPr>
        <c:crossAx val="1618946735"/>
        <c:crosses val="autoZero"/>
        <c:auto val="1"/>
        <c:lblAlgn val="ctr"/>
        <c:lblOffset val="100"/>
        <c:noMultiLvlLbl val="0"/>
      </c:catAx>
      <c:valAx>
        <c:axId val="1618946735"/>
        <c:scaling>
          <c:orientation val="minMax"/>
        </c:scaling>
        <c:delete val="1"/>
        <c:axPos val="l"/>
        <c:numFmt formatCode="0.0" sourceLinked="1"/>
        <c:majorTickMark val="none"/>
        <c:minorTickMark val="none"/>
        <c:tickLblPos val="nextTo"/>
        <c:txPr>
          <a:bodyPr rot="-6000000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618955471"/>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6f885dcd-712a-47ac-9cc5-dada4e90f99d}"/>
      </c:ext>
    </c:extLst>
  </c:chart>
  <c:spPr>
    <a:solidFill>
      <a:schemeClr val="lt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600" b="1" i="0" u="none" strike="noStrike" kern="1200" cap="all" spc="120" normalizeH="0" baseline="0">
                <a:solidFill>
                  <a:schemeClr val="tx1">
                    <a:lumMod val="65000"/>
                    <a:lumOff val="35000"/>
                  </a:schemeClr>
                </a:solidFill>
                <a:latin typeface="+mn-lt"/>
                <a:ea typeface="+mn-ea"/>
                <a:cs typeface="+mn-cs"/>
              </a:defRPr>
            </a:pPr>
            <a:r>
              <a:rPr lang="en-US"/>
              <a:t>UNEMPLOYMENT</a:t>
            </a:r>
            <a:r>
              <a:rPr lang="en-US" baseline="0"/>
              <a:t> BY AGE</a:t>
            </a:r>
            <a:endParaRPr lang="en-US"/>
          </a:p>
        </c:rich>
      </c:tx>
      <c:layout/>
      <c:overlay val="0"/>
      <c:spPr>
        <a:noFill/>
        <a:ln>
          <a:noFill/>
        </a:ln>
        <a:effectLst/>
      </c:spPr>
    </c:title>
    <c:autoTitleDeleted val="0"/>
    <c:plotArea>
      <c:layout/>
      <c:barChart>
        <c:barDir val="col"/>
        <c:grouping val="clustered"/>
        <c:varyColors val="0"/>
        <c:ser>
          <c:idx val="0"/>
          <c:order val="0"/>
          <c:tx>
            <c:strRef>
              <c:f>Sheet3!$K$3</c:f>
              <c:strCache>
                <c:ptCount val="1"/>
                <c:pt idx="0">
                  <c:v>GUR</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lang="en-US" sz="800" b="0" i="0" u="none" strike="noStrike" kern="1200" baseline="0">
                    <a:solidFill>
                      <a:schemeClr val="tx1">
                        <a:lumMod val="50000"/>
                        <a:lumOff val="50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Sheet3!$J$4:$J$8</c:f>
              <c:strCache>
                <c:ptCount val="5"/>
                <c:pt idx="0">
                  <c:v>15-24</c:v>
                </c:pt>
                <c:pt idx="1">
                  <c:v>25-34</c:v>
                </c:pt>
                <c:pt idx="2">
                  <c:v>35-44</c:v>
                </c:pt>
                <c:pt idx="3">
                  <c:v>45-54</c:v>
                </c:pt>
                <c:pt idx="4">
                  <c:v>55-64</c:v>
                </c:pt>
              </c:strCache>
            </c:strRef>
          </c:cat>
          <c:val>
            <c:numRef>
              <c:f>Sheet3!$K$4:$K$8</c:f>
              <c:numCache>
                <c:formatCode>0.0</c:formatCode>
                <c:ptCount val="5"/>
                <c:pt idx="0">
                  <c:v>73.1644105094161</c:v>
                </c:pt>
                <c:pt idx="1">
                  <c:v>58.7614360062703</c:v>
                </c:pt>
                <c:pt idx="2">
                  <c:v>50.747327424105</c:v>
                </c:pt>
                <c:pt idx="3">
                  <c:v>49.767199285765</c:v>
                </c:pt>
                <c:pt idx="4">
                  <c:v>51.5297574471572</c:v>
                </c:pt>
              </c:numCache>
            </c:numRef>
          </c:val>
        </c:ser>
        <c:ser>
          <c:idx val="1"/>
          <c:order val="1"/>
          <c:tx>
            <c:strRef>
              <c:f>Sheet3!$L$3</c:f>
              <c:strCache>
                <c:ptCount val="1"/>
                <c:pt idx="0">
                  <c:v>NUR</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lang="en-US" sz="800" b="0" i="0" u="none" strike="noStrike" kern="1200" baseline="0">
                    <a:solidFill>
                      <a:schemeClr val="tx1">
                        <a:lumMod val="50000"/>
                        <a:lumOff val="50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Sheet3!$J$4:$J$8</c:f>
              <c:strCache>
                <c:ptCount val="5"/>
                <c:pt idx="0">
                  <c:v>15-24</c:v>
                </c:pt>
                <c:pt idx="1">
                  <c:v>25-34</c:v>
                </c:pt>
                <c:pt idx="2">
                  <c:v>35-44</c:v>
                </c:pt>
                <c:pt idx="3">
                  <c:v>45-54</c:v>
                </c:pt>
                <c:pt idx="4">
                  <c:v>55-64</c:v>
                </c:pt>
              </c:strCache>
            </c:strRef>
          </c:cat>
          <c:val>
            <c:numRef>
              <c:f>Sheet3!$L$4:$L$8</c:f>
              <c:numCache>
                <c:formatCode>0.0</c:formatCode>
                <c:ptCount val="5"/>
                <c:pt idx="0">
                  <c:v>53.3744927524406</c:v>
                </c:pt>
                <c:pt idx="1">
                  <c:v>37.1501199873878</c:v>
                </c:pt>
                <c:pt idx="2">
                  <c:v>27.1546586564078</c:v>
                </c:pt>
                <c:pt idx="3">
                  <c:v>25.4082779935505</c:v>
                </c:pt>
                <c:pt idx="4">
                  <c:v>25.8673551288086</c:v>
                </c:pt>
              </c:numCache>
            </c:numRef>
          </c:val>
        </c:ser>
        <c:dLbls>
          <c:showLegendKey val="0"/>
          <c:showVal val="1"/>
          <c:showCatName val="0"/>
          <c:showSerName val="0"/>
          <c:showPercent val="0"/>
          <c:showBubbleSize val="0"/>
        </c:dLbls>
        <c:gapWidth val="444"/>
        <c:overlap val="-90"/>
        <c:axId val="1539542335"/>
        <c:axId val="1539522783"/>
      </c:barChart>
      <c:catAx>
        <c:axId val="1539542335"/>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800" b="0" i="0" u="none" strike="noStrike" kern="1200" cap="all" spc="120" normalizeH="0" baseline="0">
                <a:solidFill>
                  <a:schemeClr val="tx1">
                    <a:lumMod val="65000"/>
                    <a:lumOff val="35000"/>
                  </a:schemeClr>
                </a:solidFill>
                <a:latin typeface="+mn-lt"/>
                <a:ea typeface="+mn-ea"/>
                <a:cs typeface="+mn-cs"/>
              </a:defRPr>
            </a:pPr>
          </a:p>
        </c:txPr>
        <c:crossAx val="1539522783"/>
        <c:crosses val="autoZero"/>
        <c:auto val="1"/>
        <c:lblAlgn val="ctr"/>
        <c:lblOffset val="100"/>
        <c:noMultiLvlLbl val="0"/>
      </c:catAx>
      <c:valAx>
        <c:axId val="1539522783"/>
        <c:scaling>
          <c:orientation val="minMax"/>
        </c:scaling>
        <c:delete val="1"/>
        <c:axPos val="l"/>
        <c:numFmt formatCode="0.0" sourceLinked="1"/>
        <c:majorTickMark val="none"/>
        <c:minorTickMark val="none"/>
        <c:tickLblPos val="nextTo"/>
        <c:txPr>
          <a:bodyPr rot="-6000000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539542335"/>
        <c:crosses val="autoZero"/>
        <c:crossBetween val="between"/>
      </c:valAx>
      <c:spPr>
        <a:noFill/>
        <a:ln>
          <a:noFill/>
        </a:ln>
        <a:effectLst/>
      </c:spPr>
    </c:plotArea>
    <c:legend>
      <c:legendPos val="t"/>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22b021bc-84bf-41c0-a05b-cdc7b768df64}"/>
      </c:ext>
    </c:extLst>
  </c:chart>
  <c:spPr>
    <a:solidFill>
      <a:schemeClr val="lt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a:t>UNEMPLOYMENT</a:t>
            </a:r>
            <a:r>
              <a:rPr lang="en-US" baseline="0"/>
              <a:t> BY EDUCATION</a:t>
            </a:r>
            <a:endParaRPr lang="en-US"/>
          </a:p>
        </c:rich>
      </c:tx>
      <c:layout/>
      <c:overlay val="0"/>
      <c:spPr>
        <a:noFill/>
        <a:ln>
          <a:noFill/>
        </a:ln>
        <a:effectLst/>
      </c:spPr>
    </c:title>
    <c:autoTitleDeleted val="0"/>
    <c:plotArea>
      <c:layout/>
      <c:barChart>
        <c:barDir val="bar"/>
        <c:grouping val="clustered"/>
        <c:varyColors val="0"/>
        <c:ser>
          <c:idx val="0"/>
          <c:order val="0"/>
          <c:tx>
            <c:strRef>
              <c:f>Sheet3!$W$8</c:f>
              <c:strCache>
                <c:ptCount val="1"/>
                <c:pt idx="0">
                  <c:v>GUR</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Sheet3!$V$9:$V$12</c:f>
              <c:strCache>
                <c:ptCount val="4"/>
                <c:pt idx="0">
                  <c:v>None</c:v>
                </c:pt>
                <c:pt idx="1">
                  <c:v>Pre Degree</c:v>
                </c:pt>
                <c:pt idx="2">
                  <c:v>Degree</c:v>
                </c:pt>
                <c:pt idx="3">
                  <c:v>Post Degree</c:v>
                </c:pt>
              </c:strCache>
            </c:strRef>
          </c:cat>
          <c:val>
            <c:numRef>
              <c:f>Sheet3!$W$9:$W$12</c:f>
              <c:numCache>
                <c:formatCode>0.0</c:formatCode>
                <c:ptCount val="4"/>
                <c:pt idx="0">
                  <c:v>59.2587828058621</c:v>
                </c:pt>
                <c:pt idx="1">
                  <c:v>55.7800119548271</c:v>
                </c:pt>
                <c:pt idx="2">
                  <c:v>52.4137747627591</c:v>
                </c:pt>
                <c:pt idx="3">
                  <c:v>44.3134243750709</c:v>
                </c:pt>
              </c:numCache>
            </c:numRef>
          </c:val>
        </c:ser>
        <c:ser>
          <c:idx val="1"/>
          <c:order val="1"/>
          <c:tx>
            <c:strRef>
              <c:f>Sheet3!$X$8</c:f>
              <c:strCache>
                <c:ptCount val="1"/>
                <c:pt idx="0">
                  <c:v>NUR</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Sheet3!$V$9:$V$12</c:f>
              <c:strCache>
                <c:ptCount val="4"/>
                <c:pt idx="0">
                  <c:v>None</c:v>
                </c:pt>
                <c:pt idx="1">
                  <c:v>Pre Degree</c:v>
                </c:pt>
                <c:pt idx="2">
                  <c:v>Degree</c:v>
                </c:pt>
                <c:pt idx="3">
                  <c:v>Post Degree</c:v>
                </c:pt>
              </c:strCache>
            </c:strRef>
          </c:cat>
          <c:val>
            <c:numRef>
              <c:f>Sheet3!$X$9:$X$12</c:f>
              <c:numCache>
                <c:formatCode>0.0</c:formatCode>
                <c:ptCount val="4"/>
                <c:pt idx="0">
                  <c:v>28.3746881808617</c:v>
                </c:pt>
                <c:pt idx="1">
                  <c:v>35.3879836578863</c:v>
                </c:pt>
                <c:pt idx="2">
                  <c:v>35.9866883532829</c:v>
                </c:pt>
                <c:pt idx="3">
                  <c:v>25.9185557182079</c:v>
                </c:pt>
              </c:numCache>
            </c:numRef>
          </c:val>
        </c:ser>
        <c:dLbls>
          <c:showLegendKey val="0"/>
          <c:showVal val="1"/>
          <c:showCatName val="0"/>
          <c:showSerName val="0"/>
          <c:showPercent val="0"/>
          <c:showBubbleSize val="0"/>
        </c:dLbls>
        <c:gapWidth val="182"/>
        <c:axId val="1618007199"/>
        <c:axId val="1618001375"/>
      </c:barChart>
      <c:catAx>
        <c:axId val="1618007199"/>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618001375"/>
        <c:crosses val="autoZero"/>
        <c:auto val="1"/>
        <c:lblAlgn val="ctr"/>
        <c:lblOffset val="100"/>
        <c:noMultiLvlLbl val="0"/>
      </c:catAx>
      <c:valAx>
        <c:axId val="1618001375"/>
        <c:scaling>
          <c:orientation val="minMax"/>
        </c:scaling>
        <c:delete val="1"/>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txPr>
          <a:bodyPr rot="-60000000" spcFirstLastPara="0"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618007199"/>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a491060d-a22f-446a-871d-029f05f32c76}"/>
      </c:ext>
    </c:extLst>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glossary/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DefaultPlaceholder_-1854013440"/>
        <w:style w:val=""/>
        <w:category>
          <w:name w:val="General"/>
          <w:gallery w:val="placeholder"/>
        </w:category>
        <w:types>
          <w:type w:val="bbPlcHdr"/>
        </w:types>
        <w:behaviors>
          <w:behavior w:val="content"/>
        </w:behaviors>
        <w:description w:val=""/>
        <w:guid w:val="{8D4E2A09-EFB9-42CF-A95D-95B1E5EE7118}"/>
      </w:docPartPr>
      <w:docPartBody>
        <w:p w14:paraId="7E9EAF21">
          <w:r>
            <w:rPr>
              <w:rStyle w:val="4"/>
            </w:rPr>
            <w:t>Click or tap here to enter text.</w:t>
          </w:r>
        </w:p>
      </w:docPartBody>
    </w:docPart>
    <w:docPart>
      <w:docPartPr>
        <w:name w:val="FEF17385C8C44BABBFDC833A6C34865F"/>
        <w:style w:val=""/>
        <w:category>
          <w:name w:val="General"/>
          <w:gallery w:val="placeholder"/>
        </w:category>
        <w:types>
          <w:type w:val="bbPlcHdr"/>
        </w:types>
        <w:behaviors>
          <w:behavior w:val="content"/>
        </w:behaviors>
        <w:description w:val=""/>
        <w:guid w:val="{A5D90D96-F992-47C5-A4DD-710691800271}"/>
      </w:docPartPr>
      <w:docPartBody>
        <w:p w14:paraId="7F653AE3">
          <w:pPr>
            <w:pStyle w:val="5"/>
          </w:pPr>
          <w:r>
            <w:rPr>
              <w:rStyle w:val="4"/>
            </w:rPr>
            <w:t>Click or tap here to enter text.</w:t>
          </w:r>
        </w:p>
      </w:docPartBody>
    </w:docPart>
    <w:docPart>
      <w:docPartPr>
        <w:name w:val="{f2567830-e371-4729-abf8-788db75d931e}"/>
        <w:style w:val=""/>
        <w:category>
          <w:name w:val="General"/>
          <w:gallery w:val="placeholder"/>
        </w:category>
        <w:types>
          <w:type w:val="bbPlcHdr"/>
        </w:types>
        <w:behaviors>
          <w:behavior w:val="content"/>
        </w:behaviors>
        <w:description w:val=""/>
        <w:guid w:val="{f2567830-e371-4729-abf8-788db75d931e}"/>
      </w:docPartPr>
      <w:docPartBody>
        <w:p w14:paraId="6537B4E3">
          <w:r>
            <w:rPr>
              <w:rStyle w:val="4"/>
            </w:rPr>
            <w:t>Click or tap here to enter text.</w:t>
          </w:r>
        </w:p>
      </w:docPartBody>
    </w:docPart>
  </w:docParts>
</w:glossaryDocument>
</file>

<file path=word/glossary/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等线">
    <w:altName w:val="Microsoft YaHei"/>
    <w:panose1 w:val="00000000000000000000"/>
    <w:charset w:val="86"/>
    <w:family w:val="auto"/>
    <w:pitch w:val="default"/>
    <w:sig w:usb0="00000000" w:usb1="00000000" w:usb2="00000000" w:usb3="00000000" w:csb0="00000000" w:csb1="00000000"/>
  </w:font>
  <w:font w:name="Microsoft YaHei">
    <w:panose1 w:val="020B0503020204020204"/>
    <w:charset w:val="86"/>
    <w:family w:val="auto"/>
    <w:pitch w:val="default"/>
    <w:sig w:usb0="80000287" w:usb1="2ACF3C50" w:usb2="00000016" w:usb3="00000000" w:csb0="0004001F" w:csb1="00000000"/>
  </w:font>
</w:fonts>
</file>

<file path=word/glossary/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defaultTabStop w:val="720"/>
  <w:characterSpacingControl w:val="doNotCompress"/>
  <w:footnotePr>
    <w:footnote w:id="0"/>
    <w:footnote w:id="1"/>
  </w:footnotePr>
  <w:endnotePr>
    <w:endnote w:id="0"/>
    <w:endnote w:id="1"/>
  </w:endnotePr>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5E6B"/>
    <w:rsid w:val="00100EAA"/>
    <w:rsid w:val="002F1E91"/>
    <w:rsid w:val="005F3E1E"/>
    <w:rsid w:val="00636225"/>
    <w:rsid w:val="008C782E"/>
    <w:rsid w:val="008E55D2"/>
    <w:rsid w:val="00AA5E6B"/>
    <w:rsid w:val="00D2265A"/>
    <w:rsid w:val="00DF5D3F"/>
    <w:rsid w:val="00E072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uiPriority="99" w:name="Normal Table"/>
    <w:lsdException w:unhideWhenUsed="0" w:uiPriority="99" w:name="Placeholder Text"/>
  </w:latentStyles>
  <w:style w:type="paragraph" w:default="1" w:styleId="1">
    <w:name w:val="Normal"/>
    <w:qFormat/>
    <w:uiPriority w:val="0"/>
    <w:pPr>
      <w:spacing w:after="160" w:line="259" w:lineRule="auto"/>
    </w:pPr>
    <w:rPr>
      <w:rFonts w:asciiTheme="minorHAnsi" w:hAnsiTheme="minorHAnsi" w:eastAsiaTheme="minorEastAsia" w:cstheme="minorBidi"/>
      <w:sz w:val="22"/>
      <w:szCs w:val="22"/>
      <w:lang w:val="en-US" w:eastAsia="en-US" w:bidi="ar-SA"/>
    </w:rPr>
  </w:style>
  <w:style w:type="character" w:default="1" w:styleId="2">
    <w:name w:val="Default Paragraph Font"/>
    <w:semiHidden/>
    <w:unhideWhenUsed/>
    <w:qFormat/>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uiPriority w:val="99"/>
    <w:rPr>
      <w:color w:val="808080"/>
    </w:rPr>
  </w:style>
  <w:style w:type="paragraph" w:customStyle="1" w:styleId="5">
    <w:name w:val="FEF17385C8C44BABBFDC833A6C34865F"/>
    <w:qFormat/>
    <w:uiPriority w:val="0"/>
    <w:pPr>
      <w:spacing w:after="160" w:line="259" w:lineRule="auto"/>
    </w:pPr>
    <w:rPr>
      <w:rFonts w:asciiTheme="minorHAnsi" w:hAnsiTheme="minorHAnsi" w:eastAsiaTheme="minorEastAsia" w:cstheme="minorBidi"/>
      <w:sz w:val="22"/>
      <w:szCs w:val="22"/>
      <w:lang w:val="en-US" w:eastAsia="en-US" w:bidi="ar-SA"/>
    </w:rPr>
  </w:style>
</w:styl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088E7E-B7BC-4849-8ABE-E81BABBC10EE}">
  <ds:schemaRefs/>
</ds:datastoreItem>
</file>

<file path=docProps/app.xml><?xml version="1.0" encoding="utf-8"?>
<Properties xmlns="http://schemas.openxmlformats.org/officeDocument/2006/extended-properties" xmlns:vt="http://schemas.openxmlformats.org/officeDocument/2006/docPropsVTypes">
  <Template>Normal</Template>
  <Pages>9</Pages>
  <Words>2190</Words>
  <Characters>12484</Characters>
  <Lines>104</Lines>
  <Paragraphs>29</Paragraphs>
  <TotalTime>175</TotalTime>
  <ScaleCrop>false</ScaleCrop>
  <LinksUpToDate>false</LinksUpToDate>
  <CharactersWithSpaces>14645</CharactersWithSpaces>
  <Application>WPS Office_12.2.0.23196_F1E327BC-269C-435d-A152-05C5408002CA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2022-03-30T20:19:00Z</dcterms:created>
  <dc:creator>Byencit Duncan</dc:creator>
  <cp:lastModifiedBy>libray</cp:lastModifiedBy>
  <dcterms:modified xsi:type="dcterms:W3CDTF">2026-01-15T16:36:59Z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1033-12.2.0.23196</vt:lpwstr>
  </property>
  <property fmtid="{D5CDD505-2E9C-101B-9397-08002B2CF9AE}" pid="3" name="ICV">
    <vt:lpwstr>C2FA718005BF462E88508AA5ACE6E047_12</vt:lpwstr>
  </property>
</Properties>
</file>