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591" w:rsidRPr="00DB21FC" w:rsidRDefault="00C62591" w:rsidP="005A37C1">
      <w:pPr>
        <w:spacing w:before="0" w:beforeAutospacing="0" w:line="480" w:lineRule="auto"/>
        <w:jc w:val="center"/>
        <w:rPr>
          <w:rFonts w:ascii="Times New Roman" w:eastAsia="Calibri" w:hAnsi="Times New Roman" w:cs="Times New Roman"/>
          <w:b/>
        </w:rPr>
      </w:pPr>
      <w:r w:rsidRPr="00DB21FC">
        <w:rPr>
          <w:rFonts w:ascii="Times New Roman" w:eastAsia="Calibri" w:hAnsi="Times New Roman" w:cs="Times New Roman"/>
          <w:b/>
        </w:rPr>
        <w:t>CHAPTER ONE</w:t>
      </w:r>
    </w:p>
    <w:p w:rsidR="005A37C1" w:rsidRPr="00DB21FC" w:rsidRDefault="005A37C1" w:rsidP="005A37C1">
      <w:pPr>
        <w:spacing w:before="0" w:beforeAutospacing="0" w:line="480" w:lineRule="auto"/>
        <w:jc w:val="center"/>
        <w:rPr>
          <w:rFonts w:ascii="Times New Roman" w:eastAsia="Calibri" w:hAnsi="Times New Roman" w:cs="Times New Roman"/>
          <w:b/>
        </w:rPr>
      </w:pPr>
      <w:r w:rsidRPr="00DB21FC">
        <w:rPr>
          <w:rFonts w:ascii="Times New Roman" w:eastAsia="Calibri" w:hAnsi="Times New Roman" w:cs="Times New Roman"/>
          <w:b/>
        </w:rPr>
        <w:t>BACKGROUND OF THE STUDY</w:t>
      </w:r>
    </w:p>
    <w:p w:rsidR="00C62591" w:rsidRPr="00DB21FC" w:rsidRDefault="00C62591" w:rsidP="005A37C1">
      <w:pPr>
        <w:pStyle w:val="ListParagraph"/>
        <w:numPr>
          <w:ilvl w:val="1"/>
          <w:numId w:val="1"/>
        </w:numPr>
        <w:spacing w:before="0" w:beforeAutospacing="0" w:line="480" w:lineRule="auto"/>
        <w:jc w:val="both"/>
        <w:rPr>
          <w:rFonts w:ascii="Times New Roman" w:hAnsi="Times New Roman" w:cs="Times New Roman"/>
          <w:color w:val="000000"/>
        </w:rPr>
      </w:pPr>
      <w:r w:rsidRPr="00DB21FC">
        <w:rPr>
          <w:rFonts w:ascii="Times New Roman" w:eastAsia="Calibri" w:hAnsi="Times New Roman" w:cs="Times New Roman"/>
          <w:b/>
        </w:rPr>
        <w:t>Background of the Study</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Exchange rate is a critical economic variable that influences the performance of every open economy. It determines how one country’s currency can be exchanged for another and affects prices, trade, investment, and national income (</w:t>
      </w:r>
      <w:proofErr w:type="spellStart"/>
      <w:r w:rsidRPr="00DB21FC">
        <w:rPr>
          <w:rFonts w:ascii="Times New Roman" w:hAnsi="Times New Roman" w:cs="Times New Roman"/>
        </w:rPr>
        <w:t>Mordi</w:t>
      </w:r>
      <w:proofErr w:type="spellEnd"/>
      <w:r w:rsidRPr="00DB21FC">
        <w:rPr>
          <w:rFonts w:ascii="Times New Roman" w:hAnsi="Times New Roman" w:cs="Times New Roman"/>
        </w:rPr>
        <w:t>, 2022). In developing economies such as Nigeria, exchange rate movements are particularly important because the country depends heavily on imports for production and consumption. Changes in the exchange rate can impact inflation, interest rates, and overall economic growth.</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Nigeria’s economy is largely dependent on crude oil exports, which account for over 85 percent of foreign exchange earnings and approximately 70 percent of government revenue (CBN, 2023). This heavy dependence exposes the country to external shocks. For example, when global oil prices fall, the Naira typically depreciates, import costs rise, and inflationary pressures intensify. Conversely, periods of high oil prices strengthen the Naira, but the benefits are often short-lived due to weak economic diversification and inconsistent policy implementation (</w:t>
      </w:r>
      <w:proofErr w:type="spellStart"/>
      <w:r w:rsidRPr="00DB21FC">
        <w:rPr>
          <w:rFonts w:ascii="Times New Roman" w:hAnsi="Times New Roman" w:cs="Times New Roman"/>
        </w:rPr>
        <w:t>Akinyemi</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Ogundipe</w:t>
      </w:r>
      <w:proofErr w:type="spellEnd"/>
      <w:r w:rsidRPr="00DB21FC">
        <w:rPr>
          <w:rFonts w:ascii="Times New Roman" w:hAnsi="Times New Roman" w:cs="Times New Roman"/>
        </w:rPr>
        <w:t>, 2021).</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Since independence, Nigeria has experienced multiple exchange rate regimes. A fixed rate system was used in the 1960s, but following the oil boom and economic crisis of the 1980s, the Structural Adjustment </w:t>
      </w:r>
      <w:proofErr w:type="spellStart"/>
      <w:r w:rsidRPr="00DB21FC">
        <w:rPr>
          <w:rFonts w:ascii="Times New Roman" w:hAnsi="Times New Roman" w:cs="Times New Roman"/>
        </w:rPr>
        <w:t>Programme</w:t>
      </w:r>
      <w:proofErr w:type="spellEnd"/>
      <w:r w:rsidRPr="00DB21FC">
        <w:rPr>
          <w:rFonts w:ascii="Times New Roman" w:hAnsi="Times New Roman" w:cs="Times New Roman"/>
        </w:rPr>
        <w:t xml:space="preserve"> (SAP) of 1986 introduced a flexible exchange rate. The goal was to enhance efficiency and reduce external imbalances, yet challenges such as speculative demand, poor export performance, and fiscal indiscipline limited the reforms’ success (</w:t>
      </w:r>
      <w:proofErr w:type="spellStart"/>
      <w:r w:rsidRPr="00DB21FC">
        <w:rPr>
          <w:rFonts w:ascii="Times New Roman" w:hAnsi="Times New Roman" w:cs="Times New Roman"/>
        </w:rPr>
        <w:t>Olisadebe</w:t>
      </w:r>
      <w:proofErr w:type="spellEnd"/>
      <w:r w:rsidRPr="00DB21FC">
        <w:rPr>
          <w:rFonts w:ascii="Times New Roman" w:hAnsi="Times New Roman" w:cs="Times New Roman"/>
        </w:rPr>
        <w:t>, 1991).</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lastRenderedPageBreak/>
        <w:t>Between 2015 and 2023, the Naira lost more than 70 percent of its value, resulting in rising production costs, inflation, and weak investor confidence (</w:t>
      </w:r>
      <w:proofErr w:type="spellStart"/>
      <w:r w:rsidRPr="00DB21FC">
        <w:rPr>
          <w:rFonts w:ascii="Times New Roman" w:hAnsi="Times New Roman" w:cs="Times New Roman"/>
        </w:rPr>
        <w:t>Ezeaku</w:t>
      </w:r>
      <w:proofErr w:type="spellEnd"/>
      <w:r w:rsidRPr="00DB21FC">
        <w:rPr>
          <w:rFonts w:ascii="Times New Roman" w:hAnsi="Times New Roman" w:cs="Times New Roman"/>
        </w:rPr>
        <w:t xml:space="preserve">, </w:t>
      </w:r>
      <w:proofErr w:type="spellStart"/>
      <w:r w:rsidRPr="00DB21FC">
        <w:rPr>
          <w:rFonts w:ascii="Times New Roman" w:hAnsi="Times New Roman" w:cs="Times New Roman"/>
        </w:rPr>
        <w:t>Chidiebere</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Onuoha</w:t>
      </w:r>
      <w:proofErr w:type="spellEnd"/>
      <w:r w:rsidRPr="00DB21FC">
        <w:rPr>
          <w:rFonts w:ascii="Times New Roman" w:hAnsi="Times New Roman" w:cs="Times New Roman"/>
        </w:rPr>
        <w:t>, 2022). Businesses relying on imported inputs faced higher costs, while households experienced a continuous rise in prices. Moreover, Nigeria’s external debt, over 60 percent of which is denominated in foreign currencies, became more expensive to service as the Naira depreciated (IMF, 2023). These developments underscore the strong influence of exchange rate movements on the Nigerian economy.</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The stability of the exchange rate is closely linked to economic growth. A stable rate encourages investment, promotes trade, and attracts foreign capital. In contrast, a volatile exchange rate discourages production and creates uncertainty (</w:t>
      </w: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w:t>
      </w:r>
      <w:proofErr w:type="spellStart"/>
      <w:r w:rsidRPr="00DB21FC">
        <w:rPr>
          <w:rFonts w:ascii="Times New Roman" w:hAnsi="Times New Roman" w:cs="Times New Roman"/>
        </w:rPr>
        <w:t>Agbor</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Orajekwe</w:t>
      </w:r>
      <w:proofErr w:type="spellEnd"/>
      <w:r w:rsidRPr="00DB21FC">
        <w:rPr>
          <w:rFonts w:ascii="Times New Roman" w:hAnsi="Times New Roman" w:cs="Times New Roman"/>
        </w:rPr>
        <w:t xml:space="preserve">, 2021). Empirical evidence on the exchange rate-growth relationship is mixed. For instance, Isola, </w:t>
      </w:r>
      <w:proofErr w:type="spellStart"/>
      <w:r w:rsidRPr="00DB21FC">
        <w:rPr>
          <w:rFonts w:ascii="Times New Roman" w:hAnsi="Times New Roman" w:cs="Times New Roman"/>
        </w:rPr>
        <w:t>Oluwafunke</w:t>
      </w:r>
      <w:proofErr w:type="spellEnd"/>
      <w:r w:rsidRPr="00DB21FC">
        <w:rPr>
          <w:rFonts w:ascii="Times New Roman" w:hAnsi="Times New Roman" w:cs="Times New Roman"/>
        </w:rPr>
        <w:t xml:space="preserve">, and Ahmed (2016) found that exchange rate depreciation can stimulate exports and long-term growth. Conversely, </w:t>
      </w:r>
      <w:proofErr w:type="spellStart"/>
      <w:r w:rsidRPr="00DB21FC">
        <w:rPr>
          <w:rFonts w:ascii="Times New Roman" w:hAnsi="Times New Roman" w:cs="Times New Roman"/>
        </w:rPr>
        <w:t>Ajayi</w:t>
      </w:r>
      <w:proofErr w:type="spellEnd"/>
      <w:r w:rsidRPr="00DB21FC">
        <w:rPr>
          <w:rFonts w:ascii="Times New Roman" w:hAnsi="Times New Roman" w:cs="Times New Roman"/>
        </w:rPr>
        <w:t xml:space="preserve"> and </w:t>
      </w:r>
      <w:proofErr w:type="spellStart"/>
      <w:r w:rsidRPr="00DB21FC">
        <w:rPr>
          <w:rFonts w:ascii="Times New Roman" w:hAnsi="Times New Roman" w:cs="Times New Roman"/>
        </w:rPr>
        <w:t>Ajayi</w:t>
      </w:r>
      <w:proofErr w:type="spellEnd"/>
      <w:r w:rsidRPr="00DB21FC">
        <w:rPr>
          <w:rFonts w:ascii="Times New Roman" w:hAnsi="Times New Roman" w:cs="Times New Roman"/>
        </w:rPr>
        <w:t xml:space="preserve"> (2023) reported that depreciation may increase inflation and reduce output in the short term. These mixed findings suggest that the relationship between exchange rate and economic growth in Nigeria is complex and dynamic.</w:t>
      </w:r>
    </w:p>
    <w:p w:rsidR="00C62591" w:rsidRPr="00DB21FC" w:rsidRDefault="00C62591"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This study adopts relevant theoretical frameworks, including the </w:t>
      </w:r>
      <w:r w:rsidRPr="00DB21FC">
        <w:rPr>
          <w:rFonts w:ascii="Times New Roman" w:hAnsi="Times New Roman" w:cs="Times New Roman"/>
          <w:bCs/>
        </w:rPr>
        <w:t>Purchasing Power Parity (PPP)</w:t>
      </w:r>
      <w:r w:rsidRPr="00DB21FC">
        <w:rPr>
          <w:rFonts w:ascii="Times New Roman" w:hAnsi="Times New Roman" w:cs="Times New Roman"/>
        </w:rPr>
        <w:t xml:space="preserve">, </w:t>
      </w:r>
      <w:r w:rsidRPr="00DB21FC">
        <w:rPr>
          <w:rFonts w:ascii="Times New Roman" w:hAnsi="Times New Roman" w:cs="Times New Roman"/>
          <w:bCs/>
        </w:rPr>
        <w:t>Mundell-Fleming model</w:t>
      </w:r>
      <w:r w:rsidRPr="00DB21FC">
        <w:rPr>
          <w:rFonts w:ascii="Times New Roman" w:hAnsi="Times New Roman" w:cs="Times New Roman"/>
        </w:rPr>
        <w:t xml:space="preserve">, monetary theory, Balance of payment theory, </w:t>
      </w:r>
      <w:proofErr w:type="gramStart"/>
      <w:r w:rsidRPr="00DB21FC">
        <w:rPr>
          <w:rFonts w:ascii="Times New Roman" w:hAnsi="Times New Roman" w:cs="Times New Roman"/>
        </w:rPr>
        <w:t>Neoclassical</w:t>
      </w:r>
      <w:proofErr w:type="gramEnd"/>
      <w:r w:rsidRPr="00DB21FC">
        <w:rPr>
          <w:rFonts w:ascii="Times New Roman" w:hAnsi="Times New Roman" w:cs="Times New Roman"/>
        </w:rPr>
        <w:t xml:space="preserve"> growth model and Endogenous growth model to examine how exchange rate fluctuations influence economic growth. By integrating inflation and interest rate as key mediating variables, the research provides a comprehensive understanding of both short-run and long-run effects of exchange rate movements in Nigeria.</w:t>
      </w:r>
    </w:p>
    <w:p w:rsidR="00A67145" w:rsidRPr="00DB21FC" w:rsidRDefault="00A67145" w:rsidP="005A37C1">
      <w:pPr>
        <w:spacing w:before="0" w:beforeAutospacing="0" w:line="480" w:lineRule="auto"/>
        <w:jc w:val="both"/>
        <w:rPr>
          <w:rFonts w:ascii="Times New Roman" w:eastAsia="Calibri" w:hAnsi="Times New Roman" w:cs="Times New Roman"/>
          <w:b/>
        </w:rPr>
      </w:pPr>
    </w:p>
    <w:p w:rsidR="00C62591" w:rsidRPr="00DB21FC" w:rsidRDefault="00462E0D" w:rsidP="005A37C1">
      <w:pPr>
        <w:spacing w:before="0" w:beforeAutospacing="0" w:line="480" w:lineRule="auto"/>
        <w:jc w:val="both"/>
        <w:rPr>
          <w:rFonts w:ascii="Times New Roman" w:hAnsi="Times New Roman" w:cs="Times New Roman"/>
        </w:rPr>
      </w:pPr>
      <w:r w:rsidRPr="00DB21FC">
        <w:rPr>
          <w:rFonts w:ascii="Times New Roman" w:eastAsia="Calibri" w:hAnsi="Times New Roman" w:cs="Times New Roman"/>
          <w:b/>
        </w:rPr>
        <w:lastRenderedPageBreak/>
        <w:t xml:space="preserve">1.2 </w:t>
      </w:r>
      <w:r w:rsidR="00C62591" w:rsidRPr="00DB21FC">
        <w:rPr>
          <w:rFonts w:ascii="Times New Roman" w:eastAsia="Calibri" w:hAnsi="Times New Roman" w:cs="Times New Roman"/>
          <w:b/>
        </w:rPr>
        <w:t>Statement of the Problem</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t>Before 1970, the stability of the Naira has long been a major concern for Nigeria’s economy. While the currency remained relatively stable between 1973 and 1979 during the oil boom, exchange rate management has continued to pose one of the most difficult challenges for policymakers. Even before 1970, maintaining a stable exchange rate was a persistent issue, and despite numerous policy reforms and interventions over the decades, the Naira has consistently depreciated against major international currencies. This sustained depreciation has raised serious concerns due to its wide-ranging effects on production costs, inflation, foreign trade, and overall national income (</w:t>
      </w:r>
      <w:proofErr w:type="spellStart"/>
      <w:r w:rsidRPr="00DB21FC">
        <w:rPr>
          <w:rFonts w:ascii="Times New Roman" w:hAnsi="Times New Roman" w:cs="Times New Roman"/>
        </w:rPr>
        <w:t>Mordi</w:t>
      </w:r>
      <w:proofErr w:type="spellEnd"/>
      <w:r w:rsidRPr="00DB21FC">
        <w:rPr>
          <w:rFonts w:ascii="Times New Roman" w:hAnsi="Times New Roman" w:cs="Times New Roman"/>
        </w:rPr>
        <w:t>, 2022).</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t>Nigeria’s heavy dependence on crude oil exports has exacerbated the problem. Global fluctuations in oil prices directly affect foreign exchange earnings, causing the Naira to weaken whenever oil prices fall. This increases the cost of imports, contributes to inflationary pressures, and places additional financial strain on businesses that rely on imported raw materials and equipment. As a result, production costs rise, profit margins are reduced, and some firms may reduce output or lay off workers, intensifying unemployment (IMF, 2023). For households, currency depreciation translates into higher prices for basic goods and services, eroding purchasing power and reducing living standards.</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t>The government also faces significant challenges during periods of exchange rate instability. A weaker Naira increases the cost of servicing external debt, especially given that over 60 percent of Nigeria’s debt is denominated in foreign currencies. This can strain fiscal budgets, limit government spending on infrastructure and social programs, and increase reliance on borrowing, further exposing the economy to macroeconomic vulnerabilities (</w:t>
      </w:r>
      <w:proofErr w:type="spellStart"/>
      <w:r w:rsidRPr="00DB21FC">
        <w:rPr>
          <w:rFonts w:ascii="Times New Roman" w:hAnsi="Times New Roman" w:cs="Times New Roman"/>
        </w:rPr>
        <w:t>Akinyemi</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Ogundipe</w:t>
      </w:r>
      <w:proofErr w:type="spellEnd"/>
      <w:r w:rsidRPr="00DB21FC">
        <w:rPr>
          <w:rFonts w:ascii="Times New Roman" w:hAnsi="Times New Roman" w:cs="Times New Roman"/>
        </w:rPr>
        <w:t>, 2021).</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lastRenderedPageBreak/>
        <w:t>Empirical research on the impact of exchange rate fluctuations on Nigeria’s economic growth has yielded inconsistent results. Some studies suggest that depreciation of the Naira can stimulate exports and support long-term growth (Isola et al., 2016), while others find that it exacerbates inflation and reduces productivity, negatively affecting economic performance in the short term (</w:t>
      </w:r>
      <w:proofErr w:type="spellStart"/>
      <w:r w:rsidRPr="00DB21FC">
        <w:rPr>
          <w:rFonts w:ascii="Times New Roman" w:hAnsi="Times New Roman" w:cs="Times New Roman"/>
        </w:rPr>
        <w:t>Ajayi</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Ajayi</w:t>
      </w:r>
      <w:proofErr w:type="spellEnd"/>
      <w:r w:rsidRPr="00DB21FC">
        <w:rPr>
          <w:rFonts w:ascii="Times New Roman" w:hAnsi="Times New Roman" w:cs="Times New Roman"/>
        </w:rPr>
        <w:t>, 2023). These conflicting outcomes make it difficult for policymakers to design effective strategies that balance currency stability with economic growth.</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t>Moreover, many previous studies have focused primarily on the direct relationship between exchange rate movements and output, often overlooking the mediating roles of inflation and interest rate. In an economy like Nigeria’s, where price instability and high borrowing costs are prevalent, these factors are crucial in determining how exchange rate fluctuations ultimately influence growth. Without considering these interactions, policy recommendations may be incomplete or ineffective.</w:t>
      </w:r>
    </w:p>
    <w:p w:rsidR="00C62591" w:rsidRPr="00DB21FC" w:rsidRDefault="00C62591" w:rsidP="005A37C1">
      <w:pPr>
        <w:pStyle w:val="ListParagraph"/>
        <w:spacing w:before="0" w:beforeAutospacing="0" w:line="480" w:lineRule="auto"/>
        <w:ind w:left="0"/>
        <w:jc w:val="both"/>
        <w:rPr>
          <w:rFonts w:ascii="Times New Roman" w:hAnsi="Times New Roman" w:cs="Times New Roman"/>
        </w:rPr>
      </w:pPr>
      <w:r w:rsidRPr="00DB21FC">
        <w:rPr>
          <w:rFonts w:ascii="Times New Roman" w:hAnsi="Times New Roman" w:cs="Times New Roman"/>
        </w:rPr>
        <w:t>This study therefore aims to address these gaps by examining both the short-run and long-run effects of exchange rate fluctuations on Nigeria’s economic growth, while explicitly accounting for the influence of inflation and interest rate as key control variables. By linking currency movements to real-world outcomes for businesses, households, and government finances, the research seeks to provide evidence-based insights that can inform effective policy formulation, reduce economic volatility, and promote sustainable macroeconomic stability in Nigeria.</w:t>
      </w:r>
    </w:p>
    <w:p w:rsidR="00C62591" w:rsidRPr="00DB21FC" w:rsidRDefault="00C62591" w:rsidP="005A37C1">
      <w:pPr>
        <w:pStyle w:val="ListParagraph"/>
        <w:spacing w:before="0" w:beforeAutospacing="0" w:line="480" w:lineRule="auto"/>
        <w:ind w:left="0"/>
        <w:jc w:val="both"/>
        <w:rPr>
          <w:rFonts w:ascii="Times New Roman" w:eastAsia="Calibri" w:hAnsi="Times New Roman" w:cs="Times New Roman"/>
        </w:rPr>
      </w:pPr>
      <w:r w:rsidRPr="00DB21FC">
        <w:rPr>
          <w:rFonts w:ascii="Times New Roman" w:eastAsia="Calibri" w:hAnsi="Times New Roman" w:cs="Times New Roman"/>
          <w:b/>
        </w:rPr>
        <w:t>1.3 Research Questions</w:t>
      </w:r>
      <w:r w:rsidRPr="00DB21FC">
        <w:rPr>
          <w:rFonts w:ascii="Times New Roman" w:eastAsia="Calibri" w:hAnsi="Times New Roman" w:cs="Times New Roman"/>
          <w:b/>
        </w:rPr>
        <w:tab/>
      </w:r>
    </w:p>
    <w:p w:rsidR="00C62591" w:rsidRPr="00DB21FC" w:rsidRDefault="00C62591" w:rsidP="005A37C1">
      <w:pPr>
        <w:pStyle w:val="ListParagraph"/>
        <w:spacing w:before="0" w:beforeAutospacing="0" w:line="480" w:lineRule="auto"/>
        <w:ind w:left="360"/>
        <w:jc w:val="both"/>
        <w:rPr>
          <w:rFonts w:ascii="Times New Roman" w:eastAsia="Calibri" w:hAnsi="Times New Roman" w:cs="Times New Roman"/>
        </w:rPr>
      </w:pPr>
      <w:r w:rsidRPr="00DB21FC">
        <w:rPr>
          <w:rFonts w:ascii="Times New Roman" w:eastAsia="Calibri" w:hAnsi="Times New Roman" w:cs="Times New Roman"/>
        </w:rPr>
        <w:t>To guide the study, the following research questions were formulated:</w:t>
      </w:r>
    </w:p>
    <w:p w:rsidR="00C62591" w:rsidRPr="00DB21FC" w:rsidRDefault="00C62591" w:rsidP="005A37C1">
      <w:pPr>
        <w:pStyle w:val="ListParagraph"/>
        <w:numPr>
          <w:ilvl w:val="0"/>
          <w:numId w:val="2"/>
        </w:numPr>
        <w:spacing w:before="0" w:beforeAutospacing="0" w:line="480" w:lineRule="auto"/>
        <w:ind w:left="360"/>
        <w:jc w:val="both"/>
        <w:rPr>
          <w:rFonts w:ascii="Times New Roman" w:hAnsi="Times New Roman" w:cs="Times New Roman"/>
        </w:rPr>
      </w:pPr>
      <w:r w:rsidRPr="00DB21FC">
        <w:rPr>
          <w:rFonts w:ascii="Times New Roman" w:hAnsi="Times New Roman" w:cs="Times New Roman"/>
        </w:rPr>
        <w:t>How do exchange rate fluctuations affect economic growth in Nigeria in the short and long run?</w:t>
      </w:r>
    </w:p>
    <w:p w:rsidR="00C62591" w:rsidRPr="00DB21FC" w:rsidRDefault="00C62591" w:rsidP="005A37C1">
      <w:pPr>
        <w:pStyle w:val="ListParagraph"/>
        <w:numPr>
          <w:ilvl w:val="0"/>
          <w:numId w:val="2"/>
        </w:numPr>
        <w:spacing w:before="0" w:beforeAutospacing="0" w:line="480" w:lineRule="auto"/>
        <w:ind w:left="360"/>
        <w:jc w:val="both"/>
        <w:rPr>
          <w:rFonts w:ascii="Times New Roman" w:hAnsi="Times New Roman" w:cs="Times New Roman"/>
        </w:rPr>
      </w:pPr>
      <w:r w:rsidRPr="00DB21FC">
        <w:rPr>
          <w:rFonts w:ascii="Times New Roman" w:hAnsi="Times New Roman" w:cs="Times New Roman"/>
        </w:rPr>
        <w:lastRenderedPageBreak/>
        <w:t>To what extent does inflation influence the relationship between exchange rate and economic growth in Nigeria?</w:t>
      </w:r>
    </w:p>
    <w:p w:rsidR="00C62591" w:rsidRPr="00DB21FC" w:rsidRDefault="00C62591" w:rsidP="005A37C1">
      <w:pPr>
        <w:pStyle w:val="ListParagraph"/>
        <w:numPr>
          <w:ilvl w:val="0"/>
          <w:numId w:val="2"/>
        </w:numPr>
        <w:spacing w:before="0" w:beforeAutospacing="0" w:line="480" w:lineRule="auto"/>
        <w:ind w:left="360"/>
        <w:jc w:val="both"/>
        <w:rPr>
          <w:rFonts w:ascii="Times New Roman" w:hAnsi="Times New Roman" w:cs="Times New Roman"/>
        </w:rPr>
      </w:pPr>
      <w:r w:rsidRPr="00DB21FC">
        <w:rPr>
          <w:rFonts w:ascii="Times New Roman" w:hAnsi="Times New Roman" w:cs="Times New Roman"/>
        </w:rPr>
        <w:t>What is the impact of interest rate changes on Nigeria’s economic growth during the study period (1995 to 2024)?</w:t>
      </w:r>
    </w:p>
    <w:p w:rsidR="00C62591" w:rsidRPr="00DB21FC" w:rsidRDefault="00C62591" w:rsidP="00A67145">
      <w:pPr>
        <w:spacing w:before="0" w:beforeAutospacing="0"/>
        <w:rPr>
          <w:rFonts w:ascii="Times New Roman" w:eastAsia="Calibri" w:hAnsi="Times New Roman" w:cs="Times New Roman"/>
          <w:b/>
        </w:rPr>
      </w:pPr>
      <w:r w:rsidRPr="00DB21FC">
        <w:rPr>
          <w:rFonts w:ascii="Times New Roman" w:eastAsia="Calibri" w:hAnsi="Times New Roman" w:cs="Times New Roman"/>
          <w:b/>
        </w:rPr>
        <w:t>1.4</w:t>
      </w:r>
      <w:r w:rsidRPr="00DB21FC">
        <w:rPr>
          <w:rFonts w:ascii="Times New Roman" w:eastAsia="Calibri" w:hAnsi="Times New Roman" w:cs="Times New Roman"/>
          <w:b/>
        </w:rPr>
        <w:tab/>
        <w:t>Objectives of the study</w:t>
      </w:r>
    </w:p>
    <w:p w:rsidR="00C62591" w:rsidRPr="00DB21FC" w:rsidRDefault="00C62591" w:rsidP="005A37C1">
      <w:pPr>
        <w:tabs>
          <w:tab w:val="left" w:pos="450"/>
        </w:tabs>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This research work will focus on its primary objective which is to study the impact of exchange fluctuation on economic growth in Nigeria. The exact objectives are:</w:t>
      </w:r>
    </w:p>
    <w:p w:rsidR="00C62591" w:rsidRPr="00DB21FC" w:rsidRDefault="00C62591" w:rsidP="005A37C1">
      <w:pPr>
        <w:pStyle w:val="ListParagraph"/>
        <w:numPr>
          <w:ilvl w:val="0"/>
          <w:numId w:val="3"/>
        </w:numPr>
        <w:tabs>
          <w:tab w:val="left" w:pos="450"/>
        </w:tabs>
        <w:spacing w:before="0" w:beforeAutospacing="0" w:line="480" w:lineRule="auto"/>
        <w:ind w:left="360"/>
        <w:jc w:val="both"/>
        <w:rPr>
          <w:rFonts w:ascii="Times New Roman" w:hAnsi="Times New Roman" w:cs="Times New Roman"/>
        </w:rPr>
      </w:pPr>
      <w:r w:rsidRPr="00DB21FC">
        <w:rPr>
          <w:rFonts w:ascii="Times New Roman" w:hAnsi="Times New Roman" w:cs="Times New Roman"/>
        </w:rPr>
        <w:t>Evaluate the short-run and long-run effects of exchange rate fluctuations on Nigeria’s economic growth.</w:t>
      </w:r>
    </w:p>
    <w:p w:rsidR="00C62591" w:rsidRPr="00DB21FC" w:rsidRDefault="00C62591" w:rsidP="005A37C1">
      <w:pPr>
        <w:pStyle w:val="ListParagraph"/>
        <w:numPr>
          <w:ilvl w:val="0"/>
          <w:numId w:val="3"/>
        </w:numPr>
        <w:tabs>
          <w:tab w:val="left" w:pos="450"/>
        </w:tabs>
        <w:spacing w:before="0" w:beforeAutospacing="0" w:line="480" w:lineRule="auto"/>
        <w:ind w:left="360"/>
        <w:jc w:val="both"/>
        <w:rPr>
          <w:rFonts w:ascii="Times New Roman" w:hAnsi="Times New Roman" w:cs="Times New Roman"/>
        </w:rPr>
      </w:pPr>
      <w:r w:rsidRPr="00DB21FC">
        <w:rPr>
          <w:rFonts w:ascii="Times New Roman" w:hAnsi="Times New Roman" w:cs="Times New Roman"/>
        </w:rPr>
        <w:t>Examine how inflation affects the relationship between exchange rate movements and economic growth.</w:t>
      </w:r>
    </w:p>
    <w:p w:rsidR="00C62591" w:rsidRPr="00DB21FC" w:rsidRDefault="00C62591" w:rsidP="005A37C1">
      <w:pPr>
        <w:pStyle w:val="ListParagraph"/>
        <w:numPr>
          <w:ilvl w:val="0"/>
          <w:numId w:val="3"/>
        </w:numPr>
        <w:tabs>
          <w:tab w:val="left" w:pos="450"/>
        </w:tabs>
        <w:spacing w:before="0" w:beforeAutospacing="0" w:line="480" w:lineRule="auto"/>
        <w:ind w:left="360"/>
        <w:jc w:val="both"/>
        <w:rPr>
          <w:rFonts w:ascii="Times New Roman" w:eastAsia="Calibri" w:hAnsi="Times New Roman" w:cs="Times New Roman"/>
        </w:rPr>
      </w:pPr>
      <w:r w:rsidRPr="00DB21FC">
        <w:rPr>
          <w:rFonts w:ascii="Times New Roman" w:hAnsi="Times New Roman" w:cs="Times New Roman"/>
        </w:rPr>
        <w:t>Assess the impact of interest rate variations on economic growth in Nigeria.</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b/>
        </w:rPr>
        <w:t>1.5</w:t>
      </w:r>
      <w:r w:rsidRPr="00DB21FC">
        <w:rPr>
          <w:rFonts w:ascii="Times New Roman" w:eastAsia="Calibri" w:hAnsi="Times New Roman" w:cs="Times New Roman"/>
          <w:b/>
        </w:rPr>
        <w:tab/>
        <w:t>Research Hypothesis</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The following hypothesis will be tested in this study;</w:t>
      </w:r>
    </w:p>
    <w:p w:rsidR="00C62591" w:rsidRPr="00DB21FC" w:rsidRDefault="00C62591" w:rsidP="0086398A">
      <w:pPr>
        <w:pStyle w:val="ListParagraph"/>
        <w:spacing w:before="0" w:beforeAutospacing="0" w:line="480" w:lineRule="auto"/>
        <w:ind w:left="360"/>
        <w:jc w:val="both"/>
        <w:rPr>
          <w:rFonts w:ascii="Times New Roman" w:hAnsi="Times New Roman" w:cs="Times New Roman"/>
        </w:rPr>
      </w:pPr>
      <w:r w:rsidRPr="00DB21FC">
        <w:rPr>
          <w:rStyle w:val="Strong"/>
          <w:rFonts w:ascii="Times New Roman" w:hAnsi="Times New Roman" w:cs="Times New Roman"/>
        </w:rPr>
        <w:t>H₀₁:</w:t>
      </w:r>
      <w:r w:rsidRPr="00DB21FC">
        <w:rPr>
          <w:rFonts w:ascii="Times New Roman" w:hAnsi="Times New Roman" w:cs="Times New Roman"/>
        </w:rPr>
        <w:t xml:space="preserve"> Exchange rate fluctuations have a significant effect on Nigeria’s economic growth in the short and long run.</w:t>
      </w:r>
    </w:p>
    <w:p w:rsidR="00C62591" w:rsidRPr="00DB21FC" w:rsidRDefault="00C62591" w:rsidP="005A37C1">
      <w:pPr>
        <w:pStyle w:val="ListParagraph"/>
        <w:spacing w:before="0" w:beforeAutospacing="0" w:line="480" w:lineRule="auto"/>
        <w:ind w:left="360"/>
        <w:jc w:val="both"/>
        <w:rPr>
          <w:rFonts w:ascii="Times New Roman" w:hAnsi="Times New Roman" w:cs="Times New Roman"/>
        </w:rPr>
      </w:pPr>
      <w:r w:rsidRPr="00DB21FC">
        <w:rPr>
          <w:rStyle w:val="Strong"/>
          <w:rFonts w:ascii="Times New Roman" w:hAnsi="Times New Roman" w:cs="Times New Roman"/>
        </w:rPr>
        <w:t>H₁₁:</w:t>
      </w:r>
      <w:r w:rsidRPr="00DB21FC">
        <w:rPr>
          <w:rFonts w:ascii="Times New Roman" w:hAnsi="Times New Roman" w:cs="Times New Roman"/>
        </w:rPr>
        <w:t xml:space="preserve"> Exchange rate fluctuations have no significant effect on Nigeria’s economic growth in the short and long run.</w:t>
      </w:r>
    </w:p>
    <w:p w:rsidR="00C62591" w:rsidRPr="00DB21FC" w:rsidRDefault="00C62591" w:rsidP="0086398A">
      <w:pPr>
        <w:pStyle w:val="ListParagraph"/>
        <w:spacing w:before="0" w:beforeAutospacing="0" w:line="480" w:lineRule="auto"/>
        <w:ind w:left="360"/>
        <w:jc w:val="both"/>
        <w:rPr>
          <w:rFonts w:ascii="Times New Roman" w:hAnsi="Times New Roman" w:cs="Times New Roman"/>
        </w:rPr>
      </w:pPr>
      <w:r w:rsidRPr="00DB21FC">
        <w:rPr>
          <w:rStyle w:val="Strong"/>
          <w:rFonts w:ascii="Times New Roman" w:hAnsi="Times New Roman" w:cs="Times New Roman"/>
        </w:rPr>
        <w:t>H₀₂:</w:t>
      </w:r>
      <w:r w:rsidRPr="00DB21FC">
        <w:rPr>
          <w:rFonts w:ascii="Times New Roman" w:hAnsi="Times New Roman" w:cs="Times New Roman"/>
        </w:rPr>
        <w:t xml:space="preserve"> Inflation significantly influences the relationship between exchange rate movements and economic growth in Nigeria.</w:t>
      </w:r>
    </w:p>
    <w:p w:rsidR="00C62591" w:rsidRPr="00DB21FC" w:rsidRDefault="00C62591" w:rsidP="005A37C1">
      <w:pPr>
        <w:pStyle w:val="ListParagraph"/>
        <w:spacing w:before="0" w:beforeAutospacing="0" w:line="480" w:lineRule="auto"/>
        <w:ind w:left="360"/>
        <w:jc w:val="both"/>
        <w:rPr>
          <w:rFonts w:ascii="Times New Roman" w:hAnsi="Times New Roman" w:cs="Times New Roman"/>
        </w:rPr>
      </w:pPr>
      <w:r w:rsidRPr="00DB21FC">
        <w:rPr>
          <w:rStyle w:val="Strong"/>
          <w:rFonts w:ascii="Times New Roman" w:hAnsi="Times New Roman" w:cs="Times New Roman"/>
        </w:rPr>
        <w:t>H₁₂:</w:t>
      </w:r>
      <w:r w:rsidRPr="00DB21FC">
        <w:rPr>
          <w:rFonts w:ascii="Times New Roman" w:hAnsi="Times New Roman" w:cs="Times New Roman"/>
        </w:rPr>
        <w:t xml:space="preserve"> Inflation does not significantly influence the relationship between exchange rate movements and economic growth in Nigeria.</w:t>
      </w:r>
    </w:p>
    <w:p w:rsidR="00C62591" w:rsidRPr="00DB21FC" w:rsidRDefault="00C62591" w:rsidP="0086398A">
      <w:pPr>
        <w:pStyle w:val="ListParagraph"/>
        <w:spacing w:before="0" w:beforeAutospacing="0" w:line="480" w:lineRule="auto"/>
        <w:ind w:left="360"/>
        <w:jc w:val="both"/>
        <w:rPr>
          <w:rFonts w:ascii="Times New Roman" w:eastAsia="Calibri" w:hAnsi="Times New Roman" w:cs="Times New Roman"/>
        </w:rPr>
      </w:pPr>
      <w:r w:rsidRPr="00DB21FC">
        <w:rPr>
          <w:rStyle w:val="Strong"/>
          <w:rFonts w:ascii="Times New Roman" w:hAnsi="Times New Roman" w:cs="Times New Roman"/>
        </w:rPr>
        <w:lastRenderedPageBreak/>
        <w:t>H₀₃:</w:t>
      </w:r>
      <w:r w:rsidRPr="00DB21FC">
        <w:rPr>
          <w:rFonts w:ascii="Times New Roman" w:hAnsi="Times New Roman" w:cs="Times New Roman"/>
        </w:rPr>
        <w:t xml:space="preserve"> Interest rate changes have a significant impact on Nigeria’s economic growth.</w:t>
      </w:r>
      <w:r w:rsidRPr="00DB21FC">
        <w:rPr>
          <w:rFonts w:ascii="Times New Roman" w:hAnsi="Times New Roman" w:cs="Times New Roman"/>
        </w:rPr>
        <w:br/>
      </w:r>
      <w:r w:rsidRPr="00DB21FC">
        <w:rPr>
          <w:rStyle w:val="Strong"/>
          <w:rFonts w:ascii="Times New Roman" w:hAnsi="Times New Roman" w:cs="Times New Roman"/>
        </w:rPr>
        <w:t>H₁₃:</w:t>
      </w:r>
      <w:r w:rsidRPr="00DB21FC">
        <w:rPr>
          <w:rFonts w:ascii="Times New Roman" w:hAnsi="Times New Roman" w:cs="Times New Roman"/>
        </w:rPr>
        <w:t xml:space="preserve"> Interest rate changes have no significant impact on Nigeria’s economic growth.</w:t>
      </w:r>
    </w:p>
    <w:p w:rsidR="00C62591" w:rsidRPr="00DB21FC" w:rsidRDefault="00C62591" w:rsidP="005A37C1">
      <w:pPr>
        <w:spacing w:before="0" w:beforeAutospacing="0" w:line="480" w:lineRule="auto"/>
        <w:jc w:val="both"/>
        <w:rPr>
          <w:rFonts w:ascii="Times New Roman" w:eastAsia="Calibri" w:hAnsi="Times New Roman" w:cs="Times New Roman"/>
          <w:b/>
        </w:rPr>
      </w:pPr>
      <w:r w:rsidRPr="00DB21FC">
        <w:rPr>
          <w:rFonts w:ascii="Times New Roman" w:eastAsia="Calibri" w:hAnsi="Times New Roman" w:cs="Times New Roman"/>
          <w:b/>
        </w:rPr>
        <w:t>1.6</w:t>
      </w:r>
      <w:r w:rsidRPr="00DB21FC">
        <w:rPr>
          <w:rFonts w:ascii="Times New Roman" w:eastAsia="Calibri" w:hAnsi="Times New Roman" w:cs="Times New Roman"/>
          <w:b/>
        </w:rPr>
        <w:tab/>
        <w:t>Scope of the Study</w:t>
      </w:r>
    </w:p>
    <w:p w:rsidR="00C62591" w:rsidRPr="00DB21FC" w:rsidRDefault="00C62591" w:rsidP="005A37C1">
      <w:pPr>
        <w:spacing w:before="0" w:beforeAutospacing="0" w:line="480" w:lineRule="auto"/>
        <w:jc w:val="both"/>
        <w:rPr>
          <w:rFonts w:ascii="Times New Roman" w:hAnsi="Times New Roman" w:cs="Times New Roman"/>
          <w:kern w:val="0"/>
        </w:rPr>
      </w:pPr>
      <w:r w:rsidRPr="00DB21FC">
        <w:rPr>
          <w:rFonts w:ascii="Times New Roman" w:hAnsi="Times New Roman" w:cs="Times New Roman"/>
          <w:kern w:val="0"/>
        </w:rPr>
        <w:t>This research focuses on examining the impact of exchange rate fluctuations on Nigeria’s economic growth over the period 1995 to 2024. The analysis covers key macroeconomic variables, including real gross domestic product (GDP), exchange rate, inflation rate, and interest rate. The chosen period captures significant policy shifts and economic events, such as exchange rate reforms, oil price shocks, the 2016 economic recession, and the post-COVID-19 recovery phase.</w:t>
      </w:r>
    </w:p>
    <w:p w:rsidR="00C62591" w:rsidRPr="00DB21FC" w:rsidRDefault="00C62591" w:rsidP="005A37C1">
      <w:pPr>
        <w:spacing w:before="0" w:beforeAutospacing="0" w:line="480" w:lineRule="auto"/>
        <w:jc w:val="both"/>
        <w:rPr>
          <w:rFonts w:ascii="Times New Roman" w:hAnsi="Times New Roman" w:cs="Times New Roman"/>
          <w:kern w:val="0"/>
        </w:rPr>
      </w:pPr>
      <w:r w:rsidRPr="00DB21FC">
        <w:rPr>
          <w:rFonts w:ascii="Times New Roman" w:hAnsi="Times New Roman" w:cs="Times New Roman"/>
          <w:kern w:val="0"/>
        </w:rPr>
        <w:t>The study is limited to macroeconomic-level analysis and does not extend to micro-level or firm-specific effects of exchange rate changes. It concentrates on the relationship between exchange rate movements and economic growth within Nigeria and does not attempt cross-country comparisons. The research outcome is therefore specific to the Nigerian economy.</w:t>
      </w:r>
    </w:p>
    <w:p w:rsidR="00C62591" w:rsidRPr="00DB21FC" w:rsidRDefault="00C62591" w:rsidP="005A37C1">
      <w:pPr>
        <w:spacing w:before="0" w:beforeAutospacing="0" w:line="480" w:lineRule="auto"/>
        <w:jc w:val="both"/>
        <w:rPr>
          <w:rFonts w:ascii="Times New Roman" w:hAnsi="Times New Roman" w:cs="Times New Roman"/>
          <w:kern w:val="0"/>
        </w:rPr>
      </w:pPr>
      <w:r w:rsidRPr="00DB21FC">
        <w:rPr>
          <w:rFonts w:ascii="Times New Roman" w:hAnsi="Times New Roman" w:cs="Times New Roman"/>
          <w:kern w:val="0"/>
        </w:rPr>
        <w:t>In addition, the study examines both short-run and long-run effects of exchange rate fluctuations, considering the interaction of exchange rate changes with inflation and interest rate. It focuses on the formal economy and recorded data, excluding informal sector activities due to lack of reliable records. The research also addresses the policy implications of exchange rate volatility, providing insights for monetary and fiscal strategies aimed at stabilizing the Naira, attracting investment, and supporting sustainable economic growth. The study’s analysis is confined to quantitative macroeconomic indicators and does not include qualitative aspects such as public perception, investor sentiment, or socio-political factors, though these may indirectly influence currency stability.</w:t>
      </w:r>
    </w:p>
    <w:p w:rsidR="00C62591" w:rsidRPr="00DB21FC" w:rsidRDefault="00C62591" w:rsidP="005A37C1">
      <w:pPr>
        <w:spacing w:before="0" w:beforeAutospacing="0" w:line="480" w:lineRule="auto"/>
        <w:jc w:val="both"/>
        <w:rPr>
          <w:rFonts w:ascii="Times New Roman" w:hAnsi="Times New Roman" w:cs="Times New Roman"/>
          <w:kern w:val="0"/>
        </w:rPr>
      </w:pPr>
      <w:r w:rsidRPr="00DB21FC">
        <w:rPr>
          <w:rFonts w:ascii="Times New Roman" w:hAnsi="Times New Roman" w:cs="Times New Roman"/>
          <w:kern w:val="0"/>
        </w:rPr>
        <w:lastRenderedPageBreak/>
        <w:t>The period from 1995 to 2024 is particularly significant for understanding Nigeria’s exchange rate dynamics. This timeframe covers major structural reforms, shifts in exchange rate regimes, liberalization policies, and periods of economic instability. It also encompasses domestic and international events that have affected the Naira, including fluctuations in oil prices, inflationary trends, foreign debt pressures, and economic recessions. Examining this period allows for a comprehensive understanding of both historical and contemporary effects of exchange rate fluctuations on Nigeria’s economic growth.</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b/>
        </w:rPr>
        <w:t>1.7</w:t>
      </w:r>
      <w:r w:rsidRPr="00DB21FC">
        <w:rPr>
          <w:rFonts w:ascii="Times New Roman" w:eastAsia="Calibri" w:hAnsi="Times New Roman" w:cs="Times New Roman"/>
          <w:b/>
        </w:rPr>
        <w:tab/>
        <w:t>Significance of the Study</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This research is important for several reasons. First, it contributes to the existing body of knowledge on exchange rate dynamics and economic growth by providing recent empirical evidence based on current data. The inclusion of inflation and interest rate as control variables makes the analysis more comprehensive and relevant to Nigeria’s economic structure.</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Second, the study has practical relevance for policymakers, especially the Central Bank of Nigeria (CBN) and the Ministry of Finance. By identifying how exchange rate movements affect growth, inflation, and interest rates, the findings will help in formulating policies that promote exchange rate stability, price control, and sustainable growth.</w:t>
      </w: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Third, the study will serve as a useful reference for academics, students, and future researchers interested in macroeconomic management and exchange rate policies in developing economies. It will also assist investors and business managers in understanding how currency movements influence investment costs, profitability, and long-term planning in Nigeria.</w:t>
      </w:r>
    </w:p>
    <w:p w:rsidR="008B27BA" w:rsidRPr="00DB21FC" w:rsidRDefault="008B27BA" w:rsidP="005A37C1">
      <w:pPr>
        <w:spacing w:before="0" w:beforeAutospacing="0" w:line="480" w:lineRule="auto"/>
        <w:jc w:val="both"/>
        <w:rPr>
          <w:rFonts w:ascii="Times New Roman" w:eastAsia="Calibri" w:hAnsi="Times New Roman" w:cs="Times New Roman"/>
          <w:b/>
        </w:rPr>
      </w:pPr>
    </w:p>
    <w:p w:rsidR="008B27BA" w:rsidRPr="00DB21FC" w:rsidRDefault="008B27BA" w:rsidP="005A37C1">
      <w:pPr>
        <w:spacing w:before="0" w:beforeAutospacing="0" w:line="480" w:lineRule="auto"/>
        <w:jc w:val="both"/>
        <w:rPr>
          <w:rFonts w:ascii="Times New Roman" w:eastAsia="Calibri" w:hAnsi="Times New Roman" w:cs="Times New Roman"/>
          <w:b/>
        </w:rPr>
      </w:pPr>
    </w:p>
    <w:p w:rsidR="00C62591" w:rsidRPr="00DB21FC" w:rsidRDefault="00C62591"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b/>
        </w:rPr>
        <w:lastRenderedPageBreak/>
        <w:t>1.8</w:t>
      </w:r>
      <w:r w:rsidRPr="00DB21FC">
        <w:rPr>
          <w:rFonts w:ascii="Times New Roman" w:eastAsia="Calibri" w:hAnsi="Times New Roman" w:cs="Times New Roman"/>
        </w:rPr>
        <w:tab/>
      </w:r>
      <w:r w:rsidRPr="00DB21FC">
        <w:rPr>
          <w:rFonts w:ascii="Times New Roman" w:eastAsia="Calibri" w:hAnsi="Times New Roman" w:cs="Times New Roman"/>
          <w:b/>
          <w:color w:val="000000"/>
        </w:rPr>
        <w:t>Limitations of the Study</w:t>
      </w:r>
    </w:p>
    <w:p w:rsidR="00C62591" w:rsidRPr="00DB21FC" w:rsidRDefault="00C62591" w:rsidP="005A37C1">
      <w:pPr>
        <w:spacing w:before="0" w:beforeAutospacing="0" w:line="480" w:lineRule="auto"/>
        <w:jc w:val="both"/>
        <w:rPr>
          <w:rFonts w:ascii="Times New Roman" w:eastAsia="Calibri" w:hAnsi="Times New Roman" w:cs="Times New Roman"/>
          <w:color w:val="000000"/>
        </w:rPr>
      </w:pPr>
      <w:r w:rsidRPr="00DB21FC">
        <w:rPr>
          <w:rFonts w:ascii="Times New Roman" w:eastAsia="Calibri" w:hAnsi="Times New Roman" w:cs="Times New Roman"/>
          <w:color w:val="000000"/>
        </w:rPr>
        <w:t xml:space="preserve">This study relies on secondary data obtained from reliable sources such as the World Bank. While this data sources is reliable, they may not capture all informal sector activities, which account for a significant portion of Nigeria’s economy. </w:t>
      </w:r>
    </w:p>
    <w:p w:rsidR="00C62591" w:rsidRPr="00DB21FC" w:rsidRDefault="00C62591" w:rsidP="005A37C1">
      <w:pPr>
        <w:spacing w:before="0" w:beforeAutospacing="0" w:line="480" w:lineRule="auto"/>
        <w:jc w:val="both"/>
        <w:rPr>
          <w:rFonts w:ascii="Times New Roman" w:eastAsia="Calibri" w:hAnsi="Times New Roman" w:cs="Times New Roman"/>
          <w:color w:val="000000"/>
        </w:rPr>
      </w:pPr>
      <w:r w:rsidRPr="00DB21FC">
        <w:rPr>
          <w:rFonts w:ascii="Times New Roman" w:eastAsia="Calibri" w:hAnsi="Times New Roman" w:cs="Times New Roman"/>
          <w:color w:val="000000"/>
        </w:rPr>
        <w:t>In addition, the study focuses on only a few macroeconomic variables such as exchange rate, inflation, interest rate, and Real GDP, due to data availability and the need for model simplicity. Other potential determinants of growth, such as fiscal policy, trade balance, and foreign reserves, are not explicitly analyzed. Therefore, the findings should be interpreted within these limitations.</w:t>
      </w:r>
    </w:p>
    <w:p w:rsidR="00C62591" w:rsidRPr="00DB21FC" w:rsidRDefault="00C62591" w:rsidP="005A37C1">
      <w:pPr>
        <w:spacing w:before="0" w:beforeAutospacing="0" w:line="480" w:lineRule="auto"/>
        <w:jc w:val="both"/>
        <w:rPr>
          <w:rFonts w:ascii="Times New Roman" w:eastAsia="Calibri" w:hAnsi="Times New Roman" w:cs="Times New Roman"/>
          <w:b/>
          <w:color w:val="000000"/>
        </w:rPr>
      </w:pPr>
      <w:r w:rsidRPr="00DB21FC">
        <w:rPr>
          <w:rFonts w:ascii="Times New Roman" w:eastAsia="Calibri" w:hAnsi="Times New Roman" w:cs="Times New Roman"/>
          <w:b/>
          <w:color w:val="000000"/>
        </w:rPr>
        <w:t>1.9 Scheme of the Chapter</w:t>
      </w:r>
    </w:p>
    <w:p w:rsidR="00C62591" w:rsidRPr="00DB21FC" w:rsidRDefault="00C62591" w:rsidP="005A37C1">
      <w:pPr>
        <w:spacing w:before="0" w:beforeAutospacing="0" w:line="480" w:lineRule="auto"/>
        <w:jc w:val="both"/>
        <w:rPr>
          <w:rFonts w:ascii="Times New Roman" w:hAnsi="Times New Roman" w:cs="Times New Roman"/>
        </w:rPr>
      </w:pPr>
      <w:r w:rsidRPr="00DB21FC">
        <w:rPr>
          <w:rStyle w:val="Strong"/>
          <w:rFonts w:ascii="Times New Roman" w:hAnsi="Times New Roman" w:cs="Times New Roman"/>
          <w:b w:val="0"/>
        </w:rPr>
        <w:t>Chapter One</w:t>
      </w:r>
      <w:r w:rsidRPr="00DB21FC">
        <w:rPr>
          <w:rFonts w:ascii="Times New Roman" w:hAnsi="Times New Roman" w:cs="Times New Roman"/>
        </w:rPr>
        <w:t xml:space="preserve"> introduces the study. It presents the background, statement of the problem, research questions, objectives, hypotheses, scope, significance, limitations, and structure of the study.</w:t>
      </w:r>
    </w:p>
    <w:p w:rsidR="00C62591" w:rsidRPr="00DB21FC" w:rsidRDefault="00C62591" w:rsidP="005A37C1">
      <w:pPr>
        <w:spacing w:before="0" w:beforeAutospacing="0" w:line="480" w:lineRule="auto"/>
        <w:jc w:val="both"/>
        <w:rPr>
          <w:rFonts w:ascii="Times New Roman" w:hAnsi="Times New Roman" w:cs="Times New Roman"/>
        </w:rPr>
      </w:pPr>
      <w:r w:rsidRPr="00DB21FC">
        <w:rPr>
          <w:rStyle w:val="Strong"/>
          <w:rFonts w:ascii="Times New Roman" w:hAnsi="Times New Roman" w:cs="Times New Roman"/>
          <w:b w:val="0"/>
        </w:rPr>
        <w:t>Chapter Two</w:t>
      </w:r>
      <w:r w:rsidRPr="00DB21FC">
        <w:rPr>
          <w:rFonts w:ascii="Times New Roman" w:hAnsi="Times New Roman" w:cs="Times New Roman"/>
        </w:rPr>
        <w:t xml:space="preserve"> reviews related literature on exchange rate fluctuations and economic growth. It covers theoretical frameworks, empirical studies, and conceptual issues.</w:t>
      </w:r>
    </w:p>
    <w:p w:rsidR="00C62591" w:rsidRPr="00DB21FC" w:rsidRDefault="00C62591" w:rsidP="005A37C1">
      <w:pPr>
        <w:spacing w:before="0" w:beforeAutospacing="0" w:line="480" w:lineRule="auto"/>
        <w:jc w:val="both"/>
        <w:rPr>
          <w:rFonts w:ascii="Times New Roman" w:hAnsi="Times New Roman" w:cs="Times New Roman"/>
        </w:rPr>
      </w:pPr>
      <w:r w:rsidRPr="00DB21FC">
        <w:rPr>
          <w:rStyle w:val="Strong"/>
          <w:rFonts w:ascii="Times New Roman" w:hAnsi="Times New Roman" w:cs="Times New Roman"/>
          <w:b w:val="0"/>
        </w:rPr>
        <w:t>Chapter Three</w:t>
      </w:r>
      <w:r w:rsidRPr="00DB21FC">
        <w:rPr>
          <w:rFonts w:ascii="Times New Roman" w:hAnsi="Times New Roman" w:cs="Times New Roman"/>
        </w:rPr>
        <w:t xml:space="preserve"> discusses the research methodology. It explains the types and sources of data, model specification, data sources, estimation techniques, and analytical methods employed in the study.</w:t>
      </w:r>
    </w:p>
    <w:p w:rsidR="00C62591" w:rsidRPr="00DB21FC" w:rsidRDefault="00C62591" w:rsidP="005A37C1">
      <w:pPr>
        <w:spacing w:before="0" w:beforeAutospacing="0" w:line="480" w:lineRule="auto"/>
        <w:jc w:val="both"/>
        <w:rPr>
          <w:rFonts w:ascii="Times New Roman" w:hAnsi="Times New Roman" w:cs="Times New Roman"/>
        </w:rPr>
      </w:pPr>
      <w:r w:rsidRPr="00DB21FC">
        <w:rPr>
          <w:rStyle w:val="Strong"/>
          <w:rFonts w:ascii="Times New Roman" w:hAnsi="Times New Roman" w:cs="Times New Roman"/>
          <w:b w:val="0"/>
        </w:rPr>
        <w:t>Chapter Four</w:t>
      </w:r>
      <w:r w:rsidRPr="00DB21FC">
        <w:rPr>
          <w:rFonts w:ascii="Times New Roman" w:hAnsi="Times New Roman" w:cs="Times New Roman"/>
        </w:rPr>
        <w:t xml:space="preserve"> presents the data analysis, results, and interpretation of findings. It examines both the short-run and long-run relationships between exchange rate fluctuations and economic growth in Nigeria.</w:t>
      </w:r>
    </w:p>
    <w:p w:rsidR="00C62591" w:rsidRPr="00DB21FC" w:rsidRDefault="00C62591" w:rsidP="005A37C1">
      <w:pPr>
        <w:spacing w:before="0" w:beforeAutospacing="0" w:line="480" w:lineRule="auto"/>
        <w:jc w:val="both"/>
        <w:rPr>
          <w:rFonts w:ascii="Times New Roman" w:eastAsia="Calibri" w:hAnsi="Times New Roman" w:cs="Times New Roman"/>
          <w:b/>
          <w:color w:val="000000"/>
        </w:rPr>
      </w:pPr>
      <w:r w:rsidRPr="00DB21FC">
        <w:rPr>
          <w:rStyle w:val="Strong"/>
          <w:rFonts w:ascii="Times New Roman" w:hAnsi="Times New Roman" w:cs="Times New Roman"/>
          <w:b w:val="0"/>
        </w:rPr>
        <w:t>Chapter Five</w:t>
      </w:r>
      <w:r w:rsidRPr="00DB21FC">
        <w:rPr>
          <w:rFonts w:ascii="Times New Roman" w:hAnsi="Times New Roman" w:cs="Times New Roman"/>
        </w:rPr>
        <w:t xml:space="preserve"> summarizes the findings, draws conclusions, and provides recommendations based on the results of the study.</w:t>
      </w:r>
    </w:p>
    <w:p w:rsidR="00BE44CE" w:rsidRPr="00DB21FC" w:rsidRDefault="00462E0D" w:rsidP="00AD7BE7">
      <w:pPr>
        <w:spacing w:before="0" w:beforeAutospacing="0"/>
        <w:jc w:val="center"/>
        <w:rPr>
          <w:rFonts w:ascii="Times New Roman" w:hAnsi="Times New Roman" w:cs="Times New Roman"/>
        </w:rPr>
      </w:pPr>
      <w:r w:rsidRPr="00DB21FC">
        <w:rPr>
          <w:rFonts w:ascii="Times New Roman" w:hAnsi="Times New Roman" w:cs="Times New Roman"/>
        </w:rPr>
        <w:br w:type="page"/>
      </w:r>
      <w:r w:rsidR="00BE44CE" w:rsidRPr="00DB21FC">
        <w:rPr>
          <w:rFonts w:ascii="Times New Roman" w:eastAsia="Calibri" w:hAnsi="Times New Roman" w:cs="Times New Roman"/>
          <w:b/>
          <w:bCs/>
        </w:rPr>
        <w:lastRenderedPageBreak/>
        <w:t>CHAPTER TWO</w:t>
      </w:r>
    </w:p>
    <w:p w:rsidR="00BE44CE" w:rsidRPr="00DB21FC" w:rsidRDefault="00BE44CE" w:rsidP="005A37C1">
      <w:pPr>
        <w:spacing w:before="0" w:beforeAutospacing="0" w:line="480" w:lineRule="auto"/>
        <w:contextualSpacing/>
        <w:jc w:val="center"/>
        <w:rPr>
          <w:rFonts w:ascii="Times New Roman" w:eastAsia="Calibri" w:hAnsi="Times New Roman" w:cs="Times New Roman"/>
          <w:b/>
          <w:bCs/>
        </w:rPr>
      </w:pPr>
      <w:r w:rsidRPr="00DB21FC">
        <w:rPr>
          <w:rFonts w:ascii="Times New Roman" w:eastAsia="Calibri" w:hAnsi="Times New Roman" w:cs="Times New Roman"/>
          <w:b/>
          <w:bCs/>
        </w:rPr>
        <w:t>LITERATURE REVIEW</w:t>
      </w:r>
    </w:p>
    <w:p w:rsidR="00BE44CE" w:rsidRPr="00DB21FC" w:rsidRDefault="00BE44CE" w:rsidP="005A37C1">
      <w:pPr>
        <w:spacing w:before="0" w:beforeAutospacing="0" w:line="480" w:lineRule="auto"/>
        <w:contextualSpacing/>
        <w:rPr>
          <w:rFonts w:ascii="Times New Roman" w:eastAsia="Calibri" w:hAnsi="Times New Roman" w:cs="Times New Roman"/>
          <w:b/>
          <w:bCs/>
        </w:rPr>
      </w:pPr>
      <w:r w:rsidRPr="00DB21FC">
        <w:rPr>
          <w:rFonts w:ascii="Times New Roman" w:eastAsia="Calibri" w:hAnsi="Times New Roman" w:cs="Times New Roman"/>
          <w:b/>
          <w:bCs/>
        </w:rPr>
        <w:t>2.0</w:t>
      </w:r>
      <w:r w:rsidRPr="00DB21FC">
        <w:rPr>
          <w:rFonts w:ascii="Times New Roman" w:eastAsia="Calibri" w:hAnsi="Times New Roman" w:cs="Times New Roman"/>
          <w:b/>
          <w:bCs/>
        </w:rPr>
        <w:tab/>
        <w:t>Introduction</w:t>
      </w:r>
    </w:p>
    <w:p w:rsidR="00BE44CE" w:rsidRPr="00DB21FC" w:rsidRDefault="00BE44CE" w:rsidP="005A37C1">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rPr>
        <w:t xml:space="preserve">      This chapter reviews relevant literature on exchange rate fluctuations and economic growth. It discusses the theoretical foundations of exchange rate determination, explains key concepts related to exchange rate and macroeconomic performance, and examines previous empirical studies in Nigeria and other developing economies. The review helps to identify existing gaps that this research intends to fill.</w:t>
      </w:r>
    </w:p>
    <w:p w:rsidR="00BE44CE" w:rsidRPr="00DB21FC" w:rsidRDefault="00BE44CE" w:rsidP="005A37C1">
      <w:pPr>
        <w:spacing w:before="0" w:beforeAutospacing="0" w:line="480" w:lineRule="auto"/>
        <w:ind w:left="-142" w:hanging="284"/>
        <w:contextualSpacing/>
        <w:jc w:val="both"/>
        <w:rPr>
          <w:rFonts w:ascii="Times New Roman" w:eastAsia="Calibri" w:hAnsi="Times New Roman" w:cs="Times New Roman"/>
          <w:b/>
          <w:bCs/>
        </w:rPr>
      </w:pPr>
      <w:r w:rsidRPr="00DB21FC">
        <w:rPr>
          <w:rFonts w:ascii="Times New Roman" w:eastAsia="Calibri" w:hAnsi="Times New Roman" w:cs="Times New Roman"/>
          <w:b/>
          <w:bCs/>
        </w:rPr>
        <w:t xml:space="preserve"> 2.1 </w:t>
      </w:r>
      <w:r w:rsidRPr="00DB21FC">
        <w:rPr>
          <w:rFonts w:ascii="Times New Roman" w:eastAsia="Calibri" w:hAnsi="Times New Roman" w:cs="Times New Roman"/>
          <w:b/>
          <w:bCs/>
        </w:rPr>
        <w:tab/>
        <w:t>Conceptual Framework</w:t>
      </w:r>
    </w:p>
    <w:p w:rsidR="00BE44CE" w:rsidRPr="00DB21FC" w:rsidRDefault="00BE44CE" w:rsidP="005A37C1">
      <w:pPr>
        <w:spacing w:before="0" w:beforeAutospacing="0" w:line="480" w:lineRule="auto"/>
        <w:contextualSpacing/>
        <w:jc w:val="both"/>
        <w:rPr>
          <w:rFonts w:ascii="Times New Roman" w:hAnsi="Times New Roman" w:cs="Times New Roman"/>
        </w:rPr>
      </w:pPr>
      <w:r w:rsidRPr="00DB21FC">
        <w:rPr>
          <w:rFonts w:ascii="Times New Roman" w:hAnsi="Times New Roman" w:cs="Times New Roman"/>
        </w:rPr>
        <w:t>The conceptual framework outlines the key ideas and terms necessary to understand the relationship between exchange rates and economic growth. Although this study focuses on Nigeria, the framework draws on general economic concepts such as exchange rate, inflation, interest rate, and economic growth that are applicable to other countries as well, allowing for a broader understanding of these dynamics be</w:t>
      </w:r>
      <w:r w:rsidR="009A442A" w:rsidRPr="00DB21FC">
        <w:rPr>
          <w:rFonts w:ascii="Times New Roman" w:hAnsi="Times New Roman" w:cs="Times New Roman"/>
        </w:rPr>
        <w:t>yond a single national context.</w:t>
      </w:r>
    </w:p>
    <w:p w:rsidR="00BE44CE" w:rsidRPr="00DB21FC" w:rsidRDefault="007D780F" w:rsidP="005A37C1">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b/>
          <w:bCs/>
        </w:rPr>
        <w:t xml:space="preserve">   2.1.1 C</w:t>
      </w:r>
      <w:r w:rsidR="00BE44CE" w:rsidRPr="00DB21FC">
        <w:rPr>
          <w:rFonts w:ascii="Times New Roman" w:eastAsia="Calibri" w:hAnsi="Times New Roman" w:cs="Times New Roman"/>
          <w:b/>
          <w:bCs/>
        </w:rPr>
        <w:t>oncept of Exchange Rate</w:t>
      </w:r>
    </w:p>
    <w:p w:rsidR="00BE44CE" w:rsidRPr="00DB21FC" w:rsidRDefault="00BE44CE" w:rsidP="005A37C1">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rPr>
        <w:t xml:space="preserve">    According to Henry et al. (2020), the exchange rate measures the value of a country’s currency when traded for another. It represents the price of one unit of a nation’s currency in terms of other currencies and determines the relative cost of domestic and foreign goods, as well as the extent of a country’s participation in international trade.  </w:t>
      </w:r>
      <w:proofErr w:type="spellStart"/>
      <w:r w:rsidRPr="00DB21FC">
        <w:rPr>
          <w:rFonts w:ascii="Times New Roman" w:eastAsia="Calibri" w:hAnsi="Times New Roman" w:cs="Times New Roman"/>
        </w:rPr>
        <w:t>Majekodunmi</w:t>
      </w:r>
      <w:proofErr w:type="spellEnd"/>
      <w:r w:rsidRPr="00DB21FC">
        <w:rPr>
          <w:rFonts w:ascii="Times New Roman" w:eastAsia="Calibri" w:hAnsi="Times New Roman" w:cs="Times New Roman"/>
        </w:rPr>
        <w:t xml:space="preserve"> (2000) describes the exchange rate as the amount of domestic currency required to acquire one unit of foreign currency. Similarly, </w:t>
      </w:r>
      <w:proofErr w:type="spellStart"/>
      <w:r w:rsidRPr="00DB21FC">
        <w:rPr>
          <w:rFonts w:ascii="Times New Roman" w:eastAsia="Calibri" w:hAnsi="Times New Roman" w:cs="Times New Roman"/>
        </w:rPr>
        <w:t>Mordi</w:t>
      </w:r>
      <w:proofErr w:type="spellEnd"/>
      <w:r w:rsidRPr="00DB21FC">
        <w:rPr>
          <w:rFonts w:ascii="Times New Roman" w:eastAsia="Calibri" w:hAnsi="Times New Roman" w:cs="Times New Roman"/>
        </w:rPr>
        <w:t xml:space="preserve"> (2006) defines it as the relative value of one currency compared to another. Essentially, the exchange rate represents the price of a nation’s currency in terms of other currencies and is generally influenced by supply and demand in the market. In practice, central banks often intervene, meaning currencies rarely float entirely freely."    </w:t>
      </w:r>
    </w:p>
    <w:p w:rsidR="00BE44CE" w:rsidRPr="00DB21FC" w:rsidRDefault="00BE44CE" w:rsidP="005A37C1">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rPr>
        <w:lastRenderedPageBreak/>
        <w:t xml:space="preserve">     According to the Central Bank of Nigeria (CBN, 2016), the exchange rate refers to the prevailing market price at which one national currency can be exchanged for another. It is usually expressed either as the number of units of a domestic currency needed to acquire one unit of a foreign currency or as the number of units of a foreign currency required to obtain one unit of the domestic currency. In essence, it represents the rate at which one currency can be converted into another, or the relative price of one country’s currency in comparison with that of another (</w:t>
      </w:r>
      <w:proofErr w:type="spellStart"/>
      <w:r w:rsidRPr="00DB21FC">
        <w:rPr>
          <w:rFonts w:ascii="Times New Roman" w:eastAsia="Calibri" w:hAnsi="Times New Roman" w:cs="Times New Roman"/>
        </w:rPr>
        <w:t>Eyung</w:t>
      </w:r>
      <w:proofErr w:type="spellEnd"/>
      <w:r w:rsidRPr="00DB21FC">
        <w:rPr>
          <w:rFonts w:ascii="Times New Roman" w:eastAsia="Calibri" w:hAnsi="Times New Roman" w:cs="Times New Roman"/>
        </w:rPr>
        <w:t xml:space="preserve">, 2021)." "Exchange rates can be classified in different ways. The </w:t>
      </w:r>
      <w:r w:rsidRPr="00DB21FC">
        <w:rPr>
          <w:rFonts w:ascii="Times New Roman" w:eastAsia="Calibri" w:hAnsi="Times New Roman" w:cs="Times New Roman"/>
          <w:bCs/>
        </w:rPr>
        <w:t>equilibrium exchange rate</w:t>
      </w:r>
      <w:r w:rsidRPr="00DB21FC">
        <w:rPr>
          <w:rFonts w:ascii="Times New Roman" w:eastAsia="Calibri" w:hAnsi="Times New Roman" w:cs="Times New Roman"/>
        </w:rPr>
        <w:t xml:space="preserve"> is the real rate that balances external accounts while supporting broader economic objectives, and is often considered the appropriate rate (</w:t>
      </w:r>
      <w:proofErr w:type="spellStart"/>
      <w:r w:rsidRPr="00DB21FC">
        <w:rPr>
          <w:rFonts w:ascii="Times New Roman" w:eastAsia="Calibri" w:hAnsi="Times New Roman" w:cs="Times New Roman"/>
        </w:rPr>
        <w:t>Olisadebe</w:t>
      </w:r>
      <w:proofErr w:type="spellEnd"/>
      <w:r w:rsidRPr="00DB21FC">
        <w:rPr>
          <w:rFonts w:ascii="Times New Roman" w:eastAsia="Calibri" w:hAnsi="Times New Roman" w:cs="Times New Roman"/>
        </w:rPr>
        <w:t xml:space="preserve">, 2021). In contrast, the </w:t>
      </w:r>
      <w:r w:rsidRPr="00DB21FC">
        <w:rPr>
          <w:rFonts w:ascii="Times New Roman" w:eastAsia="Calibri" w:hAnsi="Times New Roman" w:cs="Times New Roman"/>
          <w:bCs/>
        </w:rPr>
        <w:t>nominal exchange rate</w:t>
      </w:r>
      <w:r w:rsidRPr="00DB21FC">
        <w:rPr>
          <w:rFonts w:ascii="Times New Roman" w:eastAsia="Calibri" w:hAnsi="Times New Roman" w:cs="Times New Roman"/>
        </w:rPr>
        <w:t xml:space="preserve"> represents the market price at which one currency is exchanged for another at a given time (</w:t>
      </w:r>
      <w:proofErr w:type="spellStart"/>
      <w:r w:rsidRPr="00DB21FC">
        <w:rPr>
          <w:rFonts w:ascii="Times New Roman" w:eastAsia="Calibri" w:hAnsi="Times New Roman" w:cs="Times New Roman"/>
        </w:rPr>
        <w:t>Olisadebe</w:t>
      </w:r>
      <w:proofErr w:type="spellEnd"/>
      <w:r w:rsidRPr="00DB21FC">
        <w:rPr>
          <w:rFonts w:ascii="Times New Roman" w:eastAsia="Calibri" w:hAnsi="Times New Roman" w:cs="Times New Roman"/>
        </w:rPr>
        <w:t xml:space="preserve">, 1991). While a stable foreign exchange market may exist, it does not always ensure stability in money or goods markets, nor </w:t>
      </w:r>
      <w:proofErr w:type="gramStart"/>
      <w:r w:rsidRPr="00DB21FC">
        <w:rPr>
          <w:rFonts w:ascii="Times New Roman" w:eastAsia="Calibri" w:hAnsi="Times New Roman" w:cs="Times New Roman"/>
        </w:rPr>
        <w:t>full utilization of resources, meaning equilibrium may</w:t>
      </w:r>
      <w:proofErr w:type="gramEnd"/>
      <w:r w:rsidRPr="00DB21FC">
        <w:rPr>
          <w:rFonts w:ascii="Times New Roman" w:eastAsia="Calibri" w:hAnsi="Times New Roman" w:cs="Times New Roman"/>
        </w:rPr>
        <w:t xml:space="preserve"> not always be ideal.</w:t>
      </w:r>
    </w:p>
    <w:p w:rsidR="00D24F03" w:rsidRPr="00DB21FC" w:rsidRDefault="00BE44CE" w:rsidP="00D24F03">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rPr>
        <w:t xml:space="preserve">    The </w:t>
      </w:r>
      <w:r w:rsidRPr="00DB21FC">
        <w:rPr>
          <w:rFonts w:ascii="Times New Roman" w:eastAsia="Calibri" w:hAnsi="Times New Roman" w:cs="Times New Roman"/>
          <w:bCs/>
        </w:rPr>
        <w:t>real exchange rate</w:t>
      </w:r>
      <w:r w:rsidRPr="00DB21FC">
        <w:rPr>
          <w:rFonts w:ascii="Times New Roman" w:eastAsia="Calibri" w:hAnsi="Times New Roman" w:cs="Times New Roman"/>
        </w:rPr>
        <w:t xml:space="preserve"> adjusts the nominal rate to account for differences in relative inflation and serves as a measure of a country’s price competitiveness (</w:t>
      </w:r>
      <w:proofErr w:type="spellStart"/>
      <w:r w:rsidRPr="00DB21FC">
        <w:rPr>
          <w:rFonts w:ascii="Times New Roman" w:eastAsia="Calibri" w:hAnsi="Times New Roman" w:cs="Times New Roman"/>
        </w:rPr>
        <w:t>Olisadebe</w:t>
      </w:r>
      <w:proofErr w:type="spellEnd"/>
      <w:r w:rsidRPr="00DB21FC">
        <w:rPr>
          <w:rFonts w:ascii="Times New Roman" w:eastAsia="Calibri" w:hAnsi="Times New Roman" w:cs="Times New Roman"/>
        </w:rPr>
        <w:t xml:space="preserve">, 2021). The </w:t>
      </w:r>
      <w:r w:rsidRPr="00DB21FC">
        <w:rPr>
          <w:rFonts w:ascii="Times New Roman" w:eastAsia="Calibri" w:hAnsi="Times New Roman" w:cs="Times New Roman"/>
          <w:bCs/>
        </w:rPr>
        <w:t>real effective</w:t>
      </w:r>
      <w:r w:rsidRPr="00DB21FC">
        <w:rPr>
          <w:rFonts w:ascii="Times New Roman" w:eastAsia="Calibri" w:hAnsi="Times New Roman" w:cs="Times New Roman"/>
          <w:b/>
          <w:bCs/>
        </w:rPr>
        <w:t xml:space="preserve"> </w:t>
      </w:r>
      <w:r w:rsidRPr="00DB21FC">
        <w:rPr>
          <w:rFonts w:ascii="Times New Roman" w:eastAsia="Calibri" w:hAnsi="Times New Roman" w:cs="Times New Roman"/>
          <w:bCs/>
        </w:rPr>
        <w:t>exchange rate (REER)</w:t>
      </w:r>
      <w:r w:rsidRPr="00DB21FC">
        <w:rPr>
          <w:rFonts w:ascii="Times New Roman" w:eastAsia="Calibri" w:hAnsi="Times New Roman" w:cs="Times New Roman"/>
        </w:rPr>
        <w:t xml:space="preserve"> is calculated as a trade-weighted average of real rates with trading partners, using their trade share as weights (</w:t>
      </w:r>
      <w:proofErr w:type="spellStart"/>
      <w:r w:rsidRPr="00DB21FC">
        <w:rPr>
          <w:rFonts w:ascii="Times New Roman" w:eastAsia="Calibri" w:hAnsi="Times New Roman" w:cs="Times New Roman"/>
        </w:rPr>
        <w:t>Olisadebe</w:t>
      </w:r>
      <w:proofErr w:type="spellEnd"/>
      <w:r w:rsidRPr="00DB21FC">
        <w:rPr>
          <w:rFonts w:ascii="Times New Roman" w:eastAsia="Calibri" w:hAnsi="Times New Roman" w:cs="Times New Roman"/>
        </w:rPr>
        <w:t xml:space="preserve">, 1991). Meanwhile, the </w:t>
      </w:r>
      <w:r w:rsidRPr="00DB21FC">
        <w:rPr>
          <w:rFonts w:ascii="Times New Roman" w:eastAsia="Calibri" w:hAnsi="Times New Roman" w:cs="Times New Roman"/>
          <w:bCs/>
        </w:rPr>
        <w:t>nominal effective</w:t>
      </w:r>
      <w:r w:rsidRPr="00DB21FC">
        <w:rPr>
          <w:rFonts w:ascii="Times New Roman" w:eastAsia="Calibri" w:hAnsi="Times New Roman" w:cs="Times New Roman"/>
          <w:b/>
          <w:bCs/>
        </w:rPr>
        <w:t xml:space="preserve"> </w:t>
      </w:r>
      <w:r w:rsidRPr="00DB21FC">
        <w:rPr>
          <w:rFonts w:ascii="Times New Roman" w:eastAsia="Calibri" w:hAnsi="Times New Roman" w:cs="Times New Roman"/>
          <w:bCs/>
        </w:rPr>
        <w:t>exchange rate (NEER)</w:t>
      </w:r>
      <w:r w:rsidRPr="00DB21FC">
        <w:rPr>
          <w:rFonts w:ascii="Times New Roman" w:eastAsia="Calibri" w:hAnsi="Times New Roman" w:cs="Times New Roman"/>
        </w:rPr>
        <w:t xml:space="preserve"> represents a weighted average of a country’s currency relative to the currencies of its major trading partners, based on trade </w:t>
      </w:r>
      <w:r w:rsidR="009A442A" w:rsidRPr="00DB21FC">
        <w:rPr>
          <w:rFonts w:ascii="Times New Roman" w:eastAsia="Calibri" w:hAnsi="Times New Roman" w:cs="Times New Roman"/>
        </w:rPr>
        <w:t>significance (</w:t>
      </w:r>
      <w:proofErr w:type="spellStart"/>
      <w:r w:rsidR="009A442A" w:rsidRPr="00DB21FC">
        <w:rPr>
          <w:rFonts w:ascii="Times New Roman" w:eastAsia="Calibri" w:hAnsi="Times New Roman" w:cs="Times New Roman"/>
        </w:rPr>
        <w:t>Olisadebe</w:t>
      </w:r>
      <w:proofErr w:type="spellEnd"/>
      <w:r w:rsidR="009A442A" w:rsidRPr="00DB21FC">
        <w:rPr>
          <w:rFonts w:ascii="Times New Roman" w:eastAsia="Calibri" w:hAnsi="Times New Roman" w:cs="Times New Roman"/>
        </w:rPr>
        <w:t>, 2021).</w:t>
      </w:r>
    </w:p>
    <w:p w:rsidR="00BE44CE" w:rsidRPr="00DB21FC" w:rsidRDefault="00BE44CE" w:rsidP="00D24F03">
      <w:pPr>
        <w:spacing w:before="0" w:beforeAutospacing="0" w:line="480" w:lineRule="auto"/>
        <w:ind w:left="-142" w:hanging="284"/>
        <w:contextualSpacing/>
        <w:jc w:val="both"/>
        <w:rPr>
          <w:rFonts w:ascii="Times New Roman" w:eastAsia="Calibri" w:hAnsi="Times New Roman" w:cs="Times New Roman"/>
        </w:rPr>
      </w:pPr>
      <w:r w:rsidRPr="00DB21FC">
        <w:rPr>
          <w:rFonts w:ascii="Times New Roman" w:eastAsia="Calibri" w:hAnsi="Times New Roman" w:cs="Times New Roman"/>
          <w:b/>
          <w:bCs/>
        </w:rPr>
        <w:t xml:space="preserve"> 2.1.1.1 Exchange Rate Fluctuation</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The concept of exchange rate fluctuation implies persistent change in the value of the domestic currency relative to another currency. This is common with exchange rates since currencies are being traded like other commodities. A currency fluctuates based on prevailing economic </w:t>
      </w:r>
      <w:r w:rsidRPr="00DB21FC">
        <w:rPr>
          <w:rFonts w:ascii="Times New Roman" w:eastAsia="Calibri" w:hAnsi="Times New Roman" w:cs="Times New Roman"/>
        </w:rPr>
        <w:lastRenderedPageBreak/>
        <w:t>conditions. A country’s currency can be traded against another currency at a given period (OECD, 2024). Exchange rate fluctuation does not only affect economic growth but also the performance of companies (</w:t>
      </w:r>
      <w:proofErr w:type="spellStart"/>
      <w:r w:rsidRPr="00DB21FC">
        <w:rPr>
          <w:rFonts w:ascii="Times New Roman" w:eastAsia="Calibri" w:hAnsi="Times New Roman" w:cs="Times New Roman"/>
        </w:rPr>
        <w:t>Ayobami</w:t>
      </w:r>
      <w:proofErr w:type="spellEnd"/>
      <w:r w:rsidRPr="00DB21FC">
        <w:rPr>
          <w:rFonts w:ascii="Times New Roman" w:eastAsia="Calibri" w:hAnsi="Times New Roman" w:cs="Times New Roman"/>
        </w:rPr>
        <w:t>, 2019). In Nigeria today, exchange rates and its constant movement is of great importance to the general public because one way or the other its fluctuation has an effect on the competence of the economy to attain optimal productive capacity. This is alarming given its macro-economic importance specifically in a high import dependent country like Nigeria (</w:t>
      </w:r>
      <w:proofErr w:type="spellStart"/>
      <w:r w:rsidRPr="00DB21FC">
        <w:rPr>
          <w:rFonts w:ascii="Times New Roman" w:eastAsia="Calibri" w:hAnsi="Times New Roman" w:cs="Times New Roman"/>
        </w:rPr>
        <w:t>Olisadebe</w:t>
      </w:r>
      <w:proofErr w:type="spellEnd"/>
      <w:r w:rsidRPr="00DB21FC">
        <w:rPr>
          <w:rFonts w:ascii="Times New Roman" w:eastAsia="Calibri" w:hAnsi="Times New Roman" w:cs="Times New Roman"/>
        </w:rPr>
        <w:t>, 2021).</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bCs/>
        </w:rPr>
        <w:t>2.1.2 Concept of Economic Growth</w:t>
      </w:r>
    </w:p>
    <w:p w:rsidR="00BE44CE" w:rsidRPr="00DB21FC" w:rsidRDefault="00BE44CE" w:rsidP="005A37C1">
      <w:pPr>
        <w:spacing w:before="0" w:beforeAutospacing="0" w:line="480" w:lineRule="auto"/>
        <w:contextualSpacing/>
        <w:jc w:val="both"/>
        <w:rPr>
          <w:rFonts w:ascii="Times New Roman" w:hAnsi="Times New Roman" w:cs="Times New Roman"/>
        </w:rPr>
      </w:pPr>
      <w:r w:rsidRPr="00DB21FC">
        <w:rPr>
          <w:rFonts w:ascii="Times New Roman" w:eastAsia="Calibri" w:hAnsi="Times New Roman" w:cs="Times New Roman"/>
        </w:rPr>
        <w:t>Economic growth, often measured by gross domestic product (GDP), is generally understood as an increase in an economy’s capacity to produce goods and services that enhance the welfare of its citizens (</w:t>
      </w:r>
      <w:proofErr w:type="spellStart"/>
      <w:r w:rsidRPr="00DB21FC">
        <w:rPr>
          <w:rFonts w:ascii="Times New Roman" w:eastAsia="Calibri" w:hAnsi="Times New Roman" w:cs="Times New Roman"/>
        </w:rPr>
        <w:t>Balami</w:t>
      </w:r>
      <w:proofErr w:type="spellEnd"/>
      <w:r w:rsidRPr="00DB21FC">
        <w:rPr>
          <w:rFonts w:ascii="Times New Roman" w:eastAsia="Calibri" w:hAnsi="Times New Roman" w:cs="Times New Roman"/>
        </w:rPr>
        <w:t xml:space="preserve">, 2006). </w:t>
      </w:r>
      <w:r w:rsidRPr="00DB21FC">
        <w:rPr>
          <w:rFonts w:ascii="Times New Roman" w:hAnsi="Times New Roman" w:cs="Times New Roman"/>
        </w:rPr>
        <w:t xml:space="preserve">“Economic growth is a gradual process that raises the overall output of an economy; it becomes meaningful when the rate of increase surpasses population growth, thereby leading to observable improvements in human welfare. In effect, growth reflects an expansion of productive capacity and a corresponding increase in national income, typically evidenced by higher output per person and gains in </w:t>
      </w:r>
      <w:proofErr w:type="spellStart"/>
      <w:r w:rsidRPr="00DB21FC">
        <w:rPr>
          <w:rFonts w:ascii="Times New Roman" w:hAnsi="Times New Roman" w:cs="Times New Roman"/>
        </w:rPr>
        <w:t>labour</w:t>
      </w:r>
      <w:proofErr w:type="spellEnd"/>
      <w:r w:rsidRPr="00DB21FC">
        <w:rPr>
          <w:rFonts w:ascii="Times New Roman" w:hAnsi="Times New Roman" w:cs="Times New Roman"/>
        </w:rPr>
        <w:t xml:space="preserve"> productivity and total factor productivity (</w:t>
      </w:r>
      <w:proofErr w:type="spellStart"/>
      <w:r w:rsidRPr="00DB21FC">
        <w:rPr>
          <w:rFonts w:ascii="Times New Roman" w:hAnsi="Times New Roman" w:cs="Times New Roman"/>
        </w:rPr>
        <w:t>Balami</w:t>
      </w:r>
      <w:proofErr w:type="spellEnd"/>
      <w:proofErr w:type="gramStart"/>
      <w:r w:rsidRPr="00DB21FC">
        <w:rPr>
          <w:rFonts w:ascii="Times New Roman" w:hAnsi="Times New Roman" w:cs="Times New Roman"/>
        </w:rPr>
        <w:t>, </w:t>
      </w:r>
      <w:proofErr w:type="gramEnd"/>
      <w:r w:rsidRPr="00DB21FC">
        <w:rPr>
          <w:rFonts w:ascii="Times New Roman" w:hAnsi="Times New Roman" w:cs="Times New Roman"/>
        </w:rPr>
        <w:t>2006).”</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According to </w:t>
      </w:r>
      <w:proofErr w:type="spellStart"/>
      <w:r w:rsidRPr="00DB21FC">
        <w:rPr>
          <w:rFonts w:ascii="Times New Roman" w:eastAsia="Calibri" w:hAnsi="Times New Roman" w:cs="Times New Roman"/>
        </w:rPr>
        <w:t>Odusola</w:t>
      </w:r>
      <w:proofErr w:type="spellEnd"/>
      <w:r w:rsidRPr="00DB21FC">
        <w:rPr>
          <w:rFonts w:ascii="Times New Roman" w:eastAsia="Calibri" w:hAnsi="Times New Roman" w:cs="Times New Roman"/>
        </w:rPr>
        <w:t xml:space="preserve"> (1996), economic growth is closely linked to an increase in capital per worker, but capital alone is insufficient for sustained growth. For capital to be effective, it must be complemented by an institutional framework that ensures its productive use. Similarly, </w:t>
      </w:r>
      <w:proofErr w:type="spellStart"/>
      <w:r w:rsidRPr="00DB21FC">
        <w:rPr>
          <w:rFonts w:ascii="Times New Roman" w:eastAsia="Calibri" w:hAnsi="Times New Roman" w:cs="Times New Roman"/>
        </w:rPr>
        <w:t>Ogiogio</w:t>
      </w:r>
      <w:proofErr w:type="spellEnd"/>
      <w:r w:rsidRPr="00DB21FC">
        <w:rPr>
          <w:rFonts w:ascii="Times New Roman" w:eastAsia="Calibri" w:hAnsi="Times New Roman" w:cs="Times New Roman"/>
        </w:rPr>
        <w:t xml:space="preserve"> (1995), highlights that adequate funding of the public sector’s recurrent budget is crucial for a functional civil service, which in turn ensures effective implementation of development policies and programs. Together, these factors underscore that economic growth depends not </w:t>
      </w:r>
      <w:r w:rsidRPr="00DB21FC">
        <w:rPr>
          <w:rFonts w:ascii="Times New Roman" w:eastAsia="Calibri" w:hAnsi="Times New Roman" w:cs="Times New Roman"/>
        </w:rPr>
        <w:lastRenderedPageBreak/>
        <w:t>only on financial resources but also on sound institutional and policy frameworks that enable efficient utilization of these resources.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Gross domestic product (GDP) can be measured in several ways. </w:t>
      </w:r>
      <w:r w:rsidRPr="00DB21FC">
        <w:rPr>
          <w:rFonts w:ascii="Times New Roman" w:eastAsia="Calibri" w:hAnsi="Times New Roman" w:cs="Times New Roman"/>
          <w:bCs/>
        </w:rPr>
        <w:t>Nominal GDP</w:t>
      </w:r>
      <w:r w:rsidRPr="00DB21FC">
        <w:rPr>
          <w:rFonts w:ascii="Times New Roman" w:eastAsia="Calibri" w:hAnsi="Times New Roman" w:cs="Times New Roman"/>
        </w:rPr>
        <w:t xml:space="preserve"> reflects the current market value of goods and services produced in an economy without adjusting for inflation. It is useful for comparing economic output within the same year, but comparisons across different years can be misleading due to the effects of inflation, which typically causes nominal GDP to appear higher than the actual value of output (</w:t>
      </w:r>
      <w:proofErr w:type="spellStart"/>
      <w:r w:rsidRPr="00DB21FC">
        <w:rPr>
          <w:rFonts w:ascii="Times New Roman" w:eastAsia="Calibri" w:hAnsi="Times New Roman" w:cs="Times New Roman"/>
        </w:rPr>
        <w:t>Balami</w:t>
      </w:r>
      <w:proofErr w:type="spellEnd"/>
      <w:r w:rsidRPr="00DB21FC">
        <w:rPr>
          <w:rFonts w:ascii="Times New Roman" w:eastAsia="Calibri" w:hAnsi="Times New Roman" w:cs="Times New Roman"/>
        </w:rPr>
        <w:t xml:space="preserve">, 2006). </w:t>
      </w:r>
      <w:r w:rsidRPr="00DB21FC">
        <w:rPr>
          <w:rFonts w:ascii="Times New Roman" w:eastAsia="Calibri" w:hAnsi="Times New Roman" w:cs="Times New Roman"/>
          <w:bCs/>
        </w:rPr>
        <w:t>Real GDP</w:t>
      </w:r>
      <w:r w:rsidRPr="00DB21FC">
        <w:rPr>
          <w:rFonts w:ascii="Times New Roman" w:eastAsia="Calibri" w:hAnsi="Times New Roman" w:cs="Times New Roman"/>
        </w:rPr>
        <w:t>, on the other hand, is adjusted for inflation using a price deflator, allowing for comparison over time by keeping prices constant and isolating true growth in production (</w:t>
      </w:r>
      <w:proofErr w:type="spellStart"/>
      <w:r w:rsidRPr="00DB21FC">
        <w:rPr>
          <w:rFonts w:ascii="Times New Roman" w:eastAsia="Calibri" w:hAnsi="Times New Roman" w:cs="Times New Roman"/>
        </w:rPr>
        <w:t>Balami</w:t>
      </w:r>
      <w:proofErr w:type="spellEnd"/>
      <w:r w:rsidRPr="00DB21FC">
        <w:rPr>
          <w:rFonts w:ascii="Times New Roman" w:eastAsia="Calibri" w:hAnsi="Times New Roman" w:cs="Times New Roman"/>
        </w:rPr>
        <w:t>, 2006).</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Cs/>
        </w:rPr>
        <w:t>Per capita GDP</w:t>
      </w:r>
      <w:r w:rsidRPr="00DB21FC">
        <w:rPr>
          <w:rFonts w:ascii="Times New Roman" w:eastAsia="Calibri" w:hAnsi="Times New Roman" w:cs="Times New Roman"/>
        </w:rPr>
        <w:t xml:space="preserve"> calculates the average economic output or income per individual, serving as an indicator of living standards and productivity. It can be expressed in nominal terms, real terms, or using purchasing power parity (PPP) (</w:t>
      </w:r>
      <w:proofErr w:type="spellStart"/>
      <w:r w:rsidRPr="00DB21FC">
        <w:rPr>
          <w:rFonts w:ascii="Times New Roman" w:eastAsia="Calibri" w:hAnsi="Times New Roman" w:cs="Times New Roman"/>
        </w:rPr>
        <w:t>Odusola</w:t>
      </w:r>
      <w:proofErr w:type="spellEnd"/>
      <w:r w:rsidRPr="00DB21FC">
        <w:rPr>
          <w:rFonts w:ascii="Times New Roman" w:eastAsia="Calibri" w:hAnsi="Times New Roman" w:cs="Times New Roman"/>
        </w:rPr>
        <w:t>, 1996). While a high per capita GDP may indicate economic prosperity, it can also reflect factors such as a smaller population or abundant natural resources rather than broad-based wealth.</w:t>
      </w:r>
    </w:p>
    <w:p w:rsidR="00792B93" w:rsidRPr="00DB21FC" w:rsidRDefault="00BE44CE" w:rsidP="005A37C1">
      <w:pPr>
        <w:spacing w:before="0" w:beforeAutospacing="0" w:line="480" w:lineRule="auto"/>
        <w:contextualSpacing/>
        <w:jc w:val="both"/>
        <w:rPr>
          <w:rFonts w:ascii="Times New Roman" w:hAnsi="Times New Roman" w:cs="Times New Roman"/>
        </w:rPr>
      </w:pPr>
      <w:r w:rsidRPr="00DB21FC">
        <w:rPr>
          <w:rFonts w:ascii="Times New Roman" w:hAnsi="Times New Roman" w:cs="Times New Roman"/>
        </w:rPr>
        <w:t>“Finally, the GDP growth rate measures the pace at which an economy expands or contracts over a period. Rapid growth may prompt central banks to raise interest rates to curb inflation, whereas negative growth often leads to lower rates or fiscal stimulus to support economic activity (</w:t>
      </w:r>
      <w:proofErr w:type="spellStart"/>
      <w:r w:rsidRPr="00DB21FC">
        <w:rPr>
          <w:rFonts w:ascii="Times New Roman" w:hAnsi="Times New Roman" w:cs="Times New Roman"/>
        </w:rPr>
        <w:t>Soalade</w:t>
      </w:r>
      <w:proofErr w:type="spellEnd"/>
      <w:proofErr w:type="gramStart"/>
      <w:r w:rsidRPr="00DB21FC">
        <w:rPr>
          <w:rFonts w:ascii="Times New Roman" w:hAnsi="Times New Roman" w:cs="Times New Roman"/>
        </w:rPr>
        <w:t>, </w:t>
      </w:r>
      <w:proofErr w:type="gramEnd"/>
      <w:r w:rsidRPr="00DB21FC">
        <w:rPr>
          <w:rFonts w:ascii="Times New Roman" w:hAnsi="Times New Roman" w:cs="Times New Roman"/>
        </w:rPr>
        <w:t>2015).”</w:t>
      </w:r>
    </w:p>
    <w:p w:rsidR="00BE44CE" w:rsidRPr="00DB21FC" w:rsidRDefault="00BE44CE" w:rsidP="005A37C1">
      <w:pPr>
        <w:spacing w:before="0" w:beforeAutospacing="0" w:line="480" w:lineRule="auto"/>
        <w:contextualSpacing/>
        <w:jc w:val="both"/>
        <w:rPr>
          <w:rFonts w:ascii="Times New Roman" w:hAnsi="Times New Roman" w:cs="Times New Roman"/>
        </w:rPr>
      </w:pPr>
      <w:r w:rsidRPr="00DB21FC">
        <w:rPr>
          <w:rFonts w:ascii="Times New Roman" w:eastAsia="Calibri" w:hAnsi="Times New Roman" w:cs="Times New Roman"/>
          <w:b/>
          <w:bCs/>
        </w:rPr>
        <w:t>2.1.3 Inflation rate</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Inflation is generally understood as a sustained increase in the overall price level of goods and services in an economy over a prolonged period (</w:t>
      </w:r>
      <w:proofErr w:type="spellStart"/>
      <w:r w:rsidRPr="00DB21FC">
        <w:rPr>
          <w:rFonts w:ascii="Times New Roman" w:eastAsia="Calibri" w:hAnsi="Times New Roman" w:cs="Times New Roman"/>
        </w:rPr>
        <w:t>Balami</w:t>
      </w:r>
      <w:proofErr w:type="spellEnd"/>
      <w:r w:rsidRPr="00DB21FC">
        <w:rPr>
          <w:rFonts w:ascii="Times New Roman" w:eastAsia="Calibri" w:hAnsi="Times New Roman" w:cs="Times New Roman"/>
        </w:rPr>
        <w:t>, 2006). It is typically measured by the rate at which the general price level rises within a given timeframe. Neo</w:t>
      </w:r>
      <w:r w:rsidRPr="00DB21FC">
        <w:rPr>
          <w:rFonts w:ascii="Times New Roman" w:eastAsia="Calibri" w:hAnsi="Times New Roman" w:cs="Times New Roman"/>
        </w:rPr>
        <w:noBreakHyphen/>
        <w:t xml:space="preserve">classical economists, particularly those of the Chicago School, view inflation primarily as a monetary phenomenon. As </w:t>
      </w:r>
      <w:r w:rsidRPr="00DB21FC">
        <w:rPr>
          <w:rFonts w:ascii="Times New Roman" w:eastAsia="Calibri" w:hAnsi="Times New Roman" w:cs="Times New Roman"/>
        </w:rPr>
        <w:lastRenderedPageBreak/>
        <w:t>Milton Friedman famously argued, “inflation is always and everywhere a monetary phenomenon,” occurring when the growth of the money supply exceeds the growth of output (Friedman, 1963). Similarly, John R. Hicks (1939) defines inflation as a continuous increase in the general price level.</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In contrast, Keynesian economists attribute inflation mainly to increases in aggregate demand, commonly referred to as demand</w:t>
      </w:r>
      <w:r w:rsidRPr="00DB21FC">
        <w:rPr>
          <w:rFonts w:ascii="Times New Roman" w:eastAsia="Calibri" w:hAnsi="Times New Roman" w:cs="Times New Roman"/>
        </w:rPr>
        <w:noBreakHyphen/>
        <w:t>pull inflation. Additionally, inflation can arise from cost</w:t>
      </w:r>
      <w:r w:rsidRPr="00DB21FC">
        <w:rPr>
          <w:rFonts w:ascii="Times New Roman" w:eastAsia="Calibri" w:hAnsi="Times New Roman" w:cs="Times New Roman"/>
        </w:rPr>
        <w:noBreakHyphen/>
        <w:t>push factors, where rising production costs, such as wages or raw materials, drive up the prices of goods and services. Thus, inflation can be seen as a persistent upward movement in the general price level caused by both demand</w:t>
      </w:r>
      <w:r w:rsidRPr="00DB21FC">
        <w:rPr>
          <w:rFonts w:ascii="Times New Roman" w:eastAsia="Calibri" w:hAnsi="Times New Roman" w:cs="Times New Roman"/>
        </w:rPr>
        <w:noBreakHyphen/>
        <w:t>side and supply</w:t>
      </w:r>
      <w:r w:rsidRPr="00DB21FC">
        <w:rPr>
          <w:rFonts w:ascii="Times New Roman" w:eastAsia="Calibri" w:hAnsi="Times New Roman" w:cs="Times New Roman"/>
        </w:rPr>
        <w:noBreakHyphen/>
        <w:t>side pressures (Samuelson &amp; Nordhaus, 2010).</w:t>
      </w:r>
    </w:p>
    <w:p w:rsidR="00BE44CE" w:rsidRPr="00DB21FC" w:rsidRDefault="00792B93" w:rsidP="005A37C1">
      <w:pPr>
        <w:spacing w:before="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rPr>
        <w:t>2.1.4</w:t>
      </w:r>
      <w:r w:rsidR="00BE44CE" w:rsidRPr="00DB21FC">
        <w:rPr>
          <w:rFonts w:ascii="Times New Roman" w:eastAsia="Calibri" w:hAnsi="Times New Roman" w:cs="Times New Roman"/>
        </w:rPr>
        <w:t xml:space="preserve"> </w:t>
      </w:r>
      <w:r w:rsidR="00BE44CE" w:rsidRPr="00DB21FC">
        <w:rPr>
          <w:rFonts w:ascii="Times New Roman" w:eastAsia="Calibri" w:hAnsi="Times New Roman" w:cs="Times New Roman"/>
          <w:b/>
          <w:bCs/>
        </w:rPr>
        <w:t>Interest rate</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Interest rate refers to the payment a borrower makes to a lender for the use of money, typically expressed as an annual percentage of the principal amount (</w:t>
      </w:r>
      <w:proofErr w:type="spellStart"/>
      <w:r w:rsidRPr="00DB21FC">
        <w:rPr>
          <w:rFonts w:ascii="Times New Roman" w:eastAsia="Calibri" w:hAnsi="Times New Roman" w:cs="Times New Roman"/>
        </w:rPr>
        <w:t>Jhingan</w:t>
      </w:r>
      <w:proofErr w:type="spellEnd"/>
      <w:r w:rsidRPr="00DB21FC">
        <w:rPr>
          <w:rFonts w:ascii="Times New Roman" w:eastAsia="Calibri" w:hAnsi="Times New Roman" w:cs="Times New Roman"/>
        </w:rPr>
        <w:t xml:space="preserve">, 2002). Economists have offered varying definitions of interest. Carver (1921) considers it the income earned by the owner of capital, while Marshall (1920) defines it as the price paid for using capital in any market. Wicksell (1936) describes interest as the compensation a borrower provides for the productive use of capital, serving as a reward to the capitalist for saving rather than consuming. </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Interest rate encourages individuals to save a portion of their income, thereby making funds available for productive investment. Interest rates also indicate the cost of using funds in different ways, assisting in decisions on how savings should be allocated (</w:t>
      </w:r>
      <w:proofErr w:type="spellStart"/>
      <w:r w:rsidRPr="00DB21FC">
        <w:rPr>
          <w:rFonts w:ascii="Times New Roman" w:eastAsia="Calibri" w:hAnsi="Times New Roman" w:cs="Times New Roman"/>
        </w:rPr>
        <w:t>Jhingan</w:t>
      </w:r>
      <w:proofErr w:type="spellEnd"/>
      <w:r w:rsidRPr="00DB21FC">
        <w:rPr>
          <w:rFonts w:ascii="Times New Roman" w:eastAsia="Calibri" w:hAnsi="Times New Roman" w:cs="Times New Roman"/>
        </w:rPr>
        <w:t>, 2002). It regulates the supply of money available for lending and influence the growth and operation of businesses and industries (</w:t>
      </w:r>
      <w:proofErr w:type="spellStart"/>
      <w:r w:rsidRPr="00DB21FC">
        <w:rPr>
          <w:rFonts w:ascii="Times New Roman" w:eastAsia="Calibri" w:hAnsi="Times New Roman" w:cs="Times New Roman"/>
        </w:rPr>
        <w:t>Mishkin</w:t>
      </w:r>
      <w:proofErr w:type="spellEnd"/>
      <w:r w:rsidRPr="00DB21FC">
        <w:rPr>
          <w:rFonts w:ascii="Times New Roman" w:eastAsia="Calibri" w:hAnsi="Times New Roman" w:cs="Times New Roman"/>
        </w:rPr>
        <w:t xml:space="preserve">, 2019). It serves as a vital tool for monetary authorities in </w:t>
      </w:r>
      <w:r w:rsidRPr="00DB21FC">
        <w:rPr>
          <w:rFonts w:ascii="Times New Roman" w:eastAsia="Calibri" w:hAnsi="Times New Roman" w:cs="Times New Roman"/>
        </w:rPr>
        <w:lastRenderedPageBreak/>
        <w:t>managing inflation, deflation, and the movement of capital within the economy (</w:t>
      </w:r>
      <w:proofErr w:type="spellStart"/>
      <w:r w:rsidRPr="00DB21FC">
        <w:rPr>
          <w:rFonts w:ascii="Times New Roman" w:eastAsia="Calibri" w:hAnsi="Times New Roman" w:cs="Times New Roman"/>
        </w:rPr>
        <w:t>Cecchetti</w:t>
      </w:r>
      <w:proofErr w:type="spellEnd"/>
      <w:r w:rsidRPr="00DB21FC">
        <w:rPr>
          <w:rFonts w:ascii="Times New Roman" w:eastAsia="Calibri" w:hAnsi="Times New Roman" w:cs="Times New Roman"/>
        </w:rPr>
        <w:t xml:space="preserve"> &amp; </w:t>
      </w:r>
      <w:proofErr w:type="spellStart"/>
      <w:r w:rsidRPr="00DB21FC">
        <w:rPr>
          <w:rFonts w:ascii="Times New Roman" w:eastAsia="Calibri" w:hAnsi="Times New Roman" w:cs="Times New Roman"/>
        </w:rPr>
        <w:t>Schoenholtz</w:t>
      </w:r>
      <w:proofErr w:type="spellEnd"/>
      <w:r w:rsidRPr="00DB21FC">
        <w:rPr>
          <w:rFonts w:ascii="Times New Roman" w:eastAsia="Calibri" w:hAnsi="Times New Roman" w:cs="Times New Roman"/>
        </w:rPr>
        <w:t>, 2021).</w:t>
      </w:r>
    </w:p>
    <w:p w:rsidR="00BE44CE" w:rsidRPr="00DB21FC" w:rsidRDefault="00BE44CE" w:rsidP="005A37C1">
      <w:pPr>
        <w:spacing w:before="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bCs/>
        </w:rPr>
        <w:t>2.2 Theoretical review</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bCs/>
        </w:rPr>
        <w:t xml:space="preserve">2.2.1 </w:t>
      </w:r>
      <w:proofErr w:type="spellStart"/>
      <w:r w:rsidRPr="00DB21FC">
        <w:rPr>
          <w:rFonts w:ascii="Times New Roman" w:eastAsia="Calibri" w:hAnsi="Times New Roman" w:cs="Times New Roman"/>
          <w:b/>
          <w:bCs/>
        </w:rPr>
        <w:t>Mundel-Flemming</w:t>
      </w:r>
      <w:proofErr w:type="spellEnd"/>
      <w:r w:rsidRPr="00DB21FC">
        <w:rPr>
          <w:rFonts w:ascii="Times New Roman" w:eastAsia="Calibri" w:hAnsi="Times New Roman" w:cs="Times New Roman"/>
          <w:b/>
          <w:bCs/>
        </w:rPr>
        <w:t xml:space="preserve"> Model</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The Mundell-Fleming model was independently developed by Robert Mundell (1963) and Marcus Fleming (1962). It extends the traditional IS-LM framework by including the balance of payments, making it suitable for analyzing small open economies that trade goods, services, and financial assets internationally (</w:t>
      </w:r>
      <w:proofErr w:type="spellStart"/>
      <w:r w:rsidRPr="00DB21FC">
        <w:rPr>
          <w:rFonts w:ascii="Times New Roman" w:eastAsia="Calibri" w:hAnsi="Times New Roman" w:cs="Times New Roman"/>
        </w:rPr>
        <w:t>Frenkel</w:t>
      </w:r>
      <w:proofErr w:type="spellEnd"/>
      <w:r w:rsidRPr="00DB21FC">
        <w:rPr>
          <w:rFonts w:ascii="Times New Roman" w:eastAsia="Calibri" w:hAnsi="Times New Roman" w:cs="Times New Roman"/>
        </w:rPr>
        <w:t xml:space="preserve"> &amp; </w:t>
      </w:r>
      <w:proofErr w:type="spellStart"/>
      <w:r w:rsidRPr="00DB21FC">
        <w:rPr>
          <w:rFonts w:ascii="Times New Roman" w:eastAsia="Calibri" w:hAnsi="Times New Roman" w:cs="Times New Roman"/>
        </w:rPr>
        <w:t>Razin</w:t>
      </w:r>
      <w:proofErr w:type="spellEnd"/>
      <w:r w:rsidRPr="00DB21FC">
        <w:rPr>
          <w:rFonts w:ascii="Times New Roman" w:eastAsia="Calibri" w:hAnsi="Times New Roman" w:cs="Times New Roman"/>
        </w:rPr>
        <w:t>, 1987). The model assumes that domestic interest rates are equal to world interest rates under perfect capital mobility (Wang, 2013).</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In a fixed exchange rate system with perfect capital mobility, monetary policy has limited effect because the central bank must maintain the exchange rate, keeping output largely unchanged (Mankiw, 2014). However, fiscal policy can influence the economy: expansionary fiscal policy raises domestic interest rates, attracts foreign capital, and causes the exchange rate to appreciate, stimulating economic activity (Economics Discussion, 2016).</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Under a flexible exchange rate with perfect capital mobility, the exchange rate adjusts freely based on supply and demand. The central bank can use interest rates to influence output. For example, expansionary monetary policy lowers interest rates, which may cause capital outflows, lead to currency depreciation, increase net exports, and boost domestic output (Mankiw, 2014; Lev Lafayette, 2019).</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Extensions of the model also highlight the role of financial investors seeking the highest international returns. At equilibrium, the interest parity condition must hold, and capital flows respond to interest rate differentials (Blanchard, 2000, as cited in Fan &amp; Fan, 2002; Taylor, </w:t>
      </w:r>
      <w:r w:rsidRPr="00DB21FC">
        <w:rPr>
          <w:rFonts w:ascii="Times New Roman" w:eastAsia="Calibri" w:hAnsi="Times New Roman" w:cs="Times New Roman"/>
        </w:rPr>
        <w:lastRenderedPageBreak/>
        <w:t>2004). Overall, the model shows that the effects of fiscal and monetary policy largely depend on the type of exchange rate regime and the degree of capital mobility.</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bCs/>
        </w:rPr>
        <w:t>2.2.2 Purchasing Power Parity (PPP) theory</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The theory of Purchasing Power Parity (PPP) is generally attributed to Cassel (1920), although the concept dates back to early 19th-century British economists (Rogoff, 1996). PPP proposes that the exchange rate between two currencies should equalize price levels in both countries when measured in a common currency. This is known as </w:t>
      </w:r>
      <w:r w:rsidRPr="00DB21FC">
        <w:rPr>
          <w:rFonts w:ascii="Times New Roman" w:eastAsia="Calibri" w:hAnsi="Times New Roman" w:cs="Times New Roman"/>
          <w:bCs/>
        </w:rPr>
        <w:t>absolute PPP</w:t>
      </w:r>
      <w:r w:rsidRPr="00DB21FC">
        <w:rPr>
          <w:rFonts w:ascii="Times New Roman" w:eastAsia="Calibri" w:hAnsi="Times New Roman" w:cs="Times New Roman"/>
        </w:rPr>
        <w:t>, which implies that a unit of currency should purchase the same quantity of goods in different countries (</w:t>
      </w:r>
      <w:proofErr w:type="spellStart"/>
      <w:r w:rsidRPr="00DB21FC">
        <w:rPr>
          <w:rFonts w:ascii="Times New Roman" w:eastAsia="Calibri" w:hAnsi="Times New Roman" w:cs="Times New Roman"/>
        </w:rPr>
        <w:t>Frenkel</w:t>
      </w:r>
      <w:proofErr w:type="spellEnd"/>
      <w:r w:rsidRPr="00DB21FC">
        <w:rPr>
          <w:rFonts w:ascii="Times New Roman" w:eastAsia="Calibri" w:hAnsi="Times New Roman" w:cs="Times New Roman"/>
        </w:rPr>
        <w:t>, 1981).</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Cs/>
        </w:rPr>
        <w:t>Relative PPP</w:t>
      </w:r>
      <w:r w:rsidRPr="00DB21FC">
        <w:rPr>
          <w:rFonts w:ascii="Times New Roman" w:eastAsia="Calibri" w:hAnsi="Times New Roman" w:cs="Times New Roman"/>
        </w:rPr>
        <w:t>, on the other hand, states that the rate at which one currency depreciates or appreciates relative to another depends on the difference in inflation rates between the countries (Taylor, 2002). The nominal exchange rate shows the value of one currency in terms of another, while the real exchange rate adjusts for price differences across countries (Officer, 1996). When PPP holds, the real exchange rate remains stable; deviations indicate that PPP does not hold.</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PPP is based on the principle that traders respond to price differences between countries. In the long run, identical goods should sell for the same price worldwide. Exchange rates adjust to eliminate opportunities for arbitrage, assuming markets are competitive and there are no trade barriers, transport costs, or transaction costs (Rogoff, 1996; </w:t>
      </w:r>
      <w:proofErr w:type="spellStart"/>
      <w:r w:rsidRPr="00DB21FC">
        <w:rPr>
          <w:rFonts w:ascii="Times New Roman" w:eastAsia="Calibri" w:hAnsi="Times New Roman" w:cs="Times New Roman"/>
        </w:rPr>
        <w:t>Idaka</w:t>
      </w:r>
      <w:proofErr w:type="spellEnd"/>
      <w:r w:rsidRPr="00DB21FC">
        <w:rPr>
          <w:rFonts w:ascii="Times New Roman" w:eastAsia="Calibri" w:hAnsi="Times New Roman" w:cs="Times New Roman"/>
        </w:rPr>
        <w:t xml:space="preserve"> et al., 2021). Overall, PPP is a key theory for explaining long-term exchange rate movements and is widely used in economic analysis, research, and policymaking.</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bCs/>
        </w:rPr>
        <w:t>2.2.3 The monetary theory</w:t>
      </w:r>
    </w:p>
    <w:p w:rsidR="00BE44CE" w:rsidRPr="00DB21FC" w:rsidRDefault="00BE44CE" w:rsidP="005A37C1">
      <w:pPr>
        <w:spacing w:before="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 xml:space="preserve">The monetary theory of exchange rate determination is a widely recognized approach in international economics and finance. It is associated with the monetarist school, which emphasizes the role of money in influencing economic activity (Friedman, 1956). According to </w:t>
      </w:r>
      <w:r w:rsidRPr="00DB21FC">
        <w:rPr>
          <w:rFonts w:ascii="Times New Roman" w:eastAsia="Calibri" w:hAnsi="Times New Roman" w:cs="Times New Roman"/>
          <w:bCs/>
        </w:rPr>
        <w:lastRenderedPageBreak/>
        <w:t>this theory, exchange rate movements are largely driven by changes in the money supply across countries. Exchange rates respond to factors that affect the demand and supply of money, which in turn influence a country’s external position, such as its balance of payments (</w:t>
      </w:r>
      <w:proofErr w:type="spellStart"/>
      <w:r w:rsidRPr="00DB21FC">
        <w:rPr>
          <w:rFonts w:ascii="Times New Roman" w:eastAsia="Calibri" w:hAnsi="Times New Roman" w:cs="Times New Roman"/>
          <w:bCs/>
        </w:rPr>
        <w:t>Akpansung</w:t>
      </w:r>
      <w:proofErr w:type="spellEnd"/>
      <w:r w:rsidRPr="00DB21FC">
        <w:rPr>
          <w:rFonts w:ascii="Times New Roman" w:eastAsia="Calibri" w:hAnsi="Times New Roman" w:cs="Times New Roman"/>
          <w:bCs/>
        </w:rPr>
        <w:t>, 2013).</w:t>
      </w:r>
    </w:p>
    <w:p w:rsidR="00BE44CE" w:rsidRPr="00DB21FC" w:rsidRDefault="00BE44CE" w:rsidP="005A37C1">
      <w:pPr>
        <w:spacing w:before="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For example, an increase in demand for a country’s currency may lead to a balance of payments surplus, while an expansion in money supply without a corresponding rise in demand may result in a deficit (</w:t>
      </w:r>
      <w:proofErr w:type="spellStart"/>
      <w:r w:rsidRPr="00DB21FC">
        <w:rPr>
          <w:rFonts w:ascii="Times New Roman" w:eastAsia="Calibri" w:hAnsi="Times New Roman" w:cs="Times New Roman"/>
          <w:bCs/>
        </w:rPr>
        <w:t>Mishkin</w:t>
      </w:r>
      <w:proofErr w:type="spellEnd"/>
      <w:r w:rsidRPr="00DB21FC">
        <w:rPr>
          <w:rFonts w:ascii="Times New Roman" w:eastAsia="Calibri" w:hAnsi="Times New Roman" w:cs="Times New Roman"/>
          <w:bCs/>
        </w:rPr>
        <w:t>, 2019). The theory suggests that exchange rate changes are primarily a monetary phenomenon, and imbalances in the balance of payments can be corrected by adjusting monetary variables, especially domestic credit, as long as the exchange rate is fixed and the central bank does not sterilize capital flows (</w:t>
      </w:r>
      <w:proofErr w:type="spellStart"/>
      <w:r w:rsidRPr="00DB21FC">
        <w:rPr>
          <w:rFonts w:ascii="Times New Roman" w:eastAsia="Calibri" w:hAnsi="Times New Roman" w:cs="Times New Roman"/>
          <w:bCs/>
        </w:rPr>
        <w:t>Akpansung</w:t>
      </w:r>
      <w:proofErr w:type="spellEnd"/>
      <w:r w:rsidRPr="00DB21FC">
        <w:rPr>
          <w:rFonts w:ascii="Times New Roman" w:eastAsia="Calibri" w:hAnsi="Times New Roman" w:cs="Times New Roman"/>
          <w:bCs/>
        </w:rPr>
        <w:t>, 2013).</w:t>
      </w:r>
    </w:p>
    <w:p w:rsidR="00BE44CE" w:rsidRPr="00DB21FC" w:rsidRDefault="00BE44CE" w:rsidP="005A37C1">
      <w:pPr>
        <w:spacing w:before="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The model also assumes that money supply is endogenous, meaning it depends on changes in a country’s international reserves. Variations in reserves affect the central bank’s liabilities and the domestic money supply, causing temporary imbalances in the money market. However, without government intervention, these imbalances are expected to self-correct as the demand and supply of money return to equilibrium (</w:t>
      </w:r>
      <w:proofErr w:type="spellStart"/>
      <w:r w:rsidRPr="00DB21FC">
        <w:rPr>
          <w:rFonts w:ascii="Times New Roman" w:eastAsia="Calibri" w:hAnsi="Times New Roman" w:cs="Times New Roman"/>
          <w:bCs/>
        </w:rPr>
        <w:t>Frenkel</w:t>
      </w:r>
      <w:proofErr w:type="spellEnd"/>
      <w:r w:rsidRPr="00DB21FC">
        <w:rPr>
          <w:rFonts w:ascii="Times New Roman" w:eastAsia="Calibri" w:hAnsi="Times New Roman" w:cs="Times New Roman"/>
          <w:bCs/>
        </w:rPr>
        <w:t xml:space="preserve"> &amp; Johnson, 1976).</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rPr>
        <w:t>2.2.4 The Balance of Payment Theory</w:t>
      </w:r>
      <w:r w:rsidRPr="00DB21FC">
        <w:rPr>
          <w:rFonts w:ascii="Times New Roman" w:eastAsia="Calibri" w:hAnsi="Times New Roman" w:cs="Times New Roman"/>
        </w:rPr>
        <w:t xml:space="preserve">: </w:t>
      </w:r>
    </w:p>
    <w:p w:rsidR="00BE44CE" w:rsidRPr="00DB21FC" w:rsidRDefault="00BE44CE" w:rsidP="005A37C1">
      <w:pPr>
        <w:spacing w:before="0" w:beforeAutospacing="0" w:line="480" w:lineRule="auto"/>
        <w:contextualSpacing/>
        <w:jc w:val="both"/>
        <w:rPr>
          <w:rFonts w:ascii="Times New Roman" w:eastAsia="SimSun" w:hAnsi="Times New Roman" w:cs="Times New Roman"/>
        </w:rPr>
      </w:pPr>
      <w:r w:rsidRPr="00DB21FC">
        <w:rPr>
          <w:rFonts w:ascii="Times New Roman" w:eastAsia="SimSun" w:hAnsi="Times New Roman" w:cs="Times New Roman"/>
        </w:rPr>
        <w:t>The Balance of Payments (BOP) theory explains that a country’s exchange rate is influenced by the demand and supply of foreign currency arising from international trade and financial transactions (Krugman &amp; Obstfeld, 2018). When a country runs a trade surplus, its currency tends to appreciate because foreign buyers need its currency to pay for goods and services. Conversely, a trade deficit often leads to currency depreciation as demand for the domestic currency declines (Salvatore, 2019).</w:t>
      </w:r>
    </w:p>
    <w:p w:rsidR="00BE44CE" w:rsidRPr="00DB21FC" w:rsidRDefault="00BE44CE" w:rsidP="005A37C1">
      <w:pPr>
        <w:spacing w:before="0" w:beforeAutospacing="0" w:line="480" w:lineRule="auto"/>
        <w:contextualSpacing/>
        <w:jc w:val="both"/>
        <w:rPr>
          <w:rFonts w:ascii="Times New Roman" w:eastAsia="SimSun" w:hAnsi="Times New Roman" w:cs="Times New Roman"/>
        </w:rPr>
      </w:pPr>
      <w:r w:rsidRPr="00DB21FC">
        <w:rPr>
          <w:rFonts w:ascii="Times New Roman" w:eastAsia="SimSun" w:hAnsi="Times New Roman" w:cs="Times New Roman"/>
        </w:rPr>
        <w:lastRenderedPageBreak/>
        <w:t>The theory highlights that factors such as exports, capital inflows, and remittances strengthen a nation’s currency, while high imports and debt repayments weaken it (Madura, 2021). Currency depreciation can sometimes support economic growth by making exports cheaper and imports more expensive, which improves the trade balance. However, persistent deficits and ongoing depreciation can trigger inflation, reduce investor confidence, and negatively affect economic stability.</w:t>
      </w:r>
    </w:p>
    <w:p w:rsidR="00E36A79" w:rsidRPr="00DB21FC" w:rsidRDefault="00BE44CE" w:rsidP="005A37C1">
      <w:pPr>
        <w:spacing w:before="0" w:beforeAutospacing="0" w:line="480" w:lineRule="auto"/>
        <w:contextualSpacing/>
        <w:jc w:val="both"/>
        <w:rPr>
          <w:rFonts w:ascii="Times New Roman" w:eastAsia="SimSun" w:hAnsi="Times New Roman" w:cs="Times New Roman"/>
        </w:rPr>
      </w:pPr>
      <w:r w:rsidRPr="00DB21FC">
        <w:rPr>
          <w:rFonts w:ascii="Times New Roman" w:eastAsia="SimSun" w:hAnsi="Times New Roman" w:cs="Times New Roman"/>
        </w:rPr>
        <w:t>In Nigeria, the BOP theory is particularly relevant due to the country’s heavy dependence on oil exports, which account for over 90% of foreign exchange earnings. When global oil prices are high, Nigeria experiences trade surpluses, currency stability, or even appreciation. Conversely, when oil prices fall, the country faces trade deficits, naira depreciation, and economic contraction. For example, during the 2015-2016 oil price collapse, Nigeria experienced significant naira depreciation, rising inflation, and a recession (Central Bank of Nigeria, 2016).</w:t>
      </w:r>
    </w:p>
    <w:p w:rsidR="00BE44CE" w:rsidRPr="00DB21FC" w:rsidRDefault="00BE44CE" w:rsidP="005A37C1">
      <w:pPr>
        <w:spacing w:before="0" w:beforeAutospacing="0" w:line="480" w:lineRule="auto"/>
        <w:contextualSpacing/>
        <w:jc w:val="both"/>
        <w:rPr>
          <w:rFonts w:ascii="Times New Roman" w:eastAsia="SimSun" w:hAnsi="Times New Roman" w:cs="Times New Roman"/>
        </w:rPr>
      </w:pPr>
      <w:r w:rsidRPr="00DB21FC">
        <w:rPr>
          <w:rStyle w:val="15"/>
          <w:rFonts w:eastAsia="SimSun"/>
        </w:rPr>
        <w:t>2.2.5</w:t>
      </w:r>
      <w:r w:rsidRPr="00DB21FC">
        <w:rPr>
          <w:rStyle w:val="15"/>
          <w:rFonts w:eastAsia="SimSun"/>
        </w:rPr>
        <w:tab/>
      </w:r>
      <w:r w:rsidRPr="00DB21FC">
        <w:rPr>
          <w:rFonts w:ascii="Times New Roman" w:eastAsia="Calibri" w:hAnsi="Times New Roman" w:cs="Times New Roman"/>
          <w:b/>
        </w:rPr>
        <w:t>Neo-classical Growth Model (Solow growth theory)</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The concept of economic growth as an increase in a country’s stock of capital goods is central to the Solow–Swan Growth Model, developed by Robert Solow and Trevor Swan in the 1950s (Solow, 1956; Swan, 1956). The model explains how labor, capital, output, and investment interact to drive long-term growth. It emphasizes that technological progress is a crucial factor in sustaining growth, often more important than simply increasing capital.</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 xml:space="preserve">The Solow–Swan model assumes that resources are used efficiently and that both labor and capital face diminishing returns. This implies that adding more capital or labor eventually results in smaller increases in output. However, technological innovation allows countries to grow beyond this steady-state level. In the long run, output per capita depends on the savings rate, but growth rates should theoretically converge across countries, regardless of differences in savings </w:t>
      </w:r>
      <w:r w:rsidRPr="00DB21FC">
        <w:rPr>
          <w:rFonts w:ascii="Times New Roman" w:eastAsia="Calibri" w:hAnsi="Times New Roman" w:cs="Times New Roman"/>
          <w:bCs/>
        </w:rPr>
        <w:lastRenderedPageBreak/>
        <w:t>(</w:t>
      </w:r>
      <w:proofErr w:type="spellStart"/>
      <w:r w:rsidRPr="00DB21FC">
        <w:rPr>
          <w:rFonts w:ascii="Times New Roman" w:eastAsia="Calibri" w:hAnsi="Times New Roman" w:cs="Times New Roman"/>
          <w:bCs/>
        </w:rPr>
        <w:t>Barro</w:t>
      </w:r>
      <w:proofErr w:type="spellEnd"/>
      <w:r w:rsidRPr="00DB21FC">
        <w:rPr>
          <w:rFonts w:ascii="Times New Roman" w:eastAsia="Calibri" w:hAnsi="Times New Roman" w:cs="Times New Roman"/>
          <w:bCs/>
        </w:rPr>
        <w:t xml:space="preserve"> &amp; Sala-</w:t>
      </w:r>
      <w:proofErr w:type="spellStart"/>
      <w:r w:rsidRPr="00DB21FC">
        <w:rPr>
          <w:rFonts w:ascii="Times New Roman" w:eastAsia="Calibri" w:hAnsi="Times New Roman" w:cs="Times New Roman"/>
          <w:bCs/>
        </w:rPr>
        <w:t>i</w:t>
      </w:r>
      <w:proofErr w:type="spellEnd"/>
      <w:r w:rsidRPr="00DB21FC">
        <w:rPr>
          <w:rFonts w:ascii="Times New Roman" w:eastAsia="Calibri" w:hAnsi="Times New Roman" w:cs="Times New Roman"/>
          <w:bCs/>
        </w:rPr>
        <w:t>-Martin, 2004). Continuous growth beyond the steady state is driven by technological improvement, which increases the productive capacity of existing resources.</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Cs/>
        </w:rPr>
      </w:pPr>
      <w:r w:rsidRPr="00DB21FC">
        <w:rPr>
          <w:rFonts w:ascii="Times New Roman" w:eastAsia="Calibri" w:hAnsi="Times New Roman" w:cs="Times New Roman"/>
          <w:bCs/>
        </w:rPr>
        <w:t>In practice, growth rates do not always converge as predicted. Poorer countries often fail to grow faster than richer ones due to structural, institutional, or policy constraints (</w:t>
      </w:r>
      <w:proofErr w:type="spellStart"/>
      <w:r w:rsidRPr="00DB21FC">
        <w:rPr>
          <w:rFonts w:ascii="Times New Roman" w:eastAsia="Calibri" w:hAnsi="Times New Roman" w:cs="Times New Roman"/>
          <w:bCs/>
        </w:rPr>
        <w:t>Acemoglu</w:t>
      </w:r>
      <w:proofErr w:type="spellEnd"/>
      <w:r w:rsidRPr="00DB21FC">
        <w:rPr>
          <w:rFonts w:ascii="Times New Roman" w:eastAsia="Calibri" w:hAnsi="Times New Roman" w:cs="Times New Roman"/>
          <w:bCs/>
        </w:rPr>
        <w:t>, Johnson &amp; Robinson, 2001). In Nigeria, capital formation particularly for machinery, raw materials, and production inputs is strongly affected by exchange rate movements. Depreciation of the naira raises the cost of imported capital goods, discouraging investment and slowing economic growth. Conversely, a stable exchange rate supports productivity, encourages investment, and attracts foreign direct investment (FDI), all of which promote long-term economic development (CBN, 2020).</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
        </w:rPr>
      </w:pPr>
      <w:r w:rsidRPr="00DB21FC">
        <w:rPr>
          <w:rFonts w:ascii="Times New Roman" w:eastAsia="Calibri" w:hAnsi="Times New Roman" w:cs="Times New Roman"/>
          <w:b/>
        </w:rPr>
        <w:t>2.2.6</w:t>
      </w:r>
      <w:r w:rsidRPr="00DB21FC">
        <w:rPr>
          <w:rFonts w:ascii="Times New Roman" w:eastAsia="Calibri" w:hAnsi="Times New Roman" w:cs="Times New Roman"/>
          <w:b/>
        </w:rPr>
        <w:tab/>
        <w:t>Endogenous Growth Model</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The Endogenous Growth Model was developed to address the limitations of the Neoclassical Growth Model, originally formulated by Robert Solow (1956) and Trevor Swan (1956). The neoclassical model emphasized capital accumulation, labor, and exogenous technological progress, but it could not fully explain persistent long-term growth or the effects of policy interventions. Unlike the neoclassical model, which assumes that technological progress occurs outside the economy, the endogenous growth theory explains how growth can originate from within an economy through investment in knowledge, innovation, and human capital (</w:t>
      </w:r>
      <w:proofErr w:type="spellStart"/>
      <w:r w:rsidRPr="00DB21FC">
        <w:rPr>
          <w:rFonts w:ascii="Times New Roman" w:eastAsia="Calibri" w:hAnsi="Times New Roman" w:cs="Times New Roman"/>
        </w:rPr>
        <w:t>Romer</w:t>
      </w:r>
      <w:proofErr w:type="spellEnd"/>
      <w:r w:rsidRPr="00DB21FC">
        <w:rPr>
          <w:rFonts w:ascii="Times New Roman" w:eastAsia="Calibri" w:hAnsi="Times New Roman" w:cs="Times New Roman"/>
        </w:rPr>
        <w:t>, 1986; Lucas, 1988).</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To overcome the problem of diminishing returns to capital in the neoclassical model, economists proposed two main approaches. The first treats physical capital, human capital, and knowledge as forms of reproducible capital capable of sustaining long-term growth (</w:t>
      </w:r>
      <w:proofErr w:type="spellStart"/>
      <w:r w:rsidRPr="00DB21FC">
        <w:rPr>
          <w:rFonts w:ascii="Times New Roman" w:eastAsia="Calibri" w:hAnsi="Times New Roman" w:cs="Times New Roman"/>
        </w:rPr>
        <w:t>Romer</w:t>
      </w:r>
      <w:proofErr w:type="spellEnd"/>
      <w:r w:rsidRPr="00DB21FC">
        <w:rPr>
          <w:rFonts w:ascii="Times New Roman" w:eastAsia="Calibri" w:hAnsi="Times New Roman" w:cs="Times New Roman"/>
        </w:rPr>
        <w:t xml:space="preserve">, 1986; Lucas, 1988). The second focuses on spillover effects, where the activities of one firm or individual </w:t>
      </w:r>
      <w:r w:rsidRPr="00DB21FC">
        <w:rPr>
          <w:rFonts w:ascii="Times New Roman" w:eastAsia="Calibri" w:hAnsi="Times New Roman" w:cs="Times New Roman"/>
        </w:rPr>
        <w:lastRenderedPageBreak/>
        <w:t xml:space="preserve">benefit others in the economy. </w:t>
      </w:r>
      <w:proofErr w:type="spellStart"/>
      <w:r w:rsidRPr="00DB21FC">
        <w:rPr>
          <w:rFonts w:ascii="Times New Roman" w:eastAsia="Calibri" w:hAnsi="Times New Roman" w:cs="Times New Roman"/>
        </w:rPr>
        <w:t>Romer</w:t>
      </w:r>
      <w:proofErr w:type="spellEnd"/>
      <w:r w:rsidRPr="00DB21FC">
        <w:rPr>
          <w:rFonts w:ascii="Times New Roman" w:eastAsia="Calibri" w:hAnsi="Times New Roman" w:cs="Times New Roman"/>
        </w:rPr>
        <w:t xml:space="preserve"> (1986) demonstrated that while individual firms may face diminishing returns from knowledge investment, society as a whole benefits from increasing returns because knowledge diffuses and creates positive externalities.</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Lucas (1988) highlighted the importance of human capital, including education, skills, and training, in improving productivity. He noted that while individuals gain from investing in education, society gains even more, as human capital generates widespread productivity improvements. In competitive markets, underinvestment in education can cause actual growth rates to fall below potential levels.</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Overall, the endogenous growth theory underscores that knowledge and human capital are critical drivers of sustainable economic growth. It also supports policies that promote education, innovation, and research, which increase productivity and accelerate development (</w:t>
      </w:r>
      <w:proofErr w:type="spellStart"/>
      <w:r w:rsidRPr="00DB21FC">
        <w:rPr>
          <w:rFonts w:ascii="Times New Roman" w:eastAsia="Calibri" w:hAnsi="Times New Roman" w:cs="Times New Roman"/>
        </w:rPr>
        <w:t>Aghion</w:t>
      </w:r>
      <w:proofErr w:type="spellEnd"/>
      <w:r w:rsidRPr="00DB21FC">
        <w:rPr>
          <w:rFonts w:ascii="Times New Roman" w:eastAsia="Calibri" w:hAnsi="Times New Roman" w:cs="Times New Roman"/>
        </w:rPr>
        <w:t xml:space="preserve"> &amp; Howitt, 1998). In Nigeria, fluctuations in the exchange rate influence the ability to import technology and research inputs, which are vital for innovation. Because Nigeria depends heavily on imported machinery, software, and scientific materials, depreciation of the naira raises costs, slowing technological progress and economic growth. Additionally, competition over limited resources and cross-border trade pressures highlight the importance of exchange rate stability and regional cooperation for long-term development.</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bCs/>
        </w:rPr>
        <w:t xml:space="preserve">2.2.7 Relationship </w:t>
      </w:r>
      <w:r w:rsidR="00A74848" w:rsidRPr="00DB21FC">
        <w:rPr>
          <w:rFonts w:ascii="Times New Roman" w:eastAsia="Calibri" w:hAnsi="Times New Roman" w:cs="Times New Roman"/>
          <w:b/>
          <w:bCs/>
        </w:rPr>
        <w:t>between</w:t>
      </w:r>
      <w:r w:rsidRPr="00DB21FC">
        <w:rPr>
          <w:rFonts w:ascii="Times New Roman" w:eastAsia="Calibri" w:hAnsi="Times New Roman" w:cs="Times New Roman"/>
          <w:b/>
          <w:bCs/>
        </w:rPr>
        <w:t xml:space="preserve"> Exchange Rate </w:t>
      </w:r>
      <w:r w:rsidR="00A74848" w:rsidRPr="00DB21FC">
        <w:rPr>
          <w:rFonts w:ascii="Times New Roman" w:eastAsia="Calibri" w:hAnsi="Times New Roman" w:cs="Times New Roman"/>
          <w:b/>
          <w:bCs/>
        </w:rPr>
        <w:t>and</w:t>
      </w:r>
      <w:r w:rsidRPr="00DB21FC">
        <w:rPr>
          <w:rFonts w:ascii="Times New Roman" w:eastAsia="Calibri" w:hAnsi="Times New Roman" w:cs="Times New Roman"/>
          <w:b/>
          <w:bCs/>
        </w:rPr>
        <w:t xml:space="preserve"> Selected Macroeconomic Variables</w:t>
      </w:r>
      <w:r w:rsidRPr="00DB21FC">
        <w:rPr>
          <w:rFonts w:ascii="Times New Roman" w:eastAsia="Calibri" w:hAnsi="Times New Roman" w:cs="Times New Roman"/>
        </w:rPr>
        <w:t xml:space="preserve"> </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
          <w:bCs/>
        </w:rPr>
        <w:t xml:space="preserve">Exchange rate and interest rate: </w:t>
      </w:r>
      <w:r w:rsidRPr="00DB21FC">
        <w:rPr>
          <w:rFonts w:ascii="Times New Roman" w:eastAsia="Calibri" w:hAnsi="Times New Roman" w:cs="Times New Roman"/>
        </w:rPr>
        <w:t>The relationship between exchange rate and interest rate is well illustrated in the Mundell-Fleming model, which assumes free capital mobility across countries (Mundell 1963</w:t>
      </w:r>
      <w:proofErr w:type="gramStart"/>
      <w:r w:rsidRPr="00DB21FC">
        <w:rPr>
          <w:rFonts w:ascii="Times New Roman" w:eastAsia="Calibri" w:hAnsi="Times New Roman" w:cs="Times New Roman"/>
        </w:rPr>
        <w:t>; </w:t>
      </w:r>
      <w:proofErr w:type="gramEnd"/>
      <w:r w:rsidRPr="00DB21FC">
        <w:rPr>
          <w:rFonts w:ascii="Times New Roman" w:eastAsia="Calibri" w:hAnsi="Times New Roman" w:cs="Times New Roman"/>
        </w:rPr>
        <w:t>Fleming 1962; Weeks 2008). According to the model, when domestic interest rates exceed world interest rates, foreign capital flows into the country. This increases demand for the domestic currency, causing it to appreciate (</w:t>
      </w:r>
      <w:proofErr w:type="spellStart"/>
      <w:r w:rsidRPr="00DB21FC">
        <w:rPr>
          <w:rFonts w:ascii="Times New Roman" w:eastAsia="Calibri" w:hAnsi="Times New Roman" w:cs="Times New Roman"/>
        </w:rPr>
        <w:t>Ajogbeje</w:t>
      </w:r>
      <w:proofErr w:type="spellEnd"/>
      <w:r w:rsidRPr="00DB21FC">
        <w:rPr>
          <w:rFonts w:ascii="Times New Roman" w:eastAsia="Calibri" w:hAnsi="Times New Roman" w:cs="Times New Roman"/>
        </w:rPr>
        <w:t xml:space="preserve"> et al. 2019). On the other </w:t>
      </w:r>
      <w:r w:rsidRPr="00DB21FC">
        <w:rPr>
          <w:rFonts w:ascii="Times New Roman" w:eastAsia="Calibri" w:hAnsi="Times New Roman" w:cs="Times New Roman"/>
        </w:rPr>
        <w:lastRenderedPageBreak/>
        <w:t>hand, if domestic interest rates fall below world rates, capital may exit, leading to currency depreciation. In a fixed exchange</w:t>
      </w:r>
      <w:r w:rsidRPr="00DB21FC">
        <w:rPr>
          <w:rFonts w:ascii="Times New Roman" w:eastAsia="Calibri" w:hAnsi="Times New Roman" w:cs="Times New Roman"/>
        </w:rPr>
        <w:noBreakHyphen/>
        <w:t>rate regime, the central bank intervenes to keep the rate stable; under a flexible regime, the rate is allowed to adjust according to market forces (</w:t>
      </w:r>
      <w:proofErr w:type="spellStart"/>
      <w:r w:rsidRPr="00DB21FC">
        <w:rPr>
          <w:rFonts w:ascii="Times New Roman" w:eastAsia="Calibri" w:hAnsi="Times New Roman" w:cs="Times New Roman"/>
        </w:rPr>
        <w:t>Lahiri</w:t>
      </w:r>
      <w:proofErr w:type="spellEnd"/>
      <w:r w:rsidRPr="00DB21FC">
        <w:rPr>
          <w:rFonts w:ascii="Times New Roman" w:eastAsia="Calibri" w:hAnsi="Times New Roman" w:cs="Times New Roman"/>
        </w:rPr>
        <w:t>, Singh &amp; </w:t>
      </w:r>
      <w:proofErr w:type="spellStart"/>
      <w:r w:rsidRPr="00DB21FC">
        <w:rPr>
          <w:rFonts w:ascii="Times New Roman" w:eastAsia="Calibri" w:hAnsi="Times New Roman" w:cs="Times New Roman"/>
        </w:rPr>
        <w:t>Vegh</w:t>
      </w:r>
      <w:proofErr w:type="spellEnd"/>
      <w:proofErr w:type="gramStart"/>
      <w:r w:rsidRPr="00DB21FC">
        <w:rPr>
          <w:rFonts w:ascii="Times New Roman" w:eastAsia="Calibri" w:hAnsi="Times New Roman" w:cs="Times New Roman"/>
        </w:rPr>
        <w:t>, </w:t>
      </w:r>
      <w:proofErr w:type="gramEnd"/>
      <w:r w:rsidRPr="00DB21FC">
        <w:rPr>
          <w:rFonts w:ascii="Times New Roman" w:eastAsia="Calibri" w:hAnsi="Times New Roman" w:cs="Times New Roman"/>
        </w:rPr>
        <w:t>2006).</w:t>
      </w:r>
      <w:r w:rsidRPr="00DB21FC">
        <w:rPr>
          <w:rFonts w:ascii="Times New Roman" w:eastAsia="Calibri" w:hAnsi="Times New Roman" w:cs="Times New Roman"/>
        </w:rPr>
        <w:br/>
        <w:t>The Monetary</w:t>
      </w:r>
      <w:r w:rsidRPr="00DB21FC">
        <w:rPr>
          <w:rFonts w:ascii="Times New Roman" w:eastAsia="Calibri" w:hAnsi="Times New Roman" w:cs="Times New Roman"/>
        </w:rPr>
        <w:noBreakHyphen/>
        <w:t>Theory of Exchange</w:t>
      </w:r>
      <w:r w:rsidRPr="00DB21FC">
        <w:rPr>
          <w:rFonts w:ascii="Times New Roman" w:eastAsia="Calibri" w:hAnsi="Times New Roman" w:cs="Times New Roman"/>
        </w:rPr>
        <w:noBreakHyphen/>
        <w:t>Rate Determination adds that shifts in money supply influence interest rates, which in turn affect currency value (</w:t>
      </w:r>
      <w:proofErr w:type="spellStart"/>
      <w:r w:rsidRPr="00DB21FC">
        <w:rPr>
          <w:rFonts w:ascii="Times New Roman" w:eastAsia="Calibri" w:hAnsi="Times New Roman" w:cs="Times New Roman"/>
        </w:rPr>
        <w:t>Levacic</w:t>
      </w:r>
      <w:proofErr w:type="spellEnd"/>
      <w:r w:rsidRPr="00DB21FC">
        <w:rPr>
          <w:rFonts w:ascii="Times New Roman" w:eastAsia="Calibri" w:hAnsi="Times New Roman" w:cs="Times New Roman"/>
        </w:rPr>
        <w:t> &amp; </w:t>
      </w:r>
      <w:proofErr w:type="spellStart"/>
      <w:r w:rsidRPr="00DB21FC">
        <w:rPr>
          <w:rFonts w:ascii="Times New Roman" w:eastAsia="Calibri" w:hAnsi="Times New Roman" w:cs="Times New Roman"/>
        </w:rPr>
        <w:t>Rebmann</w:t>
      </w:r>
      <w:proofErr w:type="spellEnd"/>
      <w:r w:rsidRPr="00DB21FC">
        <w:rPr>
          <w:rFonts w:ascii="Times New Roman" w:eastAsia="Calibri" w:hAnsi="Times New Roman" w:cs="Times New Roman"/>
        </w:rPr>
        <w:t> 1982). An expanding money supply may lead to lower interest rates, reduced investment attractiveness, and currency depreciation. Reducing money supply can raise interest rates, attract foreign investment and support currency appreciation. The Balance</w:t>
      </w:r>
      <w:r w:rsidRPr="00DB21FC">
        <w:rPr>
          <w:rFonts w:ascii="Times New Roman" w:eastAsia="Calibri" w:hAnsi="Times New Roman" w:cs="Times New Roman"/>
        </w:rPr>
        <w:noBreakHyphen/>
        <w:t>of</w:t>
      </w:r>
      <w:r w:rsidRPr="00DB21FC">
        <w:rPr>
          <w:rFonts w:ascii="Times New Roman" w:eastAsia="Calibri" w:hAnsi="Times New Roman" w:cs="Times New Roman"/>
        </w:rPr>
        <w:noBreakHyphen/>
        <w:t>Payments theory similarly indicates that higher interest rates draw in foreign capital, improving the capital account and thus strengthening the currency, while lower rates may trigger outflows and cause depreciation (Krugman &amp; Obstfeld 2018).</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bCs/>
        </w:rPr>
        <w:t>Exchange Rate and Inflation.</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Exchange rate and inflation are best discussed in relation to the Purchasing Power Parity (PPP). The relationship between exchange rates and inflation is explained by the Purchasing</w:t>
      </w:r>
      <w:r w:rsidRPr="00DB21FC">
        <w:rPr>
          <w:rFonts w:ascii="Times New Roman" w:eastAsia="Calibri" w:hAnsi="Times New Roman" w:cs="Times New Roman"/>
        </w:rPr>
        <w:noBreakHyphen/>
        <w:t xml:space="preserve">Power </w:t>
      </w:r>
      <w:proofErr w:type="spellStart"/>
      <w:r w:rsidRPr="00DB21FC">
        <w:rPr>
          <w:rFonts w:ascii="Times New Roman" w:eastAsia="Calibri" w:hAnsi="Times New Roman" w:cs="Times New Roman"/>
        </w:rPr>
        <w:t>Parity</w:t>
      </w:r>
      <w:proofErr w:type="spellEnd"/>
      <w:r w:rsidRPr="00DB21FC">
        <w:rPr>
          <w:rFonts w:ascii="Times New Roman" w:eastAsia="Calibri" w:hAnsi="Times New Roman" w:cs="Times New Roman"/>
        </w:rPr>
        <w:t xml:space="preserve"> (PPP) theory. The idea originated with Gustav Cassel in the early twentieth century (</w:t>
      </w:r>
      <w:proofErr w:type="spellStart"/>
      <w:r w:rsidRPr="00DB21FC">
        <w:rPr>
          <w:rFonts w:ascii="Times New Roman" w:eastAsia="Calibri" w:hAnsi="Times New Roman" w:cs="Times New Roman"/>
        </w:rPr>
        <w:t>Fevereiro</w:t>
      </w:r>
      <w:proofErr w:type="spellEnd"/>
      <w:r w:rsidRPr="00DB21FC">
        <w:rPr>
          <w:rFonts w:ascii="Times New Roman" w:eastAsia="Calibri" w:hAnsi="Times New Roman" w:cs="Times New Roman"/>
        </w:rPr>
        <w:t xml:space="preserve"> 2019) and is reviewed in depth by </w:t>
      </w:r>
      <w:proofErr w:type="spellStart"/>
      <w:r w:rsidRPr="00DB21FC">
        <w:rPr>
          <w:rFonts w:ascii="Times New Roman" w:eastAsia="Calibri" w:hAnsi="Times New Roman" w:cs="Times New Roman"/>
        </w:rPr>
        <w:t>Sarno</w:t>
      </w:r>
      <w:proofErr w:type="spellEnd"/>
      <w:r w:rsidRPr="00DB21FC">
        <w:rPr>
          <w:rFonts w:ascii="Times New Roman" w:eastAsia="Calibri" w:hAnsi="Times New Roman" w:cs="Times New Roman"/>
        </w:rPr>
        <w:t> &amp; Taylor</w:t>
      </w:r>
      <w:proofErr w:type="gramStart"/>
      <w:r w:rsidRPr="00DB21FC">
        <w:rPr>
          <w:rFonts w:ascii="Times New Roman" w:eastAsia="Calibri" w:hAnsi="Times New Roman" w:cs="Times New Roman"/>
        </w:rPr>
        <w:t> (</w:t>
      </w:r>
      <w:proofErr w:type="gramEnd"/>
      <w:r w:rsidRPr="00DB21FC">
        <w:rPr>
          <w:rFonts w:ascii="Times New Roman" w:eastAsia="Calibri" w:hAnsi="Times New Roman" w:cs="Times New Roman"/>
        </w:rPr>
        <w:t>2002). PPP holds that the exchange rate between two currencies should reflect the relative price levels in each country when measured with a common basket of goods. The relative version of PPP states that differences in inflation rates between countries determine changes in the exchange rate (</w:t>
      </w:r>
      <w:proofErr w:type="spellStart"/>
      <w:r w:rsidRPr="00DB21FC">
        <w:rPr>
          <w:rFonts w:ascii="Times New Roman" w:eastAsia="Calibri" w:hAnsi="Times New Roman" w:cs="Times New Roman"/>
        </w:rPr>
        <w:t>Dornbusch</w:t>
      </w:r>
      <w:proofErr w:type="spellEnd"/>
      <w:r w:rsidRPr="00DB21FC">
        <w:rPr>
          <w:rFonts w:ascii="Times New Roman" w:eastAsia="Calibri" w:hAnsi="Times New Roman" w:cs="Times New Roman"/>
        </w:rPr>
        <w:t> 1985</w:t>
      </w:r>
      <w:proofErr w:type="gramStart"/>
      <w:r w:rsidRPr="00DB21FC">
        <w:rPr>
          <w:rFonts w:ascii="Times New Roman" w:eastAsia="Calibri" w:hAnsi="Times New Roman" w:cs="Times New Roman"/>
        </w:rPr>
        <w:t>; </w:t>
      </w:r>
      <w:proofErr w:type="gramEnd"/>
      <w:r w:rsidRPr="00DB21FC">
        <w:rPr>
          <w:rFonts w:ascii="Times New Roman" w:eastAsia="Calibri" w:hAnsi="Times New Roman" w:cs="Times New Roman"/>
        </w:rPr>
        <w:t>La France &amp; </w:t>
      </w:r>
      <w:proofErr w:type="spellStart"/>
      <w:r w:rsidRPr="00DB21FC">
        <w:rPr>
          <w:rFonts w:ascii="Times New Roman" w:eastAsia="Calibri" w:hAnsi="Times New Roman" w:cs="Times New Roman"/>
        </w:rPr>
        <w:t>Mésonnier</w:t>
      </w:r>
      <w:proofErr w:type="spellEnd"/>
      <w:r w:rsidRPr="00DB21FC">
        <w:rPr>
          <w:rFonts w:ascii="Times New Roman" w:eastAsia="Calibri" w:hAnsi="Times New Roman" w:cs="Times New Roman"/>
        </w:rPr>
        <w:t xml:space="preserve"> 2010). </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Under the monetary framework, increasing money supply leads to inflation and tends to weaken the currency. A depreciated currency raises import prices, which can further fuel inflation </w:t>
      </w:r>
      <w:r w:rsidRPr="00DB21FC">
        <w:rPr>
          <w:rFonts w:ascii="Times New Roman" w:eastAsia="Calibri" w:hAnsi="Times New Roman" w:cs="Times New Roman"/>
        </w:rPr>
        <w:lastRenderedPageBreak/>
        <w:t>(</w:t>
      </w:r>
      <w:proofErr w:type="spellStart"/>
      <w:r w:rsidRPr="00DB21FC">
        <w:rPr>
          <w:rFonts w:ascii="Times New Roman" w:eastAsia="Calibri" w:hAnsi="Times New Roman" w:cs="Times New Roman"/>
        </w:rPr>
        <w:t>Mishkin</w:t>
      </w:r>
      <w:proofErr w:type="spellEnd"/>
      <w:r w:rsidRPr="00DB21FC">
        <w:rPr>
          <w:rFonts w:ascii="Times New Roman" w:eastAsia="Calibri" w:hAnsi="Times New Roman" w:cs="Times New Roman"/>
        </w:rPr>
        <w:t> 2019). The BOP theory adds that high inflation reduces export competitiveness and increases reliance on imports, which worsens the trade balance and weakens the currency (Salvatore 2019). In short, stable prices and low inflation help exchange</w:t>
      </w:r>
      <w:r w:rsidRPr="00DB21FC">
        <w:rPr>
          <w:rFonts w:ascii="Times New Roman" w:eastAsia="Calibri" w:hAnsi="Times New Roman" w:cs="Times New Roman"/>
        </w:rPr>
        <w:noBreakHyphen/>
        <w:t>rate stability, while high inflation undermines it.</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bCs/>
        </w:rPr>
        <w:t>Exchange Rate and Economic Growth</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The link between exchange rate and economic growth is supported by the Solow–Swan Growth Model and the Endogenous</w:t>
      </w:r>
      <w:r w:rsidRPr="00DB21FC">
        <w:rPr>
          <w:rFonts w:ascii="Times New Roman" w:eastAsia="Calibri" w:hAnsi="Times New Roman" w:cs="Times New Roman"/>
        </w:rPr>
        <w:noBreakHyphen/>
        <w:t>Growth Theory. In the Solow–Swan model, developed by Robert Solow and Trevor Swan in 1956 (Ferrara 2025</w:t>
      </w:r>
      <w:proofErr w:type="gramStart"/>
      <w:r w:rsidRPr="00DB21FC">
        <w:rPr>
          <w:rFonts w:ascii="Times New Roman" w:eastAsia="Calibri" w:hAnsi="Times New Roman" w:cs="Times New Roman"/>
        </w:rPr>
        <w:t>; </w:t>
      </w:r>
      <w:proofErr w:type="spellStart"/>
      <w:proofErr w:type="gramEnd"/>
      <w:r w:rsidRPr="00DB21FC">
        <w:rPr>
          <w:rFonts w:ascii="Times New Roman" w:eastAsia="Calibri" w:hAnsi="Times New Roman" w:cs="Times New Roman"/>
        </w:rPr>
        <w:t>Chirwa</w:t>
      </w:r>
      <w:proofErr w:type="spellEnd"/>
      <w:r w:rsidRPr="00DB21FC">
        <w:rPr>
          <w:rFonts w:ascii="Times New Roman" w:eastAsia="Calibri" w:hAnsi="Times New Roman" w:cs="Times New Roman"/>
        </w:rPr>
        <w:t> 2013), long</w:t>
      </w:r>
      <w:r w:rsidRPr="00DB21FC">
        <w:rPr>
          <w:rFonts w:ascii="Times New Roman" w:eastAsia="Calibri" w:hAnsi="Times New Roman" w:cs="Times New Roman"/>
        </w:rPr>
        <w:noBreakHyphen/>
        <w:t xml:space="preserve">term growth is driven by capital accumulation, </w:t>
      </w:r>
      <w:proofErr w:type="spellStart"/>
      <w:r w:rsidRPr="00DB21FC">
        <w:rPr>
          <w:rFonts w:ascii="Times New Roman" w:eastAsia="Calibri" w:hAnsi="Times New Roman" w:cs="Times New Roman"/>
        </w:rPr>
        <w:t>labour</w:t>
      </w:r>
      <w:proofErr w:type="spellEnd"/>
      <w:r w:rsidRPr="00DB21FC">
        <w:rPr>
          <w:rFonts w:ascii="Times New Roman" w:eastAsia="Calibri" w:hAnsi="Times New Roman" w:cs="Times New Roman"/>
        </w:rPr>
        <w:t>, and exogenous technological progress. A stable exchange rate supports growth by reducing uncertainty around the cost of imported machinery and inputs, thus encouraging investment (</w:t>
      </w:r>
      <w:proofErr w:type="spellStart"/>
      <w:r w:rsidRPr="00DB21FC">
        <w:rPr>
          <w:rFonts w:ascii="Times New Roman" w:eastAsia="Calibri" w:hAnsi="Times New Roman" w:cs="Times New Roman"/>
        </w:rPr>
        <w:t>Barro</w:t>
      </w:r>
      <w:proofErr w:type="spellEnd"/>
      <w:r w:rsidRPr="00DB21FC">
        <w:rPr>
          <w:rFonts w:ascii="Times New Roman" w:eastAsia="Calibri" w:hAnsi="Times New Roman" w:cs="Times New Roman"/>
        </w:rPr>
        <w:t> &amp; Sala</w:t>
      </w:r>
      <w:r w:rsidRPr="00DB21FC">
        <w:rPr>
          <w:rFonts w:ascii="Times New Roman" w:eastAsia="Calibri" w:hAnsi="Times New Roman" w:cs="Times New Roman"/>
        </w:rPr>
        <w:noBreakHyphen/>
      </w:r>
      <w:proofErr w:type="spellStart"/>
      <w:r w:rsidRPr="00DB21FC">
        <w:rPr>
          <w:rFonts w:ascii="Times New Roman" w:eastAsia="Calibri" w:hAnsi="Times New Roman" w:cs="Times New Roman"/>
        </w:rPr>
        <w:t>i</w:t>
      </w:r>
      <w:proofErr w:type="spellEnd"/>
      <w:r w:rsidRPr="00DB21FC">
        <w:rPr>
          <w:rFonts w:ascii="Times New Roman" w:eastAsia="Calibri" w:hAnsi="Times New Roman" w:cs="Times New Roman"/>
        </w:rPr>
        <w:noBreakHyphen/>
        <w:t>Martin 2004).</w:t>
      </w: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The Endogenous Growth Theory, by Paul </w:t>
      </w:r>
      <w:proofErr w:type="spellStart"/>
      <w:r w:rsidRPr="00DB21FC">
        <w:rPr>
          <w:rFonts w:ascii="Times New Roman" w:eastAsia="Calibri" w:hAnsi="Times New Roman" w:cs="Times New Roman"/>
        </w:rPr>
        <w:t>Romer</w:t>
      </w:r>
      <w:proofErr w:type="spellEnd"/>
      <w:r w:rsidRPr="00DB21FC">
        <w:rPr>
          <w:rFonts w:ascii="Times New Roman" w:eastAsia="Calibri" w:hAnsi="Times New Roman" w:cs="Times New Roman"/>
        </w:rPr>
        <w:t xml:space="preserve"> (1986) and Robert Lucas Jr. (1988), argues that growth results from within the economy—via human capital, knowledge, and innovation. Stable exchange rates make it easier to import technology, research materials and others, which foster productivity; whereas frequent depreciation raises costs of such imports and hinders growth (Corporate Finance Institute 2023). In the case of Nigeria, where much equipment and inputs are imported, exchange</w:t>
      </w:r>
      <w:r w:rsidRPr="00DB21FC">
        <w:rPr>
          <w:rFonts w:ascii="Times New Roman" w:eastAsia="Calibri" w:hAnsi="Times New Roman" w:cs="Times New Roman"/>
        </w:rPr>
        <w:noBreakHyphen/>
        <w:t>rate volatility directly impacts productivity and long</w:t>
      </w:r>
      <w:r w:rsidRPr="00DB21FC">
        <w:rPr>
          <w:rFonts w:ascii="Times New Roman" w:eastAsia="Calibri" w:hAnsi="Times New Roman" w:cs="Times New Roman"/>
        </w:rPr>
        <w:noBreakHyphen/>
        <w:t>run growth. The BOP and Mundell–Fleming frameworks show that mild depreciation may boost exports and output in the short run, but persistent depreciation can trigger inflation and reduce foreign investment, undermining growth (Weeks 2008; NBER 2006; </w:t>
      </w:r>
      <w:proofErr w:type="spellStart"/>
      <w:r w:rsidRPr="00DB21FC">
        <w:rPr>
          <w:rFonts w:ascii="Times New Roman" w:eastAsia="Calibri" w:hAnsi="Times New Roman" w:cs="Times New Roman"/>
        </w:rPr>
        <w:t>Ezeaku</w:t>
      </w:r>
      <w:proofErr w:type="spellEnd"/>
      <w:r w:rsidRPr="00DB21FC">
        <w:rPr>
          <w:rFonts w:ascii="Times New Roman" w:eastAsia="Calibri" w:hAnsi="Times New Roman" w:cs="Times New Roman"/>
        </w:rPr>
        <w:t xml:space="preserve">, </w:t>
      </w:r>
      <w:proofErr w:type="spellStart"/>
      <w:r w:rsidRPr="00DB21FC">
        <w:rPr>
          <w:rFonts w:ascii="Times New Roman" w:eastAsia="Calibri" w:hAnsi="Times New Roman" w:cs="Times New Roman"/>
        </w:rPr>
        <w:t>Chidiebere</w:t>
      </w:r>
      <w:proofErr w:type="spellEnd"/>
      <w:r w:rsidRPr="00DB21FC">
        <w:rPr>
          <w:rFonts w:ascii="Times New Roman" w:eastAsia="Calibri" w:hAnsi="Times New Roman" w:cs="Times New Roman"/>
        </w:rPr>
        <w:t> &amp; </w:t>
      </w:r>
      <w:proofErr w:type="spellStart"/>
      <w:r w:rsidRPr="00DB21FC">
        <w:rPr>
          <w:rFonts w:ascii="Times New Roman" w:eastAsia="Calibri" w:hAnsi="Times New Roman" w:cs="Times New Roman"/>
        </w:rPr>
        <w:t>Onuoha</w:t>
      </w:r>
      <w:proofErr w:type="spellEnd"/>
      <w:r w:rsidRPr="00DB21FC">
        <w:rPr>
          <w:rFonts w:ascii="Times New Roman" w:eastAsia="Calibri" w:hAnsi="Times New Roman" w:cs="Times New Roman"/>
        </w:rPr>
        <w:t> 2022). Stability in the exchange rate is therefore vital for attracting investment, supporting trade and enhancing economic development.</w:t>
      </w:r>
    </w:p>
    <w:p w:rsidR="00496D07" w:rsidRPr="00DB21FC" w:rsidRDefault="00496D07" w:rsidP="005A37C1">
      <w:pPr>
        <w:spacing w:beforeLines="100" w:before="240" w:beforeAutospacing="0" w:line="480" w:lineRule="auto"/>
        <w:contextualSpacing/>
        <w:jc w:val="both"/>
        <w:rPr>
          <w:rFonts w:ascii="Times New Roman" w:eastAsia="Calibri" w:hAnsi="Times New Roman" w:cs="Times New Roman"/>
          <w:b/>
          <w:bCs/>
        </w:rPr>
      </w:pPr>
    </w:p>
    <w:p w:rsidR="00BE44CE" w:rsidRPr="00DB21FC" w:rsidRDefault="00BE44CE" w:rsidP="005A37C1">
      <w:pPr>
        <w:spacing w:beforeLines="100" w:before="240" w:beforeAutospacing="0" w:line="480" w:lineRule="auto"/>
        <w:contextualSpacing/>
        <w:jc w:val="both"/>
        <w:rPr>
          <w:rFonts w:ascii="Times New Roman" w:eastAsia="Calibri" w:hAnsi="Times New Roman" w:cs="Times New Roman"/>
          <w:b/>
          <w:bCs/>
        </w:rPr>
      </w:pPr>
      <w:r w:rsidRPr="00DB21FC">
        <w:rPr>
          <w:rFonts w:ascii="Times New Roman" w:eastAsia="Calibri" w:hAnsi="Times New Roman" w:cs="Times New Roman"/>
          <w:b/>
          <w:bCs/>
        </w:rPr>
        <w:lastRenderedPageBreak/>
        <w:t>2.3 Empirical Review</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Several studies in Nigeria have examined the relationship between exchange rate fluctuations and economic growth, emphasizing its critical role in shaping macroeconomic performance. Exchange rate changes, along with interest rates and inflation, have been identified as significant determinants of investment, trade, and overall economic output. Empirical evidence from Nigeria demonstrates both positive and negative effects of exchange rate volatility, depending on the period studied, methodology employed, and the economic variables considered.</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Bala</w:t>
      </w:r>
      <w:proofErr w:type="spellEnd"/>
      <w:r w:rsidRPr="00DB21FC">
        <w:rPr>
          <w:rFonts w:ascii="Times New Roman" w:eastAsia="Calibri" w:hAnsi="Times New Roman" w:cs="Times New Roman"/>
          <w:bCs/>
        </w:rPr>
        <w:t xml:space="preserve"> et al. (2016)</w:t>
      </w:r>
      <w:r w:rsidRPr="00DB21FC">
        <w:rPr>
          <w:rFonts w:ascii="Times New Roman" w:eastAsia="Calibri" w:hAnsi="Times New Roman" w:cs="Times New Roman"/>
        </w:rPr>
        <w:t xml:space="preserve"> examined the effect of exchange rate fluctuations on Nigeria’s economic growth over the period 1986-2015 using secondary data from the Central Bank of Nigeria’s Statistical Bulletin. Employing correlation and Ordinary Least Squares (OLS) regression analyses, the study found that exchange rate and interest rate had positive but statistically insignificant effects on economic growth, while inflation had a negative and non-significant influence.</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Cs/>
        </w:rPr>
        <w:t>Jonathan and Rosemary (2019)</w:t>
      </w:r>
      <w:r w:rsidRPr="00DB21FC">
        <w:rPr>
          <w:rFonts w:ascii="Times New Roman" w:eastAsia="Calibri" w:hAnsi="Times New Roman" w:cs="Times New Roman"/>
        </w:rPr>
        <w:t xml:space="preserve"> assessed the determinants of Nigeria’s economic growth between 1981 and 2018 through a non-experimental research design and the Autoregressive Distributed Lag (ARDL) model. Their results indicated that exchange rate, exports, and government capital expenditure exerted positive influences on growth in both the short and long run, whereas imports negatively affected output. Inflation was observed to have a negative and statistically significant effect on short-run economic growth.</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Iyeli</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Utting</w:t>
      </w:r>
      <w:proofErr w:type="spellEnd"/>
      <w:r w:rsidRPr="00DB21FC">
        <w:rPr>
          <w:rFonts w:ascii="Times New Roman" w:eastAsia="Calibri" w:hAnsi="Times New Roman" w:cs="Times New Roman"/>
          <w:bCs/>
        </w:rPr>
        <w:t xml:space="preserve"> (2017)</w:t>
      </w:r>
      <w:r w:rsidRPr="00DB21FC">
        <w:rPr>
          <w:rFonts w:ascii="Times New Roman" w:eastAsia="Calibri" w:hAnsi="Times New Roman" w:cs="Times New Roman"/>
        </w:rPr>
        <w:t xml:space="preserve"> analyzed the relationship between exchange rate volatility and economic growth in Nigeria for the period 1970-2011 using data obtained from the Central Bank of Nigeria’s Statistical Bulletin. Applying the Johansen Co-integration technique, the study revealed </w:t>
      </w:r>
      <w:r w:rsidRPr="00DB21FC">
        <w:rPr>
          <w:rFonts w:ascii="Times New Roman" w:eastAsia="Calibri" w:hAnsi="Times New Roman" w:cs="Times New Roman"/>
        </w:rPr>
        <w:lastRenderedPageBreak/>
        <w:t>that both oil revenue and exchange rate were positively associated with GDP, suggesting their contribution to long-run economic growth.</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Oyadeyi</w:t>
      </w:r>
      <w:proofErr w:type="spellEnd"/>
      <w:r w:rsidRPr="00DB21FC">
        <w:rPr>
          <w:rFonts w:ascii="Times New Roman" w:eastAsia="Calibri" w:hAnsi="Times New Roman" w:cs="Times New Roman"/>
          <w:bCs/>
        </w:rPr>
        <w:t xml:space="preserve"> et al. (2025)</w:t>
      </w:r>
      <w:r w:rsidRPr="00DB21FC">
        <w:rPr>
          <w:rFonts w:ascii="Times New Roman" w:eastAsia="Calibri" w:hAnsi="Times New Roman" w:cs="Times New Roman"/>
        </w:rPr>
        <w:t xml:space="preserve"> investigated the threshold effects of key macroeconomic variables interest rate, inflation, and exchange rate depreciation on sustainable economic growth in Nigeria from 2000 to 2022 using a threshold regression model. The study identified optimal monetary policy targets, including a 16.5% monetary policy rate, a 20% prime lending rate, and a 30% maximum lending rate. Thresholds for deposit rate, headline inflation, core inflation, food inflation, and exchange rate depreciation were also established. The authors emphasized the need for policy coordination to stabilize prices, promote investment, and address supply-side constraints in food production.</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rPr>
        <w:t>Ogodo</w:t>
      </w:r>
      <w:proofErr w:type="spellEnd"/>
      <w:r w:rsidRPr="00DB21FC">
        <w:rPr>
          <w:rFonts w:ascii="Times New Roman" w:eastAsia="Calibri" w:hAnsi="Times New Roman" w:cs="Times New Roman"/>
        </w:rPr>
        <w:t xml:space="preserve"> and </w:t>
      </w:r>
      <w:proofErr w:type="spellStart"/>
      <w:r w:rsidRPr="00DB21FC">
        <w:rPr>
          <w:rFonts w:ascii="Times New Roman" w:eastAsia="Calibri" w:hAnsi="Times New Roman" w:cs="Times New Roman"/>
        </w:rPr>
        <w:t>Egbaseimokumo</w:t>
      </w:r>
      <w:proofErr w:type="spellEnd"/>
      <w:r w:rsidRPr="00DB21FC">
        <w:rPr>
          <w:rFonts w:ascii="Times New Roman" w:eastAsia="Calibri" w:hAnsi="Times New Roman" w:cs="Times New Roman"/>
        </w:rPr>
        <w:t xml:space="preserve"> (2024) analyzed secondary data from 1986 to 2023 to examine the impact of exchange rate, interest rate, and inflation on real GDP. The study used an ex-post facto design and the ARDL model. Findings showed a long-run positive relationship between exchange rate and interest rate with economic growth, while inflation was not statistically significant. The ARDL Error Correction Model indicated that about 5% of deviations from long-run equilibrium are corrected within a year. Recommendations included implementing export promotion strategies and maintaining fiscal and monetary policies that stabilize the naira.</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Ajayi</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Ajayi</w:t>
      </w:r>
      <w:proofErr w:type="spellEnd"/>
      <w:r w:rsidRPr="00DB21FC">
        <w:rPr>
          <w:rFonts w:ascii="Times New Roman" w:eastAsia="Calibri" w:hAnsi="Times New Roman" w:cs="Times New Roman"/>
          <w:bCs/>
        </w:rPr>
        <w:t xml:space="preserve"> (2023)</w:t>
      </w:r>
      <w:r w:rsidRPr="00DB21FC">
        <w:rPr>
          <w:rFonts w:ascii="Times New Roman" w:eastAsia="Calibri" w:hAnsi="Times New Roman" w:cs="Times New Roman"/>
        </w:rPr>
        <w:t xml:space="preserve"> examined the relationship between foreign exchange fluctuations, balance of payments, trade openness, and economic growth in Nigeria for the period 1989–2020. Employing both quantitative and qualitative approaches with the Autoregressive Distributed Lag (ARDL) and Error Correction models, the study found that exchange rate exerted a positive and significant influence on economic growth, while trade openness had a negative effect on output.</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lastRenderedPageBreak/>
        <w:t>Baghebo</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Mienebimo</w:t>
      </w:r>
      <w:proofErr w:type="spellEnd"/>
      <w:r w:rsidRPr="00DB21FC">
        <w:rPr>
          <w:rFonts w:ascii="Times New Roman" w:eastAsia="Calibri" w:hAnsi="Times New Roman" w:cs="Times New Roman"/>
          <w:bCs/>
        </w:rPr>
        <w:t xml:space="preserve"> (2024)</w:t>
      </w:r>
      <w:r w:rsidRPr="00DB21FC">
        <w:rPr>
          <w:rFonts w:ascii="Times New Roman" w:eastAsia="Calibri" w:hAnsi="Times New Roman" w:cs="Times New Roman"/>
        </w:rPr>
        <w:t xml:space="preserve"> analyzed the impact of exchange rate volatility and trade balance dynamics on Nigeria’s economy between 1981 and 2021 using GARCH and EGARCH models. The findings revealed that trade balance and exchange rate were highly responsive to adverse economic shocks, with exchange rate instability identified as a key source of macroeconomic volatility. The authors recommended the adoption of export-oriented trade policies to enhance foreign exchange inflows and attract foreign investment.</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Studies highlighting negative effects of exchange rate volatility include </w:t>
      </w:r>
      <w:proofErr w:type="spellStart"/>
      <w:r w:rsidRPr="00DB21FC">
        <w:rPr>
          <w:rFonts w:ascii="Times New Roman" w:eastAsia="Calibri" w:hAnsi="Times New Roman" w:cs="Times New Roman"/>
          <w:bCs/>
        </w:rPr>
        <w:t>Nwobia</w:t>
      </w:r>
      <w:proofErr w:type="spellEnd"/>
      <w:r w:rsidRPr="00DB21FC">
        <w:rPr>
          <w:rFonts w:ascii="Times New Roman" w:eastAsia="Calibri" w:hAnsi="Times New Roman" w:cs="Times New Roman"/>
          <w:bCs/>
        </w:rPr>
        <w:t xml:space="preserve"> et al. (2020)</w:t>
      </w:r>
      <w:r w:rsidRPr="00DB21FC">
        <w:rPr>
          <w:rFonts w:ascii="Times New Roman" w:eastAsia="Calibri" w:hAnsi="Times New Roman" w:cs="Times New Roman"/>
        </w:rPr>
        <w:t xml:space="preserve"> examined the effects of heavy reliance on imports and exchange rate instability on Nigeria’s economy over the period 2000 to 2019. The study reported that import dependence and exchange rate volatility had detrimental effects on GDP and external trade performance.</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Kanu</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Nwadiubu</w:t>
      </w:r>
      <w:proofErr w:type="spellEnd"/>
      <w:r w:rsidRPr="00DB21FC">
        <w:rPr>
          <w:rFonts w:ascii="Times New Roman" w:eastAsia="Calibri" w:hAnsi="Times New Roman" w:cs="Times New Roman"/>
          <w:bCs/>
        </w:rPr>
        <w:t xml:space="preserve"> (2020)</w:t>
      </w:r>
      <w:r w:rsidRPr="00DB21FC">
        <w:rPr>
          <w:rFonts w:ascii="Times New Roman" w:eastAsia="Calibri" w:hAnsi="Times New Roman" w:cs="Times New Roman"/>
        </w:rPr>
        <w:t xml:space="preserve"> applied the Vector Autoregressive (VAR) model on data from 1996 to 2018 to assess the relationship among exports, imports, and the real effective exchange rate (REER). The study revealed inverse relationships among the variables, implying that fluctuations in the REER adversely influenced the balance of payments and domestic production.</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Achuoak</w:t>
      </w:r>
      <w:proofErr w:type="spellEnd"/>
      <w:r w:rsidRPr="00DB21FC">
        <w:rPr>
          <w:rFonts w:ascii="Times New Roman" w:eastAsia="Calibri" w:hAnsi="Times New Roman" w:cs="Times New Roman"/>
          <w:bCs/>
        </w:rPr>
        <w:t xml:space="preserve"> et al. (2018)</w:t>
      </w:r>
      <w:r w:rsidRPr="00DB21FC">
        <w:rPr>
          <w:rFonts w:ascii="Times New Roman" w:eastAsia="Calibri" w:hAnsi="Times New Roman" w:cs="Times New Roman"/>
        </w:rPr>
        <w:t xml:space="preserve"> assessed the effects of exchange rate volatility on economic growth across 45 developing countries between 1985 and 2015 using the Generalized Method of Moments (GMM). The findings indicated that both nominal and real exchange rate volatility had negative effects on growth, particularly under flexible exchange rate regimes and in countries with open financial markets.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Okosu</w:t>
      </w:r>
      <w:proofErr w:type="spellEnd"/>
      <w:r w:rsidRPr="00DB21FC">
        <w:rPr>
          <w:rFonts w:ascii="Times New Roman" w:eastAsia="Calibri" w:hAnsi="Times New Roman" w:cs="Times New Roman"/>
          <w:bCs/>
        </w:rPr>
        <w:t xml:space="preserve"> (2022)</w:t>
      </w:r>
      <w:r w:rsidRPr="00DB21FC">
        <w:rPr>
          <w:rFonts w:ascii="Times New Roman" w:eastAsia="Calibri" w:hAnsi="Times New Roman" w:cs="Times New Roman"/>
        </w:rPr>
        <w:t xml:space="preserve"> investigated the effect of exchange rate volatility on Nigeria’s economic growth from 1981 to 2020 using the ARDL model. The study found that both exchange rate volatility and inflation negatively and significantly affected economic growth, while oil prices had a positive effect.</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lastRenderedPageBreak/>
        <w:t>Oziogbo</w:t>
      </w:r>
      <w:proofErr w:type="spellEnd"/>
      <w:r w:rsidRPr="00DB21FC">
        <w:rPr>
          <w:rFonts w:ascii="Times New Roman" w:eastAsia="Calibri" w:hAnsi="Times New Roman" w:cs="Times New Roman"/>
          <w:bCs/>
        </w:rPr>
        <w:t xml:space="preserve"> et al. (2025)</w:t>
      </w:r>
      <w:r w:rsidRPr="00DB21FC">
        <w:rPr>
          <w:rFonts w:ascii="Times New Roman" w:eastAsia="Calibri" w:hAnsi="Times New Roman" w:cs="Times New Roman"/>
        </w:rPr>
        <w:t xml:space="preserve"> applied the </w:t>
      </w:r>
      <w:proofErr w:type="spellStart"/>
      <w:r w:rsidRPr="00DB21FC">
        <w:rPr>
          <w:rFonts w:ascii="Times New Roman" w:eastAsia="Calibri" w:hAnsi="Times New Roman" w:cs="Times New Roman"/>
        </w:rPr>
        <w:t>Cointegration</w:t>
      </w:r>
      <w:proofErr w:type="spellEnd"/>
      <w:r w:rsidRPr="00DB21FC">
        <w:rPr>
          <w:rFonts w:ascii="Times New Roman" w:eastAsia="Calibri" w:hAnsi="Times New Roman" w:cs="Times New Roman"/>
        </w:rPr>
        <w:t xml:space="preserve"> Error Correction Mechanism (ECM) model to analyze the relationship between macroeconomic variables and economic growth in Nigeria using data from 1990 to 2023. Results revealed that exchange rate and interest rate had negative effects on growth, while inflation and external reserves supported growth. The authors recommended policies aimed at promoting local production and maintaining exchange rate stability.</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bCs/>
        </w:rPr>
        <w:t>Isola et al. (2016)</w:t>
      </w:r>
      <w:r w:rsidRPr="00DB21FC">
        <w:rPr>
          <w:rFonts w:ascii="Times New Roman" w:eastAsia="Calibri" w:hAnsi="Times New Roman" w:cs="Times New Roman"/>
        </w:rPr>
        <w:t xml:space="preserve"> investigated the effects of exchange rate fluctuations on Nigeria’s economic growth using time-series data. The study found that exchange rate changes influenced growth in the short run but not in the long run, emphasizing the need for effective foreign exchange control policies.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Some studies produced mixed or statistically insignificant results. </w:t>
      </w:r>
      <w:proofErr w:type="spellStart"/>
      <w:r w:rsidRPr="00DB21FC">
        <w:rPr>
          <w:rFonts w:ascii="Times New Roman" w:eastAsia="Calibri" w:hAnsi="Times New Roman" w:cs="Times New Roman"/>
          <w:bCs/>
        </w:rPr>
        <w:t>Oriawute</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Ovouwi</w:t>
      </w:r>
      <w:proofErr w:type="spellEnd"/>
      <w:r w:rsidRPr="00DB21FC">
        <w:rPr>
          <w:rFonts w:ascii="Times New Roman" w:eastAsia="Calibri" w:hAnsi="Times New Roman" w:cs="Times New Roman"/>
          <w:bCs/>
        </w:rPr>
        <w:t xml:space="preserve"> (2012)</w:t>
      </w:r>
      <w:r w:rsidRPr="00DB21FC">
        <w:rPr>
          <w:rFonts w:ascii="Times New Roman" w:eastAsia="Calibri" w:hAnsi="Times New Roman" w:cs="Times New Roman"/>
        </w:rPr>
        <w:t xml:space="preserve"> analyzed data covering the period 1970 to 2010 using an Error Correction Model (ECM) to identify the key determinants of Nigeria’s real effective exchange rate. The study found that government expenditure, terms of trade, and technological progress did not have significant effects on the real effective exchange rate. However, capital flows, inflation, and the nominal effective exchange rate were identified as significant determinants influencing exchange rate dynamics.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Dabwor</w:t>
      </w:r>
      <w:proofErr w:type="spellEnd"/>
      <w:r w:rsidRPr="00DB21FC">
        <w:rPr>
          <w:rFonts w:ascii="Times New Roman" w:eastAsia="Calibri" w:hAnsi="Times New Roman" w:cs="Times New Roman"/>
          <w:bCs/>
        </w:rPr>
        <w:t xml:space="preserve"> et al. (2018)</w:t>
      </w:r>
      <w:r w:rsidRPr="00DB21FC">
        <w:rPr>
          <w:rFonts w:ascii="Times New Roman" w:eastAsia="Calibri" w:hAnsi="Times New Roman" w:cs="Times New Roman"/>
        </w:rPr>
        <w:t xml:space="preserve"> examined the relationship between nominal exchange rate movements and Nigeria’s balance of payments over the period 1999 to 2016 using the Autoregressive Distributed Lag (ARDL) model. The findings revealed that nominal exchange rates significantly affected the balance of payments position, leading the authors to recommend policies that encourage the consumption of locally produced goods as a means to strengthen foreign exchange earnings.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lastRenderedPageBreak/>
        <w:t>Ufoeze</w:t>
      </w:r>
      <w:proofErr w:type="spellEnd"/>
      <w:r w:rsidRPr="00DB21FC">
        <w:rPr>
          <w:rFonts w:ascii="Times New Roman" w:eastAsia="Calibri" w:hAnsi="Times New Roman" w:cs="Times New Roman"/>
          <w:bCs/>
        </w:rPr>
        <w:t xml:space="preserve"> et al. (2018)</w:t>
      </w:r>
      <w:r w:rsidRPr="00DB21FC">
        <w:rPr>
          <w:rFonts w:ascii="Times New Roman" w:eastAsia="Calibri" w:hAnsi="Times New Roman" w:cs="Times New Roman"/>
        </w:rPr>
        <w:t xml:space="preserve"> compared the performance of fixed and floating exchange rate regimes in Nigeria over the period 1970 to 2012. The analysis demonstrated that the floating exchange rate regime provided a better explanation of economic patterns compared to the fixed regime. The study also found that oil revenue consistently had a positive and significant impact on GDP, underscoring its central role in driving economic growth.</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Beyond growth, some studies explored macroeconomic implications. </w:t>
      </w:r>
      <w:proofErr w:type="spellStart"/>
      <w:r w:rsidRPr="00DB21FC">
        <w:rPr>
          <w:rFonts w:ascii="Times New Roman" w:eastAsia="Calibri" w:hAnsi="Times New Roman" w:cs="Times New Roman"/>
          <w:bCs/>
        </w:rPr>
        <w:t>Umaimah</w:t>
      </w:r>
      <w:proofErr w:type="spellEnd"/>
      <w:r w:rsidRPr="00DB21FC">
        <w:rPr>
          <w:rFonts w:ascii="Times New Roman" w:eastAsia="Calibri" w:hAnsi="Times New Roman" w:cs="Times New Roman"/>
          <w:bCs/>
        </w:rPr>
        <w:t xml:space="preserve"> and </w:t>
      </w:r>
      <w:proofErr w:type="spellStart"/>
      <w:r w:rsidRPr="00DB21FC">
        <w:rPr>
          <w:rFonts w:ascii="Times New Roman" w:eastAsia="Calibri" w:hAnsi="Times New Roman" w:cs="Times New Roman"/>
          <w:bCs/>
        </w:rPr>
        <w:t>Aliyu</w:t>
      </w:r>
      <w:proofErr w:type="spellEnd"/>
      <w:r w:rsidRPr="00DB21FC">
        <w:rPr>
          <w:rFonts w:ascii="Times New Roman" w:eastAsia="Calibri" w:hAnsi="Times New Roman" w:cs="Times New Roman"/>
          <w:bCs/>
        </w:rPr>
        <w:t xml:space="preserve"> (2022)</w:t>
      </w:r>
      <w:r w:rsidRPr="00DB21FC">
        <w:rPr>
          <w:rFonts w:ascii="Times New Roman" w:eastAsia="Calibri" w:hAnsi="Times New Roman" w:cs="Times New Roman"/>
        </w:rPr>
        <w:t xml:space="preserve"> investigated the macroeconomic effects of exchange rate volatility on food inflation in Nigeria using quarterly data spanning 2008 to 2020 and applying the Non-Linear Autoregressive Distributed Lag (NARDL) model. The study revealed that fluctuations in the exchange rate had a significant positive effect on food inflation, while GDP exerted a negative influence, indicating that higher economic growth helps to moderate food price increases.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Ijirshar</w:t>
      </w:r>
      <w:proofErr w:type="spellEnd"/>
      <w:r w:rsidRPr="00DB21FC">
        <w:rPr>
          <w:rFonts w:ascii="Times New Roman" w:eastAsia="Calibri" w:hAnsi="Times New Roman" w:cs="Times New Roman"/>
          <w:bCs/>
        </w:rPr>
        <w:t xml:space="preserve"> et al. (2022)</w:t>
      </w:r>
      <w:r w:rsidRPr="00DB21FC">
        <w:rPr>
          <w:rFonts w:ascii="Times New Roman" w:eastAsia="Calibri" w:hAnsi="Times New Roman" w:cs="Times New Roman"/>
        </w:rPr>
        <w:t xml:space="preserve"> analyzed the impact of real exchange rate depreciation on Nigeria’s trade flows between 1986 and 2021 using both Autoregressive Distributed Lag (ARDL) and Non-Linear ARDL (NARDL) models. Findings showed that real exchange rate depreciation had a negative effect on the trade balance and exports in the short run but a positive impact in the long run, consistent with the J-curve hypothesis and the Marshall–Lerner condition.</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proofErr w:type="spellStart"/>
      <w:r w:rsidRPr="00DB21FC">
        <w:rPr>
          <w:rFonts w:ascii="Times New Roman" w:eastAsia="Calibri" w:hAnsi="Times New Roman" w:cs="Times New Roman"/>
          <w:bCs/>
        </w:rPr>
        <w:t>Onwuliri</w:t>
      </w:r>
      <w:proofErr w:type="spellEnd"/>
      <w:r w:rsidRPr="00DB21FC">
        <w:rPr>
          <w:rFonts w:ascii="Times New Roman" w:eastAsia="Calibri" w:hAnsi="Times New Roman" w:cs="Times New Roman"/>
          <w:bCs/>
        </w:rPr>
        <w:t xml:space="preserve"> (2024)</w:t>
      </w:r>
      <w:r w:rsidRPr="00DB21FC">
        <w:rPr>
          <w:rFonts w:ascii="Times New Roman" w:eastAsia="Calibri" w:hAnsi="Times New Roman" w:cs="Times New Roman"/>
        </w:rPr>
        <w:t xml:space="preserve"> examined the relationship between foreign exchange rate exposure and economic growth in Nigeria from 2019 to 2023 using regression analysis and diagnostic tests. The results indicated a significant positive correlation between exchange rate movements and economic growth, with the study emphasizing the importance of hedging instruments as a mechanism to mitigate exchange rate risks and stabilize economic performance.</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Overall, the literature demonstrates that exchange rate movements have substantial effects on Nigeria’s economic growth, trade balance, inflation, and stability. While moderate depreciation </w:t>
      </w:r>
      <w:r w:rsidRPr="00DB21FC">
        <w:rPr>
          <w:rFonts w:ascii="Times New Roman" w:eastAsia="Calibri" w:hAnsi="Times New Roman" w:cs="Times New Roman"/>
        </w:rPr>
        <w:lastRenderedPageBreak/>
        <w:t>can stimulate growth and exports, persistent volatility undermines macroeconomic stability, highlighting the need for targeted monetary and fiscal policies, stable exchange rates, and strategies to enhance domestic production and exports.</w:t>
      </w:r>
    </w:p>
    <w:p w:rsidR="00BE44CE" w:rsidRPr="00DB21FC" w:rsidRDefault="00BE44CE" w:rsidP="005A37C1">
      <w:pPr>
        <w:spacing w:before="0" w:beforeAutospacing="0" w:line="480" w:lineRule="auto"/>
        <w:contextualSpacing/>
        <w:jc w:val="both"/>
        <w:rPr>
          <w:rFonts w:ascii="Times New Roman" w:eastAsia="Calibri" w:hAnsi="Times New Roman" w:cs="Times New Roman"/>
          <w:b/>
        </w:rPr>
      </w:pPr>
      <w:r w:rsidRPr="00DB21FC">
        <w:rPr>
          <w:rFonts w:ascii="Times New Roman" w:eastAsia="Calibri" w:hAnsi="Times New Roman" w:cs="Times New Roman"/>
          <w:b/>
        </w:rPr>
        <w:t>Research Gap:</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Despite the numerous studies on the relationship between exchange rate and economic growth in Nigeria, two major gaps remain. First, most studies focus on long-run relationships and overlook the short-run dynamics. For instance, Isola et al. (2016) found that exchange rate changes affect economic growth in the short run but have no significant long-term effect. These studies often stop at testing for </w:t>
      </w:r>
      <w:proofErr w:type="spellStart"/>
      <w:r w:rsidRPr="00DB21FC">
        <w:rPr>
          <w:rFonts w:ascii="Times New Roman" w:eastAsia="Calibri" w:hAnsi="Times New Roman" w:cs="Times New Roman"/>
        </w:rPr>
        <w:t>cointegration</w:t>
      </w:r>
      <w:proofErr w:type="spellEnd"/>
      <w:r w:rsidRPr="00DB21FC">
        <w:rPr>
          <w:rFonts w:ascii="Times New Roman" w:eastAsia="Calibri" w:hAnsi="Times New Roman" w:cs="Times New Roman"/>
        </w:rPr>
        <w:t xml:space="preserve"> and do not examine how quickly the economy adjusts to exchange rate shocks. This research addresses this gap by employing the Autoregressive Distributed Lag (ARDL) model, which captures both short-run and long-run effects.</w:t>
      </w:r>
    </w:p>
    <w:p w:rsidR="00BE44CE" w:rsidRPr="00DB21FC" w:rsidRDefault="00BE44CE" w:rsidP="005A37C1">
      <w:pPr>
        <w:spacing w:before="0" w:beforeAutospacing="0" w:line="480" w:lineRule="auto"/>
        <w:contextualSpacing/>
        <w:jc w:val="both"/>
        <w:rPr>
          <w:rFonts w:ascii="Times New Roman" w:eastAsia="Calibri" w:hAnsi="Times New Roman" w:cs="Times New Roman"/>
        </w:rPr>
      </w:pPr>
      <w:r w:rsidRPr="00DB21FC">
        <w:rPr>
          <w:rFonts w:ascii="Times New Roman" w:eastAsia="Calibri" w:hAnsi="Times New Roman" w:cs="Times New Roman"/>
        </w:rPr>
        <w:t xml:space="preserve">Second, many studies omit key macroeconomic variables that influence economic growth. For example, </w:t>
      </w:r>
      <w:proofErr w:type="spellStart"/>
      <w:r w:rsidRPr="00DB21FC">
        <w:rPr>
          <w:rFonts w:ascii="Times New Roman" w:eastAsia="Calibri" w:hAnsi="Times New Roman" w:cs="Times New Roman"/>
        </w:rPr>
        <w:t>Dabwor</w:t>
      </w:r>
      <w:proofErr w:type="spellEnd"/>
      <w:r w:rsidRPr="00DB21FC">
        <w:rPr>
          <w:rFonts w:ascii="Times New Roman" w:eastAsia="Calibri" w:hAnsi="Times New Roman" w:cs="Times New Roman"/>
        </w:rPr>
        <w:t xml:space="preserve"> et al. (2018), </w:t>
      </w:r>
      <w:proofErr w:type="spellStart"/>
      <w:r w:rsidRPr="00DB21FC">
        <w:rPr>
          <w:rFonts w:ascii="Times New Roman" w:eastAsia="Calibri" w:hAnsi="Times New Roman" w:cs="Times New Roman"/>
        </w:rPr>
        <w:t>Kanu</w:t>
      </w:r>
      <w:proofErr w:type="spellEnd"/>
      <w:r w:rsidRPr="00DB21FC">
        <w:rPr>
          <w:rFonts w:ascii="Times New Roman" w:eastAsia="Calibri" w:hAnsi="Times New Roman" w:cs="Times New Roman"/>
        </w:rPr>
        <w:t xml:space="preserve"> and </w:t>
      </w:r>
      <w:proofErr w:type="spellStart"/>
      <w:r w:rsidRPr="00DB21FC">
        <w:rPr>
          <w:rFonts w:ascii="Times New Roman" w:eastAsia="Calibri" w:hAnsi="Times New Roman" w:cs="Times New Roman"/>
        </w:rPr>
        <w:t>Nwadiubu</w:t>
      </w:r>
      <w:proofErr w:type="spellEnd"/>
      <w:r w:rsidRPr="00DB21FC">
        <w:rPr>
          <w:rFonts w:ascii="Times New Roman" w:eastAsia="Calibri" w:hAnsi="Times New Roman" w:cs="Times New Roman"/>
        </w:rPr>
        <w:t xml:space="preserve"> (2020), and </w:t>
      </w:r>
      <w:proofErr w:type="spellStart"/>
      <w:r w:rsidRPr="00DB21FC">
        <w:rPr>
          <w:rFonts w:ascii="Times New Roman" w:eastAsia="Calibri" w:hAnsi="Times New Roman" w:cs="Times New Roman"/>
        </w:rPr>
        <w:t>Onwuliri</w:t>
      </w:r>
      <w:proofErr w:type="spellEnd"/>
      <w:r w:rsidRPr="00DB21FC">
        <w:rPr>
          <w:rFonts w:ascii="Times New Roman" w:eastAsia="Calibri" w:hAnsi="Times New Roman" w:cs="Times New Roman"/>
        </w:rPr>
        <w:t xml:space="preserve"> (2024) did not include interest rates or inflation in their models. Ignoring these variables limits the analysis because interest rates reflect monetary policy, and inflation indicates price stability. This study fills this gap by incorporating both interest rate and inflation as control variables in the model, providing a more complete assessment of the exchange rate’s impact on economic growth.</w:t>
      </w:r>
    </w:p>
    <w:p w:rsidR="00BE44CE" w:rsidRPr="00DB21FC" w:rsidRDefault="00BE44CE" w:rsidP="005A37C1">
      <w:pPr>
        <w:rPr>
          <w:rFonts w:ascii="Times New Roman" w:hAnsi="Times New Roman" w:cs="Times New Roman"/>
        </w:rPr>
      </w:pPr>
    </w:p>
    <w:p w:rsidR="00A441D0" w:rsidRPr="00DB21FC" w:rsidRDefault="00A441D0" w:rsidP="005A37C1">
      <w:pPr>
        <w:spacing w:before="0" w:beforeAutospacing="0" w:line="480" w:lineRule="auto"/>
        <w:jc w:val="center"/>
        <w:rPr>
          <w:rFonts w:ascii="Times New Roman" w:hAnsi="Times New Roman" w:cs="Times New Roman"/>
          <w:b/>
          <w:bCs/>
          <w:color w:val="000000"/>
        </w:rPr>
      </w:pPr>
    </w:p>
    <w:p w:rsidR="00A441D0" w:rsidRPr="00DB21FC" w:rsidRDefault="00A441D0" w:rsidP="005A37C1">
      <w:pPr>
        <w:spacing w:before="0" w:beforeAutospacing="0" w:line="480" w:lineRule="auto"/>
        <w:jc w:val="center"/>
        <w:rPr>
          <w:rFonts w:ascii="Times New Roman" w:hAnsi="Times New Roman" w:cs="Times New Roman"/>
          <w:b/>
          <w:bCs/>
          <w:color w:val="000000"/>
        </w:rPr>
      </w:pPr>
    </w:p>
    <w:p w:rsidR="00A441D0" w:rsidRPr="00DB21FC" w:rsidRDefault="00A441D0" w:rsidP="005A37C1">
      <w:pPr>
        <w:spacing w:before="0" w:beforeAutospacing="0" w:line="480" w:lineRule="auto"/>
        <w:jc w:val="center"/>
        <w:rPr>
          <w:rFonts w:ascii="Times New Roman" w:hAnsi="Times New Roman" w:cs="Times New Roman"/>
          <w:b/>
          <w:bCs/>
          <w:color w:val="000000"/>
        </w:rPr>
      </w:pPr>
    </w:p>
    <w:p w:rsidR="00A441D0" w:rsidRPr="00DB21FC" w:rsidRDefault="00A441D0" w:rsidP="005A37C1">
      <w:pPr>
        <w:spacing w:before="0" w:beforeAutospacing="0" w:line="480" w:lineRule="auto"/>
        <w:jc w:val="center"/>
        <w:rPr>
          <w:rFonts w:ascii="Times New Roman" w:hAnsi="Times New Roman" w:cs="Times New Roman"/>
          <w:b/>
          <w:bCs/>
          <w:color w:val="000000"/>
        </w:rPr>
      </w:pPr>
    </w:p>
    <w:p w:rsidR="00BE44CE" w:rsidRPr="00DB21FC" w:rsidRDefault="00BE44CE" w:rsidP="005A37C1">
      <w:pPr>
        <w:spacing w:before="0" w:beforeAutospacing="0" w:line="480" w:lineRule="auto"/>
        <w:jc w:val="center"/>
        <w:rPr>
          <w:rFonts w:ascii="Times New Roman" w:hAnsi="Times New Roman" w:cs="Times New Roman"/>
          <w:b/>
          <w:bCs/>
          <w:color w:val="000000"/>
        </w:rPr>
      </w:pPr>
      <w:r w:rsidRPr="00DB21FC">
        <w:rPr>
          <w:rFonts w:ascii="Times New Roman" w:hAnsi="Times New Roman" w:cs="Times New Roman"/>
          <w:b/>
          <w:bCs/>
          <w:color w:val="000000"/>
        </w:rPr>
        <w:lastRenderedPageBreak/>
        <w:t>CHAPTER THREE</w:t>
      </w:r>
    </w:p>
    <w:p w:rsidR="00BE44CE" w:rsidRPr="00DB21FC" w:rsidRDefault="00BE44CE" w:rsidP="005A37C1">
      <w:pPr>
        <w:spacing w:before="0" w:beforeAutospacing="0" w:line="480" w:lineRule="auto"/>
        <w:jc w:val="center"/>
        <w:rPr>
          <w:rFonts w:ascii="Times New Roman" w:hAnsi="Times New Roman" w:cs="Times New Roman"/>
          <w:b/>
          <w:bCs/>
          <w:color w:val="000000"/>
        </w:rPr>
      </w:pPr>
      <w:r w:rsidRPr="00DB21FC">
        <w:rPr>
          <w:rFonts w:ascii="Times New Roman" w:hAnsi="Times New Roman" w:cs="Times New Roman"/>
          <w:b/>
          <w:bCs/>
          <w:color w:val="000000"/>
        </w:rPr>
        <w:t>RESEARCH METHODOLOGY</w:t>
      </w:r>
    </w:p>
    <w:p w:rsidR="00BE44CE"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b/>
          <w:bCs/>
          <w:color w:val="000000"/>
        </w:rPr>
        <w:t>3.0 Introduction</w:t>
      </w:r>
    </w:p>
    <w:p w:rsidR="00BE44CE"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color w:val="000000"/>
        </w:rPr>
        <w:t xml:space="preserve">This chapter outlines the methodology adopted in examining the impact of exchange rate fluctuation on economic growth in Nigeria from 1995 to 2024. It contains types and data sources, variables definition and measurement, model specification, and methods of data analysis that will be adopted to evaluate the relationship between the exchange rate and key economic indicators. </w:t>
      </w:r>
      <w:r w:rsidRPr="00DB21FC">
        <w:rPr>
          <w:rFonts w:ascii="Times New Roman" w:hAnsi="Times New Roman" w:cs="Times New Roman"/>
          <w:b/>
          <w:bCs/>
          <w:color w:val="000000"/>
        </w:rPr>
        <w:t>3.1 Types and sources of data</w:t>
      </w:r>
    </w:p>
    <w:p w:rsidR="00BE44CE" w:rsidRPr="00DB21FC" w:rsidRDefault="00BE44CE" w:rsidP="005A37C1">
      <w:pPr>
        <w:spacing w:before="0" w:beforeAutospacing="0" w:line="480" w:lineRule="auto"/>
        <w:jc w:val="both"/>
        <w:rPr>
          <w:rFonts w:ascii="Times New Roman" w:hAnsi="Times New Roman" w:cs="Times New Roman"/>
          <w:color w:val="000000"/>
          <w:kern w:val="0"/>
        </w:rPr>
      </w:pPr>
      <w:r w:rsidRPr="00DB21FC">
        <w:rPr>
          <w:rFonts w:ascii="Times New Roman" w:hAnsi="Times New Roman" w:cs="Times New Roman"/>
          <w:color w:val="000000"/>
          <w:kern w:val="0"/>
        </w:rPr>
        <w:t xml:space="preserve">This study utilizes </w:t>
      </w:r>
      <w:r w:rsidRPr="00DB21FC">
        <w:rPr>
          <w:rFonts w:ascii="Times New Roman" w:hAnsi="Times New Roman" w:cs="Times New Roman"/>
          <w:bCs/>
          <w:color w:val="000000"/>
          <w:kern w:val="0"/>
        </w:rPr>
        <w:t>secondary data</w:t>
      </w:r>
      <w:r w:rsidRPr="00DB21FC">
        <w:rPr>
          <w:rFonts w:ascii="Times New Roman" w:hAnsi="Times New Roman" w:cs="Times New Roman"/>
          <w:color w:val="000000"/>
          <w:kern w:val="0"/>
        </w:rPr>
        <w:t xml:space="preserve"> obtained from credible and authoritative sources to ensure the accuracy and reliability of the research findings. Specifically, the data were sourced from the </w:t>
      </w:r>
      <w:r w:rsidRPr="00DB21FC">
        <w:rPr>
          <w:rFonts w:ascii="Times New Roman" w:hAnsi="Times New Roman" w:cs="Times New Roman"/>
          <w:bCs/>
          <w:color w:val="000000"/>
          <w:kern w:val="0"/>
        </w:rPr>
        <w:t>World Bank</w:t>
      </w:r>
      <w:r w:rsidRPr="00DB21FC">
        <w:rPr>
          <w:rFonts w:ascii="Times New Roman" w:hAnsi="Times New Roman" w:cs="Times New Roman"/>
          <w:color w:val="000000"/>
          <w:kern w:val="0"/>
        </w:rPr>
        <w:t xml:space="preserve">, which provides comprehensive and consistent records of macroeconomic indicators. The variables considered in this study include </w:t>
      </w:r>
      <w:r w:rsidRPr="00DB21FC">
        <w:rPr>
          <w:rFonts w:ascii="Times New Roman" w:hAnsi="Times New Roman" w:cs="Times New Roman"/>
          <w:bCs/>
          <w:color w:val="000000"/>
          <w:kern w:val="0"/>
        </w:rPr>
        <w:t>Real Gross Domestic Product (GDP), Exchange Rates, Inflation Rates, and Interest Rates</w:t>
      </w:r>
      <w:r w:rsidRPr="00DB21FC">
        <w:rPr>
          <w:rFonts w:ascii="Times New Roman" w:hAnsi="Times New Roman" w:cs="Times New Roman"/>
          <w:color w:val="000000"/>
          <w:kern w:val="0"/>
        </w:rPr>
        <w:t>. Annual data for these variables were extracted from the World Bank’s published reports and statistical databases, ensuring consistency and comparability across the study period.</w:t>
      </w:r>
    </w:p>
    <w:p w:rsidR="00BE44CE"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b/>
          <w:bCs/>
          <w:color w:val="000000"/>
        </w:rPr>
        <w:t>3.2 Variable Definitions and Measurement</w:t>
      </w:r>
    </w:p>
    <w:p w:rsidR="00A441D0"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color w:val="000000"/>
        </w:rPr>
        <w:t>This study examines the relationship between exchange rate fluctuations and economic growth in Nigeria, while controlling for inflation and interest rate. Each variable is defined and measured as follows:</w:t>
      </w:r>
    </w:p>
    <w:p w:rsidR="00A441D0" w:rsidRPr="00DB21FC" w:rsidRDefault="00A441D0" w:rsidP="00A441D0">
      <w:pPr>
        <w:spacing w:before="0" w:beforeAutospacing="0" w:line="480" w:lineRule="auto"/>
        <w:jc w:val="both"/>
        <w:rPr>
          <w:rFonts w:ascii="Times New Roman" w:hAnsi="Times New Roman" w:cs="Times New Roman"/>
          <w:b/>
          <w:bCs/>
          <w:color w:val="000000"/>
        </w:rPr>
      </w:pPr>
    </w:p>
    <w:p w:rsidR="00A441D0" w:rsidRPr="00DB21FC" w:rsidRDefault="00A441D0" w:rsidP="00A441D0">
      <w:pPr>
        <w:spacing w:before="0" w:beforeAutospacing="0" w:line="480" w:lineRule="auto"/>
        <w:jc w:val="both"/>
        <w:rPr>
          <w:rFonts w:ascii="Times New Roman" w:hAnsi="Times New Roman" w:cs="Times New Roman"/>
          <w:b/>
          <w:bCs/>
          <w:color w:val="000000"/>
        </w:rPr>
      </w:pPr>
    </w:p>
    <w:p w:rsidR="00A441D0" w:rsidRPr="00DB21FC" w:rsidRDefault="00BE44CE" w:rsidP="00A441D0">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b/>
          <w:bCs/>
          <w:color w:val="000000"/>
        </w:rPr>
        <w:lastRenderedPageBreak/>
        <w:t>3.2.1 Dependent Variable</w:t>
      </w:r>
      <w:r w:rsidR="00A441D0" w:rsidRPr="00DB21FC">
        <w:rPr>
          <w:rFonts w:ascii="Times New Roman" w:hAnsi="Times New Roman" w:cs="Times New Roman"/>
          <w:b/>
          <w:bCs/>
          <w:color w:val="000000"/>
        </w:rPr>
        <w:t xml:space="preserve"> </w:t>
      </w:r>
    </w:p>
    <w:p w:rsidR="00BE44CE" w:rsidRPr="00DB21FC" w:rsidRDefault="00BE44CE" w:rsidP="00A441D0">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color w:val="000000"/>
        </w:rPr>
        <w:t>Real GDP represents the total market value of all final goods and services produced within a country, adjusted for inflation. It serves as a measure of economic growth and the overall performance of the economy. In this study, Real GDP is measured in constant 2010 Nigerian Naira to account for price changes over time. Using real GDP rather than nominal GDP allows for the assessment of actual economic growth without the distorting effects of inflation (CBN, 2023; World Bank, 2023).</w:t>
      </w:r>
    </w:p>
    <w:p w:rsidR="00BE44CE" w:rsidRPr="00DB21FC" w:rsidRDefault="00DB21FC" w:rsidP="005A37C1">
      <w:pPr>
        <w:pStyle w:val="ds-markdown-paragraph"/>
        <w:shd w:val="clear" w:color="auto" w:fill="FFFFFF"/>
        <w:spacing w:before="0" w:beforeAutospacing="0" w:after="160" w:afterAutospacing="0" w:line="480" w:lineRule="auto"/>
        <w:jc w:val="both"/>
        <w:rPr>
          <w:b/>
          <w:bCs/>
          <w:color w:val="000000"/>
        </w:rPr>
      </w:pPr>
      <w:r>
        <w:rPr>
          <w:b/>
          <w:bCs/>
          <w:color w:val="000000"/>
        </w:rPr>
        <w:t>3.2.2 Independent Variable</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t>The exchange rate refers to the value of the Nigerian Naira relative to major foreign currencies, particularly the US Dollar. Exchange rate fluctuations reflect the relative strength or weakness of the domestic currency and influence trade competitiveness, import costs, and foreign investment flows (</w:t>
      </w:r>
      <w:proofErr w:type="spellStart"/>
      <w:r w:rsidRPr="00DB21FC">
        <w:t>Mordi</w:t>
      </w:r>
      <w:proofErr w:type="spellEnd"/>
      <w:r w:rsidRPr="00DB21FC">
        <w:t xml:space="preserve">, 2022; </w:t>
      </w:r>
      <w:proofErr w:type="spellStart"/>
      <w:r w:rsidRPr="00DB21FC">
        <w:t>Ajayi</w:t>
      </w:r>
      <w:proofErr w:type="spellEnd"/>
      <w:r w:rsidRPr="00DB21FC">
        <w:t xml:space="preserve"> &amp; </w:t>
      </w:r>
      <w:proofErr w:type="spellStart"/>
      <w:r w:rsidRPr="00DB21FC">
        <w:t>Ajayi</w:t>
      </w:r>
      <w:proofErr w:type="spellEnd"/>
      <w:r w:rsidRPr="00DB21FC">
        <w:t xml:space="preserve">, 2023). In this study, the exchange rate will be measured using the </w:t>
      </w:r>
      <w:r w:rsidRPr="00DB21FC">
        <w:rPr>
          <w:rStyle w:val="Strong"/>
          <w:b w:val="0"/>
        </w:rPr>
        <w:t>nominal exchange rate</w:t>
      </w:r>
      <w:r w:rsidRPr="00DB21FC">
        <w:t>, specifically the official Naira/US Dollar rate obtained from World Bank databases. Both appreciation and depreciation effects are considered to assess their impact on economic growth.</w:t>
      </w:r>
    </w:p>
    <w:p w:rsidR="00BE44CE" w:rsidRDefault="00BE44CE" w:rsidP="005A37C1">
      <w:pPr>
        <w:pStyle w:val="ds-markdown-paragraph"/>
        <w:shd w:val="clear" w:color="auto" w:fill="FFFFFF"/>
        <w:spacing w:before="0" w:beforeAutospacing="0" w:after="160" w:afterAutospacing="0" w:line="480" w:lineRule="auto"/>
        <w:jc w:val="both"/>
        <w:rPr>
          <w:b/>
          <w:bCs/>
        </w:rPr>
      </w:pPr>
      <w:r w:rsidRPr="00DB21FC">
        <w:rPr>
          <w:b/>
          <w:bCs/>
        </w:rPr>
        <w:t>3.2.3 Control Variables</w:t>
      </w:r>
    </w:p>
    <w:p w:rsidR="001E3C78" w:rsidRPr="00DB21FC" w:rsidRDefault="001E3C78" w:rsidP="005A37C1">
      <w:pPr>
        <w:pStyle w:val="ds-markdown-paragraph"/>
        <w:shd w:val="clear" w:color="auto" w:fill="FFFFFF"/>
        <w:spacing w:before="0" w:beforeAutospacing="0" w:after="160" w:afterAutospacing="0" w:line="480" w:lineRule="auto"/>
        <w:jc w:val="both"/>
        <w:rPr>
          <w:b/>
          <w:bCs/>
        </w:rPr>
      </w:pPr>
      <w:r>
        <w:rPr>
          <w:b/>
          <w:bCs/>
        </w:rPr>
        <w:t xml:space="preserve">3.2.3.1 Inflation </w:t>
      </w:r>
    </w:p>
    <w:p w:rsidR="00BE44CE" w:rsidRDefault="00BE44CE" w:rsidP="005A37C1">
      <w:pPr>
        <w:pStyle w:val="ds-markdown-paragraph"/>
        <w:shd w:val="clear" w:color="auto" w:fill="FFFFFF"/>
        <w:spacing w:before="0" w:beforeAutospacing="0" w:after="160" w:afterAutospacing="0" w:line="480" w:lineRule="auto"/>
        <w:jc w:val="both"/>
      </w:pPr>
      <w:r w:rsidRPr="00DB21FC">
        <w:t>Inflation represents the rate at which the general price level of goods and services in the economy rises over a period of time. Inflation affects purchasing power, investment decisions, and the cost of production (</w:t>
      </w:r>
      <w:proofErr w:type="spellStart"/>
      <w:r w:rsidRPr="00DB21FC">
        <w:t>Ezeaku</w:t>
      </w:r>
      <w:proofErr w:type="spellEnd"/>
      <w:r w:rsidRPr="00DB21FC">
        <w:t xml:space="preserve">, </w:t>
      </w:r>
      <w:proofErr w:type="spellStart"/>
      <w:r w:rsidRPr="00DB21FC">
        <w:t>Chidiebere</w:t>
      </w:r>
      <w:proofErr w:type="spellEnd"/>
      <w:r w:rsidRPr="00DB21FC">
        <w:t xml:space="preserve"> &amp; </w:t>
      </w:r>
      <w:proofErr w:type="spellStart"/>
      <w:r w:rsidRPr="00DB21FC">
        <w:t>Onuoha</w:t>
      </w:r>
      <w:proofErr w:type="spellEnd"/>
      <w:r w:rsidRPr="00DB21FC">
        <w:t xml:space="preserve">, 2022). In this study, inflation is measured using the Consumer Price Index (CPI) and expressed as an annual percentage change. </w:t>
      </w:r>
      <w:r w:rsidRPr="00DB21FC">
        <w:lastRenderedPageBreak/>
        <w:t>By including inflation as a control variable, the study accounts for its moderating effect on the relationship between exchange rate fluctuations and economic growth.</w:t>
      </w:r>
    </w:p>
    <w:p w:rsidR="00157DD4" w:rsidRPr="00157DD4" w:rsidRDefault="00157DD4" w:rsidP="005A37C1">
      <w:pPr>
        <w:pStyle w:val="ds-markdown-paragraph"/>
        <w:shd w:val="clear" w:color="auto" w:fill="FFFFFF"/>
        <w:spacing w:before="0" w:beforeAutospacing="0" w:after="160" w:afterAutospacing="0" w:line="480" w:lineRule="auto"/>
        <w:jc w:val="both"/>
        <w:rPr>
          <w:b/>
        </w:rPr>
      </w:pPr>
      <w:r w:rsidRPr="00157DD4">
        <w:rPr>
          <w:b/>
        </w:rPr>
        <w:t>3.2.3.2</w:t>
      </w:r>
      <w:r>
        <w:rPr>
          <w:b/>
        </w:rPr>
        <w:t xml:space="preserve"> Interest </w:t>
      </w:r>
      <w:r w:rsidR="007B1B09">
        <w:rPr>
          <w:b/>
        </w:rPr>
        <w:t>Rate</w:t>
      </w:r>
    </w:p>
    <w:p w:rsidR="00BE44CE" w:rsidRPr="00DB21FC" w:rsidRDefault="00BE44CE" w:rsidP="005A37C1">
      <w:pPr>
        <w:pStyle w:val="ds-markdown-paragraph"/>
        <w:shd w:val="clear" w:color="auto" w:fill="FFFFFF"/>
        <w:spacing w:before="0" w:beforeAutospacing="0" w:after="160" w:afterAutospacing="0" w:line="480" w:lineRule="auto"/>
        <w:jc w:val="both"/>
        <w:rPr>
          <w:rFonts w:eastAsia="DengXian Light"/>
          <w:bCs/>
          <w:color w:val="000000"/>
        </w:rPr>
      </w:pPr>
      <w:r w:rsidRPr="00DB21FC">
        <w:rPr>
          <w:rFonts w:eastAsia="DengXian Light"/>
          <w:bCs/>
          <w:color w:val="000000"/>
        </w:rPr>
        <w:t>Interest rate refers to the cost of borrowing money or the return on savings, and it is a key monetary policy tool. Changes in interest rates influence investment, consumption, and overall economic activity (</w:t>
      </w:r>
      <w:proofErr w:type="spellStart"/>
      <w:r w:rsidRPr="00DB21FC">
        <w:rPr>
          <w:rFonts w:eastAsia="DengXian Light"/>
          <w:bCs/>
          <w:color w:val="000000"/>
        </w:rPr>
        <w:t>Akinyemi</w:t>
      </w:r>
      <w:proofErr w:type="spellEnd"/>
      <w:r w:rsidRPr="00DB21FC">
        <w:rPr>
          <w:rFonts w:eastAsia="DengXian Light"/>
          <w:bCs/>
          <w:color w:val="000000"/>
        </w:rPr>
        <w:t xml:space="preserve"> &amp; </w:t>
      </w:r>
      <w:proofErr w:type="spellStart"/>
      <w:r w:rsidRPr="00DB21FC">
        <w:rPr>
          <w:rFonts w:eastAsia="DengXian Light"/>
          <w:bCs/>
          <w:color w:val="000000"/>
        </w:rPr>
        <w:t>Ogundipe</w:t>
      </w:r>
      <w:proofErr w:type="spellEnd"/>
      <w:r w:rsidRPr="00DB21FC">
        <w:rPr>
          <w:rFonts w:eastAsia="DengXian Light"/>
          <w:bCs/>
          <w:color w:val="000000"/>
        </w:rPr>
        <w:t>, 2021). In this study, interest rate will be measured using the lending rate, specifically the average commercial bank lending rate in Nigeria, expressed as an annual percentage. Including interest rate as a control variable allows the study to examine how borrowing costs and investment incentives interact with exchange rate movements to affect economic growth.</w:t>
      </w:r>
    </w:p>
    <w:p w:rsidR="00BE44CE"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b/>
          <w:bCs/>
          <w:color w:val="000000"/>
        </w:rPr>
        <w:t>3.3 Model Specification</w:t>
      </w:r>
    </w:p>
    <w:p w:rsidR="00BE44CE" w:rsidRPr="00DB21FC" w:rsidRDefault="00BE44CE" w:rsidP="005A37C1">
      <w:pPr>
        <w:spacing w:before="0" w:beforeAutospacing="0" w:line="480" w:lineRule="auto"/>
        <w:jc w:val="both"/>
        <w:rPr>
          <w:rFonts w:ascii="Times New Roman" w:hAnsi="Times New Roman" w:cs="Times New Roman"/>
          <w:color w:val="000000"/>
        </w:rPr>
      </w:pPr>
      <w:r w:rsidRPr="00DB21FC">
        <w:rPr>
          <w:rFonts w:ascii="Times New Roman" w:hAnsi="Times New Roman" w:cs="Times New Roman"/>
          <w:color w:val="000000"/>
        </w:rPr>
        <w:t xml:space="preserve">This study will utilize the </w:t>
      </w:r>
      <w:r w:rsidRPr="00DB21FC">
        <w:rPr>
          <w:rFonts w:ascii="Times New Roman" w:hAnsi="Times New Roman" w:cs="Times New Roman"/>
          <w:bCs/>
          <w:color w:val="000000"/>
        </w:rPr>
        <w:t>Autoregressive Distributed Lag (ARDL) model</w:t>
      </w:r>
      <w:r w:rsidRPr="00DB21FC">
        <w:rPr>
          <w:rFonts w:ascii="Times New Roman" w:hAnsi="Times New Roman" w:cs="Times New Roman"/>
          <w:color w:val="000000"/>
        </w:rPr>
        <w:t xml:space="preserve"> to investigate how exchange rate fluctuations, inflation, and interest rate affect economic growth in Nigeria. The ARDL approach is suitable because it can be applied to variables that are integrated of order I(0) or I(1), but not I(2), making it flexible for analyzing time series data with mixed integration properties (</w:t>
      </w:r>
      <w:proofErr w:type="spellStart"/>
      <w:r w:rsidRPr="00DB21FC">
        <w:rPr>
          <w:rFonts w:ascii="Times New Roman" w:hAnsi="Times New Roman" w:cs="Times New Roman"/>
          <w:color w:val="000000"/>
        </w:rPr>
        <w:t>Pesaran</w:t>
      </w:r>
      <w:proofErr w:type="spellEnd"/>
      <w:r w:rsidRPr="00DB21FC">
        <w:rPr>
          <w:rFonts w:ascii="Times New Roman" w:hAnsi="Times New Roman" w:cs="Times New Roman"/>
          <w:color w:val="000000"/>
        </w:rPr>
        <w:t xml:space="preserve">, Shin, &amp; Smith, 2001). Moreover, the ARDL framework enables the estimation of both </w:t>
      </w:r>
      <w:r w:rsidRPr="00DB21FC">
        <w:rPr>
          <w:rFonts w:ascii="Times New Roman" w:hAnsi="Times New Roman" w:cs="Times New Roman"/>
          <w:bCs/>
          <w:color w:val="000000"/>
        </w:rPr>
        <w:t>short-run adjustments</w:t>
      </w:r>
      <w:r w:rsidRPr="00DB21FC">
        <w:rPr>
          <w:rFonts w:ascii="Times New Roman" w:hAnsi="Times New Roman" w:cs="Times New Roman"/>
          <w:color w:val="000000"/>
        </w:rPr>
        <w:t xml:space="preserve"> and the </w:t>
      </w:r>
      <w:r w:rsidRPr="00DB21FC">
        <w:rPr>
          <w:rFonts w:ascii="Times New Roman" w:hAnsi="Times New Roman" w:cs="Times New Roman"/>
          <w:bCs/>
          <w:color w:val="000000"/>
        </w:rPr>
        <w:t>long-run equilibrium relationship</w:t>
      </w:r>
      <w:r w:rsidRPr="00DB21FC">
        <w:rPr>
          <w:rFonts w:ascii="Times New Roman" w:hAnsi="Times New Roman" w:cs="Times New Roman"/>
          <w:color w:val="000000"/>
        </w:rPr>
        <w:t xml:space="preserve"> between real GDP and its determinants.</w:t>
      </w:r>
    </w:p>
    <w:p w:rsidR="00BE44CE" w:rsidRPr="00DB21FC" w:rsidRDefault="00BE44CE" w:rsidP="005A37C1">
      <w:pPr>
        <w:spacing w:before="0" w:beforeAutospacing="0" w:line="480" w:lineRule="auto"/>
        <w:jc w:val="both"/>
        <w:rPr>
          <w:rFonts w:ascii="Times New Roman" w:hAnsi="Times New Roman" w:cs="Times New Roman"/>
          <w:color w:val="000000"/>
        </w:rPr>
      </w:pPr>
      <w:r w:rsidRPr="00DB21FC">
        <w:rPr>
          <w:rFonts w:ascii="Times New Roman" w:hAnsi="Times New Roman" w:cs="Times New Roman"/>
          <w:color w:val="000000"/>
        </w:rPr>
        <w:t xml:space="preserve">This approach is consistent with previous Nigerian studies. For example, </w:t>
      </w:r>
      <w:proofErr w:type="spellStart"/>
      <w:r w:rsidRPr="00DB21FC">
        <w:rPr>
          <w:rFonts w:ascii="Times New Roman" w:hAnsi="Times New Roman" w:cs="Times New Roman"/>
          <w:bCs/>
          <w:color w:val="000000"/>
        </w:rPr>
        <w:t>Ogodo</w:t>
      </w:r>
      <w:proofErr w:type="spellEnd"/>
      <w:r w:rsidRPr="00DB21FC">
        <w:rPr>
          <w:rFonts w:ascii="Times New Roman" w:hAnsi="Times New Roman" w:cs="Times New Roman"/>
          <w:bCs/>
          <w:color w:val="000000"/>
        </w:rPr>
        <w:t xml:space="preserve"> and </w:t>
      </w:r>
      <w:proofErr w:type="spellStart"/>
      <w:r w:rsidRPr="00DB21FC">
        <w:rPr>
          <w:rFonts w:ascii="Times New Roman" w:hAnsi="Times New Roman" w:cs="Times New Roman"/>
          <w:bCs/>
          <w:color w:val="000000"/>
        </w:rPr>
        <w:t>Egbaseimokumo</w:t>
      </w:r>
      <w:proofErr w:type="spellEnd"/>
      <w:r w:rsidRPr="00DB21FC">
        <w:rPr>
          <w:rFonts w:ascii="Times New Roman" w:hAnsi="Times New Roman" w:cs="Times New Roman"/>
          <w:bCs/>
          <w:color w:val="000000"/>
        </w:rPr>
        <w:t xml:space="preserve"> (2024)</w:t>
      </w:r>
      <w:r w:rsidRPr="00DB21FC">
        <w:rPr>
          <w:rFonts w:ascii="Times New Roman" w:hAnsi="Times New Roman" w:cs="Times New Roman"/>
          <w:color w:val="000000"/>
        </w:rPr>
        <w:t xml:space="preserve"> applied the ARDL method to assess the effects of exchange rate, interest rate, and inflation on real GDP, reporting significant long-run relationships for exchange rate and interest rate. Similarly, </w:t>
      </w:r>
      <w:r w:rsidRPr="00DB21FC">
        <w:rPr>
          <w:rFonts w:ascii="Times New Roman" w:hAnsi="Times New Roman" w:cs="Times New Roman"/>
          <w:bCs/>
          <w:color w:val="000000"/>
        </w:rPr>
        <w:t>Jonathan and Rosemary (2019)</w:t>
      </w:r>
      <w:r w:rsidRPr="00DB21FC">
        <w:rPr>
          <w:rFonts w:ascii="Times New Roman" w:hAnsi="Times New Roman" w:cs="Times New Roman"/>
          <w:color w:val="000000"/>
        </w:rPr>
        <w:t xml:space="preserve"> used ARDL to capture both short-term </w:t>
      </w:r>
      <w:r w:rsidRPr="00DB21FC">
        <w:rPr>
          <w:rFonts w:ascii="Times New Roman" w:hAnsi="Times New Roman" w:cs="Times New Roman"/>
          <w:color w:val="000000"/>
        </w:rPr>
        <w:lastRenderedPageBreak/>
        <w:t>and long-term impacts of macroeconomic factors, demonstrating its effectiveness in analyzing dynamic economic relationships in Nigeria.</w:t>
      </w:r>
    </w:p>
    <w:p w:rsidR="007C1347" w:rsidRPr="007C1347" w:rsidRDefault="007C1347" w:rsidP="008B1DAF">
      <w:pPr>
        <w:spacing w:before="0" w:beforeAutospacing="0" w:line="480" w:lineRule="auto"/>
        <w:jc w:val="center"/>
        <w:rPr>
          <w:rFonts w:ascii="Times New Roman" w:hAnsi="Times New Roman" w:cs="Times New Roman"/>
          <w:b/>
          <w:color w:val="000000"/>
        </w:rPr>
      </w:pPr>
      <w:r w:rsidRPr="007C1347">
        <w:rPr>
          <w:rFonts w:ascii="Times New Roman" w:hAnsi="Times New Roman" w:cs="Times New Roman"/>
          <w:b/>
          <w:color w:val="000000"/>
        </w:rPr>
        <w:t>Functional Form</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Y=F(X</w:t>
      </w:r>
      <w:proofErr w:type="gramStart"/>
      <w:r w:rsidRPr="00DB21FC">
        <w:rPr>
          <w:rFonts w:ascii="Times New Roman" w:hAnsi="Times New Roman" w:cs="Times New Roman"/>
          <w:color w:val="000000"/>
          <w:vertAlign w:val="subscript"/>
        </w:rPr>
        <w:t>1</w:t>
      </w:r>
      <w:r w:rsidRPr="00DB21FC">
        <w:rPr>
          <w:rFonts w:ascii="Times New Roman" w:hAnsi="Times New Roman" w:cs="Times New Roman"/>
          <w:color w:val="000000"/>
        </w:rPr>
        <w:t>​,X</w:t>
      </w:r>
      <w:r w:rsidRPr="00DB21FC">
        <w:rPr>
          <w:rFonts w:ascii="Times New Roman" w:hAnsi="Times New Roman" w:cs="Times New Roman"/>
          <w:color w:val="000000"/>
          <w:vertAlign w:val="subscript"/>
        </w:rPr>
        <w:t>2</w:t>
      </w:r>
      <w:proofErr w:type="gramEnd"/>
      <w:r w:rsidRPr="00DB21FC">
        <w:rPr>
          <w:rFonts w:ascii="Times New Roman" w:hAnsi="Times New Roman" w:cs="Times New Roman"/>
          <w:color w:val="000000"/>
        </w:rPr>
        <w:t>​,X</w:t>
      </w:r>
      <w:r w:rsidRPr="00DB21FC">
        <w:rPr>
          <w:rFonts w:ascii="Times New Roman" w:hAnsi="Times New Roman" w:cs="Times New Roman"/>
          <w:color w:val="000000"/>
          <w:vertAlign w:val="subscript"/>
        </w:rPr>
        <w:t>3</w:t>
      </w:r>
      <w:r w:rsidRPr="00DB21FC">
        <w:rPr>
          <w:rFonts w:ascii="Times New Roman" w:hAnsi="Times New Roman" w:cs="Times New Roman"/>
          <w:color w:val="000000"/>
        </w:rPr>
        <w:t>​)</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Y=β0+β</w:t>
      </w:r>
      <w:r w:rsidRPr="00DB21FC">
        <w:rPr>
          <w:rFonts w:ascii="Times New Roman" w:hAnsi="Times New Roman" w:cs="Times New Roman"/>
          <w:color w:val="000000"/>
          <w:vertAlign w:val="subscript"/>
        </w:rPr>
        <w:t>1</w:t>
      </w:r>
      <w:r w:rsidRPr="00DB21FC">
        <w:rPr>
          <w:rFonts w:ascii="Times New Roman" w:hAnsi="Times New Roman" w:cs="Times New Roman"/>
          <w:color w:val="000000"/>
        </w:rPr>
        <w:t>X</w:t>
      </w:r>
      <w:r w:rsidRPr="00DB21FC">
        <w:rPr>
          <w:rFonts w:ascii="Times New Roman" w:hAnsi="Times New Roman" w:cs="Times New Roman"/>
          <w:color w:val="000000"/>
          <w:vertAlign w:val="subscript"/>
        </w:rPr>
        <w:t>1</w:t>
      </w:r>
      <w:r w:rsidRPr="00DB21FC">
        <w:rPr>
          <w:rFonts w:ascii="Times New Roman" w:hAnsi="Times New Roman" w:cs="Times New Roman"/>
          <w:color w:val="000000"/>
        </w:rPr>
        <w:t>+β</w:t>
      </w:r>
      <w:r w:rsidRPr="00DB21FC">
        <w:rPr>
          <w:rFonts w:ascii="Times New Roman" w:hAnsi="Times New Roman" w:cs="Times New Roman"/>
          <w:color w:val="000000"/>
          <w:vertAlign w:val="subscript"/>
        </w:rPr>
        <w:t>2</w:t>
      </w:r>
      <w:r w:rsidRPr="00DB21FC">
        <w:rPr>
          <w:rFonts w:ascii="Times New Roman" w:hAnsi="Times New Roman" w:cs="Times New Roman"/>
          <w:color w:val="000000"/>
        </w:rPr>
        <w:t>X</w:t>
      </w:r>
      <w:r w:rsidRPr="00DB21FC">
        <w:rPr>
          <w:rFonts w:ascii="Times New Roman" w:hAnsi="Times New Roman" w:cs="Times New Roman"/>
          <w:color w:val="000000"/>
          <w:vertAlign w:val="subscript"/>
        </w:rPr>
        <w:t>2</w:t>
      </w:r>
      <w:r w:rsidRPr="00DB21FC">
        <w:rPr>
          <w:rFonts w:ascii="Times New Roman" w:hAnsi="Times New Roman" w:cs="Times New Roman"/>
          <w:color w:val="000000"/>
        </w:rPr>
        <w:t>+β</w:t>
      </w:r>
      <w:r w:rsidRPr="00DB21FC">
        <w:rPr>
          <w:rFonts w:ascii="Times New Roman" w:hAnsi="Times New Roman" w:cs="Times New Roman"/>
          <w:color w:val="000000"/>
          <w:vertAlign w:val="subscript"/>
        </w:rPr>
        <w:t>3</w:t>
      </w:r>
      <w:r w:rsidRPr="00DB21FC">
        <w:rPr>
          <w:rFonts w:ascii="Times New Roman" w:hAnsi="Times New Roman" w:cs="Times New Roman"/>
          <w:color w:val="000000"/>
        </w:rPr>
        <w:t>X</w:t>
      </w:r>
      <w:r w:rsidRPr="00DB21FC">
        <w:rPr>
          <w:rFonts w:ascii="Times New Roman" w:hAnsi="Times New Roman" w:cs="Times New Roman"/>
          <w:color w:val="000000"/>
          <w:vertAlign w:val="subscript"/>
        </w:rPr>
        <w:t>3</w:t>
      </w:r>
      <w:r w:rsidRPr="00DB21FC">
        <w:rPr>
          <w:rFonts w:ascii="Times New Roman" w:hAnsi="Times New Roman" w:cs="Times New Roman"/>
          <w:color w:val="000000"/>
        </w:rPr>
        <w:t>+ε</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Where</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Y = dependent variable</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X</w:t>
      </w:r>
      <w:proofErr w:type="gramStart"/>
      <w:r w:rsidRPr="00DB21FC">
        <w:rPr>
          <w:rFonts w:ascii="Times New Roman" w:hAnsi="Times New Roman" w:cs="Times New Roman"/>
          <w:color w:val="000000"/>
          <w:vertAlign w:val="subscript"/>
        </w:rPr>
        <w:t>1</w:t>
      </w:r>
      <w:r w:rsidRPr="00DB21FC">
        <w:rPr>
          <w:rFonts w:ascii="Times New Roman" w:hAnsi="Times New Roman" w:cs="Times New Roman"/>
          <w:color w:val="000000"/>
        </w:rPr>
        <w:t>​,X</w:t>
      </w:r>
      <w:r w:rsidRPr="00DB21FC">
        <w:rPr>
          <w:rFonts w:ascii="Times New Roman" w:hAnsi="Times New Roman" w:cs="Times New Roman"/>
          <w:color w:val="000000"/>
          <w:vertAlign w:val="subscript"/>
        </w:rPr>
        <w:t>2</w:t>
      </w:r>
      <w:proofErr w:type="gramEnd"/>
      <w:r w:rsidRPr="00DB21FC">
        <w:rPr>
          <w:rFonts w:ascii="Times New Roman" w:hAnsi="Times New Roman" w:cs="Times New Roman"/>
          <w:color w:val="000000"/>
        </w:rPr>
        <w:t>​,X</w:t>
      </w:r>
      <w:r w:rsidRPr="00DB21FC">
        <w:rPr>
          <w:rFonts w:ascii="Times New Roman" w:hAnsi="Times New Roman" w:cs="Times New Roman"/>
          <w:color w:val="000000"/>
          <w:vertAlign w:val="subscript"/>
        </w:rPr>
        <w:t>3</w:t>
      </w:r>
      <w:r w:rsidRPr="00DB21FC">
        <w:rPr>
          <w:rFonts w:ascii="Times New Roman" w:hAnsi="Times New Roman" w:cs="Times New Roman"/>
          <w:color w:val="000000"/>
        </w:rPr>
        <w:t xml:space="preserve"> are  independent (explanatory) variables</w:t>
      </w:r>
    </w:p>
    <w:p w:rsidR="00BE44CE" w:rsidRPr="00DB21FC"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β0</w:t>
      </w:r>
      <w:proofErr w:type="gramStart"/>
      <w:r w:rsidRPr="00DB21FC">
        <w:rPr>
          <w:rFonts w:ascii="Times New Roman" w:hAnsi="Times New Roman" w:cs="Times New Roman"/>
          <w:color w:val="000000"/>
        </w:rPr>
        <w:t>​ =</w:t>
      </w:r>
      <w:proofErr w:type="gramEnd"/>
      <w:r w:rsidRPr="00DB21FC">
        <w:rPr>
          <w:rFonts w:ascii="Times New Roman" w:hAnsi="Times New Roman" w:cs="Times New Roman"/>
          <w:color w:val="000000"/>
        </w:rPr>
        <w:t xml:space="preserve"> intercept (constant term)</w:t>
      </w:r>
    </w:p>
    <w:p w:rsidR="00BE44CE" w:rsidRPr="00DB21FC" w:rsidRDefault="00BE44CE" w:rsidP="008B1DAF">
      <w:pPr>
        <w:spacing w:before="0" w:beforeAutospacing="0" w:line="480" w:lineRule="auto"/>
        <w:jc w:val="center"/>
        <w:rPr>
          <w:rFonts w:ascii="Times New Roman" w:hAnsi="Times New Roman" w:cs="Times New Roman"/>
          <w:color w:val="000000"/>
        </w:rPr>
      </w:pPr>
      <w:proofErr w:type="gramStart"/>
      <w:r w:rsidRPr="00DB21FC">
        <w:rPr>
          <w:rFonts w:ascii="Times New Roman" w:hAnsi="Times New Roman" w:cs="Times New Roman"/>
          <w:color w:val="000000"/>
        </w:rPr>
        <w:t>β</w:t>
      </w:r>
      <w:r w:rsidRPr="00DB21FC">
        <w:rPr>
          <w:rFonts w:ascii="Times New Roman" w:hAnsi="Times New Roman" w:cs="Times New Roman"/>
          <w:color w:val="000000"/>
          <w:vertAlign w:val="subscript"/>
        </w:rPr>
        <w:t>1</w:t>
      </w:r>
      <w:r w:rsidRPr="00DB21FC">
        <w:rPr>
          <w:rFonts w:ascii="Times New Roman" w:hAnsi="Times New Roman" w:cs="Times New Roman"/>
          <w:color w:val="000000"/>
        </w:rPr>
        <w:t>​,β</w:t>
      </w:r>
      <w:r w:rsidRPr="00DB21FC">
        <w:rPr>
          <w:rFonts w:ascii="Times New Roman" w:hAnsi="Times New Roman" w:cs="Times New Roman"/>
          <w:color w:val="000000"/>
          <w:vertAlign w:val="subscript"/>
        </w:rPr>
        <w:t>2</w:t>
      </w:r>
      <w:proofErr w:type="gramEnd"/>
      <w:r w:rsidRPr="00DB21FC">
        <w:rPr>
          <w:rFonts w:ascii="Times New Roman" w:hAnsi="Times New Roman" w:cs="Times New Roman"/>
          <w:color w:val="000000"/>
        </w:rPr>
        <w:t>​,β</w:t>
      </w:r>
      <w:r w:rsidRPr="00DB21FC">
        <w:rPr>
          <w:rFonts w:ascii="Times New Roman" w:hAnsi="Times New Roman" w:cs="Times New Roman"/>
          <w:color w:val="000000"/>
          <w:vertAlign w:val="subscript"/>
        </w:rPr>
        <w:t>3</w:t>
      </w:r>
      <w:r w:rsidRPr="00DB21FC">
        <w:rPr>
          <w:rFonts w:ascii="Times New Roman" w:hAnsi="Times New Roman" w:cs="Times New Roman"/>
          <w:color w:val="000000"/>
        </w:rPr>
        <w:t xml:space="preserve"> are slope coefficients (showing how each X affects Y)</w:t>
      </w:r>
    </w:p>
    <w:p w:rsidR="00BE44CE" w:rsidRDefault="00BE44CE" w:rsidP="008B1DAF">
      <w:pPr>
        <w:spacing w:before="0" w:beforeAutospacing="0" w:line="480" w:lineRule="auto"/>
        <w:jc w:val="center"/>
        <w:rPr>
          <w:rFonts w:ascii="Times New Roman" w:hAnsi="Times New Roman" w:cs="Times New Roman"/>
          <w:color w:val="000000"/>
        </w:rPr>
      </w:pPr>
      <w:r w:rsidRPr="00DB21FC">
        <w:rPr>
          <w:rFonts w:ascii="Times New Roman" w:hAnsi="Times New Roman" w:cs="Times New Roman"/>
          <w:color w:val="000000"/>
        </w:rPr>
        <w:t>ε = error term (captures all other influences on Y not included in the model)</w:t>
      </w:r>
    </w:p>
    <w:p w:rsidR="003B1E2D" w:rsidRPr="003B1E2D" w:rsidRDefault="003B1E2D" w:rsidP="008B1DAF">
      <w:pPr>
        <w:spacing w:before="0" w:beforeAutospacing="0" w:line="480" w:lineRule="auto"/>
        <w:jc w:val="center"/>
        <w:rPr>
          <w:rFonts w:ascii="Times New Roman" w:hAnsi="Times New Roman" w:cs="Times New Roman"/>
          <w:b/>
          <w:color w:val="000000"/>
        </w:rPr>
      </w:pPr>
      <w:r w:rsidRPr="00DB21FC">
        <w:rPr>
          <w:rFonts w:ascii="Times New Roman" w:hAnsi="Times New Roman" w:cs="Times New Roman"/>
          <w:b/>
          <w:color w:val="000000"/>
        </w:rPr>
        <w:t>Regression Model</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RGDP</w:t>
      </w:r>
      <w:r w:rsidRPr="00DB21FC">
        <w:rPr>
          <w:rFonts w:ascii="Times New Roman" w:hAnsi="Times New Roman" w:cs="Times New Roman"/>
          <w:color w:val="000000"/>
          <w:vertAlign w:val="subscript"/>
          <w:lang w:val="zh-CN" w:eastAsia="zh-CN"/>
        </w:rPr>
        <w:t xml:space="preserve">t </w:t>
      </w:r>
      <w:r w:rsidRPr="00DB21FC">
        <w:rPr>
          <w:rFonts w:ascii="Times New Roman" w:hAnsi="Times New Roman" w:cs="Times New Roman"/>
          <w:color w:val="000000"/>
          <w:lang w:val="zh-CN" w:eastAsia="zh-CN"/>
        </w:rPr>
        <w:t>= F(EXR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INF</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INTR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RGDP</w:t>
      </w:r>
      <w:r w:rsidRPr="00DB21FC">
        <w:rPr>
          <w:rFonts w:ascii="Times New Roman" w:hAnsi="Times New Roman" w:cs="Times New Roman"/>
          <w:color w:val="000000"/>
          <w:vertAlign w:val="subscript"/>
          <w:lang w:eastAsia="zh-CN"/>
        </w:rPr>
        <w:t>t</w:t>
      </w:r>
      <w:r w:rsidRPr="00DB21FC">
        <w:rPr>
          <w:rFonts w:ascii="Times New Roman" w:hAnsi="Times New Roman" w:cs="Times New Roman"/>
          <w:color w:val="000000"/>
          <w:lang w:eastAsia="zh-CN"/>
        </w:rPr>
        <w:t>=</w:t>
      </w:r>
      <w:r w:rsidR="008B1DAF">
        <w:rPr>
          <w:rFonts w:ascii="Times New Roman" w:hAnsi="Times New Roman" w:cs="Times New Roman"/>
          <w:color w:val="000000"/>
          <w:lang w:eastAsia="zh-CN"/>
        </w:rPr>
        <w:t xml:space="preserve"> </w:t>
      </w:r>
      <w:r w:rsidRPr="00DB21FC">
        <w:rPr>
          <w:rFonts w:ascii="Times New Roman" w:hAnsi="Times New Roman" w:cs="Times New Roman"/>
          <w:color w:val="000000"/>
        </w:rPr>
        <w:t>β</w:t>
      </w:r>
      <w:r w:rsidRPr="00DB21FC">
        <w:rPr>
          <w:rFonts w:ascii="Times New Roman" w:hAnsi="Times New Roman" w:cs="Times New Roman"/>
          <w:color w:val="000000"/>
          <w:vertAlign w:val="subscript"/>
          <w:lang w:eastAsia="zh-CN"/>
        </w:rPr>
        <w:t>0</w:t>
      </w:r>
      <w:r w:rsidRPr="00DB21FC">
        <w:rPr>
          <w:rFonts w:ascii="Times New Roman" w:hAnsi="Times New Roman" w:cs="Times New Roman"/>
          <w:color w:val="000000"/>
          <w:lang w:eastAsia="zh-CN"/>
        </w:rPr>
        <w:t xml:space="preserve">​+ </w:t>
      </w:r>
      <w:r w:rsidRPr="00DB21FC">
        <w:rPr>
          <w:rFonts w:ascii="Times New Roman" w:hAnsi="Times New Roman" w:cs="Times New Roman"/>
          <w:color w:val="000000"/>
        </w:rPr>
        <w:t>β</w:t>
      </w:r>
      <w:r w:rsidRPr="00DB21FC">
        <w:rPr>
          <w:rFonts w:ascii="Times New Roman" w:hAnsi="Times New Roman" w:cs="Times New Roman"/>
          <w:color w:val="000000"/>
          <w:vertAlign w:val="subscript"/>
          <w:lang w:eastAsia="zh-CN"/>
        </w:rPr>
        <w:t>1</w:t>
      </w:r>
      <w:r w:rsidRPr="00DB21FC">
        <w:rPr>
          <w:rFonts w:ascii="Times New Roman" w:hAnsi="Times New Roman" w:cs="Times New Roman"/>
          <w:color w:val="000000"/>
          <w:lang w:val="zh-CN" w:eastAsia="zh-CN"/>
        </w:rPr>
        <w:t>EXR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eastAsia="zh-CN"/>
        </w:rPr>
        <w:t xml:space="preserve"> ​+</w:t>
      </w:r>
      <w:r w:rsidRPr="00DB21FC">
        <w:rPr>
          <w:rFonts w:ascii="Times New Roman" w:hAnsi="Times New Roman" w:cs="Times New Roman"/>
          <w:color w:val="000000"/>
        </w:rPr>
        <w:t>β</w:t>
      </w:r>
      <w:r w:rsidRPr="00DB21FC">
        <w:rPr>
          <w:rFonts w:ascii="Times New Roman" w:hAnsi="Times New Roman" w:cs="Times New Roman"/>
          <w:color w:val="000000"/>
          <w:vertAlign w:val="subscript"/>
          <w:lang w:eastAsia="zh-CN"/>
        </w:rPr>
        <w:t>2</w:t>
      </w:r>
      <w:r w:rsidRPr="00DB21FC">
        <w:rPr>
          <w:rFonts w:ascii="Times New Roman" w:hAnsi="Times New Roman" w:cs="Times New Roman"/>
          <w:color w:val="000000"/>
          <w:lang w:val="zh-CN" w:eastAsia="zh-CN"/>
        </w:rPr>
        <w:t>INF</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eastAsia="zh-CN"/>
        </w:rPr>
        <w:t xml:space="preserve">​+ </w:t>
      </w:r>
      <w:r w:rsidRPr="00DB21FC">
        <w:rPr>
          <w:rFonts w:ascii="Times New Roman" w:hAnsi="Times New Roman" w:cs="Times New Roman"/>
          <w:color w:val="000000"/>
        </w:rPr>
        <w:t>β</w:t>
      </w:r>
      <w:r w:rsidRPr="00DB21FC">
        <w:rPr>
          <w:rFonts w:ascii="Times New Roman" w:hAnsi="Times New Roman" w:cs="Times New Roman"/>
          <w:color w:val="000000"/>
          <w:vertAlign w:val="subscript"/>
          <w:lang w:eastAsia="zh-CN"/>
        </w:rPr>
        <w:t>3</w:t>
      </w:r>
      <w:r w:rsidRPr="00DB21FC">
        <w:rPr>
          <w:rFonts w:ascii="Times New Roman" w:hAnsi="Times New Roman" w:cs="Times New Roman"/>
          <w:color w:val="000000"/>
          <w:lang w:val="zh-CN" w:eastAsia="zh-CN"/>
        </w:rPr>
        <w:t>INTR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eastAsia="zh-CN"/>
        </w:rPr>
        <w:t xml:space="preserve">+ </w:t>
      </w:r>
      <w:r w:rsidRPr="00DB21FC">
        <w:rPr>
          <w:rFonts w:ascii="Times New Roman" w:hAnsi="Times New Roman" w:cs="Times New Roman"/>
          <w:i/>
          <w:iCs/>
          <w:color w:val="000000"/>
          <w:lang w:eastAsia="zh-CN"/>
        </w:rPr>
        <w:t>ϵt</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Where:</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RGDP</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xml:space="preserve"> ​ represents the Real GDP (proxy for economic growth)</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EXR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xml:space="preserve"> represents the Exchange Rate (proxy for </w:t>
      </w:r>
      <w:r w:rsidRPr="00DB21FC">
        <w:rPr>
          <w:rFonts w:ascii="Times New Roman" w:hAnsi="Times New Roman" w:cs="Times New Roman"/>
          <w:color w:val="000000"/>
        </w:rPr>
        <w:t xml:space="preserve">nominal </w:t>
      </w:r>
      <w:r w:rsidRPr="00DB21FC">
        <w:rPr>
          <w:rFonts w:ascii="Times New Roman" w:hAnsi="Times New Roman" w:cs="Times New Roman"/>
          <w:color w:val="000000"/>
          <w:lang w:val="zh-CN" w:eastAsia="zh-CN"/>
        </w:rPr>
        <w:t>exchange rate)</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INF</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represents the Inflation rate (</w:t>
      </w:r>
      <w:r w:rsidRPr="00DB21FC">
        <w:rPr>
          <w:rFonts w:ascii="Times New Roman" w:hAnsi="Times New Roman" w:cs="Times New Roman"/>
          <w:color w:val="000000"/>
        </w:rPr>
        <w:t>proxy for CPI</w:t>
      </w:r>
      <w:r w:rsidRPr="00DB21FC">
        <w:rPr>
          <w:rFonts w:ascii="Times New Roman" w:hAnsi="Times New Roman" w:cs="Times New Roman"/>
          <w:color w:val="000000"/>
          <w:lang w:val="zh-CN" w:eastAsia="zh-CN"/>
        </w:rPr>
        <w:t>)</w:t>
      </w:r>
    </w:p>
    <w:p w:rsidR="00BE44CE" w:rsidRPr="00DB21FC" w:rsidRDefault="00BE44CE" w:rsidP="008B1DAF">
      <w:pPr>
        <w:spacing w:before="0" w:beforeAutospacing="0" w:line="480" w:lineRule="auto"/>
        <w:jc w:val="center"/>
        <w:rPr>
          <w:rFonts w:ascii="Times New Roman" w:hAnsi="Times New Roman" w:cs="Times New Roman"/>
          <w:color w:val="000000"/>
          <w:lang w:val="zh-CN" w:eastAsia="zh-CN"/>
        </w:rPr>
      </w:pPr>
      <w:r w:rsidRPr="00DB21FC">
        <w:rPr>
          <w:rFonts w:ascii="Times New Roman" w:hAnsi="Times New Roman" w:cs="Times New Roman"/>
          <w:color w:val="000000"/>
          <w:lang w:val="zh-CN" w:eastAsia="zh-CN"/>
        </w:rPr>
        <w:t>INTR</w:t>
      </w:r>
      <w:r w:rsidRPr="00DB21FC">
        <w:rPr>
          <w:rFonts w:ascii="Times New Roman" w:hAnsi="Times New Roman" w:cs="Times New Roman"/>
          <w:color w:val="000000"/>
          <w:vertAlign w:val="subscript"/>
          <w:lang w:val="zh-CN" w:eastAsia="zh-CN"/>
        </w:rPr>
        <w:t>t</w:t>
      </w:r>
      <w:r w:rsidRPr="00DB21FC">
        <w:rPr>
          <w:rFonts w:ascii="Times New Roman" w:hAnsi="Times New Roman" w:cs="Times New Roman"/>
          <w:color w:val="000000"/>
          <w:lang w:val="zh-CN" w:eastAsia="zh-CN"/>
        </w:rPr>
        <w:t xml:space="preserve"> represents the Interest rate (</w:t>
      </w:r>
      <w:r w:rsidRPr="00DB21FC">
        <w:rPr>
          <w:rFonts w:ascii="Times New Roman" w:hAnsi="Times New Roman" w:cs="Times New Roman"/>
          <w:color w:val="000000"/>
        </w:rPr>
        <w:t>proxy for lending rate</w:t>
      </w:r>
      <w:r w:rsidRPr="00DB21FC">
        <w:rPr>
          <w:rFonts w:ascii="Times New Roman" w:hAnsi="Times New Roman" w:cs="Times New Roman"/>
          <w:color w:val="000000"/>
          <w:lang w:val="zh-CN" w:eastAsia="zh-CN"/>
        </w:rPr>
        <w:t>)</w:t>
      </w:r>
    </w:p>
    <w:p w:rsidR="00BE44CE" w:rsidRPr="00DB21FC" w:rsidRDefault="00BE44CE" w:rsidP="008B1DAF">
      <w:pPr>
        <w:spacing w:before="0" w:beforeAutospacing="0" w:line="480" w:lineRule="auto"/>
        <w:jc w:val="center"/>
        <w:rPr>
          <w:rFonts w:ascii="Times New Roman" w:hAnsi="Times New Roman" w:cs="Times New Roman"/>
          <w:color w:val="000000"/>
          <w:lang w:eastAsia="zh-CN"/>
        </w:rPr>
      </w:pPr>
      <w:r w:rsidRPr="00DB21FC">
        <w:rPr>
          <w:rFonts w:ascii="Times New Roman" w:hAnsi="Times New Roman" w:cs="Times New Roman"/>
          <w:i/>
          <w:iCs/>
          <w:color w:val="000000"/>
          <w:lang w:eastAsia="zh-CN"/>
        </w:rPr>
        <w:lastRenderedPageBreak/>
        <w:t>ϵt</w:t>
      </w:r>
      <w:r w:rsidRPr="00DB21FC">
        <w:rPr>
          <w:rFonts w:ascii="Times New Roman" w:hAnsi="Times New Roman" w:cs="Times New Roman"/>
          <w:color w:val="000000"/>
          <w:lang w:val="zh-CN" w:eastAsia="zh-CN"/>
        </w:rPr>
        <w:t xml:space="preserve"> ​ = Error term</w:t>
      </w:r>
    </w:p>
    <w:p w:rsidR="00BE44CE" w:rsidRPr="00DB21FC" w:rsidRDefault="00BE44CE" w:rsidP="005A37C1">
      <w:pPr>
        <w:spacing w:before="0" w:beforeAutospacing="0" w:line="480" w:lineRule="auto"/>
        <w:jc w:val="both"/>
        <w:rPr>
          <w:rFonts w:ascii="Times New Roman" w:hAnsi="Times New Roman" w:cs="Times New Roman"/>
          <w:b/>
          <w:color w:val="000000"/>
          <w:lang w:eastAsia="zh-CN"/>
        </w:rPr>
      </w:pPr>
      <w:r w:rsidRPr="00DB21FC">
        <w:rPr>
          <w:rFonts w:ascii="Times New Roman" w:hAnsi="Times New Roman" w:cs="Times New Roman"/>
          <w:b/>
          <w:color w:val="000000"/>
          <w:lang w:eastAsia="zh-CN"/>
        </w:rPr>
        <w:t>ARDL Model</w:t>
      </w:r>
    </w:p>
    <w:p w:rsidR="00E05293" w:rsidRDefault="005A64F1" w:rsidP="005A64F1">
      <w:pPr>
        <w:spacing w:before="0" w:beforeAutospacing="0" w:line="480" w:lineRule="auto"/>
        <w:jc w:val="center"/>
        <w:rPr>
          <w:rFonts w:ascii="Times New Roman" w:hAnsi="Times New Roman" w:cs="Times New Roman"/>
          <w:bCs/>
          <w:color w:val="000000"/>
          <w:lang w:eastAsia="zh-CN"/>
        </w:rPr>
      </w:pPr>
      <w:r w:rsidRPr="005A64F1">
        <w:rPr>
          <w:rFonts w:ascii="Times New Roman" w:hAnsi="Times New Roman" w:cs="Times New Roman"/>
          <w:bCs/>
          <w:color w:val="000000"/>
          <w:lang w:eastAsia="zh-CN"/>
        </w:rPr>
        <w:t xml:space="preserve">ΔRGDPₜ = β₀ + Σβ₁ᵢΔRGDPₜ₋ᵢ + Σβ₂ᵢΔEXRₜ₋ᵢ + Σβ₃ᵢΔINFₜ₋ᵢ + Σβ₄ᵢΔINTRₜ₋ᵢ + </w:t>
      </w:r>
      <w:proofErr w:type="spellStart"/>
      <w:r w:rsidRPr="005A64F1">
        <w:rPr>
          <w:rFonts w:ascii="Times New Roman" w:hAnsi="Times New Roman" w:cs="Times New Roman"/>
          <w:bCs/>
          <w:color w:val="000000"/>
          <w:lang w:eastAsia="zh-CN"/>
        </w:rPr>
        <w:t>λ₁RGDP</w:t>
      </w:r>
      <w:proofErr w:type="spellEnd"/>
      <w:r w:rsidRPr="005A64F1">
        <w:rPr>
          <w:rFonts w:ascii="Times New Roman" w:hAnsi="Times New Roman" w:cs="Times New Roman"/>
          <w:bCs/>
          <w:color w:val="000000"/>
          <w:lang w:eastAsia="zh-CN"/>
        </w:rPr>
        <w:t xml:space="preserve">ₜ₋₁ + </w:t>
      </w:r>
      <w:proofErr w:type="spellStart"/>
      <w:r w:rsidRPr="005A64F1">
        <w:rPr>
          <w:rFonts w:ascii="Times New Roman" w:hAnsi="Times New Roman" w:cs="Times New Roman"/>
          <w:bCs/>
          <w:color w:val="000000"/>
          <w:lang w:eastAsia="zh-CN"/>
        </w:rPr>
        <w:t>λ₂EXR</w:t>
      </w:r>
      <w:proofErr w:type="spellEnd"/>
      <w:r w:rsidRPr="005A64F1">
        <w:rPr>
          <w:rFonts w:ascii="Times New Roman" w:hAnsi="Times New Roman" w:cs="Times New Roman"/>
          <w:bCs/>
          <w:color w:val="000000"/>
          <w:lang w:eastAsia="zh-CN"/>
        </w:rPr>
        <w:t xml:space="preserve">ₜ₋₁ + </w:t>
      </w:r>
      <w:proofErr w:type="spellStart"/>
      <w:r w:rsidRPr="005A64F1">
        <w:rPr>
          <w:rFonts w:ascii="Times New Roman" w:hAnsi="Times New Roman" w:cs="Times New Roman"/>
          <w:bCs/>
          <w:color w:val="000000"/>
          <w:lang w:eastAsia="zh-CN"/>
        </w:rPr>
        <w:t>λ₃INF</w:t>
      </w:r>
      <w:proofErr w:type="spellEnd"/>
      <w:r w:rsidRPr="005A64F1">
        <w:rPr>
          <w:rFonts w:ascii="Times New Roman" w:hAnsi="Times New Roman" w:cs="Times New Roman"/>
          <w:bCs/>
          <w:color w:val="000000"/>
          <w:lang w:eastAsia="zh-CN"/>
        </w:rPr>
        <w:t xml:space="preserve">ₜ₋₁ + </w:t>
      </w:r>
      <w:proofErr w:type="spellStart"/>
      <w:r w:rsidRPr="005A64F1">
        <w:rPr>
          <w:rFonts w:ascii="Times New Roman" w:hAnsi="Times New Roman" w:cs="Times New Roman"/>
          <w:bCs/>
          <w:color w:val="000000"/>
          <w:lang w:eastAsia="zh-CN"/>
        </w:rPr>
        <w:t>λ₄INTR</w:t>
      </w:r>
      <w:proofErr w:type="spellEnd"/>
      <w:r w:rsidRPr="005A64F1">
        <w:rPr>
          <w:rFonts w:ascii="Times New Roman" w:hAnsi="Times New Roman" w:cs="Times New Roman"/>
          <w:bCs/>
          <w:color w:val="000000"/>
          <w:lang w:eastAsia="zh-CN"/>
        </w:rPr>
        <w:t>ₜ₋₁ + εₜ</w:t>
      </w:r>
    </w:p>
    <w:p w:rsidR="00CA42B4" w:rsidRDefault="00CA42B4" w:rsidP="005A64F1">
      <w:pPr>
        <w:spacing w:before="0" w:beforeAutospacing="0" w:line="480" w:lineRule="auto"/>
        <w:jc w:val="center"/>
        <w:rPr>
          <w:rFonts w:ascii="Times New Roman" w:hAnsi="Times New Roman" w:cs="Times New Roman"/>
          <w:bCs/>
          <w:color w:val="000000"/>
          <w:lang w:eastAsia="zh-CN"/>
        </w:rPr>
      </w:pPr>
      <w:r>
        <w:rPr>
          <w:rFonts w:ascii="Times New Roman" w:hAnsi="Times New Roman" w:cs="Times New Roman"/>
          <w:bCs/>
          <w:color w:val="000000"/>
          <w:lang w:eastAsia="zh-CN"/>
        </w:rPr>
        <w:t xml:space="preserve">Where: </w:t>
      </w:r>
    </w:p>
    <w:p w:rsidR="008336AE" w:rsidRPr="008336AE" w:rsidRDefault="008336AE" w:rsidP="007A1B5B">
      <w:pPr>
        <w:spacing w:before="0" w:beforeAutospacing="0" w:line="480" w:lineRule="auto"/>
        <w:ind w:left="720"/>
        <w:jc w:val="center"/>
        <w:rPr>
          <w:rFonts w:ascii="Times New Roman" w:hAnsi="Times New Roman" w:cs="Times New Roman"/>
          <w:color w:val="000000"/>
          <w:lang w:eastAsia="zh-CN"/>
        </w:rPr>
      </w:pPr>
      <w:proofErr w:type="gramStart"/>
      <w:r w:rsidRPr="008336AE">
        <w:rPr>
          <w:rFonts w:ascii="Times New Roman" w:hAnsi="Times New Roman" w:cs="Times New Roman"/>
          <w:bCs/>
          <w:i/>
          <w:iCs/>
          <w:color w:val="000000"/>
          <w:lang w:eastAsia="zh-CN"/>
        </w:rPr>
        <w:t>p</w:t>
      </w:r>
      <w:proofErr w:type="gramEnd"/>
      <w:r w:rsidRPr="008336AE">
        <w:rPr>
          <w:rFonts w:ascii="Times New Roman" w:hAnsi="Times New Roman" w:cs="Times New Roman"/>
          <w:color w:val="000000"/>
          <w:lang w:eastAsia="zh-CN"/>
        </w:rPr>
        <w:t> is the number of lags for the dependent variable (RGDP).</w:t>
      </w:r>
    </w:p>
    <w:p w:rsidR="008336AE" w:rsidRDefault="008336AE" w:rsidP="007A1B5B">
      <w:pPr>
        <w:spacing w:before="0" w:beforeAutospacing="0" w:line="480" w:lineRule="auto"/>
        <w:ind w:left="720"/>
        <w:jc w:val="center"/>
        <w:rPr>
          <w:rFonts w:ascii="Times New Roman" w:hAnsi="Times New Roman" w:cs="Times New Roman"/>
          <w:color w:val="000000"/>
          <w:lang w:eastAsia="zh-CN"/>
        </w:rPr>
      </w:pPr>
      <w:r w:rsidRPr="008336AE">
        <w:rPr>
          <w:rFonts w:ascii="Times New Roman" w:hAnsi="Times New Roman" w:cs="Times New Roman"/>
          <w:bCs/>
          <w:color w:val="000000"/>
          <w:lang w:eastAsia="zh-CN"/>
        </w:rPr>
        <w:t>q1</w:t>
      </w:r>
      <w:proofErr w:type="gramStart"/>
      <w:r w:rsidRPr="008336AE">
        <w:rPr>
          <w:rFonts w:ascii="Times New Roman" w:hAnsi="Times New Roman" w:cs="Times New Roman"/>
          <w:bCs/>
          <w:color w:val="000000"/>
          <w:lang w:eastAsia="zh-CN"/>
        </w:rPr>
        <w:t>,q2,q3</w:t>
      </w:r>
      <w:r w:rsidRPr="008336AE">
        <w:rPr>
          <w:rFonts w:ascii="Times New Roman" w:hAnsi="Times New Roman" w:cs="Times New Roman"/>
          <w:bCs/>
          <w:i/>
          <w:iCs/>
          <w:color w:val="000000"/>
          <w:lang w:eastAsia="zh-CN"/>
        </w:rPr>
        <w:t>q</w:t>
      </w:r>
      <w:r w:rsidRPr="008336AE">
        <w:rPr>
          <w:rFonts w:ascii="Times New Roman" w:hAnsi="Times New Roman" w:cs="Times New Roman"/>
          <w:bCs/>
          <w:color w:val="000000"/>
          <w:lang w:eastAsia="zh-CN"/>
        </w:rPr>
        <w:t>1</w:t>
      </w:r>
      <w:proofErr w:type="gramEnd"/>
      <w:r w:rsidRPr="008336AE">
        <w:rPr>
          <w:rFonts w:ascii="Times New Roman" w:hAnsi="Times New Roman" w:cs="Times New Roman"/>
          <w:bCs/>
          <w:color w:val="000000"/>
          <w:lang w:eastAsia="zh-CN"/>
        </w:rPr>
        <w:t>​,</w:t>
      </w:r>
      <w:r w:rsidRPr="008336AE">
        <w:rPr>
          <w:rFonts w:ascii="Times New Roman" w:hAnsi="Times New Roman" w:cs="Times New Roman"/>
          <w:bCs/>
          <w:i/>
          <w:iCs/>
          <w:color w:val="000000"/>
          <w:lang w:eastAsia="zh-CN"/>
        </w:rPr>
        <w:t>q</w:t>
      </w:r>
      <w:r w:rsidRPr="008336AE">
        <w:rPr>
          <w:rFonts w:ascii="Times New Roman" w:hAnsi="Times New Roman" w:cs="Times New Roman"/>
          <w:bCs/>
          <w:color w:val="000000"/>
          <w:lang w:eastAsia="zh-CN"/>
        </w:rPr>
        <w:t>2​,</w:t>
      </w:r>
      <w:r w:rsidRPr="008336AE">
        <w:rPr>
          <w:rFonts w:ascii="Times New Roman" w:hAnsi="Times New Roman" w:cs="Times New Roman"/>
          <w:bCs/>
          <w:i/>
          <w:iCs/>
          <w:color w:val="000000"/>
          <w:lang w:eastAsia="zh-CN"/>
        </w:rPr>
        <w:t>q</w:t>
      </w:r>
      <w:r w:rsidRPr="008336AE">
        <w:rPr>
          <w:rFonts w:ascii="Times New Roman" w:hAnsi="Times New Roman" w:cs="Times New Roman"/>
          <w:bCs/>
          <w:color w:val="000000"/>
          <w:lang w:eastAsia="zh-CN"/>
        </w:rPr>
        <w:t>3</w:t>
      </w:r>
      <w:r w:rsidRPr="008336AE">
        <w:rPr>
          <w:rFonts w:ascii="Times New Roman" w:hAnsi="Times New Roman" w:cs="Times New Roman"/>
          <w:b/>
          <w:bCs/>
          <w:color w:val="000000"/>
          <w:lang w:eastAsia="zh-CN"/>
        </w:rPr>
        <w:t>​</w:t>
      </w:r>
      <w:r w:rsidRPr="008336AE">
        <w:rPr>
          <w:rFonts w:ascii="Times New Roman" w:hAnsi="Times New Roman" w:cs="Times New Roman"/>
          <w:color w:val="000000"/>
          <w:lang w:eastAsia="zh-CN"/>
        </w:rPr>
        <w:t> are the number of lags for the independent variables (EXR, INF, INTR).</w:t>
      </w:r>
    </w:p>
    <w:p w:rsidR="008336AE" w:rsidRPr="005A64F1" w:rsidRDefault="008336AE" w:rsidP="007A1B5B">
      <w:pPr>
        <w:spacing w:before="0" w:beforeAutospacing="0" w:line="480" w:lineRule="auto"/>
        <w:ind w:left="720"/>
        <w:jc w:val="center"/>
        <w:rPr>
          <w:rFonts w:ascii="Times New Roman" w:hAnsi="Times New Roman" w:cs="Times New Roman"/>
          <w:color w:val="000000"/>
          <w:lang w:eastAsia="zh-CN"/>
        </w:rPr>
      </w:pPr>
      <w:r w:rsidRPr="00D103C7">
        <w:rPr>
          <w:rFonts w:ascii="Times New Roman" w:hAnsi="Times New Roman" w:cs="Times New Roman"/>
          <w:bCs/>
          <w:color w:val="000000"/>
          <w:lang w:eastAsia="zh-CN"/>
        </w:rPr>
        <w:t>Δ</w:t>
      </w:r>
      <w:r w:rsidRPr="008336AE">
        <w:rPr>
          <w:rFonts w:ascii="Times New Roman" w:hAnsi="Times New Roman" w:cs="Times New Roman"/>
          <w:color w:val="000000"/>
          <w:lang w:eastAsia="zh-CN"/>
        </w:rPr>
        <w:t> is the difference operator (</w:t>
      </w:r>
      <w:r w:rsidR="00F32362">
        <w:rPr>
          <w:rFonts w:ascii="Times New Roman" w:hAnsi="Times New Roman" w:cs="Times New Roman"/>
          <w:color w:val="000000"/>
          <w:lang w:eastAsia="zh-CN"/>
        </w:rPr>
        <w:t>e.g., ΔRGDPₜ = RGDPₜ - RGDPₜ₋₁)</w:t>
      </w:r>
    </w:p>
    <w:p w:rsidR="00BE44CE" w:rsidRPr="00DB21FC" w:rsidRDefault="00BE44CE" w:rsidP="005A37C1">
      <w:pPr>
        <w:spacing w:before="0" w:beforeAutospacing="0" w:line="480" w:lineRule="auto"/>
        <w:jc w:val="both"/>
        <w:rPr>
          <w:rFonts w:ascii="Times New Roman" w:hAnsi="Times New Roman" w:cs="Times New Roman"/>
          <w:color w:val="000000"/>
        </w:rPr>
      </w:pPr>
      <w:r w:rsidRPr="00DB21FC">
        <w:rPr>
          <w:rFonts w:ascii="Times New Roman" w:hAnsi="Times New Roman" w:cs="Times New Roman"/>
          <w:color w:val="000000"/>
        </w:rPr>
        <w:t xml:space="preserve">The ARDL model is particularly useful for examining both the short-run and long-run effects of macroeconomic variables on economic growth. </w:t>
      </w:r>
      <w:r w:rsidRPr="00DB21FC">
        <w:rPr>
          <w:rFonts w:ascii="Times New Roman" w:hAnsi="Times New Roman" w:cs="Times New Roman"/>
          <w:bCs/>
          <w:color w:val="000000"/>
        </w:rPr>
        <w:t>In the short run</w:t>
      </w:r>
      <w:r w:rsidRPr="00DB21FC">
        <w:rPr>
          <w:rFonts w:ascii="Times New Roman" w:hAnsi="Times New Roman" w:cs="Times New Roman"/>
          <w:color w:val="000000"/>
        </w:rPr>
        <w:t>, the model captures the immediate impact of changes in exchange rate, inflation, and interest rate on RGDP. For example, a positive coefficient for the exchange rate would suggest that an appreciation of the Naira positively affects economic growth (</w:t>
      </w:r>
      <w:proofErr w:type="spellStart"/>
      <w:r w:rsidRPr="00DB21FC">
        <w:rPr>
          <w:rFonts w:ascii="Times New Roman" w:hAnsi="Times New Roman" w:cs="Times New Roman"/>
          <w:color w:val="000000"/>
        </w:rPr>
        <w:t>Pesaran</w:t>
      </w:r>
      <w:proofErr w:type="spellEnd"/>
      <w:r w:rsidRPr="00DB21FC">
        <w:rPr>
          <w:rFonts w:ascii="Times New Roman" w:hAnsi="Times New Roman" w:cs="Times New Roman"/>
          <w:color w:val="000000"/>
        </w:rPr>
        <w:t xml:space="preserve">, Shin, &amp; Smith, 2001; </w:t>
      </w:r>
      <w:proofErr w:type="spellStart"/>
      <w:r w:rsidRPr="00DB21FC">
        <w:rPr>
          <w:rFonts w:ascii="Times New Roman" w:hAnsi="Times New Roman" w:cs="Times New Roman"/>
          <w:color w:val="000000"/>
        </w:rPr>
        <w:t>Ogodo</w:t>
      </w:r>
      <w:proofErr w:type="spellEnd"/>
      <w:r w:rsidRPr="00DB21FC">
        <w:rPr>
          <w:rFonts w:ascii="Times New Roman" w:hAnsi="Times New Roman" w:cs="Times New Roman"/>
          <w:color w:val="000000"/>
        </w:rPr>
        <w:t xml:space="preserve"> &amp; </w:t>
      </w:r>
      <w:proofErr w:type="spellStart"/>
      <w:r w:rsidRPr="00DB21FC">
        <w:rPr>
          <w:rFonts w:ascii="Times New Roman" w:hAnsi="Times New Roman" w:cs="Times New Roman"/>
          <w:color w:val="000000"/>
        </w:rPr>
        <w:t>Egbaseimokumo</w:t>
      </w:r>
      <w:proofErr w:type="spellEnd"/>
      <w:r w:rsidRPr="00DB21FC">
        <w:rPr>
          <w:rFonts w:ascii="Times New Roman" w:hAnsi="Times New Roman" w:cs="Times New Roman"/>
          <w:color w:val="000000"/>
        </w:rPr>
        <w:t xml:space="preserve">, 2024). </w:t>
      </w:r>
      <w:r w:rsidRPr="00DB21FC">
        <w:rPr>
          <w:rFonts w:ascii="Times New Roman" w:hAnsi="Times New Roman" w:cs="Times New Roman"/>
          <w:bCs/>
          <w:color w:val="000000"/>
        </w:rPr>
        <w:t>Lag effects</w:t>
      </w:r>
      <w:r w:rsidRPr="00DB21FC">
        <w:rPr>
          <w:rFonts w:ascii="Times New Roman" w:hAnsi="Times New Roman" w:cs="Times New Roman"/>
          <w:color w:val="000000"/>
        </w:rPr>
        <w:t xml:space="preserve"> account for the delayed response of economic growth to changes in these variables, recognizing that adjustments in investment, consumption, and trade may take time to influence output (</w:t>
      </w:r>
      <w:proofErr w:type="spellStart"/>
      <w:r w:rsidRPr="00DB21FC">
        <w:rPr>
          <w:rFonts w:ascii="Times New Roman" w:hAnsi="Times New Roman" w:cs="Times New Roman"/>
          <w:color w:val="000000"/>
        </w:rPr>
        <w:t>Ajayi</w:t>
      </w:r>
      <w:proofErr w:type="spellEnd"/>
      <w:r w:rsidRPr="00DB21FC">
        <w:rPr>
          <w:rFonts w:ascii="Times New Roman" w:hAnsi="Times New Roman" w:cs="Times New Roman"/>
          <w:color w:val="000000"/>
        </w:rPr>
        <w:t xml:space="preserve"> &amp; </w:t>
      </w:r>
      <w:proofErr w:type="spellStart"/>
      <w:r w:rsidRPr="00DB21FC">
        <w:rPr>
          <w:rFonts w:ascii="Times New Roman" w:hAnsi="Times New Roman" w:cs="Times New Roman"/>
          <w:color w:val="000000"/>
        </w:rPr>
        <w:t>Ajayi</w:t>
      </w:r>
      <w:proofErr w:type="spellEnd"/>
      <w:r w:rsidRPr="00DB21FC">
        <w:rPr>
          <w:rFonts w:ascii="Times New Roman" w:hAnsi="Times New Roman" w:cs="Times New Roman"/>
          <w:color w:val="000000"/>
        </w:rPr>
        <w:t xml:space="preserve">, 2023; </w:t>
      </w:r>
      <w:proofErr w:type="spellStart"/>
      <w:r w:rsidRPr="00DB21FC">
        <w:rPr>
          <w:rFonts w:ascii="Times New Roman" w:hAnsi="Times New Roman" w:cs="Times New Roman"/>
          <w:color w:val="000000"/>
        </w:rPr>
        <w:t>Umaimah</w:t>
      </w:r>
      <w:proofErr w:type="spellEnd"/>
      <w:r w:rsidRPr="00DB21FC">
        <w:rPr>
          <w:rFonts w:ascii="Times New Roman" w:hAnsi="Times New Roman" w:cs="Times New Roman"/>
          <w:color w:val="000000"/>
        </w:rPr>
        <w:t xml:space="preserve"> &amp; </w:t>
      </w:r>
      <w:proofErr w:type="spellStart"/>
      <w:r w:rsidRPr="00DB21FC">
        <w:rPr>
          <w:rFonts w:ascii="Times New Roman" w:hAnsi="Times New Roman" w:cs="Times New Roman"/>
          <w:color w:val="000000"/>
        </w:rPr>
        <w:t>Aliyu</w:t>
      </w:r>
      <w:proofErr w:type="spellEnd"/>
      <w:r w:rsidRPr="00DB21FC">
        <w:rPr>
          <w:rFonts w:ascii="Times New Roman" w:hAnsi="Times New Roman" w:cs="Times New Roman"/>
          <w:color w:val="000000"/>
        </w:rPr>
        <w:t xml:space="preserve">, 2022). </w:t>
      </w:r>
      <w:r w:rsidRPr="00DB21FC">
        <w:rPr>
          <w:rFonts w:ascii="Times New Roman" w:hAnsi="Times New Roman" w:cs="Times New Roman"/>
          <w:bCs/>
          <w:color w:val="000000"/>
        </w:rPr>
        <w:t>For the long run</w:t>
      </w:r>
      <w:r w:rsidRPr="00DB21FC">
        <w:rPr>
          <w:rFonts w:ascii="Times New Roman" w:hAnsi="Times New Roman" w:cs="Times New Roman"/>
          <w:color w:val="000000"/>
        </w:rPr>
        <w:t>, the ARDL framework can be transformed into an Error Correction Model (ECM), which allows the estimation of equilibrium relationships between RGDP and its determinants while correcting for short-term deviations (</w:t>
      </w:r>
      <w:proofErr w:type="spellStart"/>
      <w:r w:rsidRPr="00DB21FC">
        <w:rPr>
          <w:rFonts w:ascii="Times New Roman" w:hAnsi="Times New Roman" w:cs="Times New Roman"/>
          <w:color w:val="000000"/>
        </w:rPr>
        <w:t>Pesaran</w:t>
      </w:r>
      <w:proofErr w:type="spellEnd"/>
      <w:r w:rsidRPr="00DB21FC">
        <w:rPr>
          <w:rFonts w:ascii="Times New Roman" w:hAnsi="Times New Roman" w:cs="Times New Roman"/>
          <w:color w:val="000000"/>
        </w:rPr>
        <w:t xml:space="preserve"> et al., 2001; </w:t>
      </w:r>
      <w:proofErr w:type="spellStart"/>
      <w:r w:rsidRPr="00DB21FC">
        <w:rPr>
          <w:rFonts w:ascii="Times New Roman" w:hAnsi="Times New Roman" w:cs="Times New Roman"/>
          <w:color w:val="000000"/>
        </w:rPr>
        <w:t>Ogodo</w:t>
      </w:r>
      <w:proofErr w:type="spellEnd"/>
      <w:r w:rsidRPr="00DB21FC">
        <w:rPr>
          <w:rFonts w:ascii="Times New Roman" w:hAnsi="Times New Roman" w:cs="Times New Roman"/>
          <w:color w:val="000000"/>
        </w:rPr>
        <w:t xml:space="preserve"> &amp; </w:t>
      </w:r>
      <w:proofErr w:type="spellStart"/>
      <w:r w:rsidRPr="00DB21FC">
        <w:rPr>
          <w:rFonts w:ascii="Times New Roman" w:hAnsi="Times New Roman" w:cs="Times New Roman"/>
          <w:color w:val="000000"/>
        </w:rPr>
        <w:t>Egbaseimokumo</w:t>
      </w:r>
      <w:proofErr w:type="spellEnd"/>
      <w:r w:rsidRPr="00DB21FC">
        <w:rPr>
          <w:rFonts w:ascii="Times New Roman" w:hAnsi="Times New Roman" w:cs="Times New Roman"/>
          <w:color w:val="000000"/>
        </w:rPr>
        <w:t>, 2024).</w:t>
      </w:r>
    </w:p>
    <w:p w:rsidR="007170BB" w:rsidRDefault="007170BB" w:rsidP="005A37C1">
      <w:pPr>
        <w:spacing w:before="0" w:beforeAutospacing="0" w:line="480" w:lineRule="auto"/>
        <w:jc w:val="both"/>
        <w:rPr>
          <w:rFonts w:ascii="Times New Roman" w:hAnsi="Times New Roman" w:cs="Times New Roman"/>
          <w:b/>
          <w:bCs/>
          <w:color w:val="000000"/>
        </w:rPr>
      </w:pPr>
    </w:p>
    <w:p w:rsidR="00BE44CE" w:rsidRPr="00DB21FC" w:rsidRDefault="00BE44CE" w:rsidP="005A37C1">
      <w:pPr>
        <w:spacing w:before="0" w:beforeAutospacing="0" w:line="480" w:lineRule="auto"/>
        <w:jc w:val="both"/>
        <w:rPr>
          <w:rFonts w:ascii="Times New Roman" w:hAnsi="Times New Roman" w:cs="Times New Roman"/>
          <w:b/>
          <w:bCs/>
          <w:color w:val="000000"/>
        </w:rPr>
      </w:pPr>
      <w:r w:rsidRPr="00DB21FC">
        <w:rPr>
          <w:rFonts w:ascii="Times New Roman" w:hAnsi="Times New Roman" w:cs="Times New Roman"/>
          <w:b/>
          <w:bCs/>
          <w:color w:val="000000"/>
        </w:rPr>
        <w:lastRenderedPageBreak/>
        <w:t>3.4 Method of Data Analysis</w:t>
      </w:r>
      <w:r w:rsidR="00B15F22">
        <w:rPr>
          <w:rFonts w:ascii="Times New Roman" w:hAnsi="Times New Roman" w:cs="Times New Roman"/>
          <w:b/>
          <w:bCs/>
          <w:color w:val="000000"/>
        </w:rPr>
        <w:t xml:space="preserve"> </w:t>
      </w:r>
    </w:p>
    <w:p w:rsidR="00BE44CE" w:rsidRPr="00DB21FC" w:rsidRDefault="00BE44CE" w:rsidP="005A37C1">
      <w:pPr>
        <w:pStyle w:val="ds-markdown-paragraph"/>
        <w:shd w:val="clear" w:color="auto" w:fill="FFFFFF"/>
        <w:spacing w:before="0" w:beforeAutospacing="0" w:after="160" w:afterAutospacing="0" w:line="480" w:lineRule="auto"/>
        <w:jc w:val="both"/>
        <w:rPr>
          <w:color w:val="000000"/>
        </w:rPr>
      </w:pPr>
      <w:r w:rsidRPr="00DB21FC">
        <w:rPr>
          <w:color w:val="000000"/>
        </w:rPr>
        <w:t>The estimation process for this study will follow a systematic and sequential econometric procedure to ensure methodological rigor, reliability, and validity of the findings. The analysis will be conducted using specialized econometric software (</w:t>
      </w:r>
      <w:proofErr w:type="spellStart"/>
      <w:r w:rsidRPr="00DB21FC">
        <w:rPr>
          <w:color w:val="000000"/>
        </w:rPr>
        <w:t>EViews</w:t>
      </w:r>
      <w:proofErr w:type="spellEnd"/>
      <w:r w:rsidRPr="00DB21FC">
        <w:rPr>
          <w:color w:val="000000"/>
        </w:rPr>
        <w:t xml:space="preserve">/Stata). </w:t>
      </w:r>
    </w:p>
    <w:p w:rsidR="00BE44CE" w:rsidRPr="00DB21FC" w:rsidRDefault="00BE44CE" w:rsidP="005A37C1">
      <w:pPr>
        <w:pStyle w:val="ds-markdown-paragraph"/>
        <w:shd w:val="clear" w:color="auto" w:fill="FFFFFF"/>
        <w:spacing w:before="0" w:beforeAutospacing="0" w:after="160" w:afterAutospacing="0" w:line="480" w:lineRule="auto"/>
        <w:jc w:val="both"/>
        <w:rPr>
          <w:b/>
          <w:color w:val="000000"/>
        </w:rPr>
      </w:pPr>
      <w:r w:rsidRPr="00DB21FC">
        <w:rPr>
          <w:b/>
          <w:color w:val="000000"/>
        </w:rPr>
        <w:t>3.4.1 Pre-estimation test</w:t>
      </w:r>
    </w:p>
    <w:p w:rsidR="00BE44CE" w:rsidRPr="00DB21FC" w:rsidRDefault="00BE44CE" w:rsidP="005A37C1">
      <w:pPr>
        <w:pStyle w:val="ds-markdown-paragraph"/>
        <w:shd w:val="clear" w:color="auto" w:fill="FFFFFF"/>
        <w:spacing w:before="0" w:beforeAutospacing="0" w:after="160" w:afterAutospacing="0" w:line="480" w:lineRule="auto"/>
        <w:jc w:val="both"/>
        <w:rPr>
          <w:b/>
          <w:color w:val="000000"/>
        </w:rPr>
      </w:pPr>
      <w:r w:rsidRPr="00DB21FC">
        <w:rPr>
          <w:b/>
          <w:color w:val="000000"/>
        </w:rPr>
        <w:t xml:space="preserve"> 3.4.1.1 Unit root test</w:t>
      </w:r>
    </w:p>
    <w:p w:rsidR="00BE44CE" w:rsidRDefault="00BE44CE" w:rsidP="005A37C1">
      <w:pPr>
        <w:pStyle w:val="ds-markdown-paragraph"/>
        <w:shd w:val="clear" w:color="auto" w:fill="FFFFFF"/>
        <w:spacing w:before="0" w:beforeAutospacing="0" w:after="160" w:afterAutospacing="0" w:line="480" w:lineRule="auto"/>
        <w:jc w:val="both"/>
        <w:rPr>
          <w:color w:val="000000"/>
        </w:rPr>
      </w:pPr>
      <w:r w:rsidRPr="00DB21FC">
        <w:rPr>
          <w:color w:val="000000"/>
        </w:rPr>
        <w:t xml:space="preserve">Before estimating the ARDL model, it is essential to determine the stationarity of the variables because ARDL requires that none of the series be integrated of order </w:t>
      </w:r>
      <w:proofErr w:type="gramStart"/>
      <w:r w:rsidRPr="00DB21FC">
        <w:rPr>
          <w:color w:val="000000"/>
        </w:rPr>
        <w:t>I(</w:t>
      </w:r>
      <w:proofErr w:type="gramEnd"/>
      <w:r w:rsidRPr="00DB21FC">
        <w:rPr>
          <w:color w:val="000000"/>
        </w:rPr>
        <w:t xml:space="preserve">2) or higher. In this study, the </w:t>
      </w:r>
      <w:r w:rsidRPr="00DB21FC">
        <w:rPr>
          <w:bCs/>
          <w:color w:val="000000"/>
        </w:rPr>
        <w:t>Augmented Dickey-Fuller (ADF) test</w:t>
      </w:r>
      <w:r w:rsidRPr="00DB21FC">
        <w:rPr>
          <w:color w:val="000000"/>
        </w:rPr>
        <w:t xml:space="preserve"> is employed for unit root testing. The ADF test helps verify whether the variables are stationary at level </w:t>
      </w:r>
      <w:proofErr w:type="gramStart"/>
      <w:r w:rsidRPr="00DB21FC">
        <w:rPr>
          <w:color w:val="000000"/>
        </w:rPr>
        <w:t>I(</w:t>
      </w:r>
      <w:proofErr w:type="gramEnd"/>
      <w:r w:rsidRPr="00DB21FC">
        <w:rPr>
          <w:color w:val="000000"/>
        </w:rPr>
        <w:t>0) or first difference I(1).</w:t>
      </w:r>
    </w:p>
    <w:p w:rsidR="000D43A8" w:rsidRPr="000D43A8" w:rsidRDefault="0066454F" w:rsidP="000D43A8">
      <w:pPr>
        <w:pStyle w:val="Heading4"/>
        <w:keepNext w:val="0"/>
        <w:keepLines w:val="0"/>
        <w:spacing w:before="0" w:after="40" w:line="480" w:lineRule="auto"/>
        <w:jc w:val="both"/>
        <w:rPr>
          <w:rFonts w:ascii="Times New Roman" w:eastAsia="Times New Roman" w:hAnsi="Times New Roman" w:cs="Times New Roman"/>
          <w:b/>
          <w:bCs/>
          <w:color w:val="000000"/>
        </w:rPr>
      </w:pPr>
      <w:r w:rsidRPr="000D43A8">
        <w:rPr>
          <w:rFonts w:ascii="Times New Roman" w:hAnsi="Times New Roman" w:cs="Times New Roman"/>
          <w:b/>
          <w:color w:val="000000"/>
        </w:rPr>
        <w:t xml:space="preserve">3.4.1.1.1 </w:t>
      </w:r>
      <w:r w:rsidR="000D43A8" w:rsidRPr="000D43A8">
        <w:rPr>
          <w:rFonts w:ascii="Times New Roman" w:eastAsia="Times New Roman" w:hAnsi="Times New Roman" w:cs="Times New Roman"/>
          <w:b/>
          <w:bCs/>
          <w:color w:val="000000"/>
        </w:rPr>
        <w:t>Aug</w:t>
      </w:r>
      <w:r w:rsidR="000D43A8" w:rsidRPr="000D43A8">
        <w:rPr>
          <w:rFonts w:ascii="Times New Roman" w:eastAsia="Times New Roman" w:hAnsi="Times New Roman" w:cs="Times New Roman"/>
          <w:b/>
          <w:bCs/>
          <w:color w:val="000000"/>
        </w:rPr>
        <w:t xml:space="preserve">mented Dickey-Fuller (ADF) </w:t>
      </w:r>
    </w:p>
    <w:p w:rsidR="00D5223F" w:rsidRDefault="00DC570D" w:rsidP="005A37C1">
      <w:pPr>
        <w:pStyle w:val="ds-markdown-paragraph"/>
        <w:shd w:val="clear" w:color="auto" w:fill="FFFFFF"/>
        <w:spacing w:before="0" w:beforeAutospacing="0" w:after="160" w:afterAutospacing="0" w:line="480" w:lineRule="auto"/>
        <w:jc w:val="both"/>
        <w:rPr>
          <w:color w:val="000000"/>
        </w:rPr>
      </w:pPr>
      <w:r w:rsidRPr="00DC570D">
        <w:rPr>
          <w:color w:val="000000"/>
        </w:rPr>
        <w:t>The Augmented Dickey-Fuller (ADF) test enhances the original Dickey-Fuller framework by incorporating lagged differences of the time series. This modification accounts for potential higher-order serial correlation, making the test more robust and reliable.</w:t>
      </w:r>
    </w:p>
    <w:p w:rsidR="00BE44CE" w:rsidRPr="00DB21FC" w:rsidRDefault="00BE44CE" w:rsidP="005A37C1">
      <w:pPr>
        <w:pStyle w:val="ds-markdown-paragraph"/>
        <w:shd w:val="clear" w:color="auto" w:fill="FFFFFF"/>
        <w:spacing w:before="0" w:beforeAutospacing="0" w:after="160" w:afterAutospacing="0" w:line="480" w:lineRule="auto"/>
        <w:jc w:val="both"/>
        <w:rPr>
          <w:color w:val="000000"/>
        </w:rPr>
      </w:pPr>
      <w:r w:rsidRPr="00DB21FC">
        <w:rPr>
          <w:color w:val="000000"/>
        </w:rPr>
        <w:t xml:space="preserve">The general ADF test equation for each variable </w:t>
      </w:r>
      <w:proofErr w:type="spellStart"/>
      <w:proofErr w:type="gramStart"/>
      <w:r w:rsidRPr="00DB21FC">
        <w:rPr>
          <w:color w:val="000000"/>
        </w:rPr>
        <w:t>Y</w:t>
      </w:r>
      <w:r w:rsidRPr="00DB21FC">
        <w:rPr>
          <w:color w:val="000000"/>
          <w:vertAlign w:val="subscript"/>
        </w:rPr>
        <w:t>t</w:t>
      </w:r>
      <w:proofErr w:type="spellEnd"/>
      <w:proofErr w:type="gramEnd"/>
      <w:r w:rsidRPr="00DB21FC">
        <w:rPr>
          <w:color w:val="000000"/>
        </w:rPr>
        <w:t xml:space="preserve"> is:</w:t>
      </w:r>
    </w:p>
    <w:p w:rsidR="00BE44CE" w:rsidRPr="008D5D49" w:rsidRDefault="008D5D49" w:rsidP="008D5D49">
      <w:pPr>
        <w:spacing w:after="240"/>
        <w:jc w:val="center"/>
        <w:rPr>
          <w:rFonts w:ascii="Times New Roman" w:hAnsi="Times New Roman" w:cs="Times New Roman"/>
        </w:rPr>
      </w:pPr>
      <w:r>
        <w:rPr>
          <w:rFonts w:ascii="Times New Roman" w:hAnsi="Times New Roman" w:cs="Times New Roman"/>
        </w:rPr>
        <w:t xml:space="preserve">ΔYₜ = α + βt + </w:t>
      </w:r>
      <w:proofErr w:type="spellStart"/>
      <w:r>
        <w:rPr>
          <w:rFonts w:ascii="Times New Roman" w:hAnsi="Times New Roman" w:cs="Times New Roman"/>
        </w:rPr>
        <w:t>γY</w:t>
      </w:r>
      <w:proofErr w:type="spellEnd"/>
      <w:r>
        <w:rPr>
          <w:rFonts w:ascii="Times New Roman" w:hAnsi="Times New Roman" w:cs="Times New Roman"/>
        </w:rPr>
        <w:t xml:space="preserve">ₜ₋₁ + </w:t>
      </w:r>
      <w:proofErr w:type="gramStart"/>
      <w:r>
        <w:rPr>
          <w:rFonts w:ascii="Times New Roman" w:hAnsi="Times New Roman" w:cs="Times New Roman"/>
        </w:rPr>
        <w:t>Σ(</w:t>
      </w:r>
      <w:proofErr w:type="spellStart"/>
      <w:proofErr w:type="gramEnd"/>
      <w:r>
        <w:rPr>
          <w:rFonts w:ascii="Times New Roman" w:hAnsi="Times New Roman" w:cs="Times New Roman"/>
        </w:rPr>
        <w:t>δᵢΔY</w:t>
      </w:r>
      <w:proofErr w:type="spellEnd"/>
      <w:r>
        <w:rPr>
          <w:rFonts w:ascii="Times New Roman" w:hAnsi="Times New Roman" w:cs="Times New Roman"/>
        </w:rPr>
        <w:t>ₜ₋ᵢ) + εₜ</w:t>
      </w:r>
    </w:p>
    <w:p w:rsidR="00153140" w:rsidRDefault="00BE44CE" w:rsidP="00153140">
      <w:pPr>
        <w:pStyle w:val="ds-markdown-paragraph"/>
        <w:shd w:val="clear" w:color="auto" w:fill="FFFFFF"/>
        <w:spacing w:before="0" w:beforeAutospacing="0" w:after="160" w:afterAutospacing="0" w:line="480" w:lineRule="auto"/>
        <w:jc w:val="center"/>
        <w:rPr>
          <w:color w:val="000000"/>
        </w:rPr>
      </w:pPr>
      <w:r w:rsidRPr="00DB21FC">
        <w:rPr>
          <w:color w:val="000000"/>
        </w:rPr>
        <w:t>Where:</w:t>
      </w:r>
    </w:p>
    <w:p w:rsidR="00153140" w:rsidRDefault="00744563" w:rsidP="00153140">
      <w:pPr>
        <w:pStyle w:val="ds-markdown-paragraph"/>
        <w:shd w:val="clear" w:color="auto" w:fill="FFFFFF"/>
        <w:spacing w:before="0" w:beforeAutospacing="0" w:after="160" w:afterAutospacing="0" w:line="480" w:lineRule="auto"/>
        <w:jc w:val="center"/>
        <w:rPr>
          <w:color w:val="000000"/>
        </w:rPr>
      </w:pPr>
      <w:r>
        <w:rPr>
          <w:bCs/>
          <w:color w:val="000000"/>
        </w:rPr>
        <w:t>ΔYₜ =</w:t>
      </w:r>
      <w:r w:rsidR="00D5223F" w:rsidRPr="00D5223F">
        <w:rPr>
          <w:color w:val="000000"/>
        </w:rPr>
        <w:t> </w:t>
      </w:r>
      <w:r>
        <w:rPr>
          <w:bCs/>
          <w:color w:val="000000"/>
        </w:rPr>
        <w:t>First difference in Y</w:t>
      </w:r>
    </w:p>
    <w:p w:rsidR="00D5223F" w:rsidRPr="00D5223F" w:rsidRDefault="00D5223F" w:rsidP="00153140">
      <w:pPr>
        <w:pStyle w:val="ds-markdown-paragraph"/>
        <w:shd w:val="clear" w:color="auto" w:fill="FFFFFF"/>
        <w:spacing w:before="0" w:beforeAutospacing="0" w:after="160" w:afterAutospacing="0" w:line="480" w:lineRule="auto"/>
        <w:jc w:val="center"/>
        <w:rPr>
          <w:color w:val="000000"/>
        </w:rPr>
      </w:pPr>
      <w:r w:rsidRPr="00D5223F">
        <w:rPr>
          <w:bCs/>
          <w:color w:val="000000"/>
        </w:rPr>
        <w:t xml:space="preserve">α </w:t>
      </w:r>
      <w:r>
        <w:rPr>
          <w:bCs/>
          <w:color w:val="000000"/>
        </w:rPr>
        <w:t xml:space="preserve">= </w:t>
      </w:r>
      <w:r w:rsidRPr="00D5223F">
        <w:rPr>
          <w:bCs/>
          <w:color w:val="000000"/>
        </w:rPr>
        <w:t>Constant term</w:t>
      </w:r>
    </w:p>
    <w:p w:rsidR="009E3602" w:rsidRPr="009E3602" w:rsidRDefault="009E3602" w:rsidP="00153140">
      <w:pPr>
        <w:pStyle w:val="ds-markdown-paragraph"/>
        <w:shd w:val="clear" w:color="auto" w:fill="FFFFFF"/>
        <w:spacing w:before="0" w:beforeAutospacing="0" w:after="160" w:line="480" w:lineRule="auto"/>
        <w:jc w:val="center"/>
        <w:rPr>
          <w:bCs/>
          <w:color w:val="000000"/>
        </w:rPr>
      </w:pPr>
      <w:proofErr w:type="gramStart"/>
      <w:r>
        <w:rPr>
          <w:bCs/>
          <w:color w:val="000000"/>
        </w:rPr>
        <w:t>βt</w:t>
      </w:r>
      <w:proofErr w:type="gramEnd"/>
      <w:r>
        <w:rPr>
          <w:bCs/>
          <w:color w:val="000000"/>
        </w:rPr>
        <w:t xml:space="preserve"> =</w:t>
      </w:r>
      <w:r w:rsidRPr="009E3602">
        <w:rPr>
          <w:bCs/>
          <w:color w:val="000000"/>
        </w:rPr>
        <w:t> A consistent, underlying linear direction.</w:t>
      </w:r>
    </w:p>
    <w:p w:rsidR="009E3602" w:rsidRPr="009E3602" w:rsidRDefault="009E3602" w:rsidP="00153140">
      <w:pPr>
        <w:pStyle w:val="ds-markdown-paragraph"/>
        <w:shd w:val="clear" w:color="auto" w:fill="FFFFFF"/>
        <w:spacing w:before="0" w:beforeAutospacing="0" w:after="160" w:line="480" w:lineRule="auto"/>
        <w:jc w:val="center"/>
        <w:rPr>
          <w:bCs/>
          <w:color w:val="000000"/>
        </w:rPr>
      </w:pPr>
      <w:r w:rsidRPr="009E3602">
        <w:rPr>
          <w:bCs/>
          <w:color w:val="000000"/>
        </w:rPr>
        <w:lastRenderedPageBreak/>
        <w:t>γ </w:t>
      </w:r>
      <w:r>
        <w:rPr>
          <w:bCs/>
          <w:color w:val="000000"/>
        </w:rPr>
        <w:t xml:space="preserve">= </w:t>
      </w:r>
      <w:r w:rsidRPr="009E3602">
        <w:rPr>
          <w:bCs/>
          <w:color w:val="000000"/>
        </w:rPr>
        <w:t>key unit root coefficient.</w:t>
      </w:r>
    </w:p>
    <w:p w:rsidR="009E3602" w:rsidRPr="009E3602" w:rsidRDefault="009E3602" w:rsidP="00153140">
      <w:pPr>
        <w:pStyle w:val="ds-markdown-paragraph"/>
        <w:shd w:val="clear" w:color="auto" w:fill="FFFFFF"/>
        <w:spacing w:before="0" w:beforeAutospacing="0" w:after="160" w:line="480" w:lineRule="auto"/>
        <w:jc w:val="center"/>
        <w:rPr>
          <w:bCs/>
          <w:color w:val="000000"/>
        </w:rPr>
      </w:pPr>
      <w:r>
        <w:rPr>
          <w:bCs/>
          <w:color w:val="000000"/>
        </w:rPr>
        <w:t>δᵢ =</w:t>
      </w:r>
      <w:r w:rsidRPr="009E3602">
        <w:rPr>
          <w:bCs/>
          <w:color w:val="000000"/>
        </w:rPr>
        <w:t> Influence of historical differences.</w:t>
      </w:r>
    </w:p>
    <w:p w:rsidR="00155EC8" w:rsidRDefault="00155EC8" w:rsidP="00153140">
      <w:pPr>
        <w:pStyle w:val="ds-markdown-paragraph"/>
        <w:shd w:val="clear" w:color="auto" w:fill="FFFFFF"/>
        <w:spacing w:before="0" w:beforeAutospacing="0" w:after="160" w:line="480" w:lineRule="auto"/>
        <w:jc w:val="center"/>
        <w:rPr>
          <w:bCs/>
          <w:color w:val="000000"/>
        </w:rPr>
      </w:pPr>
      <w:r w:rsidRPr="00155EC8">
        <w:rPr>
          <w:bCs/>
          <w:color w:val="000000"/>
        </w:rPr>
        <w:t>P =</w:t>
      </w:r>
      <w:r w:rsidR="009E3602" w:rsidRPr="009E3602">
        <w:rPr>
          <w:bCs/>
          <w:color w:val="000000"/>
        </w:rPr>
        <w:t> Count of included lags.</w:t>
      </w:r>
    </w:p>
    <w:p w:rsidR="00153140" w:rsidRDefault="009E3602" w:rsidP="00153140">
      <w:pPr>
        <w:pStyle w:val="ds-markdown-paragraph"/>
        <w:shd w:val="clear" w:color="auto" w:fill="FFFFFF"/>
        <w:spacing w:before="0" w:beforeAutospacing="0" w:after="160" w:line="480" w:lineRule="auto"/>
        <w:jc w:val="center"/>
        <w:rPr>
          <w:bCs/>
          <w:color w:val="000000"/>
        </w:rPr>
      </w:pPr>
      <w:r w:rsidRPr="009E3602">
        <w:rPr>
          <w:b/>
          <w:bCs/>
          <w:color w:val="000000"/>
        </w:rPr>
        <w:t>εₜ:</w:t>
      </w:r>
      <w:r w:rsidRPr="009E3602">
        <w:rPr>
          <w:bCs/>
          <w:color w:val="000000"/>
        </w:rPr>
        <w:t> </w:t>
      </w:r>
      <w:r>
        <w:rPr>
          <w:bCs/>
          <w:color w:val="000000"/>
        </w:rPr>
        <w:t>error term</w:t>
      </w:r>
    </w:p>
    <w:p w:rsidR="00BE44CE" w:rsidRPr="00153140" w:rsidRDefault="00BE44CE" w:rsidP="005A37C1">
      <w:pPr>
        <w:pStyle w:val="ds-markdown-paragraph"/>
        <w:shd w:val="clear" w:color="auto" w:fill="FFFFFF"/>
        <w:spacing w:before="0" w:beforeAutospacing="0" w:after="160" w:line="480" w:lineRule="auto"/>
        <w:jc w:val="both"/>
        <w:rPr>
          <w:bCs/>
          <w:color w:val="000000"/>
        </w:rPr>
      </w:pPr>
      <w:r w:rsidRPr="00DB21FC">
        <w:rPr>
          <w:b/>
          <w:bCs/>
          <w:color w:val="000000"/>
        </w:rPr>
        <w:t>Hypotheses:</w:t>
      </w:r>
    </w:p>
    <w:p w:rsidR="00BE44CE" w:rsidRPr="00DB21FC" w:rsidRDefault="00BE44CE" w:rsidP="005A37C1">
      <w:pPr>
        <w:pStyle w:val="ds-markdown-paragraph"/>
        <w:shd w:val="clear" w:color="auto" w:fill="FFFFFF"/>
        <w:spacing w:before="0" w:beforeAutospacing="0" w:after="160" w:afterAutospacing="0" w:line="480" w:lineRule="auto"/>
        <w:jc w:val="both"/>
        <w:rPr>
          <w:b/>
          <w:bCs/>
          <w:color w:val="000000"/>
        </w:rPr>
      </w:pPr>
      <w:proofErr w:type="gramStart"/>
      <w:r w:rsidRPr="00DB21FC">
        <w:rPr>
          <w:rStyle w:val="mord"/>
        </w:rPr>
        <w:t>H0</w:t>
      </w:r>
      <w:r w:rsidRPr="00DB21FC">
        <w:rPr>
          <w:rStyle w:val="vlist-s"/>
        </w:rPr>
        <w:t>​</w:t>
      </w:r>
      <w:r w:rsidRPr="00DB21FC">
        <w:rPr>
          <w:rStyle w:val="mrel"/>
        </w:rPr>
        <w:t>:</w:t>
      </w:r>
      <w:proofErr w:type="gramEnd"/>
      <w:r w:rsidRPr="00DB21FC">
        <w:rPr>
          <w:rStyle w:val="mrel"/>
        </w:rPr>
        <w:t xml:space="preserve"> </w:t>
      </w:r>
      <w:r w:rsidRPr="00DB21FC">
        <w:rPr>
          <w:rStyle w:val="mord"/>
        </w:rPr>
        <w:t>γ</w:t>
      </w:r>
      <w:r w:rsidRPr="00DB21FC">
        <w:rPr>
          <w:rStyle w:val="mrel"/>
        </w:rPr>
        <w:t>=</w:t>
      </w:r>
      <w:r w:rsidRPr="00DB21FC">
        <w:rPr>
          <w:rStyle w:val="mord"/>
        </w:rPr>
        <w:t>0 (The series has a unit root, non-stationary)</w:t>
      </w:r>
      <w:r w:rsidRPr="00DB21FC">
        <w:rPr>
          <w:b/>
          <w:bCs/>
          <w:color w:val="000000"/>
        </w:rPr>
        <w:t xml:space="preserve"> </w:t>
      </w:r>
    </w:p>
    <w:p w:rsidR="00BE44CE" w:rsidRPr="00DB21FC" w:rsidRDefault="00BE44CE" w:rsidP="005A37C1">
      <w:pPr>
        <w:pStyle w:val="ds-markdown-paragraph"/>
        <w:shd w:val="clear" w:color="auto" w:fill="FFFFFF"/>
        <w:spacing w:before="0" w:beforeAutospacing="0" w:after="160" w:afterAutospacing="0" w:line="480" w:lineRule="auto"/>
        <w:jc w:val="both"/>
        <w:rPr>
          <w:b/>
          <w:bCs/>
          <w:color w:val="000000"/>
        </w:rPr>
      </w:pPr>
      <w:proofErr w:type="gramStart"/>
      <w:r w:rsidRPr="00DB21FC">
        <w:rPr>
          <w:rStyle w:val="mord"/>
        </w:rPr>
        <w:t>H1</w:t>
      </w:r>
      <w:r w:rsidRPr="00DB21FC">
        <w:rPr>
          <w:rStyle w:val="vlist-s"/>
        </w:rPr>
        <w:t>​</w:t>
      </w:r>
      <w:r w:rsidRPr="00DB21FC">
        <w:rPr>
          <w:rStyle w:val="mrel"/>
        </w:rPr>
        <w:t>:</w:t>
      </w:r>
      <w:proofErr w:type="gramEnd"/>
      <w:r w:rsidRPr="00DB21FC">
        <w:rPr>
          <w:rStyle w:val="mrel"/>
        </w:rPr>
        <w:t xml:space="preserve"> </w:t>
      </w:r>
      <w:r w:rsidRPr="00DB21FC">
        <w:rPr>
          <w:rStyle w:val="mord"/>
        </w:rPr>
        <w:t>γ</w:t>
      </w:r>
      <w:r w:rsidRPr="00DB21FC">
        <w:rPr>
          <w:rStyle w:val="mrel"/>
        </w:rPr>
        <w:t>&lt;</w:t>
      </w:r>
      <w:r w:rsidRPr="00DB21FC">
        <w:rPr>
          <w:rStyle w:val="mord"/>
        </w:rPr>
        <w:t>0 (The series is stationary)</w:t>
      </w:r>
    </w:p>
    <w:p w:rsidR="00BE44CE" w:rsidRPr="00DB21FC" w:rsidRDefault="00BE44CE" w:rsidP="005A37C1">
      <w:pPr>
        <w:pStyle w:val="ds-markdown-paragraph"/>
        <w:shd w:val="clear" w:color="auto" w:fill="FFFFFF"/>
        <w:spacing w:after="160" w:afterAutospacing="0" w:line="480" w:lineRule="auto"/>
        <w:jc w:val="both"/>
        <w:rPr>
          <w:color w:val="000000"/>
        </w:rPr>
      </w:pPr>
      <w:r w:rsidRPr="00DB21FC">
        <w:rPr>
          <w:color w:val="000000"/>
        </w:rPr>
        <w:t xml:space="preserve">If the ADF test statistic is less than the critical value at a chosen significance level (e.g., 5%), the null hypothesis of a unit root is rejected, indicating that the variable is </w:t>
      </w:r>
      <w:proofErr w:type="spellStart"/>
      <w:r w:rsidRPr="00DB21FC">
        <w:rPr>
          <w:color w:val="000000"/>
        </w:rPr>
        <w:t>stationary.If</w:t>
      </w:r>
      <w:proofErr w:type="spellEnd"/>
      <w:r w:rsidRPr="00DB21FC">
        <w:rPr>
          <w:color w:val="000000"/>
        </w:rPr>
        <w:t xml:space="preserve"> a variable is non-stationary at level but stationary at first difference, it is integrated of order I(1).</w:t>
      </w:r>
    </w:p>
    <w:p w:rsidR="00BE44CE" w:rsidRDefault="00BE44CE" w:rsidP="005A37C1">
      <w:pPr>
        <w:pStyle w:val="ds-markdown-paragraph"/>
        <w:shd w:val="clear" w:color="auto" w:fill="FFFFFF"/>
        <w:spacing w:before="0" w:beforeAutospacing="0" w:after="160" w:afterAutospacing="0" w:line="480" w:lineRule="auto"/>
        <w:jc w:val="both"/>
        <w:rPr>
          <w:color w:val="000000"/>
        </w:rPr>
      </w:pPr>
      <w:r w:rsidRPr="00DB21FC">
        <w:rPr>
          <w:color w:val="000000"/>
        </w:rPr>
        <w:t xml:space="preserve">This process ensures that all variables satisfy the ARDL precondition of being either </w:t>
      </w:r>
      <w:proofErr w:type="gramStart"/>
      <w:r w:rsidRPr="00DB21FC">
        <w:rPr>
          <w:color w:val="000000"/>
        </w:rPr>
        <w:t>I(</w:t>
      </w:r>
      <w:proofErr w:type="gramEnd"/>
      <w:r w:rsidRPr="00DB21FC">
        <w:rPr>
          <w:color w:val="000000"/>
        </w:rPr>
        <w:t xml:space="preserve">0) or I(1), which avoids spurious regression and validates the subsequent ARDL bounds testing for </w:t>
      </w:r>
      <w:proofErr w:type="spellStart"/>
      <w:r w:rsidRPr="00DB21FC">
        <w:rPr>
          <w:color w:val="000000"/>
        </w:rPr>
        <w:t>cointegration</w:t>
      </w:r>
      <w:proofErr w:type="spellEnd"/>
      <w:r w:rsidRPr="00DB21FC">
        <w:rPr>
          <w:color w:val="000000"/>
        </w:rPr>
        <w:t xml:space="preserve"> (</w:t>
      </w:r>
      <w:proofErr w:type="spellStart"/>
      <w:r w:rsidRPr="00DB21FC">
        <w:rPr>
          <w:color w:val="000000"/>
        </w:rPr>
        <w:t>Pesaran</w:t>
      </w:r>
      <w:proofErr w:type="spellEnd"/>
      <w:r w:rsidRPr="00DB21FC">
        <w:rPr>
          <w:color w:val="000000"/>
        </w:rPr>
        <w:t>, Shin, &amp; Smith, 2001).</w:t>
      </w:r>
    </w:p>
    <w:p w:rsidR="00625BDF" w:rsidRDefault="001A53AE" w:rsidP="005A37C1">
      <w:pPr>
        <w:pStyle w:val="ds-markdown-paragraph"/>
        <w:shd w:val="clear" w:color="auto" w:fill="FFFFFF"/>
        <w:spacing w:before="0" w:beforeAutospacing="0" w:after="160" w:afterAutospacing="0" w:line="480" w:lineRule="auto"/>
        <w:jc w:val="both"/>
        <w:rPr>
          <w:b/>
        </w:rPr>
      </w:pPr>
      <w:r w:rsidRPr="000D43A8">
        <w:rPr>
          <w:b/>
          <w:color w:val="000000"/>
        </w:rPr>
        <w:t>3.4.1.1.</w:t>
      </w:r>
      <w:r w:rsidR="00593304">
        <w:rPr>
          <w:b/>
          <w:color w:val="000000"/>
        </w:rPr>
        <w:t>2</w:t>
      </w:r>
      <w:r w:rsidRPr="000D43A8">
        <w:rPr>
          <w:b/>
          <w:color w:val="000000"/>
        </w:rPr>
        <w:t xml:space="preserve"> </w:t>
      </w:r>
      <w:r w:rsidR="00625BDF">
        <w:rPr>
          <w:b/>
          <w:bCs/>
          <w:color w:val="000000"/>
        </w:rPr>
        <w:t>Phillips-</w:t>
      </w:r>
      <w:bookmarkStart w:id="0" w:name="_GoBack"/>
      <w:bookmarkEnd w:id="0"/>
      <w:proofErr w:type="spellStart"/>
      <w:r w:rsidR="00625BDF" w:rsidRPr="00625BDF">
        <w:rPr>
          <w:b/>
          <w:bCs/>
          <w:color w:val="000000"/>
        </w:rPr>
        <w:t>Perron</w:t>
      </w:r>
      <w:proofErr w:type="spellEnd"/>
      <w:r w:rsidR="00625BDF" w:rsidRPr="00625BDF">
        <w:rPr>
          <w:b/>
          <w:bCs/>
          <w:color w:val="000000"/>
        </w:rPr>
        <w:t xml:space="preserve"> (PP) Test</w:t>
      </w:r>
      <w:r w:rsidR="00625BDF" w:rsidRPr="00DB21FC">
        <w:rPr>
          <w:b/>
        </w:rPr>
        <w:t xml:space="preserve"> </w:t>
      </w:r>
    </w:p>
    <w:p w:rsidR="00BE44CE" w:rsidRPr="00DB21FC" w:rsidRDefault="00BE44CE" w:rsidP="005A37C1">
      <w:pPr>
        <w:pStyle w:val="ds-markdown-paragraph"/>
        <w:shd w:val="clear" w:color="auto" w:fill="FFFFFF"/>
        <w:spacing w:before="0" w:beforeAutospacing="0" w:after="160" w:afterAutospacing="0" w:line="480" w:lineRule="auto"/>
        <w:jc w:val="both"/>
        <w:rPr>
          <w:rStyle w:val="Strong"/>
          <w:bCs w:val="0"/>
        </w:rPr>
      </w:pPr>
      <w:r w:rsidRPr="00DB21FC">
        <w:rPr>
          <w:b/>
        </w:rPr>
        <w:t xml:space="preserve">3.4.1.2 ARDL Bounds Test for </w:t>
      </w:r>
      <w:proofErr w:type="spellStart"/>
      <w:r w:rsidRPr="00DB21FC">
        <w:rPr>
          <w:b/>
        </w:rPr>
        <w:t>Cointegration</w:t>
      </w:r>
      <w:proofErr w:type="spellEnd"/>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t xml:space="preserve">After confirming the stationarity properties of the variables through the unit root test, the next step is to examine whether a long-run relationship exists among the variables. This is done using the </w:t>
      </w:r>
      <w:r w:rsidRPr="00DB21FC">
        <w:rPr>
          <w:rStyle w:val="Strong"/>
          <w:b w:val="0"/>
        </w:rPr>
        <w:t>Autoregressive Distributed Lag (ARDL) bounds testing approach</w:t>
      </w:r>
      <w:r w:rsidRPr="00DB21FC">
        <w:t xml:space="preserve"> developed by </w:t>
      </w:r>
      <w:proofErr w:type="spellStart"/>
      <w:r w:rsidRPr="00DB21FC">
        <w:t>Pesaran</w:t>
      </w:r>
      <w:proofErr w:type="spellEnd"/>
      <w:r w:rsidRPr="00DB21FC">
        <w:t xml:space="preserve">, Shin, and Smith (2001). The ARDL bounds test is particularly suitable because it can be applied </w:t>
      </w:r>
      <w:r w:rsidRPr="00DB21FC">
        <w:lastRenderedPageBreak/>
        <w:t xml:space="preserve">to variables that are integrated of order </w:t>
      </w:r>
      <w:proofErr w:type="gramStart"/>
      <w:r w:rsidRPr="00DB21FC">
        <w:t>I(</w:t>
      </w:r>
      <w:proofErr w:type="gramEnd"/>
      <w:r w:rsidRPr="00DB21FC">
        <w:t>0) or I(1), making it flexible for small sample sizes and avoiding issues of spurious regression.</w:t>
      </w:r>
    </w:p>
    <w:p w:rsidR="00BE44CE" w:rsidRPr="00DB21FC" w:rsidRDefault="00BE44CE" w:rsidP="005A37C1">
      <w:pPr>
        <w:spacing w:before="0" w:beforeAutospacing="0" w:line="480" w:lineRule="auto"/>
        <w:jc w:val="both"/>
        <w:rPr>
          <w:rFonts w:ascii="Times New Roman" w:hAnsi="Times New Roman" w:cs="Times New Roman"/>
          <w:color w:val="000000"/>
        </w:rPr>
      </w:pPr>
      <w:proofErr w:type="spellStart"/>
      <w:r w:rsidRPr="00DB21FC">
        <w:rPr>
          <w:rFonts w:ascii="Times New Roman" w:hAnsi="Times New Roman" w:cs="Times New Roman"/>
          <w:color w:val="000000"/>
        </w:rPr>
        <w:t>RGDP</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rPr>
        <w:t>​= α0​+I =1∑p​α</w:t>
      </w:r>
      <w:proofErr w:type="spellStart"/>
      <w:r w:rsidRPr="00DB21FC">
        <w:rPr>
          <w:rFonts w:ascii="Times New Roman" w:hAnsi="Times New Roman" w:cs="Times New Roman"/>
          <w:color w:val="000000"/>
        </w:rPr>
        <w:t>i</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RGDP</w:t>
      </w:r>
      <w:r w:rsidRPr="00DB21FC">
        <w:rPr>
          <w:rFonts w:ascii="Times New Roman" w:hAnsi="Times New Roman" w:cs="Times New Roman"/>
          <w:color w:val="000000"/>
          <w:vertAlign w:val="subscript"/>
        </w:rPr>
        <w:t>t−i</w:t>
      </w:r>
      <w:proofErr w:type="spellEnd"/>
      <w:r w:rsidRPr="00DB21FC">
        <w:rPr>
          <w:rFonts w:ascii="Times New Roman" w:hAnsi="Times New Roman" w:cs="Times New Roman"/>
          <w:color w:val="000000"/>
          <w:vertAlign w:val="subscript"/>
        </w:rPr>
        <w:t xml:space="preserve">​+j </w:t>
      </w:r>
      <w:r w:rsidRPr="00DB21FC">
        <w:rPr>
          <w:rFonts w:ascii="Times New Roman" w:hAnsi="Times New Roman" w:cs="Times New Roman"/>
          <w:color w:val="000000"/>
        </w:rPr>
        <w:t>=0∑q1</w:t>
      </w:r>
      <w:proofErr w:type="gramStart"/>
      <w:r w:rsidRPr="00DB21FC">
        <w:rPr>
          <w:rFonts w:ascii="Times New Roman" w:hAnsi="Times New Roman" w:cs="Times New Roman"/>
          <w:color w:val="000000"/>
        </w:rPr>
        <w:t>​​βj</w:t>
      </w:r>
      <w:proofErr w:type="gramEnd"/>
      <w:r w:rsidRPr="00DB21FC">
        <w:rPr>
          <w:rFonts w:ascii="Times New Roman" w:hAnsi="Times New Roman" w:cs="Times New Roman"/>
          <w:color w:val="000000"/>
        </w:rPr>
        <w:t>​</w:t>
      </w:r>
      <w:proofErr w:type="spellStart"/>
      <w:r w:rsidRPr="00DB21FC">
        <w:rPr>
          <w:rFonts w:ascii="Times New Roman" w:hAnsi="Times New Roman" w:cs="Times New Roman"/>
          <w:color w:val="000000"/>
        </w:rPr>
        <w:t>EXR</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vertAlign w:val="subscript"/>
        </w:rPr>
        <w:t xml:space="preserve">−j​+k </w:t>
      </w:r>
      <w:r w:rsidRPr="00DB21FC">
        <w:rPr>
          <w:rFonts w:ascii="Times New Roman" w:hAnsi="Times New Roman" w:cs="Times New Roman"/>
          <w:color w:val="000000"/>
        </w:rPr>
        <w:t>=0∑q2​​</w:t>
      </w:r>
      <w:proofErr w:type="spellStart"/>
      <w:r w:rsidRPr="00DB21FC">
        <w:rPr>
          <w:rFonts w:ascii="Times New Roman" w:hAnsi="Times New Roman" w:cs="Times New Roman"/>
          <w:color w:val="000000"/>
        </w:rPr>
        <w:t>γk</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INF</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vertAlign w:val="subscript"/>
        </w:rPr>
        <w:t>−k​+l</w:t>
      </w:r>
      <w:r w:rsidRPr="00DB21FC">
        <w:rPr>
          <w:rFonts w:ascii="Times New Roman" w:hAnsi="Times New Roman" w:cs="Times New Roman"/>
          <w:color w:val="000000"/>
        </w:rPr>
        <w:t>=0∑q3​​</w:t>
      </w:r>
      <w:proofErr w:type="spellStart"/>
      <w:r w:rsidRPr="00DB21FC">
        <w:rPr>
          <w:rFonts w:ascii="Times New Roman" w:hAnsi="Times New Roman" w:cs="Times New Roman"/>
          <w:color w:val="000000"/>
        </w:rPr>
        <w:t>δl</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INTRt</w:t>
      </w:r>
      <w:proofErr w:type="spellEnd"/>
      <w:r w:rsidRPr="00DB21FC">
        <w:rPr>
          <w:rFonts w:ascii="Times New Roman" w:hAnsi="Times New Roman" w:cs="Times New Roman"/>
          <w:color w:val="000000"/>
        </w:rPr>
        <w:t>−l​+ϵt​</w:t>
      </w:r>
    </w:p>
    <w:p w:rsidR="00BE44CE" w:rsidRPr="00DB21FC" w:rsidRDefault="00BE44CE" w:rsidP="005A37C1">
      <w:pPr>
        <w:pStyle w:val="ds-markdown-paragraph"/>
        <w:shd w:val="clear" w:color="auto" w:fill="FFFFFF"/>
        <w:spacing w:before="0" w:beforeAutospacing="0" w:after="160" w:afterAutospacing="0" w:line="480" w:lineRule="auto"/>
        <w:jc w:val="both"/>
        <w:rPr>
          <w:rStyle w:val="Strong"/>
          <w:bCs w:val="0"/>
        </w:rPr>
      </w:pPr>
      <w:r w:rsidRPr="00DB21FC">
        <w:rPr>
          <w:rStyle w:val="Strong"/>
          <w:bCs w:val="0"/>
          <w:color w:val="000000"/>
        </w:rPr>
        <w:t xml:space="preserve">3.4.1.3 </w:t>
      </w:r>
      <w:r w:rsidRPr="00DB21FC">
        <w:rPr>
          <w:b/>
        </w:rPr>
        <w:t>ARDL Long-Run Estimation</w:t>
      </w:r>
    </w:p>
    <w:p w:rsidR="00BE44CE" w:rsidRPr="00DB21FC" w:rsidRDefault="00BE44CE" w:rsidP="005A37C1">
      <w:pPr>
        <w:pStyle w:val="ds-markdown-paragraph"/>
        <w:shd w:val="clear" w:color="auto" w:fill="FFFFFF"/>
        <w:spacing w:before="0" w:beforeAutospacing="0" w:after="160" w:afterAutospacing="0" w:line="480" w:lineRule="auto"/>
        <w:jc w:val="both"/>
        <w:rPr>
          <w:rStyle w:val="Strong"/>
          <w:b w:val="0"/>
          <w:bCs w:val="0"/>
          <w:color w:val="000000"/>
        </w:rPr>
      </w:pPr>
      <w:r w:rsidRPr="00DB21FC">
        <w:rPr>
          <w:color w:val="000000"/>
        </w:rPr>
        <w:t>Once the existence of a long-run relationship among the variables is confirmed through the ARDL bounds test, the next step is to estimate the long-run coefficients of the model. The ARDL approach provides an efficient framework to determine how exchange rate (EXR), inflation (INF), and interest rate (INT) affect real GDP (RGD) in the long run while accounting for potential short-term dynamics and lag structures (</w:t>
      </w:r>
      <w:proofErr w:type="spellStart"/>
      <w:r w:rsidRPr="00DB21FC">
        <w:rPr>
          <w:color w:val="000000"/>
        </w:rPr>
        <w:t>Pesaran</w:t>
      </w:r>
      <w:proofErr w:type="spellEnd"/>
      <w:r w:rsidRPr="00DB21FC">
        <w:rPr>
          <w:color w:val="000000"/>
        </w:rPr>
        <w:t xml:space="preserve">, Shin, &amp; Smith, 2001; </w:t>
      </w:r>
      <w:proofErr w:type="spellStart"/>
      <w:r w:rsidRPr="00DB21FC">
        <w:rPr>
          <w:color w:val="000000"/>
        </w:rPr>
        <w:t>Ajayi</w:t>
      </w:r>
      <w:proofErr w:type="spellEnd"/>
      <w:r w:rsidRPr="00DB21FC">
        <w:rPr>
          <w:color w:val="000000"/>
        </w:rPr>
        <w:t xml:space="preserve"> &amp; </w:t>
      </w:r>
      <w:proofErr w:type="spellStart"/>
      <w:r w:rsidRPr="00DB21FC">
        <w:rPr>
          <w:color w:val="000000"/>
        </w:rPr>
        <w:t>Ajayi</w:t>
      </w:r>
      <w:proofErr w:type="spellEnd"/>
      <w:r w:rsidRPr="00DB21FC">
        <w:rPr>
          <w:color w:val="000000"/>
        </w:rPr>
        <w:t>, 2023).</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rPr>
          <w:color w:val="000000"/>
        </w:rPr>
        <w:t>The long-run ARDL model for this study can be expressed as:</w:t>
      </w:r>
    </w:p>
    <w:p w:rsidR="00BE44CE" w:rsidRPr="00DB21FC" w:rsidRDefault="00BE44CE" w:rsidP="005A37C1">
      <w:pPr>
        <w:pStyle w:val="ds-markdown-paragraph"/>
        <w:shd w:val="clear" w:color="auto" w:fill="FFFFFF"/>
        <w:spacing w:before="0" w:beforeAutospacing="0" w:after="160" w:afterAutospacing="0" w:line="480" w:lineRule="auto"/>
        <w:jc w:val="both"/>
        <w:rPr>
          <w:rStyle w:val="vlist-s"/>
        </w:rPr>
      </w:pPr>
      <w:proofErr w:type="spellStart"/>
      <w:r w:rsidRPr="00DB21FC">
        <w:rPr>
          <w:rStyle w:val="mord"/>
        </w:rPr>
        <w:t>RGDPt</w:t>
      </w:r>
      <w:proofErr w:type="spellEnd"/>
      <w:r w:rsidRPr="00DB21FC">
        <w:rPr>
          <w:rStyle w:val="vlist-s"/>
        </w:rPr>
        <w:t>​</w:t>
      </w:r>
      <w:r w:rsidRPr="00DB21FC">
        <w:rPr>
          <w:rStyle w:val="mrel"/>
        </w:rPr>
        <w:t>=</w:t>
      </w:r>
      <w:proofErr w:type="gramStart"/>
      <w:r w:rsidRPr="00DB21FC">
        <w:rPr>
          <w:rStyle w:val="mord"/>
        </w:rPr>
        <w:t xml:space="preserve">β0 </w:t>
      </w:r>
      <w:r w:rsidRPr="00DB21FC">
        <w:rPr>
          <w:rStyle w:val="vlist-s"/>
        </w:rPr>
        <w:t>​</w:t>
      </w:r>
      <w:r w:rsidRPr="00DB21FC">
        <w:rPr>
          <w:rStyle w:val="mbin"/>
        </w:rPr>
        <w:t>+</w:t>
      </w:r>
      <w:proofErr w:type="gramEnd"/>
      <w:r w:rsidRPr="00DB21FC">
        <w:rPr>
          <w:rStyle w:val="mord"/>
        </w:rPr>
        <w:t>β1</w:t>
      </w:r>
      <w:r w:rsidRPr="00DB21FC">
        <w:rPr>
          <w:rStyle w:val="vlist-s"/>
        </w:rPr>
        <w:t>​</w:t>
      </w:r>
      <w:proofErr w:type="spellStart"/>
      <w:r w:rsidRPr="00DB21FC">
        <w:rPr>
          <w:rStyle w:val="mord"/>
        </w:rPr>
        <w:t>EXRt</w:t>
      </w:r>
      <w:proofErr w:type="spellEnd"/>
      <w:r w:rsidRPr="00DB21FC">
        <w:rPr>
          <w:rStyle w:val="vlist-s"/>
        </w:rPr>
        <w:t>​</w:t>
      </w:r>
      <w:r w:rsidRPr="00DB21FC">
        <w:rPr>
          <w:rStyle w:val="mbin"/>
        </w:rPr>
        <w:t xml:space="preserve">+ </w:t>
      </w:r>
      <w:r w:rsidRPr="00DB21FC">
        <w:rPr>
          <w:rStyle w:val="mord"/>
        </w:rPr>
        <w:t>β2</w:t>
      </w:r>
      <w:r w:rsidRPr="00DB21FC">
        <w:rPr>
          <w:rStyle w:val="vlist-s"/>
        </w:rPr>
        <w:t>​</w:t>
      </w:r>
      <w:proofErr w:type="spellStart"/>
      <w:r w:rsidRPr="00DB21FC">
        <w:rPr>
          <w:rStyle w:val="mord"/>
        </w:rPr>
        <w:t>INFt</w:t>
      </w:r>
      <w:proofErr w:type="spellEnd"/>
      <w:r w:rsidRPr="00DB21FC">
        <w:rPr>
          <w:rStyle w:val="vlist-s"/>
        </w:rPr>
        <w:t>​</w:t>
      </w:r>
      <w:r w:rsidRPr="00DB21FC">
        <w:rPr>
          <w:rStyle w:val="mbin"/>
        </w:rPr>
        <w:t xml:space="preserve">+ </w:t>
      </w:r>
      <w:r w:rsidRPr="00DB21FC">
        <w:rPr>
          <w:rStyle w:val="mord"/>
        </w:rPr>
        <w:t>β3</w:t>
      </w:r>
      <w:r w:rsidRPr="00DB21FC">
        <w:rPr>
          <w:rStyle w:val="vlist-s"/>
        </w:rPr>
        <w:t>​</w:t>
      </w:r>
      <w:proofErr w:type="spellStart"/>
      <w:r w:rsidRPr="00DB21FC">
        <w:rPr>
          <w:rStyle w:val="mord"/>
        </w:rPr>
        <w:t>INTRt</w:t>
      </w:r>
      <w:proofErr w:type="spellEnd"/>
      <w:r w:rsidRPr="00DB21FC">
        <w:rPr>
          <w:rStyle w:val="vlist-s"/>
        </w:rPr>
        <w:t>​</w:t>
      </w:r>
      <w:r w:rsidRPr="00DB21FC">
        <w:rPr>
          <w:rStyle w:val="mbin"/>
        </w:rPr>
        <w:t xml:space="preserve">+ </w:t>
      </w:r>
      <w:r w:rsidRPr="00DB21FC">
        <w:rPr>
          <w:rStyle w:val="mord"/>
        </w:rPr>
        <w:t>ϵt</w:t>
      </w:r>
      <w:r w:rsidRPr="00DB21FC">
        <w:rPr>
          <w:rStyle w:val="vlist-s"/>
        </w:rPr>
        <w:t>​</w:t>
      </w:r>
    </w:p>
    <w:p w:rsidR="00BE44CE" w:rsidRPr="00DB21FC" w:rsidRDefault="00BE44CE" w:rsidP="005A37C1">
      <w:pPr>
        <w:pStyle w:val="ds-markdown-paragraph"/>
        <w:shd w:val="clear" w:color="auto" w:fill="FFFFFF"/>
        <w:spacing w:before="0" w:beforeAutospacing="0" w:after="160" w:afterAutospacing="0" w:line="480" w:lineRule="auto"/>
        <w:jc w:val="both"/>
        <w:rPr>
          <w:rStyle w:val="vlist-s"/>
          <w:b/>
        </w:rPr>
      </w:pPr>
      <w:r w:rsidRPr="00DB21FC">
        <w:rPr>
          <w:rStyle w:val="vlist-s"/>
          <w:b/>
        </w:rPr>
        <w:t xml:space="preserve">3.4.1.4 </w:t>
      </w:r>
      <w:r w:rsidRPr="00DB21FC">
        <w:rPr>
          <w:b/>
        </w:rPr>
        <w:t>ARDL Error Correction Model (ECM) – Short-Run Dynamics</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t xml:space="preserve">After estimating the long-run coefficients using the ARDL approach, the next step is to analyze </w:t>
      </w:r>
      <w:r w:rsidRPr="00DB21FC">
        <w:rPr>
          <w:rStyle w:val="Strong"/>
          <w:b w:val="0"/>
        </w:rPr>
        <w:t>short-run dynamics</w:t>
      </w:r>
      <w:r w:rsidRPr="00DB21FC">
        <w:t>. While the long-run model captures the equilibrium relationship among real GDP (</w:t>
      </w:r>
      <w:r w:rsidRPr="00DB21FC">
        <w:rPr>
          <w:rStyle w:val="katex-mathml"/>
        </w:rPr>
        <w:t>RGD</w:t>
      </w:r>
      <w:r w:rsidRPr="00DB21FC">
        <w:t>), exchange rate (</w:t>
      </w:r>
      <w:r w:rsidRPr="00DB21FC">
        <w:rPr>
          <w:rStyle w:val="katex-mathml"/>
        </w:rPr>
        <w:t>EXR</w:t>
      </w:r>
      <w:r w:rsidRPr="00DB21FC">
        <w:t>), inflation (</w:t>
      </w:r>
      <w:r w:rsidRPr="00DB21FC">
        <w:rPr>
          <w:rStyle w:val="katex-mathml"/>
        </w:rPr>
        <w:t>INF</w:t>
      </w:r>
      <w:r w:rsidRPr="00DB21FC">
        <w:t>), and interest rate (</w:t>
      </w:r>
      <w:r w:rsidRPr="00DB21FC">
        <w:rPr>
          <w:rStyle w:val="katex-mathml"/>
        </w:rPr>
        <w:t>INT</w:t>
      </w:r>
      <w:r w:rsidRPr="00DB21FC">
        <w:t xml:space="preserve">), short-run analysis examines how deviations from this equilibrium affect economic growth within the current period or over a few periods. This is achieved using the </w:t>
      </w:r>
      <w:r w:rsidRPr="00DB21FC">
        <w:rPr>
          <w:rStyle w:val="Strong"/>
          <w:b w:val="0"/>
        </w:rPr>
        <w:t>Error Correction Model (ECM)</w:t>
      </w:r>
      <w:r w:rsidRPr="00DB21FC">
        <w:t xml:space="preserve"> derived from the ARDL specification (</w:t>
      </w:r>
      <w:proofErr w:type="spellStart"/>
      <w:r w:rsidRPr="00DB21FC">
        <w:t>Pesaran</w:t>
      </w:r>
      <w:proofErr w:type="spellEnd"/>
      <w:r w:rsidRPr="00DB21FC">
        <w:t xml:space="preserve">, Shin, &amp; Smith, 2001; </w:t>
      </w:r>
      <w:proofErr w:type="spellStart"/>
      <w:r w:rsidRPr="00DB21FC">
        <w:t>Umaimah</w:t>
      </w:r>
      <w:proofErr w:type="spellEnd"/>
      <w:r w:rsidRPr="00DB21FC">
        <w:t xml:space="preserve"> &amp; </w:t>
      </w:r>
      <w:proofErr w:type="spellStart"/>
      <w:r w:rsidRPr="00DB21FC">
        <w:t>Aliyu</w:t>
      </w:r>
      <w:proofErr w:type="spellEnd"/>
      <w:r w:rsidRPr="00DB21FC">
        <w:t>, 2022).</w:t>
      </w:r>
    </w:p>
    <w:p w:rsidR="00BE44CE" w:rsidRPr="00DB21FC" w:rsidRDefault="00BE44CE" w:rsidP="005A37C1">
      <w:pPr>
        <w:pStyle w:val="ds-markdown-paragraph"/>
        <w:shd w:val="clear" w:color="auto" w:fill="FFFFFF"/>
        <w:spacing w:before="0" w:beforeAutospacing="0" w:after="160" w:afterAutospacing="0" w:line="480" w:lineRule="auto"/>
        <w:jc w:val="both"/>
        <w:rPr>
          <w:color w:val="000000"/>
        </w:rPr>
      </w:pPr>
      <w:r w:rsidRPr="00DB21FC">
        <w:rPr>
          <w:color w:val="000000"/>
        </w:rPr>
        <w:t>The short-run ARDL model for this study can be expressed as:</w:t>
      </w:r>
    </w:p>
    <w:p w:rsidR="00BE44CE" w:rsidRPr="00DB21FC" w:rsidRDefault="00BE44CE" w:rsidP="005A37C1">
      <w:pPr>
        <w:spacing w:before="0" w:beforeAutospacing="0" w:line="480" w:lineRule="auto"/>
        <w:jc w:val="both"/>
        <w:rPr>
          <w:rFonts w:ascii="Times New Roman" w:hAnsi="Times New Roman" w:cs="Times New Roman"/>
          <w:color w:val="000000"/>
        </w:rPr>
      </w:pPr>
      <w:proofErr w:type="spellStart"/>
      <w:r w:rsidRPr="00DB21FC">
        <w:rPr>
          <w:rFonts w:ascii="Times New Roman" w:hAnsi="Times New Roman" w:cs="Times New Roman"/>
          <w:color w:val="000000"/>
        </w:rPr>
        <w:t>RGDP</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rPr>
        <w:t>​= α0​+I =1∑p​α</w:t>
      </w:r>
      <w:proofErr w:type="spellStart"/>
      <w:r w:rsidRPr="00DB21FC">
        <w:rPr>
          <w:rFonts w:ascii="Times New Roman" w:hAnsi="Times New Roman" w:cs="Times New Roman"/>
          <w:color w:val="000000"/>
        </w:rPr>
        <w:t>i</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RGDP</w:t>
      </w:r>
      <w:r w:rsidRPr="00DB21FC">
        <w:rPr>
          <w:rFonts w:ascii="Times New Roman" w:hAnsi="Times New Roman" w:cs="Times New Roman"/>
          <w:color w:val="000000"/>
          <w:vertAlign w:val="subscript"/>
        </w:rPr>
        <w:t>t−i</w:t>
      </w:r>
      <w:proofErr w:type="spellEnd"/>
      <w:r w:rsidRPr="00DB21FC">
        <w:rPr>
          <w:rFonts w:ascii="Times New Roman" w:hAnsi="Times New Roman" w:cs="Times New Roman"/>
          <w:color w:val="000000"/>
          <w:vertAlign w:val="subscript"/>
        </w:rPr>
        <w:t xml:space="preserve">​+j </w:t>
      </w:r>
      <w:r w:rsidRPr="00DB21FC">
        <w:rPr>
          <w:rFonts w:ascii="Times New Roman" w:hAnsi="Times New Roman" w:cs="Times New Roman"/>
          <w:color w:val="000000"/>
        </w:rPr>
        <w:t>=0∑q1</w:t>
      </w:r>
      <w:proofErr w:type="gramStart"/>
      <w:r w:rsidRPr="00DB21FC">
        <w:rPr>
          <w:rFonts w:ascii="Times New Roman" w:hAnsi="Times New Roman" w:cs="Times New Roman"/>
          <w:color w:val="000000"/>
        </w:rPr>
        <w:t>​​βj</w:t>
      </w:r>
      <w:proofErr w:type="gramEnd"/>
      <w:r w:rsidRPr="00DB21FC">
        <w:rPr>
          <w:rFonts w:ascii="Times New Roman" w:hAnsi="Times New Roman" w:cs="Times New Roman"/>
          <w:color w:val="000000"/>
        </w:rPr>
        <w:t>​</w:t>
      </w:r>
      <w:proofErr w:type="spellStart"/>
      <w:r w:rsidRPr="00DB21FC">
        <w:rPr>
          <w:rFonts w:ascii="Times New Roman" w:hAnsi="Times New Roman" w:cs="Times New Roman"/>
          <w:color w:val="000000"/>
        </w:rPr>
        <w:t>EXR</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vertAlign w:val="subscript"/>
        </w:rPr>
        <w:t xml:space="preserve">−j​+k </w:t>
      </w:r>
      <w:r w:rsidRPr="00DB21FC">
        <w:rPr>
          <w:rFonts w:ascii="Times New Roman" w:hAnsi="Times New Roman" w:cs="Times New Roman"/>
          <w:color w:val="000000"/>
        </w:rPr>
        <w:t>=0∑q2​​</w:t>
      </w:r>
      <w:proofErr w:type="spellStart"/>
      <w:r w:rsidRPr="00DB21FC">
        <w:rPr>
          <w:rFonts w:ascii="Times New Roman" w:hAnsi="Times New Roman" w:cs="Times New Roman"/>
          <w:color w:val="000000"/>
        </w:rPr>
        <w:t>γk</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INF</w:t>
      </w:r>
      <w:r w:rsidRPr="00DB21FC">
        <w:rPr>
          <w:rFonts w:ascii="Times New Roman" w:hAnsi="Times New Roman" w:cs="Times New Roman"/>
          <w:color w:val="000000"/>
          <w:vertAlign w:val="subscript"/>
        </w:rPr>
        <w:t>t</w:t>
      </w:r>
      <w:proofErr w:type="spellEnd"/>
      <w:r w:rsidRPr="00DB21FC">
        <w:rPr>
          <w:rFonts w:ascii="Times New Roman" w:hAnsi="Times New Roman" w:cs="Times New Roman"/>
          <w:color w:val="000000"/>
          <w:vertAlign w:val="subscript"/>
        </w:rPr>
        <w:t>−k​+l</w:t>
      </w:r>
      <w:r w:rsidRPr="00DB21FC">
        <w:rPr>
          <w:rFonts w:ascii="Times New Roman" w:hAnsi="Times New Roman" w:cs="Times New Roman"/>
          <w:color w:val="000000"/>
        </w:rPr>
        <w:t>=0∑q3​​</w:t>
      </w:r>
      <w:proofErr w:type="spellStart"/>
      <w:r w:rsidRPr="00DB21FC">
        <w:rPr>
          <w:rFonts w:ascii="Times New Roman" w:hAnsi="Times New Roman" w:cs="Times New Roman"/>
          <w:color w:val="000000"/>
        </w:rPr>
        <w:t>δl</w:t>
      </w:r>
      <w:proofErr w:type="spellEnd"/>
      <w:r w:rsidRPr="00DB21FC">
        <w:rPr>
          <w:rFonts w:ascii="Times New Roman" w:hAnsi="Times New Roman" w:cs="Times New Roman"/>
          <w:color w:val="000000"/>
        </w:rPr>
        <w:t>​</w:t>
      </w:r>
      <w:proofErr w:type="spellStart"/>
      <w:r w:rsidRPr="00DB21FC">
        <w:rPr>
          <w:rFonts w:ascii="Times New Roman" w:hAnsi="Times New Roman" w:cs="Times New Roman"/>
          <w:color w:val="000000"/>
        </w:rPr>
        <w:t>INTRt</w:t>
      </w:r>
      <w:proofErr w:type="spellEnd"/>
      <w:r w:rsidRPr="00DB21FC">
        <w:rPr>
          <w:rFonts w:ascii="Times New Roman" w:hAnsi="Times New Roman" w:cs="Times New Roman"/>
          <w:color w:val="000000"/>
        </w:rPr>
        <w:t>−l​+ϵt​</w:t>
      </w:r>
    </w:p>
    <w:p w:rsidR="00BE44CE" w:rsidRPr="00DB21FC" w:rsidRDefault="00BE44CE" w:rsidP="005A37C1">
      <w:pPr>
        <w:pStyle w:val="ds-markdown-paragraph"/>
        <w:shd w:val="clear" w:color="auto" w:fill="FFFFFF"/>
        <w:spacing w:before="0" w:beforeAutospacing="0" w:after="160" w:afterAutospacing="0" w:line="480" w:lineRule="auto"/>
        <w:jc w:val="both"/>
        <w:rPr>
          <w:rStyle w:val="Strong"/>
          <w:bCs w:val="0"/>
        </w:rPr>
      </w:pPr>
      <w:r w:rsidRPr="00DB21FC">
        <w:rPr>
          <w:rStyle w:val="Strong"/>
          <w:bCs w:val="0"/>
          <w:color w:val="000000"/>
        </w:rPr>
        <w:lastRenderedPageBreak/>
        <w:t>3.5 Post Estimation test</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rPr>
          <w:rStyle w:val="Strong"/>
          <w:bCs w:val="0"/>
          <w:color w:val="000000"/>
        </w:rPr>
        <w:t xml:space="preserve">3.5.1 </w:t>
      </w:r>
      <w:proofErr w:type="spellStart"/>
      <w:r w:rsidRPr="00DB21FC">
        <w:rPr>
          <w:b/>
          <w:color w:val="000000"/>
        </w:rPr>
        <w:t>Breusch</w:t>
      </w:r>
      <w:proofErr w:type="spellEnd"/>
      <w:r w:rsidRPr="00DB21FC">
        <w:rPr>
          <w:b/>
          <w:color w:val="000000"/>
        </w:rPr>
        <w:t>-Godfrey Serial Correlation LM Test</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t xml:space="preserve">The </w:t>
      </w:r>
      <w:proofErr w:type="spellStart"/>
      <w:r w:rsidRPr="00DB21FC">
        <w:t>Breusch</w:t>
      </w:r>
      <w:proofErr w:type="spellEnd"/>
      <w:r w:rsidRPr="00DB21FC">
        <w:t>-Godfrey test is employed to assess the appropriateness of regression model assumptions by evaluating time series data. As noted by Godfrey (1978), it detects the presence of serial correlation in the error terms by examining the residuals derived from the estimated regression models.</w:t>
      </w:r>
    </w:p>
    <w:p w:rsidR="00BE44CE" w:rsidRPr="00DB21FC" w:rsidRDefault="00BE44CE" w:rsidP="005A37C1">
      <w:pPr>
        <w:pStyle w:val="ds-markdown-paragraph"/>
        <w:shd w:val="clear" w:color="auto" w:fill="FFFFFF"/>
        <w:spacing w:before="0" w:beforeAutospacing="0" w:after="160" w:afterAutospacing="0" w:line="480" w:lineRule="auto"/>
        <w:jc w:val="both"/>
        <w:rPr>
          <w:b/>
        </w:rPr>
      </w:pPr>
    </w:p>
    <w:p w:rsidR="00BE44CE" w:rsidRPr="00DB21FC" w:rsidRDefault="00BE44CE" w:rsidP="005A37C1">
      <w:pPr>
        <w:pStyle w:val="ds-markdown-paragraph"/>
        <w:shd w:val="clear" w:color="auto" w:fill="FFFFFF"/>
        <w:spacing w:before="0" w:beforeAutospacing="0" w:after="160" w:afterAutospacing="0" w:line="480" w:lineRule="auto"/>
        <w:jc w:val="both"/>
        <w:rPr>
          <w:b/>
        </w:rPr>
      </w:pPr>
    </w:p>
    <w:p w:rsidR="00BE44CE" w:rsidRPr="00DB21FC" w:rsidRDefault="00BE44CE" w:rsidP="005A37C1">
      <w:pPr>
        <w:pStyle w:val="ds-markdown-paragraph"/>
        <w:shd w:val="clear" w:color="auto" w:fill="FFFFFF"/>
        <w:spacing w:before="0" w:beforeAutospacing="0" w:after="160" w:afterAutospacing="0" w:line="480" w:lineRule="auto"/>
        <w:jc w:val="both"/>
        <w:rPr>
          <w:b/>
        </w:rPr>
      </w:pPr>
      <w:r w:rsidRPr="00DB21FC">
        <w:rPr>
          <w:b/>
        </w:rPr>
        <w:t xml:space="preserve">3.5.2 </w:t>
      </w:r>
      <w:proofErr w:type="spellStart"/>
      <w:r w:rsidRPr="00DB21FC">
        <w:rPr>
          <w:b/>
        </w:rPr>
        <w:t>Heteroskedasticity</w:t>
      </w:r>
      <w:proofErr w:type="spellEnd"/>
      <w:r w:rsidRPr="00DB21FC">
        <w:rPr>
          <w:b/>
        </w:rPr>
        <w:t xml:space="preserve"> Test (White Test or </w:t>
      </w:r>
      <w:proofErr w:type="spellStart"/>
      <w:r w:rsidRPr="00DB21FC">
        <w:rPr>
          <w:b/>
        </w:rPr>
        <w:t>Breusch</w:t>
      </w:r>
      <w:proofErr w:type="spellEnd"/>
      <w:r w:rsidRPr="00DB21FC">
        <w:rPr>
          <w:b/>
        </w:rPr>
        <w:t>-Pagan)</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t>Heteroscedasticity occurs when the error term in a regression model exhibits varying variance across observations, indicating that the assumption of constant error variance is violated (Dougherty, 2007). This is in contrast to homoscedasticity, where the variance of the errors remains uniform for all observations. The presence of heteroscedasticity often suggests that the model may be missing important explanatory variables. For example, in modeling the demand for a commodity, leaving out prices of related goods, such as substitutes or complements, can cause the residuals to display non-constant variance. Including these omitted variables or transforming the variables using logarithms can often help reduce or eliminate heteroscedasticity.</w:t>
      </w:r>
    </w:p>
    <w:p w:rsidR="00BE44CE" w:rsidRPr="00DB21FC" w:rsidRDefault="00BE44CE" w:rsidP="005A37C1">
      <w:pPr>
        <w:pStyle w:val="ds-markdown-paragraph"/>
        <w:shd w:val="clear" w:color="auto" w:fill="FFFFFF"/>
        <w:spacing w:before="0" w:beforeAutospacing="0" w:after="160" w:afterAutospacing="0" w:line="480" w:lineRule="auto"/>
        <w:jc w:val="both"/>
        <w:rPr>
          <w:rStyle w:val="Strong"/>
          <w:b w:val="0"/>
          <w:bCs w:val="0"/>
          <w:color w:val="000000"/>
        </w:rPr>
      </w:pPr>
      <w:r w:rsidRPr="00DB21FC">
        <w:rPr>
          <w:b/>
        </w:rPr>
        <w:t>3.5.3 Normality test</w:t>
      </w:r>
    </w:p>
    <w:p w:rsidR="00BE44CE" w:rsidRPr="00DB21FC" w:rsidRDefault="00BE44CE" w:rsidP="005A37C1">
      <w:pPr>
        <w:pStyle w:val="ds-markdown-paragraph"/>
        <w:shd w:val="clear" w:color="auto" w:fill="FFFFFF"/>
        <w:spacing w:before="0" w:beforeAutospacing="0" w:after="160" w:afterAutospacing="0" w:line="480" w:lineRule="auto"/>
        <w:jc w:val="both"/>
      </w:pPr>
      <w:r w:rsidRPr="00DB21FC">
        <w:rPr>
          <w:color w:val="000000"/>
        </w:rPr>
        <w:t xml:space="preserve">The normality of residuals is examined using the </w:t>
      </w:r>
      <w:proofErr w:type="spellStart"/>
      <w:r w:rsidRPr="00DB21FC">
        <w:rPr>
          <w:color w:val="000000"/>
        </w:rPr>
        <w:t>Jarque</w:t>
      </w:r>
      <w:proofErr w:type="spellEnd"/>
      <w:r w:rsidRPr="00DB21FC">
        <w:rPr>
          <w:color w:val="000000"/>
        </w:rPr>
        <w:t>–</w:t>
      </w:r>
      <w:proofErr w:type="spellStart"/>
      <w:r w:rsidRPr="00DB21FC">
        <w:rPr>
          <w:color w:val="000000"/>
        </w:rPr>
        <w:t>Bera</w:t>
      </w:r>
      <w:proofErr w:type="spellEnd"/>
      <w:r w:rsidRPr="00DB21FC">
        <w:rPr>
          <w:color w:val="000000"/>
        </w:rPr>
        <w:t xml:space="preserve"> (JB) test. The JB test is suitable for large samples and is based on the residuals obtained from the Ordinary Least Squares (OLS) regression. It assesses the skewness and kurtosis of the residuals to determine whether they </w:t>
      </w:r>
      <w:r w:rsidRPr="00DB21FC">
        <w:rPr>
          <w:color w:val="000000"/>
        </w:rPr>
        <w:lastRenderedPageBreak/>
        <w:t>conform to a normal distribution, and the test statistic follows a chi-square distribution (</w:t>
      </w:r>
      <w:proofErr w:type="spellStart"/>
      <w:r w:rsidRPr="00DB21FC">
        <w:rPr>
          <w:color w:val="000000"/>
        </w:rPr>
        <w:t>Yaffe</w:t>
      </w:r>
      <w:proofErr w:type="spellEnd"/>
      <w:r w:rsidRPr="00DB21FC">
        <w:rPr>
          <w:color w:val="000000"/>
        </w:rPr>
        <w:t>, 2002b).</w:t>
      </w:r>
    </w:p>
    <w:p w:rsidR="008B1DAF" w:rsidRDefault="00BE44CE" w:rsidP="008B1DAF">
      <w:pPr>
        <w:pStyle w:val="ds-markdown-paragraph"/>
        <w:shd w:val="clear" w:color="auto" w:fill="FFFFFF"/>
        <w:spacing w:before="0" w:beforeAutospacing="0" w:after="160" w:afterAutospacing="0" w:line="480" w:lineRule="auto"/>
        <w:jc w:val="both"/>
        <w:rPr>
          <w:color w:val="000000"/>
        </w:rPr>
      </w:pPr>
      <w:r w:rsidRPr="00DB21FC">
        <w:rPr>
          <w:color w:val="000000"/>
        </w:rPr>
        <w:t>The hypotheses for the JB test are as follows: the null hypothesis (H₀) states that the residuals are normally distributed and do not significantly differ from a theoretical normal distribution. If the p-value of the test is greater than the chosen significance level, typically 5% (0.05), the null hypothesis is not rejected, indicating that the residuals are consistent with normality. Conversely, if the p-value is less than 0.05, the null hypothesis is rejected, suggesting that the residuals deviate significantly from normality.</w:t>
      </w:r>
    </w:p>
    <w:p w:rsidR="00BE44CE" w:rsidRPr="00DB21FC" w:rsidRDefault="00BE44CE" w:rsidP="008B1DAF">
      <w:pPr>
        <w:pStyle w:val="ds-markdown-paragraph"/>
        <w:shd w:val="clear" w:color="auto" w:fill="FFFFFF"/>
        <w:spacing w:before="0" w:beforeAutospacing="0" w:after="160" w:afterAutospacing="0" w:line="480" w:lineRule="auto"/>
        <w:jc w:val="center"/>
        <w:rPr>
          <w:color w:val="000000"/>
        </w:rPr>
      </w:pPr>
      <w:r w:rsidRPr="00DB21FC">
        <w:rPr>
          <w:rFonts w:eastAsia="Calibri"/>
          <w:b/>
        </w:rPr>
        <w:t>CHAPTER FOUR</w:t>
      </w:r>
    </w:p>
    <w:p w:rsidR="00BE44CE" w:rsidRPr="00DB21FC" w:rsidRDefault="00BE44CE" w:rsidP="005A37C1">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Data presentation and interpretation</w:t>
      </w:r>
    </w:p>
    <w:p w:rsidR="00BE44CE" w:rsidRPr="00DB21FC" w:rsidRDefault="00BE44CE" w:rsidP="005A37C1">
      <w:pPr>
        <w:spacing w:before="0" w:beforeAutospacing="0"/>
        <w:rPr>
          <w:rFonts w:ascii="Times New Roman" w:eastAsia="Calibri" w:hAnsi="Times New Roman" w:cs="Times New Roman"/>
          <w:b/>
        </w:rPr>
      </w:pPr>
      <w:r w:rsidRPr="00DB21FC">
        <w:rPr>
          <w:rFonts w:ascii="Times New Roman" w:eastAsia="Calibri" w:hAnsi="Times New Roman" w:cs="Times New Roman"/>
          <w:b/>
        </w:rPr>
        <w:t>4.0 Introduction</w:t>
      </w:r>
    </w:p>
    <w:p w:rsidR="00BE44CE" w:rsidRPr="00DB21FC" w:rsidRDefault="00BE44CE"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 xml:space="preserve">This chapter analysis and interpret the data collected from world bank for the period of 1995-2024, to determine the impact of exchange rate fluctuation on economic growth in Nigeria. It contains inferential Analysis (unit root results, </w:t>
      </w:r>
      <w:proofErr w:type="spellStart"/>
      <w:r w:rsidRPr="00DB21FC">
        <w:rPr>
          <w:rFonts w:ascii="Times New Roman" w:eastAsia="Calibri" w:hAnsi="Times New Roman" w:cs="Times New Roman"/>
        </w:rPr>
        <w:t>cointegration</w:t>
      </w:r>
      <w:proofErr w:type="spellEnd"/>
      <w:r w:rsidRPr="00DB21FC">
        <w:rPr>
          <w:rFonts w:ascii="Times New Roman" w:eastAsia="Calibri" w:hAnsi="Times New Roman" w:cs="Times New Roman"/>
        </w:rPr>
        <w:t xml:space="preserve"> </w:t>
      </w:r>
      <w:proofErr w:type="spellStart"/>
      <w:r w:rsidRPr="00DB21FC">
        <w:rPr>
          <w:rFonts w:ascii="Times New Roman" w:eastAsia="Calibri" w:hAnsi="Times New Roman" w:cs="Times New Roman"/>
        </w:rPr>
        <w:t>extimation</w:t>
      </w:r>
      <w:proofErr w:type="spellEnd"/>
      <w:r w:rsidRPr="00DB21FC">
        <w:rPr>
          <w:rFonts w:ascii="Times New Roman" w:eastAsia="Calibri" w:hAnsi="Times New Roman" w:cs="Times New Roman"/>
        </w:rPr>
        <w:t xml:space="preserve"> </w:t>
      </w:r>
      <w:proofErr w:type="spellStart"/>
      <w:r w:rsidRPr="00DB21FC">
        <w:rPr>
          <w:rFonts w:ascii="Times New Roman" w:eastAsia="Calibri" w:hAnsi="Times New Roman" w:cs="Times New Roman"/>
        </w:rPr>
        <w:t>Ardl</w:t>
      </w:r>
      <w:proofErr w:type="spellEnd"/>
      <w:r w:rsidRPr="00DB21FC">
        <w:rPr>
          <w:rFonts w:ascii="Times New Roman" w:eastAsia="Calibri" w:hAnsi="Times New Roman" w:cs="Times New Roman"/>
        </w:rPr>
        <w:t xml:space="preserve"> bounds test for model, </w:t>
      </w:r>
      <w:proofErr w:type="spellStart"/>
      <w:r w:rsidRPr="00DB21FC">
        <w:rPr>
          <w:rFonts w:ascii="Times New Roman" w:eastAsia="Calibri" w:hAnsi="Times New Roman" w:cs="Times New Roman"/>
        </w:rPr>
        <w:t>ardl</w:t>
      </w:r>
      <w:proofErr w:type="spellEnd"/>
      <w:r w:rsidRPr="00DB21FC">
        <w:rPr>
          <w:rFonts w:ascii="Times New Roman" w:eastAsia="Calibri" w:hAnsi="Times New Roman" w:cs="Times New Roman"/>
        </w:rPr>
        <w:t xml:space="preserve"> bound test result for model, </w:t>
      </w:r>
      <w:proofErr w:type="spellStart"/>
      <w:r w:rsidRPr="00DB21FC">
        <w:rPr>
          <w:rFonts w:ascii="Times New Roman" w:eastAsia="Calibri" w:hAnsi="Times New Roman" w:cs="Times New Roman"/>
        </w:rPr>
        <w:t>Ardl</w:t>
      </w:r>
      <w:proofErr w:type="spellEnd"/>
      <w:r w:rsidRPr="00DB21FC">
        <w:rPr>
          <w:rFonts w:ascii="Times New Roman" w:eastAsia="Calibri" w:hAnsi="Times New Roman" w:cs="Times New Roman"/>
        </w:rPr>
        <w:t xml:space="preserve"> estimation of the long run regression, and </w:t>
      </w:r>
      <w:proofErr w:type="spellStart"/>
      <w:r w:rsidRPr="00DB21FC">
        <w:rPr>
          <w:rFonts w:ascii="Times New Roman" w:eastAsia="Calibri" w:hAnsi="Times New Roman" w:cs="Times New Roman"/>
        </w:rPr>
        <w:t>ardl</w:t>
      </w:r>
      <w:proofErr w:type="spellEnd"/>
      <w:r w:rsidRPr="00DB21FC">
        <w:rPr>
          <w:rFonts w:ascii="Times New Roman" w:eastAsia="Calibri" w:hAnsi="Times New Roman" w:cs="Times New Roman"/>
        </w:rPr>
        <w:t xml:space="preserve"> </w:t>
      </w:r>
      <w:proofErr w:type="spellStart"/>
      <w:r w:rsidRPr="00DB21FC">
        <w:rPr>
          <w:rFonts w:ascii="Times New Roman" w:eastAsia="Calibri" w:hAnsi="Times New Roman" w:cs="Times New Roman"/>
        </w:rPr>
        <w:t>ecm</w:t>
      </w:r>
      <w:proofErr w:type="spellEnd"/>
      <w:r w:rsidRPr="00DB21FC">
        <w:rPr>
          <w:rFonts w:ascii="Times New Roman" w:eastAsia="Calibri" w:hAnsi="Times New Roman" w:cs="Times New Roman"/>
        </w:rPr>
        <w:t xml:space="preserve"> test for short-run),  Diagnostic Tests (</w:t>
      </w:r>
      <w:proofErr w:type="spellStart"/>
      <w:r w:rsidRPr="00DB21FC">
        <w:rPr>
          <w:rFonts w:ascii="Times New Roman" w:eastAsia="Calibri" w:hAnsi="Times New Roman" w:cs="Times New Roman"/>
        </w:rPr>
        <w:t>breusch-godfrey</w:t>
      </w:r>
      <w:proofErr w:type="spellEnd"/>
      <w:r w:rsidRPr="00DB21FC">
        <w:rPr>
          <w:rFonts w:ascii="Times New Roman" w:eastAsia="Calibri" w:hAnsi="Times New Roman" w:cs="Times New Roman"/>
        </w:rPr>
        <w:t xml:space="preserve"> serial correlation lm test, </w:t>
      </w: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xml:space="preserve"> test, normality test), hypothesis testing and discussion of finding. </w:t>
      </w:r>
    </w:p>
    <w:p w:rsidR="00BE44CE" w:rsidRPr="00DB21FC" w:rsidRDefault="00BE44CE" w:rsidP="005A37C1">
      <w:pPr>
        <w:spacing w:before="0" w:beforeAutospacing="0" w:line="360" w:lineRule="auto"/>
        <w:jc w:val="both"/>
        <w:rPr>
          <w:rFonts w:ascii="Times New Roman" w:eastAsia="Calibri" w:hAnsi="Times New Roman" w:cs="Times New Roman"/>
          <w:b/>
        </w:rPr>
      </w:pPr>
      <w:r w:rsidRPr="00DB21FC">
        <w:rPr>
          <w:rFonts w:ascii="Times New Roman" w:eastAsia="Calibri" w:hAnsi="Times New Roman" w:cs="Times New Roman"/>
          <w:b/>
        </w:rPr>
        <w:t>4.1 Pre-Estimation test</w:t>
      </w:r>
    </w:p>
    <w:p w:rsidR="00BE44CE" w:rsidRPr="00DB21FC" w:rsidRDefault="00BE44CE" w:rsidP="005A37C1">
      <w:pPr>
        <w:spacing w:before="0" w:beforeAutospacing="0" w:line="360" w:lineRule="auto"/>
        <w:jc w:val="both"/>
        <w:rPr>
          <w:rFonts w:ascii="Times New Roman" w:eastAsia="Calibri" w:hAnsi="Times New Roman" w:cs="Times New Roman"/>
          <w:b/>
        </w:rPr>
      </w:pPr>
      <w:r w:rsidRPr="00DB21FC">
        <w:rPr>
          <w:rFonts w:ascii="Times New Roman" w:eastAsia="Calibri" w:hAnsi="Times New Roman" w:cs="Times New Roman"/>
          <w:b/>
        </w:rPr>
        <w:t>4.1.1Descriptive Analysis</w:t>
      </w:r>
    </w:p>
    <w:p w:rsidR="00BE44CE" w:rsidRPr="00DB21FC" w:rsidRDefault="00BE44CE" w:rsidP="005A37C1">
      <w:pPr>
        <w:spacing w:before="0" w:beforeAutospacing="0" w:line="360" w:lineRule="auto"/>
        <w:jc w:val="both"/>
        <w:rPr>
          <w:rFonts w:ascii="Times New Roman" w:eastAsia="Calibri" w:hAnsi="Times New Roman" w:cs="Times New Roman"/>
        </w:rPr>
      </w:pPr>
      <w:r w:rsidRPr="00DB21FC">
        <w:rPr>
          <w:rFonts w:ascii="Times New Roman" w:eastAsia="Calibri" w:hAnsi="Times New Roman" w:cs="Times New Roman"/>
        </w:rPr>
        <w:t xml:space="preserve">Descriptive Statistic </w:t>
      </w:r>
    </w:p>
    <w:p w:rsidR="00BE44CE" w:rsidRPr="00DB21FC" w:rsidRDefault="00BE44CE" w:rsidP="005A37C1">
      <w:pPr>
        <w:spacing w:before="0" w:beforeAutospacing="0" w:line="360" w:lineRule="auto"/>
        <w:jc w:val="both"/>
        <w:rPr>
          <w:rFonts w:ascii="Times New Roman" w:hAnsi="Times New Roman" w:cs="Times New Roman"/>
        </w:rPr>
      </w:pPr>
      <w:r w:rsidRPr="00DB21FC">
        <w:rPr>
          <w:rFonts w:ascii="Times New Roman" w:hAnsi="Times New Roman" w:cs="Times New Roman"/>
        </w:rPr>
        <w:t>Data may be more meaningfully described using descriptive statistics. Descriptive statistics were used in this research for each variable, including mean, standard deviation, minimum, maximum, skewness, and kurtosis.</w:t>
      </w:r>
    </w:p>
    <w:p w:rsidR="00BE44CE" w:rsidRPr="00DB21FC" w:rsidRDefault="00BE44CE" w:rsidP="002E1E5A">
      <w:pPr>
        <w:spacing w:before="0" w:beforeAutospacing="0" w:line="360" w:lineRule="auto"/>
        <w:jc w:val="center"/>
        <w:rPr>
          <w:rFonts w:ascii="Times New Roman" w:hAnsi="Times New Roman" w:cs="Times New Roman"/>
          <w:b/>
        </w:rPr>
      </w:pPr>
      <w:r w:rsidRPr="00DB21FC">
        <w:rPr>
          <w:rFonts w:ascii="Times New Roman" w:hAnsi="Times New Roman" w:cs="Times New Roman"/>
          <w:b/>
        </w:rPr>
        <w:lastRenderedPageBreak/>
        <w:t>Table 4.1 Descriptive statistic results</w:t>
      </w: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1309"/>
        <w:gridCol w:w="1309"/>
        <w:gridCol w:w="1309"/>
        <w:gridCol w:w="1318"/>
        <w:gridCol w:w="1322"/>
        <w:gridCol w:w="1244"/>
      </w:tblGrid>
      <w:tr w:rsidR="00BE44CE" w:rsidRPr="00DB21FC" w:rsidTr="002E1E5A">
        <w:trPr>
          <w:trHeight w:val="286"/>
          <w:jc w:val="center"/>
        </w:trPr>
        <w:tc>
          <w:tcPr>
            <w:tcW w:w="1309" w:type="dxa"/>
            <w:tcBorders>
              <w:top w:val="single" w:sz="4" w:space="0" w:color="auto"/>
              <w:left w:val="single" w:sz="4" w:space="0" w:color="auto"/>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Variables</w:t>
            </w:r>
          </w:p>
        </w:tc>
        <w:tc>
          <w:tcPr>
            <w:tcW w:w="1309" w:type="dxa"/>
            <w:tcBorders>
              <w:top w:val="single" w:sz="4" w:space="0" w:color="auto"/>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Mean</w:t>
            </w:r>
          </w:p>
        </w:tc>
        <w:tc>
          <w:tcPr>
            <w:tcW w:w="1309" w:type="dxa"/>
            <w:tcBorders>
              <w:top w:val="single" w:sz="4" w:space="0" w:color="auto"/>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Std. Dev.</w:t>
            </w:r>
          </w:p>
        </w:tc>
        <w:tc>
          <w:tcPr>
            <w:tcW w:w="1318" w:type="dxa"/>
            <w:tcBorders>
              <w:top w:val="single" w:sz="4" w:space="0" w:color="auto"/>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 xml:space="preserve">Minimum </w:t>
            </w:r>
          </w:p>
        </w:tc>
        <w:tc>
          <w:tcPr>
            <w:tcW w:w="1322" w:type="dxa"/>
            <w:tcBorders>
              <w:top w:val="single" w:sz="4" w:space="0" w:color="auto"/>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Maximum</w:t>
            </w:r>
          </w:p>
        </w:tc>
        <w:tc>
          <w:tcPr>
            <w:tcW w:w="1244" w:type="dxa"/>
            <w:tcBorders>
              <w:top w:val="single" w:sz="4" w:space="0" w:color="auto"/>
              <w:left w:val="nil"/>
              <w:bottom w:val="nil"/>
              <w:right w:val="single" w:sz="4" w:space="0" w:color="auto"/>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Median</w:t>
            </w:r>
          </w:p>
        </w:tc>
      </w:tr>
      <w:tr w:rsidR="00BE44CE" w:rsidRPr="00DB21FC" w:rsidTr="002E1E5A">
        <w:trPr>
          <w:trHeight w:val="303"/>
          <w:jc w:val="center"/>
        </w:trPr>
        <w:tc>
          <w:tcPr>
            <w:tcW w:w="1309" w:type="dxa"/>
            <w:tcBorders>
              <w:top w:val="nil"/>
              <w:left w:val="single" w:sz="4" w:space="0" w:color="auto"/>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RGDP</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50.74433</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20.21410</w:t>
            </w:r>
          </w:p>
        </w:tc>
        <w:tc>
          <w:tcPr>
            <w:tcW w:w="1318"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21.88000</w:t>
            </w:r>
          </w:p>
        </w:tc>
        <w:tc>
          <w:tcPr>
            <w:tcW w:w="1322"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80.61000</w:t>
            </w:r>
          </w:p>
        </w:tc>
        <w:tc>
          <w:tcPr>
            <w:tcW w:w="1244" w:type="dxa"/>
            <w:tcBorders>
              <w:top w:val="nil"/>
              <w:left w:val="nil"/>
              <w:bottom w:val="nil"/>
              <w:right w:val="single" w:sz="4" w:space="0" w:color="auto"/>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52.58500</w:t>
            </w:r>
          </w:p>
        </w:tc>
      </w:tr>
      <w:tr w:rsidR="00BE44CE" w:rsidRPr="00DB21FC" w:rsidTr="002E1E5A">
        <w:trPr>
          <w:trHeight w:val="286"/>
          <w:jc w:val="center"/>
        </w:trPr>
        <w:tc>
          <w:tcPr>
            <w:tcW w:w="1309" w:type="dxa"/>
            <w:tcBorders>
              <w:top w:val="nil"/>
              <w:left w:val="single" w:sz="4" w:space="0" w:color="auto"/>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EXR</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4.999957</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0.974756</w:t>
            </w:r>
          </w:p>
        </w:tc>
        <w:tc>
          <w:tcPr>
            <w:tcW w:w="1318"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3.086030</w:t>
            </w:r>
          </w:p>
        </w:tc>
        <w:tc>
          <w:tcPr>
            <w:tcW w:w="1322"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7.299101</w:t>
            </w:r>
          </w:p>
        </w:tc>
        <w:tc>
          <w:tcPr>
            <w:tcW w:w="1244" w:type="dxa"/>
            <w:tcBorders>
              <w:top w:val="nil"/>
              <w:left w:val="nil"/>
              <w:bottom w:val="nil"/>
              <w:right w:val="single" w:sz="4" w:space="0" w:color="auto"/>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 xml:space="preserve">5.007887 </w:t>
            </w:r>
          </w:p>
        </w:tc>
      </w:tr>
      <w:tr w:rsidR="00BE44CE" w:rsidRPr="00DB21FC" w:rsidTr="002E1E5A">
        <w:trPr>
          <w:trHeight w:val="286"/>
          <w:jc w:val="center"/>
        </w:trPr>
        <w:tc>
          <w:tcPr>
            <w:tcW w:w="1309" w:type="dxa"/>
            <w:tcBorders>
              <w:top w:val="nil"/>
              <w:left w:val="single" w:sz="4" w:space="0" w:color="auto"/>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INF</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15.84667</w:t>
            </w:r>
          </w:p>
        </w:tc>
        <w:tc>
          <w:tcPr>
            <w:tcW w:w="1309"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12.51161</w:t>
            </w:r>
          </w:p>
        </w:tc>
        <w:tc>
          <w:tcPr>
            <w:tcW w:w="1318"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5.400000</w:t>
            </w:r>
          </w:p>
        </w:tc>
        <w:tc>
          <w:tcPr>
            <w:tcW w:w="1322" w:type="dxa"/>
            <w:tcBorders>
              <w:top w:val="nil"/>
              <w:left w:val="nil"/>
              <w:bottom w:val="nil"/>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72.80000</w:t>
            </w:r>
          </w:p>
        </w:tc>
        <w:tc>
          <w:tcPr>
            <w:tcW w:w="1244" w:type="dxa"/>
            <w:tcBorders>
              <w:top w:val="nil"/>
              <w:left w:val="nil"/>
              <w:bottom w:val="nil"/>
              <w:right w:val="single" w:sz="4" w:space="0" w:color="auto"/>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12.70000</w:t>
            </w:r>
          </w:p>
        </w:tc>
      </w:tr>
      <w:tr w:rsidR="00BE44CE" w:rsidRPr="00DB21FC" w:rsidTr="002E1E5A">
        <w:trPr>
          <w:trHeight w:val="303"/>
          <w:jc w:val="center"/>
        </w:trPr>
        <w:tc>
          <w:tcPr>
            <w:tcW w:w="1309" w:type="dxa"/>
            <w:tcBorders>
              <w:top w:val="nil"/>
              <w:left w:val="single" w:sz="4" w:space="0" w:color="auto"/>
              <w:bottom w:val="single" w:sz="4" w:space="0" w:color="auto"/>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INT</w:t>
            </w:r>
          </w:p>
        </w:tc>
        <w:tc>
          <w:tcPr>
            <w:tcW w:w="1309" w:type="dxa"/>
            <w:tcBorders>
              <w:top w:val="nil"/>
              <w:left w:val="nil"/>
              <w:bottom w:val="single" w:sz="4" w:space="0" w:color="auto"/>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17.57300</w:t>
            </w:r>
          </w:p>
        </w:tc>
        <w:tc>
          <w:tcPr>
            <w:tcW w:w="1309" w:type="dxa"/>
            <w:tcBorders>
              <w:top w:val="nil"/>
              <w:left w:val="nil"/>
              <w:bottom w:val="single" w:sz="4" w:space="0" w:color="auto"/>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2.992832</w:t>
            </w:r>
          </w:p>
        </w:tc>
        <w:tc>
          <w:tcPr>
            <w:tcW w:w="1318" w:type="dxa"/>
            <w:tcBorders>
              <w:top w:val="nil"/>
              <w:left w:val="nil"/>
              <w:bottom w:val="single" w:sz="4" w:space="0" w:color="auto"/>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11.50000</w:t>
            </w:r>
          </w:p>
        </w:tc>
        <w:tc>
          <w:tcPr>
            <w:tcW w:w="1322" w:type="dxa"/>
            <w:tcBorders>
              <w:top w:val="nil"/>
              <w:left w:val="nil"/>
              <w:bottom w:val="single" w:sz="4" w:space="0" w:color="auto"/>
              <w:right w:val="nil"/>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24.80000</w:t>
            </w:r>
          </w:p>
        </w:tc>
        <w:tc>
          <w:tcPr>
            <w:tcW w:w="1244" w:type="dxa"/>
            <w:tcBorders>
              <w:top w:val="nil"/>
              <w:left w:val="nil"/>
              <w:bottom w:val="single" w:sz="4" w:space="0" w:color="auto"/>
              <w:right w:val="single" w:sz="4" w:space="0" w:color="auto"/>
            </w:tcBorders>
            <w:hideMark/>
          </w:tcPr>
          <w:p w:rsidR="00BE44CE" w:rsidRPr="00DB21FC" w:rsidRDefault="00BE44CE" w:rsidP="005A37C1">
            <w:pPr>
              <w:rPr>
                <w:rFonts w:ascii="Times New Roman" w:eastAsia="Calibri" w:hAnsi="Times New Roman" w:cs="Times New Roman"/>
                <w:sz w:val="22"/>
              </w:rPr>
            </w:pPr>
            <w:r w:rsidRPr="00DB21FC">
              <w:rPr>
                <w:rFonts w:ascii="Times New Roman" w:eastAsia="Calibri" w:hAnsi="Times New Roman" w:cs="Times New Roman"/>
                <w:sz w:val="22"/>
              </w:rPr>
              <w:t>16.90000</w:t>
            </w:r>
          </w:p>
        </w:tc>
      </w:tr>
    </w:tbl>
    <w:p w:rsidR="00BE44CE" w:rsidRPr="00DB21FC" w:rsidRDefault="00BE44CE" w:rsidP="002E1E5A">
      <w:pPr>
        <w:spacing w:before="0" w:beforeAutospacing="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hAnsi="Times New Roman" w:cs="Times New Roman"/>
        </w:rPr>
        <w:t>Table 4.1 presents the summary statistics of the variables used in the model. The descriptive statistics include the mean, standard deviation, minimum, maximum, and median values for each variable. These indicators help to understand how the variables behave over the study period.</w:t>
      </w:r>
      <w:r w:rsidRPr="00DB21FC">
        <w:rPr>
          <w:rFonts w:ascii="Times New Roman" w:eastAsia="Calibri" w:hAnsi="Times New Roman" w:cs="Times New Roman"/>
          <w:b/>
          <w:shd w:val="clear" w:color="auto" w:fill="FFFFFF"/>
        </w:rPr>
        <w:t xml:space="preserve"> </w:t>
      </w:r>
      <w:r w:rsidRPr="00DB21FC">
        <w:rPr>
          <w:rFonts w:ascii="Times New Roman" w:hAnsi="Times New Roman" w:cs="Times New Roman"/>
        </w:rPr>
        <w:t>The mean values show that real GDP (RGDP) has the highest average value among all the variables, followed by the interest rate (INT) and inflation rate (INF). The exchange rate (EXR) also recorded a positive mean value, and it is important to note that the exchange rate variable was already transformed into its logarithmic form before the computation of these statistics. This transformation helps to stabilize the data and reduce large fluctuations. The maximum and minimum values reveal the range within which each variable fluctuated during the period covered. RGDP recorded the widest range, indicating that economic output experienced significant variations over time. Inflation (INF) also shows a wide spread, reflecting periods of both moderate and high inflation in the economy. Interest rate (INT) shows a relatively narrower range compared to the other indicators, suggesting less volatility over the years. For EXR, the minimum and maximum values show moderate changes, which is expected since the variable is in log form.</w:t>
      </w:r>
    </w:p>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hAnsi="Times New Roman" w:cs="Times New Roman"/>
        </w:rPr>
        <w:t xml:space="preserve">The standard deviation values further show the degree of variability in the dataset. RGDP and INF have the highest standard deviations, meaning their values changed more frequently across </w:t>
      </w:r>
      <w:r w:rsidRPr="00DB21FC">
        <w:rPr>
          <w:rFonts w:ascii="Times New Roman" w:hAnsi="Times New Roman" w:cs="Times New Roman"/>
        </w:rPr>
        <w:lastRenderedPageBreak/>
        <w:t>the years. On the other hand, EXR and INT have lower standard deviations, indicating more stable movements. Overall, the descriptive statistics show that all the variables have positive mean values. The spread in the minimum and maximum values indicates that the variables experienced both low and high movements during the study period. The log-transformation of the exchange rate helps to ensure that the data is in a more suitable form for econometric analysis and improves the reliability of the results that follow.</w:t>
      </w:r>
    </w:p>
    <w:p w:rsidR="002E1E5A" w:rsidRDefault="002E1E5A" w:rsidP="005A37C1">
      <w:pPr>
        <w:spacing w:before="0" w:beforeAutospacing="0"/>
        <w:rPr>
          <w:rFonts w:ascii="Times New Roman" w:eastAsia="Calibri" w:hAnsi="Times New Roman" w:cs="Times New Roman"/>
          <w:b/>
          <w:shd w:val="clear" w:color="auto" w:fill="FFFFFF"/>
        </w:rPr>
      </w:pPr>
    </w:p>
    <w:p w:rsidR="002E1E5A" w:rsidRDefault="002E1E5A" w:rsidP="005A37C1">
      <w:pPr>
        <w:spacing w:before="0" w:beforeAutospacing="0"/>
        <w:rPr>
          <w:rFonts w:ascii="Times New Roman" w:eastAsia="Calibri" w:hAnsi="Times New Roman" w:cs="Times New Roman"/>
          <w:b/>
          <w:shd w:val="clear" w:color="auto" w:fill="FFFFFF"/>
        </w:rPr>
      </w:pPr>
    </w:p>
    <w:p w:rsidR="00BE44CE" w:rsidRPr="00DB21FC" w:rsidRDefault="00BE44CE" w:rsidP="005A37C1">
      <w:pPr>
        <w:spacing w:before="0" w:beforeAutospacing="0"/>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4.2 Inferential Statistic</w:t>
      </w:r>
    </w:p>
    <w:p w:rsidR="00BE44CE" w:rsidRPr="00DB21FC" w:rsidRDefault="00BE44CE" w:rsidP="005A37C1">
      <w:pPr>
        <w:spacing w:before="0" w:beforeAutospacing="0"/>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4.2.1 Unit root test</w:t>
      </w:r>
    </w:p>
    <w:p w:rsidR="00BE44CE" w:rsidRPr="00DB21FC" w:rsidRDefault="00BE44CE" w:rsidP="005A37C1">
      <w:pPr>
        <w:spacing w:before="0" w:beforeAutospacing="0"/>
        <w:rPr>
          <w:rFonts w:ascii="Times New Roman" w:eastAsia="Calibri" w:hAnsi="Times New Roman" w:cs="Times New Roman"/>
          <w:shd w:val="clear" w:color="auto" w:fill="FFFFFF"/>
        </w:rPr>
      </w:pPr>
      <w:r w:rsidRPr="00DB21FC">
        <w:rPr>
          <w:rFonts w:ascii="Times New Roman" w:eastAsia="Calibri" w:hAnsi="Times New Roman" w:cs="Times New Roman"/>
          <w:shd w:val="clear" w:color="auto" w:fill="FFFFFF"/>
        </w:rPr>
        <w:t>The Augmented Dickey-Fuller (ADF) test is a statistical test used to determine if a time series is stationary or non-stationary.</w:t>
      </w:r>
    </w:p>
    <w:p w:rsidR="00BE44CE" w:rsidRPr="00DB21FC" w:rsidRDefault="00BE44CE" w:rsidP="00827BD6">
      <w:pPr>
        <w:spacing w:before="0" w:beforeAutospacing="0"/>
        <w:jc w:val="center"/>
        <w:rPr>
          <w:rFonts w:ascii="Times New Roman" w:hAnsi="Times New Roman" w:cs="Times New Roman"/>
          <w:b/>
        </w:rPr>
      </w:pPr>
      <w:r w:rsidRPr="00DB21FC">
        <w:rPr>
          <w:rFonts w:ascii="Times New Roman" w:eastAsia="Calibri" w:hAnsi="Times New Roman" w:cs="Times New Roman"/>
          <w:b/>
          <w:shd w:val="clear" w:color="auto" w:fill="FFFFFF"/>
        </w:rPr>
        <w:t>Table 4.2 unit root test result</w:t>
      </w:r>
    </w:p>
    <w:tbl>
      <w:tblPr>
        <w:tblStyle w:val="TableGrid"/>
        <w:tblW w:w="9971" w:type="dxa"/>
        <w:jc w:val="center"/>
        <w:tblBorders>
          <w:insideH w:val="none" w:sz="0" w:space="0" w:color="auto"/>
          <w:insideV w:val="none" w:sz="0" w:space="0" w:color="auto"/>
        </w:tblBorders>
        <w:tblLayout w:type="fixed"/>
        <w:tblLook w:val="04A0" w:firstRow="1" w:lastRow="0" w:firstColumn="1" w:lastColumn="0" w:noHBand="0" w:noVBand="1"/>
      </w:tblPr>
      <w:tblGrid>
        <w:gridCol w:w="1156"/>
        <w:gridCol w:w="1488"/>
        <w:gridCol w:w="1663"/>
        <w:gridCol w:w="1663"/>
        <w:gridCol w:w="1401"/>
        <w:gridCol w:w="1312"/>
        <w:gridCol w:w="1288"/>
      </w:tblGrid>
      <w:tr w:rsidR="00BE44CE" w:rsidRPr="00DB21FC" w:rsidTr="00827BD6">
        <w:trPr>
          <w:trHeight w:val="528"/>
          <w:jc w:val="center"/>
        </w:trPr>
        <w:tc>
          <w:tcPr>
            <w:tcW w:w="1156" w:type="dxa"/>
            <w:tcBorders>
              <w:top w:val="single" w:sz="4" w:space="0" w:color="auto"/>
              <w:left w:val="single" w:sz="4" w:space="0" w:color="auto"/>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Variables</w:t>
            </w:r>
          </w:p>
        </w:tc>
        <w:tc>
          <w:tcPr>
            <w:tcW w:w="1488" w:type="dxa"/>
            <w:tcBorders>
              <w:top w:val="single" w:sz="4" w:space="0" w:color="auto"/>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ADF statistics</w:t>
            </w:r>
          </w:p>
        </w:tc>
        <w:tc>
          <w:tcPr>
            <w:tcW w:w="1663" w:type="dxa"/>
            <w:tcBorders>
              <w:top w:val="single" w:sz="4" w:space="0" w:color="auto"/>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Critical Values (1% level)</w:t>
            </w:r>
          </w:p>
        </w:tc>
        <w:tc>
          <w:tcPr>
            <w:tcW w:w="1663" w:type="dxa"/>
            <w:tcBorders>
              <w:top w:val="single" w:sz="4" w:space="0" w:color="auto"/>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Critical Values (5% level)</w:t>
            </w:r>
          </w:p>
        </w:tc>
        <w:tc>
          <w:tcPr>
            <w:tcW w:w="1401" w:type="dxa"/>
            <w:tcBorders>
              <w:top w:val="single" w:sz="4" w:space="0" w:color="auto"/>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Critical Values (10% level)</w:t>
            </w:r>
          </w:p>
        </w:tc>
        <w:tc>
          <w:tcPr>
            <w:tcW w:w="1312" w:type="dxa"/>
            <w:tcBorders>
              <w:top w:val="single" w:sz="4" w:space="0" w:color="auto"/>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Order of integration</w:t>
            </w:r>
          </w:p>
        </w:tc>
        <w:tc>
          <w:tcPr>
            <w:tcW w:w="1288" w:type="dxa"/>
            <w:tcBorders>
              <w:top w:val="single" w:sz="4" w:space="0" w:color="auto"/>
              <w:left w:val="nil"/>
              <w:bottom w:val="nil"/>
              <w:right w:val="single" w:sz="4" w:space="0" w:color="auto"/>
            </w:tcBorders>
            <w:hideMark/>
          </w:tcPr>
          <w:p w:rsidR="00BE44CE" w:rsidRPr="00DB21FC" w:rsidRDefault="00BE44CE" w:rsidP="002E1E5A">
            <w:pPr>
              <w:spacing w:before="0" w:beforeAutospacing="0" w:line="276" w:lineRule="auto"/>
              <w:jc w:val="center"/>
              <w:rPr>
                <w:rFonts w:ascii="Times New Roman" w:hAnsi="Times New Roman" w:cs="Times New Roman"/>
                <w:sz w:val="22"/>
              </w:rPr>
            </w:pPr>
            <w:proofErr w:type="spellStart"/>
            <w:r w:rsidRPr="00DB21FC">
              <w:rPr>
                <w:rFonts w:ascii="Times New Roman" w:hAnsi="Times New Roman" w:cs="Times New Roman"/>
                <w:sz w:val="22"/>
              </w:rPr>
              <w:t>stationarirty</w:t>
            </w:r>
            <w:proofErr w:type="spellEnd"/>
          </w:p>
        </w:tc>
      </w:tr>
      <w:tr w:rsidR="00BE44CE" w:rsidRPr="00DB21FC" w:rsidTr="00827BD6">
        <w:trPr>
          <w:trHeight w:val="542"/>
          <w:jc w:val="center"/>
        </w:trPr>
        <w:tc>
          <w:tcPr>
            <w:tcW w:w="1156" w:type="dxa"/>
            <w:tcBorders>
              <w:top w:val="nil"/>
              <w:left w:val="single" w:sz="4" w:space="0" w:color="auto"/>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RGDP</w:t>
            </w:r>
          </w:p>
        </w:tc>
        <w:tc>
          <w:tcPr>
            <w:tcW w:w="1488"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-3.568995</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-3.689194</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hAnsi="Times New Roman" w:cs="Times New Roman"/>
                <w:sz w:val="22"/>
                <w:szCs w:val="20"/>
              </w:rPr>
              <w:t>-</w:t>
            </w:r>
            <w:r w:rsidRPr="00DB21FC">
              <w:rPr>
                <w:rFonts w:ascii="Times New Roman" w:hAnsi="Times New Roman" w:cs="Times New Roman"/>
                <w:sz w:val="22"/>
              </w:rPr>
              <w:t>2.971853</w:t>
            </w:r>
          </w:p>
        </w:tc>
        <w:tc>
          <w:tcPr>
            <w:tcW w:w="1401"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-2.625121</w:t>
            </w:r>
          </w:p>
        </w:tc>
        <w:tc>
          <w:tcPr>
            <w:tcW w:w="1312"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1</w:t>
            </w:r>
            <w:r w:rsidRPr="00DB21FC">
              <w:rPr>
                <w:rFonts w:ascii="Times New Roman" w:eastAsia="Calibri" w:hAnsi="Times New Roman" w:cs="Times New Roman"/>
                <w:sz w:val="22"/>
                <w:vertAlign w:val="superscript"/>
              </w:rPr>
              <w:t>st</w:t>
            </w:r>
            <w:r w:rsidRPr="00DB21FC">
              <w:rPr>
                <w:rFonts w:ascii="Times New Roman" w:eastAsia="Calibri" w:hAnsi="Times New Roman" w:cs="Times New Roman"/>
                <w:sz w:val="22"/>
              </w:rPr>
              <w:t xml:space="preserve"> difference</w:t>
            </w:r>
          </w:p>
        </w:tc>
        <w:tc>
          <w:tcPr>
            <w:tcW w:w="1288" w:type="dxa"/>
            <w:tcBorders>
              <w:top w:val="nil"/>
              <w:left w:val="nil"/>
              <w:bottom w:val="nil"/>
              <w:right w:val="single" w:sz="4" w:space="0" w:color="auto"/>
            </w:tcBorders>
            <w:hideMark/>
          </w:tcPr>
          <w:p w:rsidR="00BE44CE" w:rsidRPr="00DB21FC" w:rsidRDefault="00BE44CE" w:rsidP="002E1E5A">
            <w:pPr>
              <w:spacing w:before="0" w:beforeAutospacing="0" w:line="276" w:lineRule="auto"/>
              <w:jc w:val="center"/>
              <w:rPr>
                <w:rFonts w:ascii="Times New Roman" w:hAnsi="Times New Roman" w:cs="Times New Roman"/>
                <w:sz w:val="22"/>
              </w:rPr>
            </w:pPr>
            <w:r w:rsidRPr="00DB21FC">
              <w:rPr>
                <w:rFonts w:ascii="Times New Roman" w:hAnsi="Times New Roman" w:cs="Times New Roman"/>
                <w:sz w:val="22"/>
              </w:rPr>
              <w:t>I(1)</w:t>
            </w:r>
          </w:p>
        </w:tc>
      </w:tr>
      <w:tr w:rsidR="00BE44CE" w:rsidRPr="00DB21FC" w:rsidTr="00827BD6">
        <w:trPr>
          <w:trHeight w:val="542"/>
          <w:jc w:val="center"/>
        </w:trPr>
        <w:tc>
          <w:tcPr>
            <w:tcW w:w="1156" w:type="dxa"/>
            <w:tcBorders>
              <w:top w:val="nil"/>
              <w:left w:val="single" w:sz="4" w:space="0" w:color="auto"/>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EXR</w:t>
            </w:r>
          </w:p>
        </w:tc>
        <w:tc>
          <w:tcPr>
            <w:tcW w:w="1488"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-4.323998</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-3.689194</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-2.971853</w:t>
            </w:r>
          </w:p>
        </w:tc>
        <w:tc>
          <w:tcPr>
            <w:tcW w:w="1401"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-2.625121</w:t>
            </w:r>
          </w:p>
        </w:tc>
        <w:tc>
          <w:tcPr>
            <w:tcW w:w="1312"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1</w:t>
            </w:r>
            <w:r w:rsidRPr="00DB21FC">
              <w:rPr>
                <w:rFonts w:ascii="Times New Roman" w:eastAsia="Calibri" w:hAnsi="Times New Roman" w:cs="Times New Roman"/>
                <w:sz w:val="22"/>
                <w:vertAlign w:val="superscript"/>
              </w:rPr>
              <w:t>st</w:t>
            </w:r>
            <w:r w:rsidRPr="00DB21FC">
              <w:rPr>
                <w:rFonts w:ascii="Times New Roman" w:eastAsia="Calibri" w:hAnsi="Times New Roman" w:cs="Times New Roman"/>
                <w:sz w:val="22"/>
              </w:rPr>
              <w:t xml:space="preserve"> difference</w:t>
            </w:r>
          </w:p>
        </w:tc>
        <w:tc>
          <w:tcPr>
            <w:tcW w:w="1288" w:type="dxa"/>
            <w:tcBorders>
              <w:top w:val="nil"/>
              <w:left w:val="nil"/>
              <w:bottom w:val="nil"/>
              <w:right w:val="single" w:sz="4" w:space="0" w:color="auto"/>
            </w:tcBorders>
            <w:hideMark/>
          </w:tcPr>
          <w:p w:rsidR="00BE44CE" w:rsidRPr="00DB21FC" w:rsidRDefault="00BE44CE" w:rsidP="002E1E5A">
            <w:pPr>
              <w:spacing w:before="0" w:beforeAutospacing="0" w:line="276" w:lineRule="auto"/>
              <w:jc w:val="center"/>
              <w:rPr>
                <w:rFonts w:ascii="Times New Roman" w:hAnsi="Times New Roman" w:cs="Times New Roman"/>
                <w:sz w:val="22"/>
                <w:szCs w:val="20"/>
              </w:rPr>
            </w:pPr>
            <w:r w:rsidRPr="00DB21FC">
              <w:rPr>
                <w:rFonts w:ascii="Times New Roman" w:hAnsi="Times New Roman" w:cs="Times New Roman"/>
                <w:sz w:val="22"/>
              </w:rPr>
              <w:t>I(1)</w:t>
            </w:r>
          </w:p>
        </w:tc>
      </w:tr>
      <w:tr w:rsidR="00BE44CE" w:rsidRPr="00DB21FC" w:rsidTr="00827BD6">
        <w:trPr>
          <w:trHeight w:val="542"/>
          <w:jc w:val="center"/>
        </w:trPr>
        <w:tc>
          <w:tcPr>
            <w:tcW w:w="1156" w:type="dxa"/>
            <w:tcBorders>
              <w:top w:val="nil"/>
              <w:left w:val="single" w:sz="4" w:space="0" w:color="auto"/>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INF</w:t>
            </w:r>
          </w:p>
        </w:tc>
        <w:tc>
          <w:tcPr>
            <w:tcW w:w="1488"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-8.370896</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-3.679322</w:t>
            </w:r>
          </w:p>
        </w:tc>
        <w:tc>
          <w:tcPr>
            <w:tcW w:w="1663"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-2.967767</w:t>
            </w:r>
          </w:p>
        </w:tc>
        <w:tc>
          <w:tcPr>
            <w:tcW w:w="1401"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-2.622989</w:t>
            </w:r>
          </w:p>
        </w:tc>
        <w:tc>
          <w:tcPr>
            <w:tcW w:w="1312" w:type="dxa"/>
            <w:tcBorders>
              <w:top w:val="nil"/>
              <w:left w:val="nil"/>
              <w:bottom w:val="nil"/>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Level</w:t>
            </w:r>
          </w:p>
        </w:tc>
        <w:tc>
          <w:tcPr>
            <w:tcW w:w="1288" w:type="dxa"/>
            <w:tcBorders>
              <w:top w:val="nil"/>
              <w:left w:val="nil"/>
              <w:bottom w:val="nil"/>
              <w:right w:val="single" w:sz="4" w:space="0" w:color="auto"/>
            </w:tcBorders>
            <w:hideMark/>
          </w:tcPr>
          <w:p w:rsidR="00BE44CE" w:rsidRPr="00DB21FC" w:rsidRDefault="00BE44CE" w:rsidP="002E1E5A">
            <w:pPr>
              <w:spacing w:before="0" w:beforeAutospacing="0" w:line="276" w:lineRule="auto"/>
              <w:jc w:val="center"/>
              <w:rPr>
                <w:rFonts w:ascii="Times New Roman" w:hAnsi="Times New Roman" w:cs="Times New Roman"/>
                <w:sz w:val="22"/>
                <w:szCs w:val="20"/>
              </w:rPr>
            </w:pPr>
            <w:r w:rsidRPr="00DB21FC">
              <w:rPr>
                <w:rFonts w:ascii="Times New Roman" w:hAnsi="Times New Roman" w:cs="Times New Roman"/>
                <w:sz w:val="22"/>
              </w:rPr>
              <w:t>I(0)</w:t>
            </w:r>
          </w:p>
        </w:tc>
      </w:tr>
      <w:tr w:rsidR="00BE44CE" w:rsidRPr="00DB21FC" w:rsidTr="00827BD6">
        <w:trPr>
          <w:trHeight w:val="542"/>
          <w:jc w:val="center"/>
        </w:trPr>
        <w:tc>
          <w:tcPr>
            <w:tcW w:w="1156" w:type="dxa"/>
            <w:tcBorders>
              <w:top w:val="nil"/>
              <w:left w:val="single" w:sz="4" w:space="0" w:color="auto"/>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INT</w:t>
            </w:r>
          </w:p>
        </w:tc>
        <w:tc>
          <w:tcPr>
            <w:tcW w:w="1488" w:type="dxa"/>
            <w:tcBorders>
              <w:top w:val="nil"/>
              <w:left w:val="nil"/>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-4.666489</w:t>
            </w:r>
          </w:p>
        </w:tc>
        <w:tc>
          <w:tcPr>
            <w:tcW w:w="1663" w:type="dxa"/>
            <w:tcBorders>
              <w:top w:val="nil"/>
              <w:left w:val="nil"/>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-3.689194</w:t>
            </w:r>
          </w:p>
        </w:tc>
        <w:tc>
          <w:tcPr>
            <w:tcW w:w="1663" w:type="dxa"/>
            <w:tcBorders>
              <w:top w:val="nil"/>
              <w:left w:val="nil"/>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-2.971853</w:t>
            </w:r>
          </w:p>
        </w:tc>
        <w:tc>
          <w:tcPr>
            <w:tcW w:w="1401" w:type="dxa"/>
            <w:tcBorders>
              <w:top w:val="nil"/>
              <w:left w:val="nil"/>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-2.625121</w:t>
            </w:r>
          </w:p>
        </w:tc>
        <w:tc>
          <w:tcPr>
            <w:tcW w:w="1312" w:type="dxa"/>
            <w:tcBorders>
              <w:top w:val="nil"/>
              <w:left w:val="nil"/>
              <w:bottom w:val="single" w:sz="4" w:space="0" w:color="auto"/>
              <w:right w:val="nil"/>
            </w:tcBorders>
            <w:hideMark/>
          </w:tcPr>
          <w:p w:rsidR="00BE44CE" w:rsidRPr="00DB21FC" w:rsidRDefault="00BE44CE" w:rsidP="002E1E5A">
            <w:pPr>
              <w:spacing w:before="0" w:beforeAutospacing="0"/>
              <w:jc w:val="center"/>
              <w:rPr>
                <w:rFonts w:ascii="Times New Roman" w:eastAsia="Calibri" w:hAnsi="Times New Roman" w:cs="Times New Roman"/>
                <w:sz w:val="22"/>
              </w:rPr>
            </w:pPr>
            <w:r w:rsidRPr="00DB21FC">
              <w:rPr>
                <w:rFonts w:ascii="Times New Roman" w:eastAsia="Calibri" w:hAnsi="Times New Roman" w:cs="Times New Roman"/>
                <w:sz w:val="22"/>
              </w:rPr>
              <w:t>1</w:t>
            </w:r>
            <w:r w:rsidRPr="00DB21FC">
              <w:rPr>
                <w:rFonts w:ascii="Times New Roman" w:eastAsia="Calibri" w:hAnsi="Times New Roman" w:cs="Times New Roman"/>
                <w:sz w:val="22"/>
                <w:vertAlign w:val="superscript"/>
              </w:rPr>
              <w:t>st</w:t>
            </w:r>
            <w:r w:rsidRPr="00DB21FC">
              <w:rPr>
                <w:rFonts w:ascii="Times New Roman" w:eastAsia="Calibri" w:hAnsi="Times New Roman" w:cs="Times New Roman"/>
                <w:sz w:val="22"/>
              </w:rPr>
              <w:t xml:space="preserve"> difference</w:t>
            </w:r>
          </w:p>
        </w:tc>
        <w:tc>
          <w:tcPr>
            <w:tcW w:w="1288" w:type="dxa"/>
            <w:tcBorders>
              <w:top w:val="nil"/>
              <w:left w:val="nil"/>
              <w:bottom w:val="single" w:sz="4" w:space="0" w:color="auto"/>
              <w:right w:val="single" w:sz="4" w:space="0" w:color="auto"/>
            </w:tcBorders>
            <w:hideMark/>
          </w:tcPr>
          <w:p w:rsidR="00BE44CE" w:rsidRPr="00DB21FC" w:rsidRDefault="00BE44CE" w:rsidP="002E1E5A">
            <w:pPr>
              <w:spacing w:before="0" w:beforeAutospacing="0" w:line="276" w:lineRule="auto"/>
              <w:jc w:val="center"/>
              <w:rPr>
                <w:rFonts w:ascii="Times New Roman" w:hAnsi="Times New Roman" w:cs="Times New Roman"/>
                <w:sz w:val="22"/>
                <w:szCs w:val="20"/>
              </w:rPr>
            </w:pPr>
            <w:r w:rsidRPr="00DB21FC">
              <w:rPr>
                <w:rFonts w:ascii="Times New Roman" w:hAnsi="Times New Roman" w:cs="Times New Roman"/>
                <w:sz w:val="22"/>
              </w:rPr>
              <w:t>I(1)</w:t>
            </w:r>
          </w:p>
        </w:tc>
      </w:tr>
    </w:tbl>
    <w:p w:rsidR="00BE44CE" w:rsidRPr="00DB21FC" w:rsidRDefault="00BE44CE" w:rsidP="002E1E5A">
      <w:pPr>
        <w:spacing w:before="0" w:beforeAutospacing="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eastAsia="Calibri" w:hAnsi="Times New Roman" w:cs="Times New Roman"/>
          <w:shd w:val="clear" w:color="auto" w:fill="FFFFFF"/>
        </w:rPr>
      </w:pPr>
      <w:r w:rsidRPr="00DB21FC">
        <w:rPr>
          <w:rFonts w:ascii="Times New Roman" w:eastAsia="Calibri" w:hAnsi="Times New Roman" w:cs="Times New Roman"/>
          <w:shd w:val="clear" w:color="auto" w:fill="FFFFFF"/>
        </w:rPr>
        <w:t xml:space="preserve">The Augmented Dickey-Fuller (ADF) test was employed to examine the stationarity properties of the time series </w:t>
      </w:r>
      <w:proofErr w:type="spellStart"/>
      <w:r w:rsidRPr="00DB21FC">
        <w:rPr>
          <w:rFonts w:ascii="Times New Roman" w:eastAsia="Calibri" w:hAnsi="Times New Roman" w:cs="Times New Roman"/>
          <w:shd w:val="clear" w:color="auto" w:fill="FFFFFF"/>
        </w:rPr>
        <w:t>variables.Real</w:t>
      </w:r>
      <w:proofErr w:type="spellEnd"/>
      <w:r w:rsidRPr="00DB21FC">
        <w:rPr>
          <w:rFonts w:ascii="Times New Roman" w:eastAsia="Calibri" w:hAnsi="Times New Roman" w:cs="Times New Roman"/>
          <w:shd w:val="clear" w:color="auto" w:fill="FFFFFF"/>
        </w:rPr>
        <w:t xml:space="preserve"> gross domestic product (RGDP), exchange rate (EXR), inflation rate (INF), and interest rate (INT). The test was conducted both with and without trend and intercept to ensure robustness. The null hypothesis of the ADF test state that a series has a unit </w:t>
      </w:r>
      <w:r w:rsidRPr="00DB21FC">
        <w:rPr>
          <w:rFonts w:ascii="Times New Roman" w:eastAsia="Calibri" w:hAnsi="Times New Roman" w:cs="Times New Roman"/>
          <w:shd w:val="clear" w:color="auto" w:fill="FFFFFF"/>
        </w:rPr>
        <w:lastRenderedPageBreak/>
        <w:t xml:space="preserve">root (i.e., it is non-stationary), while the alternative hypothesis indicates stationarity. The test result in the Table 4.1 showed the ADF test statistics obtained for the variables: RGDP (-3.568995), EXR (-4.323998), INF (-8.370896), and INT (-4.666489). Based on these results, RGDP, EXR, and INT were found to be stationary after first differencing, implying that they are integrated of order one, </w:t>
      </w:r>
      <w:proofErr w:type="gramStart"/>
      <w:r w:rsidRPr="00DB21FC">
        <w:rPr>
          <w:rFonts w:ascii="Times New Roman" w:eastAsia="Calibri" w:hAnsi="Times New Roman" w:cs="Times New Roman"/>
          <w:shd w:val="clear" w:color="auto" w:fill="FFFFFF"/>
        </w:rPr>
        <w:t>I(</w:t>
      </w:r>
      <w:proofErr w:type="gramEnd"/>
      <w:r w:rsidRPr="00DB21FC">
        <w:rPr>
          <w:rFonts w:ascii="Times New Roman" w:eastAsia="Calibri" w:hAnsi="Times New Roman" w:cs="Times New Roman"/>
          <w:shd w:val="clear" w:color="auto" w:fill="FFFFFF"/>
        </w:rPr>
        <w:t xml:space="preserve">1). Conversely, inflation (INF) was stationary at level, indicating that it is integrated of order zero, </w:t>
      </w:r>
      <w:proofErr w:type="gramStart"/>
      <w:r w:rsidRPr="00DB21FC">
        <w:rPr>
          <w:rFonts w:ascii="Times New Roman" w:eastAsia="Calibri" w:hAnsi="Times New Roman" w:cs="Times New Roman"/>
          <w:shd w:val="clear" w:color="auto" w:fill="FFFFFF"/>
        </w:rPr>
        <w:t>I(</w:t>
      </w:r>
      <w:proofErr w:type="gramEnd"/>
      <w:r w:rsidRPr="00DB21FC">
        <w:rPr>
          <w:rFonts w:ascii="Times New Roman" w:eastAsia="Calibri" w:hAnsi="Times New Roman" w:cs="Times New Roman"/>
          <w:shd w:val="clear" w:color="auto" w:fill="FFFFFF"/>
        </w:rPr>
        <w:t>0).The coexistence of variables integrated of different orders, I(0) and I(1), suggests the possibility of a long-run equilibrium relationship among the variables. Consequently, the application of the Autoregressive Distributed Lag (ARDL) approach is both appropriate and justified for this study.</w:t>
      </w:r>
    </w:p>
    <w:p w:rsidR="00BE44CE" w:rsidRPr="00DB21FC" w:rsidRDefault="00BE44CE" w:rsidP="005A37C1">
      <w:pPr>
        <w:spacing w:before="0" w:beforeAutospacing="0"/>
        <w:rPr>
          <w:rFonts w:ascii="Times New Roman" w:eastAsia="Calibri" w:hAnsi="Times New Roman" w:cs="Times New Roman"/>
          <w:b/>
        </w:rPr>
      </w:pPr>
      <w:r w:rsidRPr="00DB21FC">
        <w:rPr>
          <w:rFonts w:ascii="Times New Roman" w:eastAsia="Calibri" w:hAnsi="Times New Roman" w:cs="Times New Roman"/>
          <w:b/>
        </w:rPr>
        <w:t xml:space="preserve">4.2.2 </w:t>
      </w:r>
      <w:proofErr w:type="spellStart"/>
      <w:r w:rsidRPr="00DB21FC">
        <w:rPr>
          <w:rFonts w:ascii="Times New Roman" w:eastAsia="Calibri" w:hAnsi="Times New Roman" w:cs="Times New Roman"/>
          <w:b/>
        </w:rPr>
        <w:t>Cointegration</w:t>
      </w:r>
      <w:proofErr w:type="spellEnd"/>
      <w:r w:rsidRPr="00DB21FC">
        <w:rPr>
          <w:rFonts w:ascii="Times New Roman" w:eastAsia="Calibri" w:hAnsi="Times New Roman" w:cs="Times New Roman"/>
          <w:b/>
        </w:rPr>
        <w:t xml:space="preserve"> </w:t>
      </w:r>
      <w:proofErr w:type="spellStart"/>
      <w:r w:rsidRPr="00DB21FC">
        <w:rPr>
          <w:rFonts w:ascii="Times New Roman" w:eastAsia="Calibri" w:hAnsi="Times New Roman" w:cs="Times New Roman"/>
          <w:b/>
        </w:rPr>
        <w:t>Extimation</w:t>
      </w:r>
      <w:proofErr w:type="spellEnd"/>
      <w:r w:rsidRPr="00DB21FC">
        <w:rPr>
          <w:rFonts w:ascii="Times New Roman" w:eastAsia="Calibri" w:hAnsi="Times New Roman" w:cs="Times New Roman"/>
          <w:b/>
        </w:rPr>
        <w:t xml:space="preserve"> (ARDL bounds test) for model</w:t>
      </w:r>
    </w:p>
    <w:p w:rsidR="00BE44CE" w:rsidRPr="00DB21FC" w:rsidRDefault="00BE44CE" w:rsidP="005A37C1">
      <w:pPr>
        <w:spacing w:before="0" w:beforeAutospacing="0" w:line="480" w:lineRule="auto"/>
        <w:jc w:val="both"/>
        <w:rPr>
          <w:rFonts w:ascii="Times New Roman" w:eastAsia="Calibri" w:hAnsi="Times New Roman" w:cs="Times New Roman"/>
        </w:rPr>
      </w:pPr>
      <w:r w:rsidRPr="00DB21FC">
        <w:rPr>
          <w:rFonts w:ascii="Times New Roman" w:eastAsia="Calibri" w:hAnsi="Times New Roman" w:cs="Times New Roman"/>
        </w:rPr>
        <w:t xml:space="preserve">If the calculated F-statistic is lower than the lower bound value </w:t>
      </w:r>
      <w:proofErr w:type="gramStart"/>
      <w:r w:rsidRPr="00DB21FC">
        <w:rPr>
          <w:rFonts w:ascii="Times New Roman" w:eastAsia="Calibri" w:hAnsi="Times New Roman" w:cs="Times New Roman"/>
        </w:rPr>
        <w:t>I(</w:t>
      </w:r>
      <w:proofErr w:type="gramEnd"/>
      <w:r w:rsidRPr="00DB21FC">
        <w:rPr>
          <w:rFonts w:ascii="Times New Roman" w:eastAsia="Calibri" w:hAnsi="Times New Roman" w:cs="Times New Roman"/>
        </w:rPr>
        <w:t xml:space="preserve">0), it means there is no co-integration among the variables. However, if the F-statistic is higher than the upper bound value </w:t>
      </w:r>
      <w:proofErr w:type="gramStart"/>
      <w:r w:rsidRPr="00DB21FC">
        <w:rPr>
          <w:rFonts w:ascii="Times New Roman" w:eastAsia="Calibri" w:hAnsi="Times New Roman" w:cs="Times New Roman"/>
        </w:rPr>
        <w:t>I(</w:t>
      </w:r>
      <w:proofErr w:type="gramEnd"/>
      <w:r w:rsidRPr="00DB21FC">
        <w:rPr>
          <w:rFonts w:ascii="Times New Roman" w:eastAsia="Calibri" w:hAnsi="Times New Roman" w:cs="Times New Roman"/>
        </w:rPr>
        <w:t>1), the null hypothesis of no co-integration is rejected, indicating a long-run relationship exists. When the F-statistic falls between the lower and upper bound values, the result is considered inconclusive.</w:t>
      </w:r>
    </w:p>
    <w:p w:rsidR="00BE44CE" w:rsidRPr="00DB21FC" w:rsidRDefault="00BE44CE" w:rsidP="00F823FD">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Table 4.3 ARDL bound test result for model</w:t>
      </w: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1475"/>
        <w:gridCol w:w="1478"/>
        <w:gridCol w:w="1475"/>
        <w:gridCol w:w="1475"/>
        <w:gridCol w:w="1485"/>
      </w:tblGrid>
      <w:tr w:rsidR="00BE44CE" w:rsidRPr="00DB21FC" w:rsidTr="00F823FD">
        <w:trPr>
          <w:trHeight w:val="112"/>
          <w:jc w:val="center"/>
        </w:trPr>
        <w:tc>
          <w:tcPr>
            <w:tcW w:w="2953" w:type="dxa"/>
            <w:gridSpan w:val="2"/>
            <w:tcBorders>
              <w:top w:val="single" w:sz="4" w:space="0" w:color="auto"/>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F-Bounds Test</w:t>
            </w:r>
          </w:p>
        </w:tc>
        <w:tc>
          <w:tcPr>
            <w:tcW w:w="4435" w:type="dxa"/>
            <w:gridSpan w:val="3"/>
            <w:tcBorders>
              <w:top w:val="single" w:sz="4" w:space="0" w:color="auto"/>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Null Hypothesis: No level relationship</w:t>
            </w:r>
          </w:p>
        </w:tc>
      </w:tr>
      <w:tr w:rsidR="00827BD6" w:rsidRPr="00DB21FC" w:rsidTr="00F823FD">
        <w:trPr>
          <w:trHeight w:val="327"/>
          <w:jc w:val="center"/>
        </w:trPr>
        <w:tc>
          <w:tcPr>
            <w:tcW w:w="1475"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Test Statistic</w:t>
            </w:r>
          </w:p>
        </w:tc>
        <w:tc>
          <w:tcPr>
            <w:tcW w:w="1478"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Value</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Significance</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Lower bound</w:t>
            </w:r>
          </w:p>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I(0)</w:t>
            </w:r>
          </w:p>
        </w:tc>
        <w:tc>
          <w:tcPr>
            <w:tcW w:w="1484"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Upper bound</w:t>
            </w:r>
          </w:p>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b/>
                <w:sz w:val="22"/>
              </w:rPr>
              <w:t>I(1)</w:t>
            </w:r>
          </w:p>
        </w:tc>
      </w:tr>
      <w:tr w:rsidR="00827BD6" w:rsidRPr="00DB21FC" w:rsidTr="00F823FD">
        <w:trPr>
          <w:trHeight w:val="112"/>
          <w:jc w:val="center"/>
        </w:trPr>
        <w:tc>
          <w:tcPr>
            <w:tcW w:w="1475"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F-statistic</w:t>
            </w:r>
          </w:p>
        </w:tc>
        <w:tc>
          <w:tcPr>
            <w:tcW w:w="1478"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11.42815</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10%</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2.37</w:t>
            </w:r>
          </w:p>
        </w:tc>
        <w:tc>
          <w:tcPr>
            <w:tcW w:w="1484"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3.2</w:t>
            </w:r>
          </w:p>
        </w:tc>
      </w:tr>
      <w:tr w:rsidR="00827BD6" w:rsidRPr="00DB21FC" w:rsidTr="00F823FD">
        <w:trPr>
          <w:trHeight w:val="144"/>
          <w:jc w:val="center"/>
        </w:trPr>
        <w:tc>
          <w:tcPr>
            <w:tcW w:w="1475"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K</w:t>
            </w:r>
          </w:p>
        </w:tc>
        <w:tc>
          <w:tcPr>
            <w:tcW w:w="1478"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w:t>
            </w:r>
          </w:p>
        </w:tc>
        <w:tc>
          <w:tcPr>
            <w:tcW w:w="1475" w:type="dxa"/>
            <w:tcBorders>
              <w:top w:val="nil"/>
              <w:left w:val="nil"/>
              <w:bottom w:val="nil"/>
              <w:right w:val="nil"/>
            </w:tcBorders>
            <w:hideMark/>
          </w:tcPr>
          <w:p w:rsidR="00BE44CE" w:rsidRPr="00DB21FC" w:rsidRDefault="00BE44CE" w:rsidP="005A37C1">
            <w:pPr>
              <w:spacing w:before="0" w:beforeAutospacing="0" w:line="360" w:lineRule="auto"/>
              <w:rPr>
                <w:rFonts w:ascii="Times New Roman" w:eastAsia="Calibri" w:hAnsi="Times New Roman" w:cs="Times New Roman"/>
                <w:sz w:val="22"/>
              </w:rPr>
            </w:pPr>
            <w:r w:rsidRPr="00DB21FC">
              <w:rPr>
                <w:rFonts w:ascii="Times New Roman" w:eastAsia="Calibri" w:hAnsi="Times New Roman" w:cs="Times New Roman"/>
                <w:sz w:val="22"/>
              </w:rPr>
              <w:t>5%</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2.79</w:t>
            </w:r>
          </w:p>
        </w:tc>
        <w:tc>
          <w:tcPr>
            <w:tcW w:w="1484"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3.67</w:t>
            </w:r>
          </w:p>
        </w:tc>
      </w:tr>
      <w:tr w:rsidR="00827BD6" w:rsidRPr="00DB21FC" w:rsidTr="00F823FD">
        <w:trPr>
          <w:trHeight w:val="112"/>
          <w:jc w:val="center"/>
        </w:trPr>
        <w:tc>
          <w:tcPr>
            <w:tcW w:w="1475" w:type="dxa"/>
            <w:tcBorders>
              <w:top w:val="nil"/>
              <w:left w:val="single" w:sz="4" w:space="0" w:color="auto"/>
              <w:bottom w:val="nil"/>
              <w:right w:val="nil"/>
            </w:tcBorders>
          </w:tcPr>
          <w:p w:rsidR="00BE44CE" w:rsidRPr="00DB21FC" w:rsidRDefault="00BE44CE" w:rsidP="005A37C1">
            <w:pPr>
              <w:spacing w:before="0" w:beforeAutospacing="0"/>
              <w:rPr>
                <w:rFonts w:ascii="Times New Roman" w:eastAsia="Calibri" w:hAnsi="Times New Roman" w:cs="Times New Roman"/>
                <w:b/>
                <w:sz w:val="22"/>
              </w:rPr>
            </w:pPr>
          </w:p>
        </w:tc>
        <w:tc>
          <w:tcPr>
            <w:tcW w:w="1478" w:type="dxa"/>
            <w:tcBorders>
              <w:top w:val="nil"/>
              <w:left w:val="nil"/>
              <w:bottom w:val="nil"/>
              <w:right w:val="nil"/>
            </w:tcBorders>
          </w:tcPr>
          <w:p w:rsidR="00BE44CE" w:rsidRPr="00DB21FC" w:rsidRDefault="00BE44CE" w:rsidP="005A37C1">
            <w:pPr>
              <w:spacing w:before="0" w:beforeAutospacing="0"/>
              <w:rPr>
                <w:rFonts w:ascii="Times New Roman" w:eastAsia="Calibri" w:hAnsi="Times New Roman" w:cs="Times New Roman"/>
                <w:b/>
                <w:sz w:val="22"/>
              </w:rPr>
            </w:pP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2.5%</w:t>
            </w:r>
          </w:p>
        </w:tc>
        <w:tc>
          <w:tcPr>
            <w:tcW w:w="1475"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3.15</w:t>
            </w:r>
          </w:p>
        </w:tc>
        <w:tc>
          <w:tcPr>
            <w:tcW w:w="1484"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4.08</w:t>
            </w:r>
          </w:p>
        </w:tc>
      </w:tr>
      <w:tr w:rsidR="00827BD6" w:rsidRPr="00DB21FC" w:rsidTr="00F823FD">
        <w:trPr>
          <w:trHeight w:val="116"/>
          <w:jc w:val="center"/>
        </w:trPr>
        <w:tc>
          <w:tcPr>
            <w:tcW w:w="1475" w:type="dxa"/>
            <w:tcBorders>
              <w:top w:val="nil"/>
              <w:left w:val="single" w:sz="4" w:space="0" w:color="auto"/>
              <w:bottom w:val="single" w:sz="4" w:space="0" w:color="auto"/>
              <w:right w:val="nil"/>
            </w:tcBorders>
          </w:tcPr>
          <w:p w:rsidR="00BE44CE" w:rsidRPr="00DB21FC" w:rsidRDefault="00BE44CE" w:rsidP="005A37C1">
            <w:pPr>
              <w:spacing w:before="0" w:beforeAutospacing="0"/>
              <w:rPr>
                <w:rFonts w:ascii="Times New Roman" w:eastAsia="Calibri" w:hAnsi="Times New Roman" w:cs="Times New Roman"/>
                <w:b/>
                <w:sz w:val="22"/>
              </w:rPr>
            </w:pPr>
          </w:p>
        </w:tc>
        <w:tc>
          <w:tcPr>
            <w:tcW w:w="1478" w:type="dxa"/>
            <w:tcBorders>
              <w:top w:val="nil"/>
              <w:left w:val="nil"/>
              <w:bottom w:val="single" w:sz="4" w:space="0" w:color="auto"/>
              <w:right w:val="nil"/>
            </w:tcBorders>
          </w:tcPr>
          <w:p w:rsidR="00BE44CE" w:rsidRPr="00DB21FC" w:rsidRDefault="00BE44CE" w:rsidP="005A37C1">
            <w:pPr>
              <w:spacing w:before="0" w:beforeAutospacing="0"/>
              <w:rPr>
                <w:rFonts w:ascii="Times New Roman" w:eastAsia="Calibri" w:hAnsi="Times New Roman" w:cs="Times New Roman"/>
                <w:b/>
                <w:sz w:val="22"/>
              </w:rPr>
            </w:pPr>
          </w:p>
        </w:tc>
        <w:tc>
          <w:tcPr>
            <w:tcW w:w="1475"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w:t>
            </w:r>
          </w:p>
        </w:tc>
        <w:tc>
          <w:tcPr>
            <w:tcW w:w="1475"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3.65</w:t>
            </w:r>
          </w:p>
        </w:tc>
        <w:tc>
          <w:tcPr>
            <w:tcW w:w="1484" w:type="dxa"/>
            <w:tcBorders>
              <w:top w:val="nil"/>
              <w:left w:val="nil"/>
              <w:bottom w:val="single" w:sz="4" w:space="0" w:color="auto"/>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4.66</w:t>
            </w:r>
          </w:p>
        </w:tc>
      </w:tr>
    </w:tbl>
    <w:p w:rsidR="00BE44CE" w:rsidRPr="00DB21FC" w:rsidRDefault="00BE44CE" w:rsidP="00F823FD">
      <w:pPr>
        <w:spacing w:before="0" w:beforeAutospacing="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eastAsia="Calibri" w:hAnsi="Times New Roman" w:cs="Times New Roman"/>
        </w:rPr>
        <w:lastRenderedPageBreak/>
        <w:t xml:space="preserve">From Table 4.2, the F-statistic value of 11.42815 exceeds both the lower and upper bound critical values, indicating the presence of </w:t>
      </w:r>
      <w:proofErr w:type="spellStart"/>
      <w:r w:rsidRPr="00DB21FC">
        <w:rPr>
          <w:rFonts w:ascii="Times New Roman" w:eastAsia="Calibri" w:hAnsi="Times New Roman" w:cs="Times New Roman"/>
        </w:rPr>
        <w:t>cointegration</w:t>
      </w:r>
      <w:proofErr w:type="spellEnd"/>
      <w:r w:rsidRPr="00DB21FC">
        <w:rPr>
          <w:rFonts w:ascii="Times New Roman" w:eastAsia="Calibri" w:hAnsi="Times New Roman" w:cs="Times New Roman"/>
        </w:rPr>
        <w:t xml:space="preserve"> among the variables. This result leads to the acceptance of the alternative hypothesis, confirming the existence of a long-run relationship between the variables.</w:t>
      </w:r>
    </w:p>
    <w:p w:rsidR="00BE44CE" w:rsidRPr="00DB21FC" w:rsidRDefault="00BE44CE" w:rsidP="005A37C1">
      <w:pPr>
        <w:spacing w:before="0" w:beforeAutospacing="0"/>
        <w:rPr>
          <w:rFonts w:ascii="Times New Roman" w:eastAsia="Calibri" w:hAnsi="Times New Roman" w:cs="Times New Roman"/>
          <w:b/>
        </w:rPr>
      </w:pPr>
      <w:r w:rsidRPr="00DB21FC">
        <w:rPr>
          <w:rFonts w:ascii="Times New Roman" w:eastAsia="Calibri" w:hAnsi="Times New Roman" w:cs="Times New Roman"/>
          <w:b/>
        </w:rPr>
        <w:t>4.2.3 ARDL Estimation of the Long Run Regression</w:t>
      </w:r>
    </w:p>
    <w:p w:rsidR="00BE44CE" w:rsidRPr="00DB21FC" w:rsidRDefault="00BE44CE" w:rsidP="005A37C1">
      <w:pPr>
        <w:spacing w:before="0" w:beforeAutospacing="0" w:line="480" w:lineRule="auto"/>
        <w:rPr>
          <w:rFonts w:ascii="Times New Roman" w:eastAsia="Calibri" w:hAnsi="Times New Roman" w:cs="Times New Roman"/>
        </w:rPr>
      </w:pPr>
      <w:r w:rsidRPr="00DB21FC">
        <w:rPr>
          <w:rFonts w:ascii="Times New Roman" w:eastAsia="Calibri" w:hAnsi="Times New Roman" w:cs="Times New Roman"/>
        </w:rPr>
        <w:t>The Long-Run ARDL model is used to study how variables are related to each other over the long term.</w:t>
      </w:r>
    </w:p>
    <w:p w:rsidR="00BE44CE" w:rsidRPr="00DB21FC" w:rsidRDefault="00BE44CE" w:rsidP="00786A6C">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Table 4.4 ARDL Regression Estimates</w:t>
      </w: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1737"/>
        <w:gridCol w:w="1737"/>
        <w:gridCol w:w="1737"/>
        <w:gridCol w:w="1737"/>
        <w:gridCol w:w="1739"/>
      </w:tblGrid>
      <w:tr w:rsidR="00BE44CE" w:rsidRPr="00DB21FC" w:rsidTr="00C06785">
        <w:trPr>
          <w:trHeight w:val="170"/>
          <w:jc w:val="center"/>
        </w:trPr>
        <w:tc>
          <w:tcPr>
            <w:tcW w:w="8687" w:type="dxa"/>
            <w:gridSpan w:val="5"/>
            <w:tcBorders>
              <w:top w:val="single" w:sz="4" w:space="0" w:color="auto"/>
              <w:left w:val="single" w:sz="4" w:space="0" w:color="auto"/>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Level Equation</w:t>
            </w:r>
          </w:p>
        </w:tc>
      </w:tr>
      <w:tr w:rsidR="00BE44CE" w:rsidRPr="00DB21FC" w:rsidTr="00C06785">
        <w:trPr>
          <w:trHeight w:val="248"/>
          <w:jc w:val="center"/>
        </w:trPr>
        <w:tc>
          <w:tcPr>
            <w:tcW w:w="8687" w:type="dxa"/>
            <w:gridSpan w:val="5"/>
            <w:tcBorders>
              <w:top w:val="nil"/>
              <w:left w:val="single" w:sz="4" w:space="0" w:color="auto"/>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Case 2: Restricted Constant and No Trend</w:t>
            </w:r>
          </w:p>
        </w:tc>
      </w:tr>
      <w:tr w:rsidR="00BE44CE" w:rsidRPr="00DB21FC" w:rsidTr="00C06785">
        <w:trPr>
          <w:trHeight w:val="170"/>
          <w:jc w:val="center"/>
        </w:trPr>
        <w:tc>
          <w:tcPr>
            <w:tcW w:w="1737" w:type="dxa"/>
            <w:tcBorders>
              <w:top w:val="nil"/>
              <w:left w:val="single" w:sz="4" w:space="0" w:color="auto"/>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Variables</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Coefficient</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Standard Error</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t-statistic</w:t>
            </w:r>
          </w:p>
        </w:tc>
        <w:tc>
          <w:tcPr>
            <w:tcW w:w="1739" w:type="dxa"/>
            <w:tcBorders>
              <w:top w:val="nil"/>
              <w:left w:val="nil"/>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Prob.</w:t>
            </w:r>
          </w:p>
        </w:tc>
      </w:tr>
      <w:tr w:rsidR="00BE44CE" w:rsidRPr="00DB21FC" w:rsidTr="00C06785">
        <w:trPr>
          <w:trHeight w:val="170"/>
          <w:jc w:val="center"/>
        </w:trPr>
        <w:tc>
          <w:tcPr>
            <w:tcW w:w="1737" w:type="dxa"/>
            <w:tcBorders>
              <w:top w:val="nil"/>
              <w:left w:val="single" w:sz="4" w:space="0" w:color="auto"/>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EXR</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16.23076</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6.388862</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2.540477</w:t>
            </w:r>
          </w:p>
        </w:tc>
        <w:tc>
          <w:tcPr>
            <w:tcW w:w="1739" w:type="dxa"/>
            <w:tcBorders>
              <w:top w:val="nil"/>
              <w:left w:val="nil"/>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0.0218</w:t>
            </w:r>
          </w:p>
        </w:tc>
      </w:tr>
      <w:tr w:rsidR="00BE44CE" w:rsidRPr="00DB21FC" w:rsidTr="00C06785">
        <w:trPr>
          <w:trHeight w:val="170"/>
          <w:jc w:val="center"/>
        </w:trPr>
        <w:tc>
          <w:tcPr>
            <w:tcW w:w="1737" w:type="dxa"/>
            <w:tcBorders>
              <w:top w:val="nil"/>
              <w:left w:val="single" w:sz="4" w:space="0" w:color="auto"/>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INF</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0.148280</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0.696709</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0.212829</w:t>
            </w:r>
          </w:p>
        </w:tc>
        <w:tc>
          <w:tcPr>
            <w:tcW w:w="1739" w:type="dxa"/>
            <w:tcBorders>
              <w:top w:val="nil"/>
              <w:left w:val="nil"/>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0.8341</w:t>
            </w:r>
          </w:p>
        </w:tc>
      </w:tr>
      <w:tr w:rsidR="00BE44CE" w:rsidRPr="00DB21FC" w:rsidTr="00C06785">
        <w:trPr>
          <w:trHeight w:val="175"/>
          <w:jc w:val="center"/>
        </w:trPr>
        <w:tc>
          <w:tcPr>
            <w:tcW w:w="1737" w:type="dxa"/>
            <w:tcBorders>
              <w:top w:val="nil"/>
              <w:left w:val="single" w:sz="4" w:space="0" w:color="auto"/>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INT</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-2.511475</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1.476285</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-1.701213</w:t>
            </w:r>
          </w:p>
        </w:tc>
        <w:tc>
          <w:tcPr>
            <w:tcW w:w="1739" w:type="dxa"/>
            <w:tcBorders>
              <w:top w:val="nil"/>
              <w:left w:val="nil"/>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0.1083</w:t>
            </w:r>
          </w:p>
        </w:tc>
      </w:tr>
      <w:tr w:rsidR="00BE44CE" w:rsidRPr="00DB21FC" w:rsidTr="00C06785">
        <w:trPr>
          <w:trHeight w:val="170"/>
          <w:jc w:val="center"/>
        </w:trPr>
        <w:tc>
          <w:tcPr>
            <w:tcW w:w="1737" w:type="dxa"/>
            <w:tcBorders>
              <w:top w:val="nil"/>
              <w:left w:val="single" w:sz="4" w:space="0" w:color="auto"/>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Constant (C)</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40.80496</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49.61156</w:t>
            </w:r>
          </w:p>
        </w:tc>
        <w:tc>
          <w:tcPr>
            <w:tcW w:w="1737" w:type="dxa"/>
            <w:tcBorders>
              <w:top w:val="nil"/>
              <w:left w:val="nil"/>
              <w:bottom w:val="nil"/>
              <w:right w:val="nil"/>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0.822489</w:t>
            </w:r>
          </w:p>
        </w:tc>
        <w:tc>
          <w:tcPr>
            <w:tcW w:w="1739" w:type="dxa"/>
            <w:tcBorders>
              <w:top w:val="nil"/>
              <w:left w:val="nil"/>
              <w:bottom w:val="nil"/>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rPr>
            </w:pPr>
            <w:r w:rsidRPr="00DB21FC">
              <w:rPr>
                <w:rFonts w:ascii="Times New Roman" w:eastAsia="Calibri" w:hAnsi="Times New Roman" w:cs="Times New Roman"/>
              </w:rPr>
              <w:t>0.4229</w:t>
            </w:r>
          </w:p>
        </w:tc>
      </w:tr>
      <w:tr w:rsidR="00BE44CE" w:rsidRPr="00DB21FC" w:rsidTr="00C06785">
        <w:trPr>
          <w:trHeight w:val="170"/>
          <w:jc w:val="center"/>
        </w:trPr>
        <w:tc>
          <w:tcPr>
            <w:tcW w:w="8687" w:type="dxa"/>
            <w:gridSpan w:val="5"/>
            <w:tcBorders>
              <w:top w:val="nil"/>
              <w:left w:val="single" w:sz="4" w:space="0" w:color="auto"/>
              <w:bottom w:val="single" w:sz="4" w:space="0" w:color="auto"/>
              <w:right w:val="single" w:sz="4" w:space="0" w:color="auto"/>
            </w:tcBorders>
            <w:hideMark/>
          </w:tcPr>
          <w:p w:rsidR="00BE44CE" w:rsidRPr="00DB21FC" w:rsidRDefault="00BE44CE" w:rsidP="00786A6C">
            <w:pPr>
              <w:spacing w:before="0" w:beforeAutospacing="0"/>
              <w:jc w:val="center"/>
              <w:rPr>
                <w:rFonts w:ascii="Times New Roman" w:eastAsia="Calibri" w:hAnsi="Times New Roman" w:cs="Times New Roman"/>
                <w:b/>
              </w:rPr>
            </w:pPr>
            <w:r w:rsidRPr="00DB21FC">
              <w:rPr>
                <w:rFonts w:ascii="Times New Roman" w:eastAsia="Calibri" w:hAnsi="Times New Roman" w:cs="Times New Roman"/>
              </w:rPr>
              <w:t>EC = RGDP - (16.2308*IEXR + 0.1483*INF -2.5115*INT + 40.8050)</w:t>
            </w:r>
          </w:p>
        </w:tc>
      </w:tr>
    </w:tbl>
    <w:p w:rsidR="00BE44CE" w:rsidRPr="00DB21FC" w:rsidRDefault="00BE44CE" w:rsidP="001E400C">
      <w:pPr>
        <w:spacing w:before="0" w:beforeAutospacing="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eastAsia="Calibri" w:hAnsi="Times New Roman" w:cs="Times New Roman"/>
          <w:shd w:val="clear" w:color="auto" w:fill="FFFFFF"/>
        </w:rPr>
        <w:t xml:space="preserve">The ARDL results show a significant positive relationship between the long-run exchange rate and economic growth in Nigeria. A one-unit increase in the exchange rate leads to a 16.23076 units rise in the country’s economic output. The p-value of 0.0218 confirms that this relationship is statistically significant at the 5% level, meaning the exchange rate has a strong long-run impact on economic growth. The exchange rate truly influences growth in the long run. The idea is that when the naira loses value over time, local industries may produce more goods and services to replace imports and earn export income. This supports economic growth. </w:t>
      </w:r>
      <w:r w:rsidRPr="00DB21FC">
        <w:rPr>
          <w:rFonts w:ascii="Times New Roman" w:hAnsi="Times New Roman" w:cs="Times New Roman"/>
        </w:rPr>
        <w:t xml:space="preserve">Similarly, the current value of inflation (INF) has a positive effect on economic growth in Nigeria, with a </w:t>
      </w:r>
      <w:r w:rsidRPr="00DB21FC">
        <w:rPr>
          <w:rFonts w:ascii="Times New Roman" w:hAnsi="Times New Roman" w:cs="Times New Roman"/>
        </w:rPr>
        <w:lastRenderedPageBreak/>
        <w:t>coefficient of 0.148280. This means that a one-unit increase in inflation would lead to a 0.148280 unit increase in economic output. However, the p-value of 0.1083 indicates that this effect is not statistically significant at the 5% level, as it is greater than 0.05.This means inflation does not strongly determine economic growth in Nigeria. Sometimes small increases in inflation can encourage spending, but in Nigeria, inflation is often unstable and does not help the economy grow meaningfully.</w:t>
      </w:r>
    </w:p>
    <w:p w:rsidR="00242482" w:rsidRDefault="00BE44CE" w:rsidP="00242482">
      <w:pPr>
        <w:spacing w:before="0" w:beforeAutospacing="0" w:line="480" w:lineRule="auto"/>
        <w:jc w:val="both"/>
        <w:rPr>
          <w:rFonts w:ascii="Times New Roman" w:hAnsi="Times New Roman" w:cs="Times New Roman"/>
        </w:rPr>
      </w:pPr>
      <w:r w:rsidRPr="00DB21FC">
        <w:rPr>
          <w:rFonts w:ascii="Times New Roman" w:hAnsi="Times New Roman" w:cs="Times New Roman"/>
        </w:rPr>
        <w:t>In conclusion, the current interest rate (INT) has a negative impact on economic growth in Nigeria, with a coefficient of -2.511475. This indicates that interest rate and economic growth are negatively correlated. However, the corresponding p-value of 0.8341 suggests that this effect is not statistically significant at the 5% level, as the p-value exceeds 0.05. Therefore, interest rate does not have a significant impact on economic growth in the current period. This means that when interest rates rise, economic growth falls. However, the effect is not significant. This shows that high interest rates make borrowing more expensive, but in Nigeria, interest rate changes do not strongly affect long-term growth because many businesses do not rely on bank loans.</w:t>
      </w:r>
    </w:p>
    <w:p w:rsidR="00BE44CE" w:rsidRPr="00242482" w:rsidRDefault="00BE44CE" w:rsidP="00242482">
      <w:pPr>
        <w:spacing w:before="0" w:beforeAutospacing="0" w:line="480" w:lineRule="auto"/>
        <w:jc w:val="both"/>
        <w:rPr>
          <w:rFonts w:ascii="Times New Roman" w:hAnsi="Times New Roman" w:cs="Times New Roman"/>
        </w:rPr>
      </w:pPr>
      <w:r w:rsidRPr="00DB21FC">
        <w:rPr>
          <w:rFonts w:ascii="Times New Roman" w:hAnsi="Times New Roman" w:cs="Times New Roman"/>
          <w:b/>
        </w:rPr>
        <w:t xml:space="preserve">4.1.4 </w:t>
      </w:r>
      <w:r w:rsidRPr="00DB21FC">
        <w:rPr>
          <w:rFonts w:ascii="Times New Roman" w:eastAsia="Calibri" w:hAnsi="Times New Roman" w:cs="Times New Roman"/>
          <w:b/>
        </w:rPr>
        <w:t>ARDL ECM Test for short-Run</w:t>
      </w:r>
    </w:p>
    <w:p w:rsidR="00BE44CE" w:rsidRPr="00DB21FC" w:rsidRDefault="00BE44CE" w:rsidP="00C15AD5">
      <w:pPr>
        <w:spacing w:before="0" w:beforeAutospacing="0"/>
        <w:jc w:val="center"/>
        <w:rPr>
          <w:rFonts w:ascii="Times New Roman" w:eastAsia="Calibri" w:hAnsi="Times New Roman" w:cs="Times New Roman"/>
          <w:b/>
        </w:rPr>
      </w:pPr>
      <w:r w:rsidRPr="00DB21FC">
        <w:rPr>
          <w:rFonts w:ascii="Times New Roman" w:eastAsia="Calibri" w:hAnsi="Times New Roman" w:cs="Times New Roman"/>
          <w:b/>
        </w:rPr>
        <w:t>Table 4.5 short run Model</w:t>
      </w:r>
    </w:p>
    <w:tbl>
      <w:tblPr>
        <w:tblStyle w:val="TableGrid"/>
        <w:tblW w:w="9676" w:type="dxa"/>
        <w:jc w:val="center"/>
        <w:tblBorders>
          <w:insideH w:val="none" w:sz="0" w:space="0" w:color="auto"/>
          <w:insideV w:val="none" w:sz="0" w:space="0" w:color="auto"/>
        </w:tblBorders>
        <w:tblLook w:val="04A0" w:firstRow="1" w:lastRow="0" w:firstColumn="1" w:lastColumn="0" w:noHBand="0" w:noVBand="1"/>
      </w:tblPr>
      <w:tblGrid>
        <w:gridCol w:w="1933"/>
        <w:gridCol w:w="1933"/>
        <w:gridCol w:w="2513"/>
        <w:gridCol w:w="1353"/>
        <w:gridCol w:w="1944"/>
      </w:tblGrid>
      <w:tr w:rsidR="00BE44CE" w:rsidRPr="00DB21FC" w:rsidTr="00C15AD5">
        <w:trPr>
          <w:trHeight w:val="185"/>
          <w:jc w:val="center"/>
        </w:trPr>
        <w:tc>
          <w:tcPr>
            <w:tcW w:w="9676" w:type="dxa"/>
            <w:gridSpan w:val="5"/>
            <w:tcBorders>
              <w:top w:val="single" w:sz="4" w:space="0" w:color="auto"/>
              <w:left w:val="single" w:sz="4" w:space="0" w:color="auto"/>
              <w:bottom w:val="nil"/>
              <w:right w:val="single" w:sz="4" w:space="0" w:color="auto"/>
            </w:tcBorders>
            <w:hideMark/>
          </w:tcPr>
          <w:p w:rsidR="00BE44CE" w:rsidRPr="00DB21FC" w:rsidRDefault="00BE44CE" w:rsidP="005A37C1">
            <w:pPr>
              <w:spacing w:before="0" w:beforeAutospacing="0"/>
              <w:jc w:val="center"/>
              <w:rPr>
                <w:rFonts w:ascii="Times New Roman" w:eastAsia="Calibri" w:hAnsi="Times New Roman" w:cs="Times New Roman"/>
                <w:b/>
                <w:sz w:val="22"/>
              </w:rPr>
            </w:pPr>
            <w:r w:rsidRPr="00DB21FC">
              <w:rPr>
                <w:rFonts w:ascii="Times New Roman" w:eastAsia="Calibri" w:hAnsi="Times New Roman" w:cs="Times New Roman"/>
                <w:b/>
                <w:sz w:val="22"/>
              </w:rPr>
              <w:t>ECM Regression</w:t>
            </w:r>
          </w:p>
        </w:tc>
      </w:tr>
      <w:tr w:rsidR="00BE44CE" w:rsidRPr="00DB21FC" w:rsidTr="00C15AD5">
        <w:trPr>
          <w:trHeight w:val="180"/>
          <w:jc w:val="center"/>
        </w:trPr>
        <w:tc>
          <w:tcPr>
            <w:tcW w:w="9676" w:type="dxa"/>
            <w:gridSpan w:val="5"/>
            <w:tcBorders>
              <w:top w:val="nil"/>
              <w:left w:val="single" w:sz="4" w:space="0" w:color="auto"/>
              <w:bottom w:val="nil"/>
              <w:right w:val="single" w:sz="4" w:space="0" w:color="auto"/>
            </w:tcBorders>
            <w:hideMark/>
          </w:tcPr>
          <w:p w:rsidR="00BE44CE" w:rsidRPr="00DB21FC" w:rsidRDefault="00BE44CE" w:rsidP="005A37C1">
            <w:pPr>
              <w:spacing w:before="0" w:beforeAutospacing="0"/>
              <w:jc w:val="center"/>
              <w:rPr>
                <w:rFonts w:ascii="Times New Roman" w:eastAsia="Calibri" w:hAnsi="Times New Roman" w:cs="Times New Roman"/>
                <w:b/>
                <w:sz w:val="22"/>
              </w:rPr>
            </w:pPr>
            <w:r w:rsidRPr="00DB21FC">
              <w:rPr>
                <w:rFonts w:ascii="Times New Roman" w:eastAsia="Calibri" w:hAnsi="Times New Roman" w:cs="Times New Roman"/>
                <w:b/>
                <w:sz w:val="22"/>
              </w:rPr>
              <w:t>Case 2: Restricted Constant and No Trend</w:t>
            </w: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Variables</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Coefficient</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Standard Error</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t-statistic</w:t>
            </w:r>
          </w:p>
        </w:tc>
        <w:tc>
          <w:tcPr>
            <w:tcW w:w="1942"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Prob.</w:t>
            </w: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D(EXR)</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 xml:space="preserve">-2.333027   </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0.991379</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-2.353315</w:t>
            </w:r>
          </w:p>
        </w:tc>
        <w:tc>
          <w:tcPr>
            <w:tcW w:w="1942"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0.0327</w:t>
            </w: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D(INF)</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 xml:space="preserve">0.007073   </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0.064093</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0.110350</w:t>
            </w:r>
          </w:p>
        </w:tc>
        <w:tc>
          <w:tcPr>
            <w:tcW w:w="1942"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0.9136</w:t>
            </w: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D(INT)</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 xml:space="preserve">0.242283   </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0.180578</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1.341706</w:t>
            </w:r>
          </w:p>
        </w:tc>
        <w:tc>
          <w:tcPr>
            <w:tcW w:w="1942"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0.1997</w:t>
            </w: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proofErr w:type="spellStart"/>
            <w:r w:rsidRPr="00DB21FC">
              <w:rPr>
                <w:rFonts w:ascii="Times New Roman" w:eastAsia="Calibri" w:hAnsi="Times New Roman" w:cs="Times New Roman"/>
                <w:sz w:val="22"/>
              </w:rPr>
              <w:t>CointEq</w:t>
            </w:r>
            <w:proofErr w:type="spellEnd"/>
            <w:r w:rsidRPr="00DB21FC">
              <w:rPr>
                <w:rFonts w:ascii="Times New Roman" w:eastAsia="Calibri" w:hAnsi="Times New Roman" w:cs="Times New Roman"/>
                <w:sz w:val="22"/>
              </w:rPr>
              <w:t>(-1)*</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 xml:space="preserve">-0.116082   </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0.014325</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-8.103635</w:t>
            </w:r>
          </w:p>
        </w:tc>
        <w:tc>
          <w:tcPr>
            <w:tcW w:w="1942" w:type="dxa"/>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0.0000</w:t>
            </w:r>
          </w:p>
        </w:tc>
      </w:tr>
      <w:tr w:rsidR="00BE44CE" w:rsidRPr="00DB21FC" w:rsidTr="00C15AD5">
        <w:trPr>
          <w:trHeight w:val="362"/>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R-squared</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0.513602</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Mean dependent variable</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2.115185</w:t>
            </w:r>
          </w:p>
        </w:tc>
        <w:tc>
          <w:tcPr>
            <w:tcW w:w="1942" w:type="dxa"/>
            <w:tcBorders>
              <w:top w:val="nil"/>
              <w:left w:val="nil"/>
              <w:bottom w:val="nil"/>
              <w:right w:val="single" w:sz="4" w:space="0" w:color="auto"/>
            </w:tcBorders>
          </w:tcPr>
          <w:p w:rsidR="00BE44CE" w:rsidRPr="00DB21FC" w:rsidRDefault="00BE44CE" w:rsidP="005A37C1">
            <w:pPr>
              <w:spacing w:before="0" w:beforeAutospacing="0"/>
              <w:rPr>
                <w:rFonts w:ascii="Times New Roman" w:eastAsia="Calibri" w:hAnsi="Times New Roman" w:cs="Times New Roman"/>
                <w:b/>
                <w:sz w:val="22"/>
              </w:rPr>
            </w:pPr>
          </w:p>
        </w:tc>
      </w:tr>
      <w:tr w:rsidR="00BE44CE" w:rsidRPr="00DB21FC" w:rsidTr="00C15AD5">
        <w:trPr>
          <w:trHeight w:val="362"/>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lastRenderedPageBreak/>
              <w:t>Adjusted R-squared</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0.334403</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S.D dependent var.</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1.567993</w:t>
            </w:r>
          </w:p>
        </w:tc>
        <w:tc>
          <w:tcPr>
            <w:tcW w:w="1942" w:type="dxa"/>
            <w:tcBorders>
              <w:top w:val="nil"/>
              <w:left w:val="nil"/>
              <w:bottom w:val="nil"/>
              <w:right w:val="single" w:sz="4" w:space="0" w:color="auto"/>
            </w:tcBorders>
          </w:tcPr>
          <w:p w:rsidR="00BE44CE" w:rsidRPr="00DB21FC" w:rsidRDefault="00BE44CE" w:rsidP="005A37C1">
            <w:pPr>
              <w:spacing w:before="0" w:beforeAutospacing="0"/>
              <w:rPr>
                <w:rFonts w:ascii="Times New Roman" w:eastAsia="Calibri" w:hAnsi="Times New Roman" w:cs="Times New Roman"/>
                <w:b/>
                <w:sz w:val="22"/>
              </w:rPr>
            </w:pPr>
          </w:p>
        </w:tc>
      </w:tr>
      <w:tr w:rsidR="00BE44CE" w:rsidRPr="00DB21FC" w:rsidTr="00C15AD5">
        <w:trPr>
          <w:trHeight w:val="180"/>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S.E of regression</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1.279234</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proofErr w:type="spellStart"/>
            <w:r w:rsidRPr="00DB21FC">
              <w:rPr>
                <w:rFonts w:ascii="Times New Roman" w:eastAsia="Calibri" w:hAnsi="Times New Roman" w:cs="Times New Roman"/>
                <w:sz w:val="22"/>
              </w:rPr>
              <w:t>Akaike</w:t>
            </w:r>
            <w:proofErr w:type="spellEnd"/>
            <w:r w:rsidRPr="00DB21FC">
              <w:rPr>
                <w:rFonts w:ascii="Times New Roman" w:eastAsia="Calibri" w:hAnsi="Times New Roman" w:cs="Times New Roman"/>
                <w:sz w:val="22"/>
              </w:rPr>
              <w:t xml:space="preserve"> Info criterion</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3.571594</w:t>
            </w:r>
          </w:p>
        </w:tc>
        <w:tc>
          <w:tcPr>
            <w:tcW w:w="1942" w:type="dxa"/>
            <w:tcBorders>
              <w:top w:val="nil"/>
              <w:left w:val="nil"/>
              <w:bottom w:val="nil"/>
              <w:right w:val="single" w:sz="4" w:space="0" w:color="auto"/>
            </w:tcBorders>
          </w:tcPr>
          <w:p w:rsidR="00BE44CE" w:rsidRPr="00DB21FC" w:rsidRDefault="00BE44CE" w:rsidP="005A37C1">
            <w:pPr>
              <w:spacing w:before="0" w:beforeAutospacing="0"/>
              <w:rPr>
                <w:rFonts w:ascii="Times New Roman" w:eastAsia="Calibri" w:hAnsi="Times New Roman" w:cs="Times New Roman"/>
                <w:b/>
                <w:sz w:val="22"/>
              </w:rPr>
            </w:pPr>
          </w:p>
        </w:tc>
      </w:tr>
      <w:tr w:rsidR="00BE44CE" w:rsidRPr="00DB21FC" w:rsidTr="00C15AD5">
        <w:trPr>
          <w:trHeight w:val="362"/>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 xml:space="preserve">Sum squared </w:t>
            </w:r>
            <w:proofErr w:type="spellStart"/>
            <w:r w:rsidRPr="00DB21FC">
              <w:rPr>
                <w:rFonts w:ascii="Times New Roman" w:eastAsia="Calibri" w:hAnsi="Times New Roman" w:cs="Times New Roman"/>
                <w:sz w:val="22"/>
              </w:rPr>
              <w:t>resid</w:t>
            </w:r>
            <w:proofErr w:type="spellEnd"/>
            <w:r w:rsidRPr="00DB21FC">
              <w:rPr>
                <w:rFonts w:ascii="Times New Roman" w:eastAsia="Calibri" w:hAnsi="Times New Roman" w:cs="Times New Roman"/>
                <w:sz w:val="22"/>
              </w:rPr>
              <w:t>.</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31.09234</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Schwartz criterion</w:t>
            </w:r>
          </w:p>
        </w:tc>
        <w:tc>
          <w:tcPr>
            <w:tcW w:w="135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3.955546</w:t>
            </w:r>
          </w:p>
        </w:tc>
        <w:tc>
          <w:tcPr>
            <w:tcW w:w="1942" w:type="dxa"/>
            <w:tcBorders>
              <w:top w:val="nil"/>
              <w:left w:val="nil"/>
              <w:bottom w:val="nil"/>
              <w:right w:val="single" w:sz="4" w:space="0" w:color="auto"/>
            </w:tcBorders>
          </w:tcPr>
          <w:p w:rsidR="00BE44CE" w:rsidRPr="00DB21FC" w:rsidRDefault="00BE44CE" w:rsidP="005A37C1">
            <w:pPr>
              <w:spacing w:before="0" w:beforeAutospacing="0"/>
              <w:rPr>
                <w:rFonts w:ascii="Times New Roman" w:eastAsia="Calibri" w:hAnsi="Times New Roman" w:cs="Times New Roman"/>
                <w:b/>
                <w:sz w:val="22"/>
              </w:rPr>
            </w:pPr>
          </w:p>
        </w:tc>
      </w:tr>
      <w:tr w:rsidR="00BE44CE" w:rsidRPr="00DB21FC" w:rsidTr="00C15AD5">
        <w:trPr>
          <w:trHeight w:val="362"/>
          <w:jc w:val="center"/>
        </w:trPr>
        <w:tc>
          <w:tcPr>
            <w:tcW w:w="1933" w:type="dxa"/>
            <w:tcBorders>
              <w:top w:val="nil"/>
              <w:left w:val="single" w:sz="4" w:space="0" w:color="auto"/>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Long likelihood</w:t>
            </w:r>
          </w:p>
        </w:tc>
        <w:tc>
          <w:tcPr>
            <w:tcW w:w="193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-40.21652</w:t>
            </w:r>
          </w:p>
        </w:tc>
        <w:tc>
          <w:tcPr>
            <w:tcW w:w="2513" w:type="dxa"/>
            <w:tcBorders>
              <w:top w:val="nil"/>
              <w:left w:val="nil"/>
              <w:bottom w:val="nil"/>
              <w:right w:val="nil"/>
            </w:tcBorders>
            <w:hideMark/>
          </w:tcPr>
          <w:p w:rsidR="00BE44CE" w:rsidRPr="00DB21FC" w:rsidRDefault="00BE44CE" w:rsidP="005A37C1">
            <w:pPr>
              <w:spacing w:before="0" w:beforeAutospacing="0"/>
              <w:rPr>
                <w:rFonts w:ascii="Times New Roman" w:eastAsia="Calibri" w:hAnsi="Times New Roman" w:cs="Times New Roman"/>
                <w:sz w:val="22"/>
              </w:rPr>
            </w:pPr>
            <w:proofErr w:type="spellStart"/>
            <w:r w:rsidRPr="00DB21FC">
              <w:rPr>
                <w:rFonts w:ascii="Times New Roman" w:eastAsia="Calibri" w:hAnsi="Times New Roman" w:cs="Times New Roman"/>
                <w:sz w:val="22"/>
              </w:rPr>
              <w:t>Hannan</w:t>
            </w:r>
            <w:proofErr w:type="spellEnd"/>
            <w:r w:rsidRPr="00DB21FC">
              <w:rPr>
                <w:rFonts w:ascii="Times New Roman" w:eastAsia="Calibri" w:hAnsi="Times New Roman" w:cs="Times New Roman"/>
                <w:sz w:val="22"/>
              </w:rPr>
              <w:t>-Quinn criterion</w:t>
            </w:r>
          </w:p>
        </w:tc>
        <w:tc>
          <w:tcPr>
            <w:tcW w:w="3296" w:type="dxa"/>
            <w:gridSpan w:val="2"/>
            <w:tcBorders>
              <w:top w:val="nil"/>
              <w:left w:val="nil"/>
              <w:bottom w:val="nil"/>
              <w:right w:val="single" w:sz="4" w:space="0" w:color="auto"/>
            </w:tcBorders>
            <w:hideMark/>
          </w:tcPr>
          <w:p w:rsidR="00BE44CE" w:rsidRPr="00DB21FC" w:rsidRDefault="00BE44CE" w:rsidP="005A37C1">
            <w:pPr>
              <w:spacing w:before="0" w:beforeAutospacing="0"/>
              <w:rPr>
                <w:rFonts w:ascii="Times New Roman" w:eastAsia="Calibri" w:hAnsi="Times New Roman" w:cs="Times New Roman"/>
                <w:b/>
                <w:sz w:val="22"/>
              </w:rPr>
            </w:pPr>
            <w:r w:rsidRPr="00DB21FC">
              <w:rPr>
                <w:rFonts w:ascii="Times New Roman" w:eastAsia="Calibri" w:hAnsi="Times New Roman" w:cs="Times New Roman"/>
                <w:sz w:val="22"/>
              </w:rPr>
              <w:t>3.685763</w:t>
            </w:r>
          </w:p>
        </w:tc>
      </w:tr>
      <w:tr w:rsidR="00BE44CE" w:rsidRPr="00DB21FC" w:rsidTr="00C15AD5">
        <w:trPr>
          <w:trHeight w:val="362"/>
          <w:jc w:val="center"/>
        </w:trPr>
        <w:tc>
          <w:tcPr>
            <w:tcW w:w="1933" w:type="dxa"/>
            <w:tcBorders>
              <w:top w:val="nil"/>
              <w:left w:val="single" w:sz="4" w:space="0" w:color="auto"/>
              <w:bottom w:val="single" w:sz="4" w:space="0" w:color="auto"/>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Durbin-</w:t>
            </w:r>
            <w:proofErr w:type="spellStart"/>
            <w:r w:rsidRPr="00DB21FC">
              <w:rPr>
                <w:rFonts w:ascii="Times New Roman" w:eastAsia="Calibri" w:hAnsi="Times New Roman" w:cs="Times New Roman"/>
                <w:sz w:val="22"/>
              </w:rPr>
              <w:t>watson</w:t>
            </w:r>
            <w:proofErr w:type="spellEnd"/>
            <w:r w:rsidRPr="00DB21FC">
              <w:rPr>
                <w:rFonts w:ascii="Times New Roman" w:eastAsia="Calibri" w:hAnsi="Times New Roman" w:cs="Times New Roman"/>
                <w:sz w:val="22"/>
              </w:rPr>
              <w:t xml:space="preserve"> stat</w:t>
            </w:r>
          </w:p>
        </w:tc>
        <w:tc>
          <w:tcPr>
            <w:tcW w:w="1933"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eastAsia="Calibri" w:hAnsi="Times New Roman" w:cs="Times New Roman"/>
                <w:sz w:val="22"/>
              </w:rPr>
            </w:pPr>
            <w:r w:rsidRPr="00DB21FC">
              <w:rPr>
                <w:rFonts w:ascii="Times New Roman" w:eastAsia="Calibri" w:hAnsi="Times New Roman" w:cs="Times New Roman"/>
                <w:sz w:val="22"/>
              </w:rPr>
              <w:t>2.027374</w:t>
            </w:r>
          </w:p>
        </w:tc>
        <w:tc>
          <w:tcPr>
            <w:tcW w:w="2513" w:type="dxa"/>
            <w:tcBorders>
              <w:top w:val="nil"/>
              <w:left w:val="nil"/>
              <w:bottom w:val="single" w:sz="4" w:space="0" w:color="auto"/>
              <w:right w:val="nil"/>
            </w:tcBorders>
          </w:tcPr>
          <w:p w:rsidR="00BE44CE" w:rsidRPr="00DB21FC" w:rsidRDefault="00BE44CE" w:rsidP="005A37C1">
            <w:pPr>
              <w:spacing w:before="0" w:beforeAutospacing="0"/>
              <w:rPr>
                <w:rFonts w:ascii="Times New Roman" w:eastAsia="Calibri" w:hAnsi="Times New Roman" w:cs="Times New Roman"/>
                <w:b/>
                <w:sz w:val="22"/>
              </w:rPr>
            </w:pPr>
          </w:p>
        </w:tc>
        <w:tc>
          <w:tcPr>
            <w:tcW w:w="3296" w:type="dxa"/>
            <w:gridSpan w:val="2"/>
            <w:tcBorders>
              <w:top w:val="nil"/>
              <w:left w:val="nil"/>
              <w:bottom w:val="single" w:sz="4" w:space="0" w:color="auto"/>
              <w:right w:val="single" w:sz="4" w:space="0" w:color="auto"/>
            </w:tcBorders>
          </w:tcPr>
          <w:p w:rsidR="00BE44CE" w:rsidRPr="00DB21FC" w:rsidRDefault="00BE44CE" w:rsidP="005A37C1">
            <w:pPr>
              <w:spacing w:before="0" w:beforeAutospacing="0"/>
              <w:rPr>
                <w:rFonts w:ascii="Times New Roman" w:eastAsia="Calibri" w:hAnsi="Times New Roman" w:cs="Times New Roman"/>
                <w:b/>
                <w:sz w:val="22"/>
              </w:rPr>
            </w:pPr>
          </w:p>
        </w:tc>
      </w:tr>
    </w:tbl>
    <w:p w:rsidR="00BE44CE" w:rsidRPr="00DB21FC" w:rsidRDefault="00BE44CE" w:rsidP="00C15AD5">
      <w:pPr>
        <w:spacing w:before="0" w:beforeAutospacing="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hAnsi="Times New Roman" w:cs="Times New Roman"/>
          <w:color w:val="000000"/>
        </w:rPr>
      </w:pPr>
      <w:r w:rsidRPr="00DB21FC">
        <w:rPr>
          <w:rFonts w:ascii="Times New Roman" w:hAnsi="Times New Roman" w:cs="Times New Roman"/>
        </w:rPr>
        <w:t xml:space="preserve">In the short term, the exchange rate has a negative and important effect on economic growth. The coefficient (-2.33) and p-value (0.0327) show that when the exchange rate goes up, economic growth goes down. This means that sudden changes in the exchange rate can harm the economy at first before things improve later. When the exchange rate raises quickly, Nigeria’s economic growth falls because the country depends on imported goods. A higher exchange rate makes imports more expensive, raising production costs and slowing down growth right away. Inflation has a very small positive effect in the short term (0.007), but this effect is not important (p-value = 0.9136). This means inflation does not have a strong or immediate impact on economic growth. Interest rate has a small positive effect in the short term (0.242), but it is also not important (p-value = 0.1997). This shows that short-term changes in interest rate do not quickly affect economic growth. </w:t>
      </w:r>
      <w:r w:rsidRPr="00DB21FC">
        <w:rPr>
          <w:rFonts w:ascii="Times New Roman" w:hAnsi="Times New Roman" w:cs="Times New Roman"/>
          <w:color w:val="000000"/>
        </w:rPr>
        <w:t xml:space="preserve">The model shows a strong ability to explain changes, with a value of </w:t>
      </w:r>
      <w:r w:rsidRPr="00DB21FC">
        <w:rPr>
          <w:rFonts w:ascii="Times New Roman" w:hAnsi="Times New Roman" w:cs="Times New Roman"/>
          <w:bCs/>
          <w:color w:val="000000"/>
        </w:rPr>
        <w:t>0.513602</w:t>
      </w:r>
      <w:r w:rsidRPr="00DB21FC">
        <w:rPr>
          <w:rFonts w:ascii="Times New Roman" w:hAnsi="Times New Roman" w:cs="Times New Roman"/>
          <w:color w:val="000000"/>
        </w:rPr>
        <w:t xml:space="preserve">. This means that about </w:t>
      </w:r>
      <w:r w:rsidRPr="00DB21FC">
        <w:rPr>
          <w:rFonts w:ascii="Times New Roman" w:hAnsi="Times New Roman" w:cs="Times New Roman"/>
          <w:bCs/>
          <w:color w:val="000000"/>
        </w:rPr>
        <w:t>51%</w:t>
      </w:r>
      <w:r w:rsidRPr="00DB21FC">
        <w:rPr>
          <w:rFonts w:ascii="Times New Roman" w:hAnsi="Times New Roman" w:cs="Times New Roman"/>
          <w:color w:val="000000"/>
        </w:rPr>
        <w:t xml:space="preserve"> of the changes in the output of goods and services can be explained by the </w:t>
      </w:r>
      <w:r w:rsidRPr="00DB21FC">
        <w:rPr>
          <w:rFonts w:ascii="Times New Roman" w:hAnsi="Times New Roman" w:cs="Times New Roman"/>
          <w:bCs/>
          <w:color w:val="000000"/>
        </w:rPr>
        <w:t>exchange rate (EXR)</w:t>
      </w:r>
      <w:r w:rsidRPr="00DB21FC">
        <w:rPr>
          <w:rFonts w:ascii="Times New Roman" w:hAnsi="Times New Roman" w:cs="Times New Roman"/>
          <w:color w:val="000000"/>
        </w:rPr>
        <w:t xml:space="preserve">, </w:t>
      </w:r>
      <w:r w:rsidRPr="00DB21FC">
        <w:rPr>
          <w:rFonts w:ascii="Times New Roman" w:hAnsi="Times New Roman" w:cs="Times New Roman"/>
          <w:bCs/>
          <w:color w:val="000000"/>
        </w:rPr>
        <w:t>interest rate (INTR)</w:t>
      </w:r>
      <w:r w:rsidRPr="00DB21FC">
        <w:rPr>
          <w:rFonts w:ascii="Times New Roman" w:hAnsi="Times New Roman" w:cs="Times New Roman"/>
          <w:color w:val="000000"/>
        </w:rPr>
        <w:t xml:space="preserve">, and </w:t>
      </w:r>
      <w:r w:rsidRPr="00DB21FC">
        <w:rPr>
          <w:rFonts w:ascii="Times New Roman" w:hAnsi="Times New Roman" w:cs="Times New Roman"/>
          <w:bCs/>
          <w:color w:val="000000"/>
        </w:rPr>
        <w:t>inflation rate (INFR)</w:t>
      </w:r>
      <w:r w:rsidRPr="00DB21FC">
        <w:rPr>
          <w:rFonts w:ascii="Times New Roman" w:hAnsi="Times New Roman" w:cs="Times New Roman"/>
          <w:color w:val="000000"/>
        </w:rPr>
        <w:t xml:space="preserve"> in the model. The </w:t>
      </w:r>
      <w:r w:rsidRPr="00DB21FC">
        <w:rPr>
          <w:rFonts w:ascii="Times New Roman" w:hAnsi="Times New Roman" w:cs="Times New Roman"/>
          <w:bCs/>
          <w:color w:val="000000"/>
        </w:rPr>
        <w:t>error correction model ECM</w:t>
      </w:r>
      <w:r w:rsidRPr="00DB21FC">
        <w:rPr>
          <w:rFonts w:ascii="Times New Roman" w:hAnsi="Times New Roman" w:cs="Times New Roman"/>
          <w:color w:val="000000"/>
        </w:rPr>
        <w:t xml:space="preserve"> connects short-run changes with long-run relationships. The </w:t>
      </w:r>
      <w:r w:rsidRPr="00DB21FC">
        <w:rPr>
          <w:rFonts w:ascii="Times New Roman" w:hAnsi="Times New Roman" w:cs="Times New Roman"/>
          <w:bCs/>
          <w:color w:val="000000"/>
        </w:rPr>
        <w:t>error correction term ECM</w:t>
      </w:r>
      <w:r w:rsidRPr="00DB21FC">
        <w:rPr>
          <w:rFonts w:ascii="Times New Roman" w:hAnsi="Times New Roman" w:cs="Times New Roman"/>
          <w:color w:val="000000"/>
        </w:rPr>
        <w:t xml:space="preserve"> shows how quickly the system returns to balance after a short-term disturbance. Its negative coefficient (</w:t>
      </w:r>
      <w:r w:rsidRPr="00DB21FC">
        <w:rPr>
          <w:rFonts w:ascii="Times New Roman" w:hAnsi="Times New Roman" w:cs="Times New Roman"/>
          <w:bCs/>
          <w:color w:val="000000"/>
        </w:rPr>
        <w:t>–0.116082</w:t>
      </w:r>
      <w:r w:rsidRPr="00DB21FC">
        <w:rPr>
          <w:rFonts w:ascii="Times New Roman" w:hAnsi="Times New Roman" w:cs="Times New Roman"/>
          <w:color w:val="000000"/>
        </w:rPr>
        <w:t>) supports the ARDL bounds test, confirming a long-run relationship (</w:t>
      </w:r>
      <w:proofErr w:type="spellStart"/>
      <w:r w:rsidRPr="00DB21FC">
        <w:rPr>
          <w:rFonts w:ascii="Times New Roman" w:hAnsi="Times New Roman" w:cs="Times New Roman"/>
          <w:color w:val="000000"/>
        </w:rPr>
        <w:t>cointegration</w:t>
      </w:r>
      <w:proofErr w:type="spellEnd"/>
      <w:r w:rsidRPr="00DB21FC">
        <w:rPr>
          <w:rFonts w:ascii="Times New Roman" w:hAnsi="Times New Roman" w:cs="Times New Roman"/>
          <w:color w:val="000000"/>
        </w:rPr>
        <w:t xml:space="preserve">).The results also show that about </w:t>
      </w:r>
      <w:r w:rsidRPr="00DB21FC">
        <w:rPr>
          <w:rFonts w:ascii="Times New Roman" w:hAnsi="Times New Roman" w:cs="Times New Roman"/>
          <w:bCs/>
          <w:color w:val="000000"/>
        </w:rPr>
        <w:t>11%</w:t>
      </w:r>
      <w:r w:rsidRPr="00DB21FC">
        <w:rPr>
          <w:rFonts w:ascii="Times New Roman" w:hAnsi="Times New Roman" w:cs="Times New Roman"/>
          <w:color w:val="000000"/>
        </w:rPr>
        <w:t xml:space="preserve"> of the previous year’s imbalance is corrected each year.</w:t>
      </w:r>
    </w:p>
    <w:p w:rsidR="00DB5433" w:rsidRDefault="00BE44CE" w:rsidP="00DB5433">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eastAsia="Calibri" w:hAnsi="Times New Roman" w:cs="Times New Roman"/>
          <w:b/>
        </w:rPr>
        <w:lastRenderedPageBreak/>
        <w:t xml:space="preserve">4.3 Diagnostic tests (Post Estimation) </w:t>
      </w:r>
    </w:p>
    <w:p w:rsidR="00BE44CE" w:rsidRPr="00DB5433" w:rsidRDefault="00BE44CE" w:rsidP="00DB5433">
      <w:pPr>
        <w:spacing w:before="0" w:beforeAutospacing="0" w:line="480" w:lineRule="auto"/>
        <w:jc w:val="both"/>
        <w:rPr>
          <w:rFonts w:ascii="Times New Roman" w:eastAsia="Calibri" w:hAnsi="Times New Roman" w:cs="Times New Roman"/>
          <w:b/>
          <w:shd w:val="clear" w:color="auto" w:fill="FFFFFF"/>
        </w:rPr>
      </w:pPr>
      <w:proofErr w:type="gramStart"/>
      <w:r w:rsidRPr="00DB21FC">
        <w:rPr>
          <w:rFonts w:ascii="Times New Roman" w:eastAsia="Calibri" w:hAnsi="Times New Roman" w:cs="Times New Roman"/>
          <w:b/>
        </w:rPr>
        <w:t xml:space="preserve">4.3.1  </w:t>
      </w:r>
      <w:proofErr w:type="spellStart"/>
      <w:r w:rsidRPr="00DB21FC">
        <w:rPr>
          <w:rFonts w:ascii="Times New Roman" w:eastAsia="Calibri" w:hAnsi="Times New Roman" w:cs="Times New Roman"/>
          <w:b/>
        </w:rPr>
        <w:t>Breusch</w:t>
      </w:r>
      <w:proofErr w:type="spellEnd"/>
      <w:proofErr w:type="gramEnd"/>
      <w:r w:rsidRPr="00DB21FC">
        <w:rPr>
          <w:rFonts w:ascii="Times New Roman" w:eastAsia="Calibri" w:hAnsi="Times New Roman" w:cs="Times New Roman"/>
          <w:b/>
        </w:rPr>
        <w:t>-Godfrey Serial Correlation LM Test</w:t>
      </w:r>
    </w:p>
    <w:p w:rsidR="00BE44CE" w:rsidRPr="00DB21FC" w:rsidRDefault="00BE44CE" w:rsidP="00F14BBB">
      <w:pPr>
        <w:spacing w:before="0" w:beforeAutospacing="0" w:after="0" w:line="240" w:lineRule="auto"/>
        <w:jc w:val="center"/>
        <w:rPr>
          <w:rFonts w:ascii="Times New Roman" w:hAnsi="Times New Roman" w:cs="Times New Roman"/>
          <w:b/>
        </w:rPr>
      </w:pPr>
      <w:r w:rsidRPr="00DB21FC">
        <w:rPr>
          <w:rFonts w:ascii="Times New Roman" w:hAnsi="Times New Roman" w:cs="Times New Roman"/>
          <w:b/>
        </w:rPr>
        <w:t>Table 4.6 Null Hypothesis: No serial correlation at up to 2 lags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544"/>
      </w:tblGrid>
      <w:tr w:rsidR="00803EC1" w:rsidTr="00900532">
        <w:tblPrEx>
          <w:tblCellMar>
            <w:top w:w="0" w:type="dxa"/>
            <w:bottom w:w="0" w:type="dxa"/>
          </w:tblCellMar>
        </w:tblPrEx>
        <w:trPr>
          <w:trHeight w:val="106"/>
          <w:jc w:val="center"/>
        </w:trPr>
        <w:tc>
          <w:tcPr>
            <w:tcW w:w="7544" w:type="dxa"/>
          </w:tcPr>
          <w:p w:rsidR="00353005" w:rsidRDefault="00353005" w:rsidP="00F14BBB">
            <w:pPr>
              <w:spacing w:before="0" w:after="0" w:line="240" w:lineRule="auto"/>
              <w:ind w:left="413"/>
              <w:rPr>
                <w:rFonts w:ascii="Times New Roman" w:hAnsi="Times New Roman" w:cs="Times New Roman"/>
              </w:rPr>
            </w:pPr>
          </w:p>
          <w:p w:rsidR="00803EC1" w:rsidRPr="00DB21FC" w:rsidRDefault="00803EC1" w:rsidP="00F14BBB">
            <w:pPr>
              <w:spacing w:before="0" w:after="0" w:line="240" w:lineRule="auto"/>
              <w:ind w:left="413"/>
              <w:rPr>
                <w:rFonts w:ascii="Times New Roman" w:hAnsi="Times New Roman" w:cs="Times New Roman"/>
              </w:rPr>
            </w:pPr>
            <w:r w:rsidRPr="00DB21FC">
              <w:rPr>
                <w:rFonts w:ascii="Times New Roman" w:hAnsi="Times New Roman" w:cs="Times New Roman"/>
                <w:noProof/>
              </w:rPr>
              <w:pict>
                <v:shapetype id="_x0000_t32" coordsize="21600,21600" o:spt="32" o:oned="t" path="m,l21600,21600e" filled="f">
                  <v:path arrowok="t" fillok="f" o:connecttype="none"/>
                  <o:lock v:ext="edit" shapetype="t"/>
                </v:shapetype>
                <v:shape id="Straight Arrow Connector 5" o:spid="_x0000_s1031" type="#_x0000_t32" style="position:absolute;left:0;text-align:left;margin-left:0;margin-top:0;width:50pt;height:50pt;z-index:25166540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">
                  <o:lock v:ext="edit" selection="t"/>
                </v:shape>
              </w:pict>
            </w:r>
            <w:r w:rsidRPr="00DB21FC">
              <w:rPr>
                <w:rFonts w:ascii="Times New Roman" w:hAnsi="Times New Roman" w:cs="Times New Roman"/>
              </w:rPr>
              <w:t xml:space="preserve">F-statistic </w:t>
            </w:r>
            <w:r w:rsidRPr="00DB21FC">
              <w:rPr>
                <w:rFonts w:ascii="Times New Roman" w:hAnsi="Times New Roman" w:cs="Times New Roman"/>
              </w:rPr>
              <w:tab/>
            </w:r>
            <w:r w:rsidRPr="00DB21FC">
              <w:rPr>
                <w:rFonts w:ascii="Times New Roman" w:hAnsi="Times New Roman" w:cs="Times New Roman"/>
              </w:rPr>
              <w:tab/>
              <w:t>0.034482</w:t>
            </w:r>
            <w:r w:rsidRPr="00DB21FC">
              <w:rPr>
                <w:rFonts w:ascii="Times New Roman" w:hAnsi="Times New Roman" w:cs="Times New Roman"/>
              </w:rPr>
              <w:tab/>
            </w:r>
            <w:r w:rsidRPr="00DB21FC">
              <w:rPr>
                <w:rFonts w:ascii="Times New Roman" w:hAnsi="Times New Roman" w:cs="Times New Roman"/>
              </w:rPr>
              <w:tab/>
            </w:r>
            <w:r w:rsidRPr="00DB21FC">
              <w:rPr>
                <w:rFonts w:ascii="Times New Roman" w:hAnsi="Times New Roman" w:cs="Times New Roman"/>
              </w:rPr>
              <w:tab/>
              <w:t xml:space="preserve"> Prob. F(2,13) 0.9662 </w:t>
            </w:r>
          </w:p>
          <w:p w:rsidR="00803EC1" w:rsidRPr="00DB21FC" w:rsidRDefault="00803EC1" w:rsidP="00F14BBB">
            <w:pPr>
              <w:spacing w:before="0" w:after="0" w:line="240" w:lineRule="auto"/>
              <w:ind w:left="413"/>
              <w:rPr>
                <w:rFonts w:ascii="Times New Roman" w:hAnsi="Times New Roman" w:cs="Times New Roman"/>
              </w:rPr>
            </w:pPr>
            <w:proofErr w:type="spellStart"/>
            <w:r w:rsidRPr="00DB21FC">
              <w:rPr>
                <w:rFonts w:ascii="Times New Roman" w:hAnsi="Times New Roman" w:cs="Times New Roman"/>
              </w:rPr>
              <w:t>Obs</w:t>
            </w:r>
            <w:proofErr w:type="spellEnd"/>
            <w:r w:rsidRPr="00DB21FC">
              <w:rPr>
                <w:rFonts w:ascii="Times New Roman" w:hAnsi="Times New Roman" w:cs="Times New Roman"/>
              </w:rPr>
              <w:t xml:space="preserve">*R-squared </w:t>
            </w:r>
            <w:r w:rsidRPr="00DB21FC">
              <w:rPr>
                <w:rFonts w:ascii="Times New Roman" w:hAnsi="Times New Roman" w:cs="Times New Roman"/>
              </w:rPr>
              <w:tab/>
              <w:t xml:space="preserve">0.142475 </w:t>
            </w:r>
            <w:r w:rsidRPr="00DB21FC">
              <w:rPr>
                <w:rFonts w:ascii="Times New Roman" w:hAnsi="Times New Roman" w:cs="Times New Roman"/>
              </w:rPr>
              <w:tab/>
            </w:r>
            <w:r w:rsidRPr="00DB21FC">
              <w:rPr>
                <w:rFonts w:ascii="Times New Roman" w:hAnsi="Times New Roman" w:cs="Times New Roman"/>
              </w:rPr>
              <w:tab/>
              <w:t xml:space="preserve"> Prob. Chi-Square(2) 0.9312</w:t>
            </w:r>
          </w:p>
          <w:p w:rsidR="00803EC1" w:rsidRDefault="00803EC1" w:rsidP="00F14BBB">
            <w:pPr>
              <w:spacing w:before="0" w:after="0" w:line="240" w:lineRule="auto"/>
              <w:ind w:left="413"/>
              <w:rPr>
                <w:rFonts w:ascii="Times New Roman" w:hAnsi="Times New Roman" w:cs="Times New Roman"/>
              </w:rPr>
            </w:pPr>
          </w:p>
        </w:tc>
      </w:tr>
    </w:tbl>
    <w:p w:rsidR="00BE44CE" w:rsidRPr="00DB21FC" w:rsidRDefault="00BE44CE" w:rsidP="00F14BBB">
      <w:pPr>
        <w:spacing w:before="0" w:beforeAutospacing="0" w:after="0" w:line="480" w:lineRule="auto"/>
        <w:jc w:val="center"/>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hAnsi="Times New Roman" w:cs="Times New Roman"/>
        </w:rPr>
        <w:t xml:space="preserve">The results show that the model does not have a serial correlation problem. The </w:t>
      </w:r>
      <w:proofErr w:type="spellStart"/>
      <w:r w:rsidRPr="00DB21FC">
        <w:rPr>
          <w:rStyle w:val="Strong"/>
          <w:rFonts w:ascii="Times New Roman" w:hAnsi="Times New Roman" w:cs="Times New Roman"/>
          <w:b w:val="0"/>
        </w:rPr>
        <w:t>Breusch</w:t>
      </w:r>
      <w:proofErr w:type="spellEnd"/>
      <w:r w:rsidRPr="00DB21FC">
        <w:rPr>
          <w:rStyle w:val="Strong"/>
          <w:rFonts w:ascii="Times New Roman" w:hAnsi="Times New Roman" w:cs="Times New Roman"/>
          <w:b w:val="0"/>
        </w:rPr>
        <w:t>-Godfrey LM test</w:t>
      </w:r>
      <w:r w:rsidRPr="00DB21FC">
        <w:rPr>
          <w:rFonts w:ascii="Times New Roman" w:hAnsi="Times New Roman" w:cs="Times New Roman"/>
        </w:rPr>
        <w:t xml:space="preserve"> gives an </w:t>
      </w:r>
      <w:r w:rsidRPr="00DB21FC">
        <w:rPr>
          <w:rStyle w:val="Strong"/>
          <w:rFonts w:ascii="Times New Roman" w:hAnsi="Times New Roman" w:cs="Times New Roman"/>
          <w:b w:val="0"/>
        </w:rPr>
        <w:t>F-statistic of 0.034482</w:t>
      </w:r>
      <w:r w:rsidRPr="00DB21FC">
        <w:rPr>
          <w:rFonts w:ascii="Times New Roman" w:hAnsi="Times New Roman" w:cs="Times New Roman"/>
        </w:rPr>
        <w:t xml:space="preserve"> and a </w:t>
      </w:r>
      <w:r w:rsidRPr="00DB21FC">
        <w:rPr>
          <w:rStyle w:val="Strong"/>
          <w:rFonts w:ascii="Times New Roman" w:hAnsi="Times New Roman" w:cs="Times New Roman"/>
          <w:b w:val="0"/>
        </w:rPr>
        <w:t>probability value of 0.9662</w:t>
      </w:r>
      <w:r w:rsidRPr="00DB21FC">
        <w:rPr>
          <w:rFonts w:ascii="Times New Roman" w:hAnsi="Times New Roman" w:cs="Times New Roman"/>
        </w:rPr>
        <w:t xml:space="preserve">, which is higher than the 5% significance level. The </w:t>
      </w:r>
      <w:proofErr w:type="spellStart"/>
      <w:r w:rsidRPr="00DB21FC">
        <w:rPr>
          <w:rStyle w:val="Strong"/>
          <w:rFonts w:ascii="Times New Roman" w:hAnsi="Times New Roman" w:cs="Times New Roman"/>
          <w:b w:val="0"/>
        </w:rPr>
        <w:t>Obs</w:t>
      </w:r>
      <w:proofErr w:type="spellEnd"/>
      <w:r w:rsidRPr="00DB21FC">
        <w:rPr>
          <w:rStyle w:val="Strong"/>
          <w:rFonts w:ascii="Times New Roman" w:hAnsi="Times New Roman" w:cs="Times New Roman"/>
          <w:b w:val="0"/>
        </w:rPr>
        <w:t>*R-squared value</w:t>
      </w:r>
      <w:r w:rsidRPr="00DB21FC">
        <w:rPr>
          <w:rFonts w:ascii="Times New Roman" w:hAnsi="Times New Roman" w:cs="Times New Roman"/>
        </w:rPr>
        <w:t xml:space="preserve"> of </w:t>
      </w:r>
      <w:r w:rsidRPr="00DB21FC">
        <w:rPr>
          <w:rStyle w:val="Strong"/>
          <w:rFonts w:ascii="Times New Roman" w:hAnsi="Times New Roman" w:cs="Times New Roman"/>
          <w:b w:val="0"/>
        </w:rPr>
        <w:t>0.142475</w:t>
      </w:r>
      <w:r w:rsidRPr="00DB21FC">
        <w:rPr>
          <w:rFonts w:ascii="Times New Roman" w:hAnsi="Times New Roman" w:cs="Times New Roman"/>
        </w:rPr>
        <w:t xml:space="preserve"> with a </w:t>
      </w:r>
      <w:r w:rsidRPr="00DB21FC">
        <w:rPr>
          <w:rStyle w:val="Strong"/>
          <w:rFonts w:ascii="Times New Roman" w:hAnsi="Times New Roman" w:cs="Times New Roman"/>
          <w:b w:val="0"/>
        </w:rPr>
        <w:t>probability of 0.9312</w:t>
      </w:r>
      <w:r w:rsidRPr="00DB21FC">
        <w:rPr>
          <w:rFonts w:ascii="Times New Roman" w:hAnsi="Times New Roman" w:cs="Times New Roman"/>
        </w:rPr>
        <w:t xml:space="preserve"> supports this finding. Since these p-values are greater than 0.05, we do not reject the null hypothesis of no serial correlation. This means the residuals are not correlated, and the model is properly specified and reliable for making policy conclusions.</w:t>
      </w:r>
    </w:p>
    <w:p w:rsidR="00BE44CE" w:rsidRPr="00DB21FC" w:rsidRDefault="00BE44CE" w:rsidP="005A37C1">
      <w:pPr>
        <w:spacing w:before="0" w:beforeAutospacing="0" w:line="240" w:lineRule="auto"/>
        <w:rPr>
          <w:rFonts w:ascii="Times New Roman" w:hAnsi="Times New Roman" w:cs="Times New Roman"/>
          <w:b/>
        </w:rPr>
      </w:pPr>
      <w:r w:rsidRPr="00DB21FC">
        <w:rPr>
          <w:rFonts w:ascii="Times New Roman" w:hAnsi="Times New Roman" w:cs="Times New Roman"/>
          <w:b/>
        </w:rPr>
        <w:t xml:space="preserve">4.3.2 </w:t>
      </w:r>
      <w:proofErr w:type="spellStart"/>
      <w:r w:rsidRPr="00DB21FC">
        <w:rPr>
          <w:rFonts w:ascii="Times New Roman" w:hAnsi="Times New Roman" w:cs="Times New Roman"/>
          <w:b/>
        </w:rPr>
        <w:t>Heteroskedasticity</w:t>
      </w:r>
      <w:proofErr w:type="spellEnd"/>
      <w:r w:rsidRPr="00DB21FC">
        <w:rPr>
          <w:rFonts w:ascii="Times New Roman" w:hAnsi="Times New Roman" w:cs="Times New Roman"/>
          <w:b/>
        </w:rPr>
        <w:t xml:space="preserve"> Test</w:t>
      </w:r>
    </w:p>
    <w:p w:rsidR="00BE44CE" w:rsidRPr="00DB21FC" w:rsidRDefault="00BE44CE" w:rsidP="005A37C1">
      <w:pPr>
        <w:spacing w:before="0" w:beforeAutospacing="0" w:line="240" w:lineRule="auto"/>
        <w:rPr>
          <w:rFonts w:ascii="Times New Roman" w:hAnsi="Times New Roman" w:cs="Times New Roman"/>
        </w:rPr>
      </w:pP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xml:space="preserve"> Test: </w:t>
      </w:r>
      <w:proofErr w:type="spellStart"/>
      <w:r w:rsidRPr="00DB21FC">
        <w:rPr>
          <w:rFonts w:ascii="Times New Roman" w:hAnsi="Times New Roman" w:cs="Times New Roman"/>
        </w:rPr>
        <w:t>Breusch</w:t>
      </w:r>
      <w:proofErr w:type="spellEnd"/>
      <w:r w:rsidRPr="00DB21FC">
        <w:rPr>
          <w:rFonts w:ascii="Times New Roman" w:hAnsi="Times New Roman" w:cs="Times New Roman"/>
        </w:rPr>
        <w:t>-Pagan-</w:t>
      </w:r>
      <w:proofErr w:type="spellStart"/>
      <w:r w:rsidRPr="00DB21FC">
        <w:rPr>
          <w:rFonts w:ascii="Times New Roman" w:hAnsi="Times New Roman" w:cs="Times New Roman"/>
        </w:rPr>
        <w:t>godfrey</w:t>
      </w:r>
      <w:proofErr w:type="spellEnd"/>
    </w:p>
    <w:p w:rsidR="00BE44CE" w:rsidRPr="00DB21FC" w:rsidRDefault="00BE44CE" w:rsidP="005A37C1">
      <w:pPr>
        <w:spacing w:before="0" w:beforeAutospacing="0" w:line="240" w:lineRule="auto"/>
        <w:rPr>
          <w:rFonts w:ascii="Times New Roman" w:hAnsi="Times New Roman" w:cs="Times New Roman"/>
        </w:rPr>
      </w:pPr>
      <w:r w:rsidRPr="00DB21FC">
        <w:rPr>
          <w:rFonts w:ascii="Times New Roman" w:hAnsi="Times New Roman" w:cs="Times New Roman"/>
        </w:rPr>
        <w:t xml:space="preserve">Null hypothesis </w:t>
      </w:r>
      <w:proofErr w:type="spellStart"/>
      <w:r w:rsidRPr="00DB21FC">
        <w:rPr>
          <w:rFonts w:ascii="Times New Roman" w:hAnsi="Times New Roman" w:cs="Times New Roman"/>
        </w:rPr>
        <w:t>Homoskedasticity</w:t>
      </w:r>
      <w:proofErr w:type="spellEnd"/>
      <w:r w:rsidRPr="00DB21FC">
        <w:rPr>
          <w:rFonts w:ascii="Times New Roman" w:hAnsi="Times New Roman" w:cs="Times New Roman"/>
        </w:rPr>
        <w:t xml:space="preserve"> </w:t>
      </w:r>
    </w:p>
    <w:p w:rsidR="00BE44CE" w:rsidRPr="00DB21FC" w:rsidRDefault="00BE44CE" w:rsidP="00572496">
      <w:pPr>
        <w:tabs>
          <w:tab w:val="left" w:pos="509"/>
        </w:tabs>
        <w:spacing w:before="0" w:beforeAutospacing="0" w:line="240" w:lineRule="auto"/>
        <w:jc w:val="center"/>
        <w:rPr>
          <w:rFonts w:ascii="Times New Roman" w:hAnsi="Times New Roman" w:cs="Times New Roman"/>
          <w:b/>
        </w:rPr>
      </w:pPr>
      <w:r w:rsidRPr="00DB21FC">
        <w:rPr>
          <w:rFonts w:ascii="Times New Roman" w:hAnsi="Times New Roman" w:cs="Times New Roman"/>
          <w:b/>
        </w:rPr>
        <w:t xml:space="preserve">Table 4.7 </w:t>
      </w:r>
      <w:proofErr w:type="spellStart"/>
      <w:r w:rsidRPr="00DB21FC">
        <w:rPr>
          <w:rFonts w:ascii="Times New Roman" w:hAnsi="Times New Roman" w:cs="Times New Roman"/>
          <w:b/>
        </w:rPr>
        <w:t>Heteroskedasticity</w:t>
      </w:r>
      <w:proofErr w:type="spellEnd"/>
      <w:r w:rsidRPr="00DB21FC">
        <w:rPr>
          <w:rFonts w:ascii="Times New Roman" w:hAnsi="Times New Roman" w:cs="Times New Roman"/>
          <w:b/>
        </w:rPr>
        <w:t xml:space="preserve"> Results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47"/>
      </w:tblGrid>
      <w:tr w:rsidR="00DB5433" w:rsidTr="00DB5433">
        <w:tblPrEx>
          <w:tblCellMar>
            <w:top w:w="0" w:type="dxa"/>
            <w:bottom w:w="0" w:type="dxa"/>
          </w:tblCellMar>
        </w:tblPrEx>
        <w:trPr>
          <w:trHeight w:val="712"/>
          <w:jc w:val="center"/>
        </w:trPr>
        <w:tc>
          <w:tcPr>
            <w:tcW w:w="8247" w:type="dxa"/>
          </w:tcPr>
          <w:p w:rsidR="00DB5433" w:rsidRPr="00DB21FC" w:rsidRDefault="00DB5433" w:rsidP="00DB5433">
            <w:pPr>
              <w:spacing w:before="0" w:line="240" w:lineRule="auto"/>
              <w:ind w:left="313"/>
              <w:rPr>
                <w:rFonts w:ascii="Times New Roman" w:hAnsi="Times New Roman" w:cs="Times New Roman"/>
              </w:rPr>
            </w:pPr>
            <w:r>
              <w:rPr>
                <w:rFonts w:ascii="Times New Roman" w:hAnsi="Times New Roman" w:cs="Times New Roman"/>
              </w:rPr>
              <w:t xml:space="preserve"> </w:t>
            </w:r>
          </w:p>
          <w:p w:rsidR="00DB5433" w:rsidRPr="00DB21FC" w:rsidRDefault="00DB5433" w:rsidP="00DB5433">
            <w:pPr>
              <w:spacing w:before="0" w:line="240" w:lineRule="auto"/>
              <w:ind w:left="313"/>
              <w:rPr>
                <w:rFonts w:ascii="Times New Roman" w:hAnsi="Times New Roman" w:cs="Times New Roman"/>
              </w:rPr>
            </w:pPr>
            <w:r w:rsidRPr="00DB21FC">
              <w:rPr>
                <w:rFonts w:ascii="Times New Roman" w:hAnsi="Times New Roman" w:cs="Times New Roman"/>
              </w:rPr>
              <w:t xml:space="preserve">F-statistic </w:t>
            </w:r>
            <w:r w:rsidRPr="00DB21FC">
              <w:rPr>
                <w:rFonts w:ascii="Times New Roman" w:hAnsi="Times New Roman" w:cs="Times New Roman"/>
              </w:rPr>
              <w:tab/>
            </w:r>
            <w:r w:rsidRPr="00DB21FC">
              <w:rPr>
                <w:rFonts w:ascii="Times New Roman" w:hAnsi="Times New Roman" w:cs="Times New Roman"/>
              </w:rPr>
              <w:tab/>
              <w:t xml:space="preserve">0.612034 </w:t>
            </w:r>
            <w:r w:rsidRPr="00DB21FC">
              <w:rPr>
                <w:rFonts w:ascii="Times New Roman" w:hAnsi="Times New Roman" w:cs="Times New Roman"/>
              </w:rPr>
              <w:tab/>
            </w:r>
            <w:r w:rsidRPr="00DB21FC">
              <w:rPr>
                <w:rFonts w:ascii="Times New Roman" w:hAnsi="Times New Roman" w:cs="Times New Roman"/>
              </w:rPr>
              <w:tab/>
              <w:t xml:space="preserve"> Prob. F(11,15) 0.7922 </w:t>
            </w:r>
          </w:p>
          <w:p w:rsidR="00DB5433" w:rsidRPr="00DB21FC" w:rsidRDefault="00DB5433" w:rsidP="00DB5433">
            <w:pPr>
              <w:spacing w:before="0" w:line="240" w:lineRule="auto"/>
              <w:ind w:left="313"/>
              <w:contextualSpacing/>
              <w:rPr>
                <w:rFonts w:ascii="Times New Roman" w:hAnsi="Times New Roman" w:cs="Times New Roman"/>
              </w:rPr>
            </w:pPr>
            <w:proofErr w:type="spellStart"/>
            <w:r w:rsidRPr="00DB21FC">
              <w:rPr>
                <w:rFonts w:ascii="Times New Roman" w:hAnsi="Times New Roman" w:cs="Times New Roman"/>
              </w:rPr>
              <w:t>Obs</w:t>
            </w:r>
            <w:proofErr w:type="spellEnd"/>
            <w:r w:rsidRPr="00DB21FC">
              <w:rPr>
                <w:rFonts w:ascii="Times New Roman" w:hAnsi="Times New Roman" w:cs="Times New Roman"/>
              </w:rPr>
              <w:t xml:space="preserve">*R-squared </w:t>
            </w:r>
            <w:r w:rsidRPr="00DB21FC">
              <w:rPr>
                <w:rFonts w:ascii="Times New Roman" w:hAnsi="Times New Roman" w:cs="Times New Roman"/>
              </w:rPr>
              <w:tab/>
              <w:t xml:space="preserve">8.364210 </w:t>
            </w:r>
            <w:r w:rsidRPr="00DB21FC">
              <w:rPr>
                <w:rFonts w:ascii="Times New Roman" w:hAnsi="Times New Roman" w:cs="Times New Roman"/>
              </w:rPr>
              <w:tab/>
            </w:r>
            <w:r w:rsidRPr="00DB21FC">
              <w:rPr>
                <w:rFonts w:ascii="Times New Roman" w:hAnsi="Times New Roman" w:cs="Times New Roman"/>
              </w:rPr>
              <w:tab/>
              <w:t xml:space="preserve"> Prob. Chi-Square(11) 0.6804 Scaled explained SS </w:t>
            </w:r>
            <w:r w:rsidRPr="00DB21FC">
              <w:rPr>
                <w:rFonts w:ascii="Times New Roman" w:hAnsi="Times New Roman" w:cs="Times New Roman"/>
              </w:rPr>
              <w:tab/>
              <w:t xml:space="preserve">3.892291 </w:t>
            </w:r>
            <w:r w:rsidRPr="00DB21FC">
              <w:rPr>
                <w:rFonts w:ascii="Times New Roman" w:hAnsi="Times New Roman" w:cs="Times New Roman"/>
              </w:rPr>
              <w:tab/>
            </w:r>
            <w:r w:rsidRPr="00DB21FC">
              <w:rPr>
                <w:rFonts w:ascii="Times New Roman" w:hAnsi="Times New Roman" w:cs="Times New Roman"/>
              </w:rPr>
              <w:tab/>
              <w:t xml:space="preserve"> Prob. Chi-Square(11) 0.9730</w:t>
            </w:r>
          </w:p>
          <w:p w:rsidR="00DB5433" w:rsidRDefault="00DB5433" w:rsidP="00DB5433">
            <w:pPr>
              <w:spacing w:before="0" w:line="240" w:lineRule="auto"/>
              <w:ind w:left="313"/>
              <w:rPr>
                <w:rFonts w:ascii="Times New Roman" w:hAnsi="Times New Roman" w:cs="Times New Roman"/>
              </w:rPr>
            </w:pPr>
          </w:p>
        </w:tc>
      </w:tr>
    </w:tbl>
    <w:p w:rsidR="00BE44CE" w:rsidRPr="00DB21FC" w:rsidRDefault="00BE44CE" w:rsidP="005A37C1">
      <w:pPr>
        <w:spacing w:before="0" w:beforeAutospacing="0" w:line="240" w:lineRule="auto"/>
        <w:contextualSpacing/>
        <w:rPr>
          <w:rFonts w:ascii="Times New Roman" w:hAnsi="Times New Roman" w:cs="Times New Roman"/>
        </w:rPr>
      </w:pPr>
    </w:p>
    <w:p w:rsidR="00BE44CE" w:rsidRPr="00DB21FC" w:rsidRDefault="00BE44CE" w:rsidP="008E2999">
      <w:pPr>
        <w:spacing w:before="0" w:beforeAutospacing="0" w:line="240" w:lineRule="auto"/>
        <w:jc w:val="center"/>
        <w:rPr>
          <w:rFonts w:ascii="Times New Roman" w:hAnsi="Times New Roman" w:cs="Times New Roman"/>
        </w:rPr>
      </w:pPr>
      <w:r w:rsidRPr="00DB21FC">
        <w:rPr>
          <w:rFonts w:ascii="Times New Roman" w:eastAsia="Calibri" w:hAnsi="Times New Roman" w:cs="Times New Roman"/>
          <w:b/>
          <w:shd w:val="clear" w:color="auto" w:fill="FFFFFF"/>
        </w:rPr>
        <w:t>Source: Author’s own computation using Eview12 student lite</w:t>
      </w:r>
    </w:p>
    <w:p w:rsidR="00471AB1" w:rsidRDefault="00BE44CE" w:rsidP="00471AB1">
      <w:pPr>
        <w:spacing w:before="0" w:beforeAutospacing="0" w:line="480" w:lineRule="auto"/>
        <w:jc w:val="both"/>
        <w:rPr>
          <w:rFonts w:ascii="Times New Roman" w:hAnsi="Times New Roman" w:cs="Times New Roman"/>
        </w:rPr>
      </w:pPr>
      <w:r w:rsidRPr="00DB21FC">
        <w:rPr>
          <w:rFonts w:ascii="Times New Roman" w:hAnsi="Times New Roman" w:cs="Times New Roman"/>
        </w:rPr>
        <w:lastRenderedPageBreak/>
        <w:t xml:space="preserve">The results above showed that the model does not have a </w:t>
      </w: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xml:space="preserve"> problem. The </w:t>
      </w:r>
      <w:proofErr w:type="spellStart"/>
      <w:r w:rsidRPr="00DB21FC">
        <w:rPr>
          <w:rFonts w:ascii="Times New Roman" w:hAnsi="Times New Roman" w:cs="Times New Roman"/>
          <w:bCs/>
        </w:rPr>
        <w:t>Breusch</w:t>
      </w:r>
      <w:proofErr w:type="spellEnd"/>
      <w:r w:rsidRPr="00DB21FC">
        <w:rPr>
          <w:rFonts w:ascii="Times New Roman" w:hAnsi="Times New Roman" w:cs="Times New Roman"/>
          <w:bCs/>
        </w:rPr>
        <w:t>-Pagan-Godfrey test</w:t>
      </w:r>
      <w:r w:rsidRPr="00DB21FC">
        <w:rPr>
          <w:rFonts w:ascii="Times New Roman" w:hAnsi="Times New Roman" w:cs="Times New Roman"/>
        </w:rPr>
        <w:t xml:space="preserve"> gives an </w:t>
      </w:r>
      <w:r w:rsidRPr="00DB21FC">
        <w:rPr>
          <w:rFonts w:ascii="Times New Roman" w:hAnsi="Times New Roman" w:cs="Times New Roman"/>
          <w:bCs/>
        </w:rPr>
        <w:t>F-statistic of 0.612034</w:t>
      </w:r>
      <w:r w:rsidRPr="00DB21FC">
        <w:rPr>
          <w:rFonts w:ascii="Times New Roman" w:hAnsi="Times New Roman" w:cs="Times New Roman"/>
        </w:rPr>
        <w:t xml:space="preserve"> with a </w:t>
      </w:r>
      <w:r w:rsidRPr="00DB21FC">
        <w:rPr>
          <w:rFonts w:ascii="Times New Roman" w:hAnsi="Times New Roman" w:cs="Times New Roman"/>
          <w:bCs/>
        </w:rPr>
        <w:t>probability of 0.7922</w:t>
      </w:r>
      <w:r w:rsidRPr="00DB21FC">
        <w:rPr>
          <w:rFonts w:ascii="Times New Roman" w:hAnsi="Times New Roman" w:cs="Times New Roman"/>
        </w:rPr>
        <w:t xml:space="preserve">, which is higher than the 5% significance level. The </w:t>
      </w:r>
      <w:proofErr w:type="spellStart"/>
      <w:r w:rsidRPr="00DB21FC">
        <w:rPr>
          <w:rFonts w:ascii="Times New Roman" w:hAnsi="Times New Roman" w:cs="Times New Roman"/>
          <w:bCs/>
        </w:rPr>
        <w:t>Obs</w:t>
      </w:r>
      <w:proofErr w:type="spellEnd"/>
      <w:r w:rsidRPr="00DB21FC">
        <w:rPr>
          <w:rFonts w:ascii="Times New Roman" w:hAnsi="Times New Roman" w:cs="Times New Roman"/>
          <w:bCs/>
        </w:rPr>
        <w:t>*R-squared probability of 0.6804</w:t>
      </w:r>
      <w:r w:rsidRPr="00DB21FC">
        <w:rPr>
          <w:rFonts w:ascii="Times New Roman" w:hAnsi="Times New Roman" w:cs="Times New Roman"/>
        </w:rPr>
        <w:t xml:space="preserve"> confirms this. Since these p-values are not significant, we do not reject the null hypothesis of constant variance (</w:t>
      </w:r>
      <w:proofErr w:type="spellStart"/>
      <w:r w:rsidRPr="00DB21FC">
        <w:rPr>
          <w:rFonts w:ascii="Times New Roman" w:hAnsi="Times New Roman" w:cs="Times New Roman"/>
        </w:rPr>
        <w:t>homoskedasticity</w:t>
      </w:r>
      <w:proofErr w:type="spellEnd"/>
      <w:r w:rsidRPr="00DB21FC">
        <w:rPr>
          <w:rFonts w:ascii="Times New Roman" w:hAnsi="Times New Roman" w:cs="Times New Roman"/>
        </w:rPr>
        <w:t xml:space="preserve">). This means the residuals have a constant variance, showing that the model is efficient and free from </w:t>
      </w: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xml:space="preserve"> issues.</w:t>
      </w:r>
    </w:p>
    <w:p w:rsidR="00471AB1" w:rsidRDefault="00471AB1" w:rsidP="00471AB1">
      <w:pPr>
        <w:spacing w:before="0" w:beforeAutospacing="0" w:line="480" w:lineRule="auto"/>
        <w:jc w:val="both"/>
        <w:rPr>
          <w:rFonts w:ascii="Times New Roman" w:hAnsi="Times New Roman" w:cs="Times New Roman"/>
        </w:rPr>
      </w:pPr>
    </w:p>
    <w:p w:rsidR="00471AB1" w:rsidRDefault="00471AB1" w:rsidP="00471AB1">
      <w:pPr>
        <w:spacing w:before="0" w:beforeAutospacing="0" w:line="480" w:lineRule="auto"/>
        <w:jc w:val="both"/>
        <w:rPr>
          <w:rFonts w:ascii="Times New Roman" w:hAnsi="Times New Roman" w:cs="Times New Roman"/>
        </w:rPr>
      </w:pPr>
    </w:p>
    <w:p w:rsidR="00BE44CE" w:rsidRPr="00471AB1" w:rsidRDefault="00BE44CE" w:rsidP="00471AB1">
      <w:pPr>
        <w:spacing w:before="0" w:beforeAutospacing="0" w:line="480" w:lineRule="auto"/>
        <w:jc w:val="both"/>
        <w:rPr>
          <w:rFonts w:ascii="Times New Roman" w:hAnsi="Times New Roman" w:cs="Times New Roman"/>
        </w:rPr>
      </w:pPr>
      <w:r w:rsidRPr="00DB21FC">
        <w:rPr>
          <w:rFonts w:ascii="Times New Roman" w:hAnsi="Times New Roman" w:cs="Times New Roman"/>
          <w:b/>
        </w:rPr>
        <w:t>4.3.3 Normality test</w:t>
      </w:r>
    </w:p>
    <w:p w:rsidR="00BE44CE" w:rsidRPr="00DB21FC" w:rsidRDefault="00BE44CE" w:rsidP="005A37C1">
      <w:pPr>
        <w:spacing w:before="0" w:beforeAutospacing="0" w:line="240" w:lineRule="auto"/>
        <w:rPr>
          <w:rFonts w:ascii="Times New Roman" w:hAnsi="Times New Roman" w:cs="Times New Roman"/>
          <w:b/>
        </w:rPr>
      </w:pPr>
      <w:r w:rsidRPr="00DB21FC">
        <w:rPr>
          <w:rFonts w:ascii="Times New Roman" w:hAnsi="Times New Roman" w:cs="Times New Roman"/>
          <w:b/>
        </w:rPr>
        <w:t>Table 4.8 normality test results</w:t>
      </w: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595"/>
        <w:gridCol w:w="1595"/>
        <w:gridCol w:w="1603"/>
        <w:gridCol w:w="1595"/>
        <w:gridCol w:w="1594"/>
        <w:gridCol w:w="1594"/>
      </w:tblGrid>
      <w:tr w:rsidR="00BE44CE" w:rsidRPr="00DB21FC" w:rsidTr="00BE44CE">
        <w:tc>
          <w:tcPr>
            <w:tcW w:w="1596" w:type="dxa"/>
            <w:tcBorders>
              <w:top w:val="single" w:sz="4" w:space="0" w:color="auto"/>
              <w:left w:val="single" w:sz="4" w:space="0" w:color="auto"/>
              <w:bottom w:val="nil"/>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 xml:space="preserve">Variables </w:t>
            </w:r>
          </w:p>
        </w:tc>
        <w:tc>
          <w:tcPr>
            <w:tcW w:w="1596" w:type="dxa"/>
            <w:tcBorders>
              <w:top w:val="single" w:sz="4" w:space="0" w:color="auto"/>
              <w:left w:val="nil"/>
              <w:bottom w:val="nil"/>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 xml:space="preserve">Observation </w:t>
            </w:r>
          </w:p>
        </w:tc>
        <w:tc>
          <w:tcPr>
            <w:tcW w:w="1596" w:type="dxa"/>
            <w:tcBorders>
              <w:top w:val="single" w:sz="4" w:space="0" w:color="auto"/>
              <w:left w:val="nil"/>
              <w:bottom w:val="nil"/>
              <w:right w:val="nil"/>
            </w:tcBorders>
            <w:hideMark/>
          </w:tcPr>
          <w:p w:rsidR="00BE44CE" w:rsidRPr="00DB21FC" w:rsidRDefault="00BE44CE" w:rsidP="005A37C1">
            <w:pPr>
              <w:spacing w:before="0" w:beforeAutospacing="0"/>
              <w:rPr>
                <w:rFonts w:ascii="Times New Roman" w:hAnsi="Times New Roman" w:cs="Times New Roman"/>
              </w:rPr>
            </w:pPr>
            <w:proofErr w:type="spellStart"/>
            <w:r w:rsidRPr="00DB21FC">
              <w:rPr>
                <w:rFonts w:ascii="Times New Roman" w:hAnsi="Times New Roman" w:cs="Times New Roman"/>
              </w:rPr>
              <w:t>Pr</w:t>
            </w:r>
            <w:proofErr w:type="spellEnd"/>
            <w:r w:rsidRPr="00DB21FC">
              <w:rPr>
                <w:rFonts w:ascii="Times New Roman" w:hAnsi="Times New Roman" w:cs="Times New Roman"/>
              </w:rPr>
              <w:t>(</w:t>
            </w:r>
            <w:proofErr w:type="spellStart"/>
            <w:r w:rsidRPr="00DB21FC">
              <w:rPr>
                <w:rFonts w:ascii="Times New Roman" w:hAnsi="Times New Roman" w:cs="Times New Roman"/>
              </w:rPr>
              <w:t>skeweness</w:t>
            </w:r>
            <w:proofErr w:type="spellEnd"/>
            <w:r w:rsidRPr="00DB21FC">
              <w:rPr>
                <w:rFonts w:ascii="Times New Roman" w:hAnsi="Times New Roman" w:cs="Times New Roman"/>
              </w:rPr>
              <w:t>)</w:t>
            </w:r>
          </w:p>
        </w:tc>
        <w:tc>
          <w:tcPr>
            <w:tcW w:w="1596" w:type="dxa"/>
            <w:tcBorders>
              <w:top w:val="single" w:sz="4" w:space="0" w:color="auto"/>
              <w:left w:val="nil"/>
              <w:bottom w:val="nil"/>
              <w:right w:val="nil"/>
            </w:tcBorders>
            <w:hideMark/>
          </w:tcPr>
          <w:p w:rsidR="00BE44CE" w:rsidRPr="00DB21FC" w:rsidRDefault="00BE44CE" w:rsidP="005A37C1">
            <w:pPr>
              <w:spacing w:before="0" w:beforeAutospacing="0"/>
              <w:rPr>
                <w:rFonts w:ascii="Times New Roman" w:hAnsi="Times New Roman" w:cs="Times New Roman"/>
              </w:rPr>
            </w:pPr>
            <w:proofErr w:type="spellStart"/>
            <w:r w:rsidRPr="00DB21FC">
              <w:rPr>
                <w:rFonts w:ascii="Times New Roman" w:hAnsi="Times New Roman" w:cs="Times New Roman"/>
              </w:rPr>
              <w:t>Pr</w:t>
            </w:r>
            <w:proofErr w:type="spellEnd"/>
            <w:r w:rsidRPr="00DB21FC">
              <w:rPr>
                <w:rFonts w:ascii="Times New Roman" w:hAnsi="Times New Roman" w:cs="Times New Roman"/>
              </w:rPr>
              <w:t>(kurtosis</w:t>
            </w:r>
          </w:p>
        </w:tc>
        <w:tc>
          <w:tcPr>
            <w:tcW w:w="1596" w:type="dxa"/>
            <w:tcBorders>
              <w:top w:val="single" w:sz="4" w:space="0" w:color="auto"/>
              <w:left w:val="nil"/>
              <w:bottom w:val="nil"/>
              <w:right w:val="nil"/>
            </w:tcBorders>
            <w:hideMark/>
          </w:tcPr>
          <w:p w:rsidR="00BE44CE" w:rsidRPr="00DB21FC" w:rsidRDefault="00BE44CE" w:rsidP="005A37C1">
            <w:pPr>
              <w:spacing w:before="0" w:beforeAutospacing="0"/>
              <w:rPr>
                <w:rFonts w:ascii="Times New Roman" w:hAnsi="Times New Roman" w:cs="Times New Roman"/>
              </w:rPr>
            </w:pPr>
            <w:proofErr w:type="spellStart"/>
            <w:r w:rsidRPr="00DB21FC">
              <w:rPr>
                <w:rFonts w:ascii="Times New Roman" w:hAnsi="Times New Roman" w:cs="Times New Roman"/>
              </w:rPr>
              <w:t>Jarque-bera</w:t>
            </w:r>
            <w:proofErr w:type="spellEnd"/>
          </w:p>
        </w:tc>
        <w:tc>
          <w:tcPr>
            <w:tcW w:w="1596" w:type="dxa"/>
            <w:tcBorders>
              <w:top w:val="single" w:sz="4" w:space="0" w:color="auto"/>
              <w:left w:val="nil"/>
              <w:bottom w:val="nil"/>
              <w:right w:val="single" w:sz="4" w:space="0" w:color="auto"/>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Pro&gt; chi2</w:t>
            </w:r>
          </w:p>
        </w:tc>
      </w:tr>
      <w:tr w:rsidR="00BE44CE" w:rsidRPr="00DB21FC" w:rsidTr="00BE44CE">
        <w:tc>
          <w:tcPr>
            <w:tcW w:w="1596" w:type="dxa"/>
            <w:tcBorders>
              <w:top w:val="nil"/>
              <w:left w:val="single" w:sz="4" w:space="0" w:color="auto"/>
              <w:bottom w:val="single" w:sz="4" w:space="0" w:color="auto"/>
              <w:right w:val="nil"/>
            </w:tcBorders>
            <w:hideMark/>
          </w:tcPr>
          <w:p w:rsidR="00BE44CE" w:rsidRPr="00DB21FC" w:rsidRDefault="00BE44CE" w:rsidP="005A37C1">
            <w:pPr>
              <w:spacing w:before="0" w:beforeAutospacing="0"/>
              <w:rPr>
                <w:rFonts w:ascii="Times New Roman" w:hAnsi="Times New Roman" w:cs="Times New Roman"/>
              </w:rPr>
            </w:pPr>
            <w:proofErr w:type="spellStart"/>
            <w:r w:rsidRPr="00DB21FC">
              <w:rPr>
                <w:rFonts w:ascii="Times New Roman" w:hAnsi="Times New Roman" w:cs="Times New Roman"/>
              </w:rPr>
              <w:t>SResidual</w:t>
            </w:r>
            <w:proofErr w:type="spellEnd"/>
          </w:p>
        </w:tc>
        <w:tc>
          <w:tcPr>
            <w:tcW w:w="1596"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 xml:space="preserve"> 27</w:t>
            </w:r>
          </w:p>
        </w:tc>
        <w:tc>
          <w:tcPr>
            <w:tcW w:w="1596"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-0.582731</w:t>
            </w:r>
          </w:p>
        </w:tc>
        <w:tc>
          <w:tcPr>
            <w:tcW w:w="1596"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4.015473</w:t>
            </w:r>
          </w:p>
        </w:tc>
        <w:tc>
          <w:tcPr>
            <w:tcW w:w="1596" w:type="dxa"/>
            <w:tcBorders>
              <w:top w:val="nil"/>
              <w:left w:val="nil"/>
              <w:bottom w:val="single" w:sz="4" w:space="0" w:color="auto"/>
              <w:right w:val="nil"/>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2.688173</w:t>
            </w:r>
          </w:p>
        </w:tc>
        <w:tc>
          <w:tcPr>
            <w:tcW w:w="1596" w:type="dxa"/>
            <w:tcBorders>
              <w:top w:val="nil"/>
              <w:left w:val="nil"/>
              <w:bottom w:val="single" w:sz="4" w:space="0" w:color="auto"/>
              <w:right w:val="single" w:sz="4" w:space="0" w:color="auto"/>
            </w:tcBorders>
            <w:hideMark/>
          </w:tcPr>
          <w:p w:rsidR="00BE44CE" w:rsidRPr="00DB21FC" w:rsidRDefault="00BE44CE" w:rsidP="005A37C1">
            <w:pPr>
              <w:spacing w:before="0" w:beforeAutospacing="0"/>
              <w:rPr>
                <w:rFonts w:ascii="Times New Roman" w:hAnsi="Times New Roman" w:cs="Times New Roman"/>
              </w:rPr>
            </w:pPr>
            <w:r w:rsidRPr="00DB21FC">
              <w:rPr>
                <w:rFonts w:ascii="Times New Roman" w:hAnsi="Times New Roman" w:cs="Times New Roman"/>
              </w:rPr>
              <w:t>0.260778</w:t>
            </w:r>
          </w:p>
        </w:tc>
      </w:tr>
    </w:tbl>
    <w:p w:rsidR="00BE44CE" w:rsidRPr="00DB21FC" w:rsidRDefault="00BE44CE" w:rsidP="005A37C1">
      <w:pPr>
        <w:spacing w:before="0" w:beforeAutospacing="0" w:line="480" w:lineRule="auto"/>
        <w:jc w:val="both"/>
        <w:rPr>
          <w:rFonts w:ascii="Times New Roman" w:eastAsia="Calibri" w:hAnsi="Times New Roman" w:cs="Times New Roman"/>
          <w:b/>
          <w:shd w:val="clear" w:color="auto" w:fill="FFFFFF"/>
        </w:rPr>
      </w:pPr>
      <w:r w:rsidRPr="00DB21FC">
        <w:rPr>
          <w:rFonts w:ascii="Times New Roman" w:eastAsia="Calibri" w:hAnsi="Times New Roman" w:cs="Times New Roman"/>
          <w:b/>
          <w:shd w:val="clear" w:color="auto" w:fill="FFFFFF"/>
        </w:rPr>
        <w:t>Source: Author’s own computation using Eview12 student lite</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Table 4.2.3 shows that the residuals of the estimated model are normally distributed. This conclusion is drawn from the </w:t>
      </w:r>
      <w:proofErr w:type="spellStart"/>
      <w:r w:rsidRPr="00DB21FC">
        <w:rPr>
          <w:rFonts w:ascii="Times New Roman" w:hAnsi="Times New Roman" w:cs="Times New Roman"/>
        </w:rPr>
        <w:t>Jarque</w:t>
      </w:r>
      <w:proofErr w:type="spellEnd"/>
      <w:r w:rsidRPr="00DB21FC">
        <w:rPr>
          <w:rFonts w:ascii="Times New Roman" w:hAnsi="Times New Roman" w:cs="Times New Roman"/>
        </w:rPr>
        <w:t>–</w:t>
      </w:r>
      <w:proofErr w:type="spellStart"/>
      <w:r w:rsidRPr="00DB21FC">
        <w:rPr>
          <w:rFonts w:ascii="Times New Roman" w:hAnsi="Times New Roman" w:cs="Times New Roman"/>
        </w:rPr>
        <w:t>Bera</w:t>
      </w:r>
      <w:proofErr w:type="spellEnd"/>
      <w:r w:rsidRPr="00DB21FC">
        <w:rPr>
          <w:rFonts w:ascii="Times New Roman" w:hAnsi="Times New Roman" w:cs="Times New Roman"/>
        </w:rPr>
        <w:t xml:space="preserve"> statistic value of 2.688173 and its corresponding probability value of 0.260778, which is greater than the 5% significance level. Since the probability value is not statistically significant at the 5% level, we fail to reject the null hypothesis of normality. Therefore, we conclude that the residuals of the model are normally distributed, indicating that the model is statistically sound and suitable for reliable inference.</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 xml:space="preserve">4.4 Hypothesis testing </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rPr>
        <w:t>The study established the following hypotheses:</w:t>
      </w:r>
    </w:p>
    <w:p w:rsidR="00BE44CE" w:rsidRPr="00DB21FC" w:rsidRDefault="00BE44CE" w:rsidP="005A37C1">
      <w:pPr>
        <w:pStyle w:val="ListParagraph"/>
        <w:spacing w:before="0" w:beforeAutospacing="0" w:line="480" w:lineRule="auto"/>
        <w:jc w:val="both"/>
        <w:rPr>
          <w:rFonts w:ascii="Times New Roman" w:hAnsi="Times New Roman" w:cs="Times New Roman"/>
        </w:rPr>
      </w:pPr>
      <w:r w:rsidRPr="00DB21FC">
        <w:rPr>
          <w:rStyle w:val="Strong"/>
          <w:rFonts w:ascii="Times New Roman" w:hAnsi="Times New Roman" w:cs="Times New Roman"/>
        </w:rPr>
        <w:lastRenderedPageBreak/>
        <w:t>H₀₁:</w:t>
      </w:r>
      <w:r w:rsidRPr="00DB21FC">
        <w:rPr>
          <w:rFonts w:ascii="Times New Roman" w:hAnsi="Times New Roman" w:cs="Times New Roman"/>
        </w:rPr>
        <w:t xml:space="preserve"> Exchange rate fluctuations have a significant effect on Nigeria’s economic growth in the short and long run.</w:t>
      </w:r>
    </w:p>
    <w:p w:rsidR="00BE44CE" w:rsidRPr="00DB21FC" w:rsidRDefault="00BE44CE" w:rsidP="005A37C1">
      <w:pPr>
        <w:pStyle w:val="ListParagraph"/>
        <w:spacing w:before="0" w:beforeAutospacing="0" w:line="480" w:lineRule="auto"/>
        <w:jc w:val="both"/>
        <w:rPr>
          <w:rFonts w:ascii="Times New Roman" w:hAnsi="Times New Roman" w:cs="Times New Roman"/>
        </w:rPr>
      </w:pPr>
      <w:r w:rsidRPr="00DB21FC">
        <w:rPr>
          <w:rStyle w:val="Strong"/>
          <w:rFonts w:ascii="Times New Roman" w:hAnsi="Times New Roman" w:cs="Times New Roman"/>
        </w:rPr>
        <w:t>H₁₂:</w:t>
      </w:r>
      <w:r w:rsidRPr="00DB21FC">
        <w:rPr>
          <w:rFonts w:ascii="Times New Roman" w:hAnsi="Times New Roman" w:cs="Times New Roman"/>
        </w:rPr>
        <w:t xml:space="preserve"> Inflation does not significantly influence the relationship between exchange rate movements and economic growth in Nigeria.</w:t>
      </w:r>
    </w:p>
    <w:p w:rsidR="00BE44CE" w:rsidRPr="00DB21FC" w:rsidRDefault="00BE44CE" w:rsidP="005A37C1">
      <w:pPr>
        <w:pStyle w:val="ListParagraph"/>
        <w:spacing w:before="0" w:beforeAutospacing="0" w:line="480" w:lineRule="auto"/>
        <w:jc w:val="both"/>
        <w:rPr>
          <w:rFonts w:ascii="Times New Roman" w:hAnsi="Times New Roman" w:cs="Times New Roman"/>
        </w:rPr>
      </w:pPr>
      <w:r w:rsidRPr="00DB21FC">
        <w:rPr>
          <w:rStyle w:val="Strong"/>
          <w:rFonts w:ascii="Times New Roman" w:hAnsi="Times New Roman" w:cs="Times New Roman"/>
        </w:rPr>
        <w:t>H₁₃:</w:t>
      </w:r>
      <w:r w:rsidRPr="00DB21FC">
        <w:rPr>
          <w:rFonts w:ascii="Times New Roman" w:hAnsi="Times New Roman" w:cs="Times New Roman"/>
        </w:rPr>
        <w:t xml:space="preserve"> Interest rate changes have no significant impact on Nigeria’s economic growth.</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The coefficient for EXR is 16.23076 with a p-value of 0.0218. Since the p-value &lt; 0.05, we accept the null hypothesis (H₀₁) for the long run. There is a significant positive effect</w:t>
      </w:r>
      <w:proofErr w:type="gramStart"/>
      <w:r w:rsidRPr="00DB21FC">
        <w:rPr>
          <w:rFonts w:ascii="Times New Roman" w:hAnsi="Times New Roman" w:cs="Times New Roman"/>
        </w:rPr>
        <w:t>..</w:t>
      </w:r>
      <w:proofErr w:type="gramEnd"/>
      <w:r w:rsidRPr="00DB21FC">
        <w:rPr>
          <w:rFonts w:ascii="Times New Roman" w:hAnsi="Times New Roman" w:cs="Times New Roman"/>
        </w:rPr>
        <w:t xml:space="preserve"> The coefficient for (EXR) is -2.333027 with a p-value of 0.0327. Since the p-value &lt; 0.05, the null hypothesis will be accepted (H₀₁) for the short run. There is a significant negative effect.</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The coefficients for inflation in the short and long run are 0.007073 with a p-value of 0.9136 and 0.148280 with a p-value of 0.8341. In both cases, the p-values are far greater than 0.05. Therefore, we fail to accept the null hypothesis (H₀₂). There is no statistical evidence to suggest that inflation significantly influences or moderates the relationship between the exchange rate and economic growth in Nigeria. Its effect is negligible and statistically insignificant.</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The coefficients for Interest rate in the long and short run are -2.511475 with a p-value of 0.1083.and 0.242283 with a p-value of 0.1997. In both the long and short run, the p-values exceed the 0.05 threshold. Therefore, we fail to accept the null hypothesis (H₀₃). The analysis concludes that interest rate changes do not have a statistically significant impact on economic growth in Nigeria within the context of this model.</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4.5 Discussion of Results</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The long-run coefficient on EXR = 16.2308 with p = 0.0218, which is statistically significant at the 5% level. The ARDL bounds test F-statistic = 11.42815, well above the upper bound, confirm </w:t>
      </w:r>
      <w:proofErr w:type="spellStart"/>
      <w:r w:rsidRPr="00DB21FC">
        <w:rPr>
          <w:rFonts w:ascii="Times New Roman" w:hAnsi="Times New Roman" w:cs="Times New Roman"/>
        </w:rPr>
        <w:lastRenderedPageBreak/>
        <w:t>cointegration</w:t>
      </w:r>
      <w:proofErr w:type="spellEnd"/>
      <w:r w:rsidRPr="00DB21FC">
        <w:rPr>
          <w:rFonts w:ascii="Times New Roman" w:hAnsi="Times New Roman" w:cs="Times New Roman"/>
        </w:rPr>
        <w:t xml:space="preserve"> (a long-run relationship). The error-correction term is −0.116 and significant, which further supports a stable long-run link. The short-run negative effect can be explained by Nigeria's heavy reliance on imported capital goods, raw materials, and refined petroleum products. An immediate depreciation increases the cost of these essential inputs, raising production costs and reducing output. This results is supported by previous research, for instance </w:t>
      </w: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et al. (2021) found that exchange rate has a positive and significant long-run effect on Nigeria’s economic growth, showing that exchange rate movements play an important role in the nation's macroeconomic performance. Also, Jonathan &amp; Rosemary (2019) reported that exchange rate positively and significantly affects economic growth both in the short run and long run in Nigeria. Similarly, </w:t>
      </w:r>
      <w:proofErr w:type="spellStart"/>
      <w:r w:rsidRPr="00DB21FC">
        <w:rPr>
          <w:rFonts w:ascii="Times New Roman" w:hAnsi="Times New Roman" w:cs="Times New Roman"/>
        </w:rPr>
        <w:t>Iyeli</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Utting</w:t>
      </w:r>
      <w:proofErr w:type="spellEnd"/>
      <w:r w:rsidRPr="00DB21FC">
        <w:rPr>
          <w:rFonts w:ascii="Times New Roman" w:hAnsi="Times New Roman" w:cs="Times New Roman"/>
        </w:rPr>
        <w:t xml:space="preserve"> (2017) found that exchange rates positively contributed to Nigeria’s GDP in the long run, meaning exchange rate changes help boost output and economic activity. More recently, </w:t>
      </w:r>
      <w:proofErr w:type="spellStart"/>
      <w:r w:rsidRPr="00DB21FC">
        <w:rPr>
          <w:rFonts w:ascii="Times New Roman" w:hAnsi="Times New Roman" w:cs="Times New Roman"/>
        </w:rPr>
        <w:t>Ogodo</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Egbaseimokumo</w:t>
      </w:r>
      <w:proofErr w:type="spellEnd"/>
      <w:r w:rsidRPr="00DB21FC">
        <w:rPr>
          <w:rFonts w:ascii="Times New Roman" w:hAnsi="Times New Roman" w:cs="Times New Roman"/>
        </w:rPr>
        <w:t xml:space="preserve"> (2024) confirmed that exchange rate has a significant long-run effect on economic growth in Nigeria under the ARDL model, supporting the presence of long-run co-movement between exchange rate and GDP.</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Inflation does not significantly influence the relationship between exchange rate movements and economic growth in Nigeria</w:t>
      </w:r>
      <w:proofErr w:type="gramStart"/>
      <w:r w:rsidRPr="00DB21FC">
        <w:rPr>
          <w:rFonts w:ascii="Times New Roman" w:hAnsi="Times New Roman" w:cs="Times New Roman"/>
        </w:rPr>
        <w:t>..</w:t>
      </w:r>
      <w:proofErr w:type="gramEnd"/>
      <w:r w:rsidRPr="00DB21FC">
        <w:rPr>
          <w:rFonts w:ascii="Times New Roman" w:hAnsi="Times New Roman" w:cs="Times New Roman"/>
        </w:rPr>
        <w:t xml:space="preserve"> This agrees with the findings of Mallik and Chowdhury (2001), which showed that the relationships between inflation and growth in developing economies are weak and often insignificant in the long term. Likewise, Salami and </w:t>
      </w:r>
      <w:proofErr w:type="spellStart"/>
      <w:r w:rsidRPr="00DB21FC">
        <w:rPr>
          <w:rFonts w:ascii="Times New Roman" w:hAnsi="Times New Roman" w:cs="Times New Roman"/>
        </w:rPr>
        <w:t>Kelikume</w:t>
      </w:r>
      <w:proofErr w:type="spellEnd"/>
      <w:r w:rsidRPr="00DB21FC">
        <w:rPr>
          <w:rFonts w:ascii="Times New Roman" w:hAnsi="Times New Roman" w:cs="Times New Roman"/>
        </w:rPr>
        <w:t xml:space="preserve"> (2010) demonstrated that inflation does not significantly stimulate economic growth and becomes harmful when it exceeds a manageable threshold. This supports the result of the present study that inflation is not an effective driver of economic performance in Nigeria.</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Interest rate changes have no significant impact on Nigeria’s economic growth, aligns with the findings of </w:t>
      </w:r>
      <w:proofErr w:type="spellStart"/>
      <w:r w:rsidRPr="00DB21FC">
        <w:rPr>
          <w:rFonts w:ascii="Times New Roman" w:hAnsi="Times New Roman" w:cs="Times New Roman"/>
        </w:rPr>
        <w:t>Obamuyi</w:t>
      </w:r>
      <w:proofErr w:type="spellEnd"/>
      <w:r w:rsidRPr="00DB21FC">
        <w:rPr>
          <w:rFonts w:ascii="Times New Roman" w:hAnsi="Times New Roman" w:cs="Times New Roman"/>
        </w:rPr>
        <w:t xml:space="preserve"> (2009), who reported that interest-rate fluctuations in Nigeria do not </w:t>
      </w:r>
      <w:r w:rsidRPr="00DB21FC">
        <w:rPr>
          <w:rFonts w:ascii="Times New Roman" w:hAnsi="Times New Roman" w:cs="Times New Roman"/>
        </w:rPr>
        <w:lastRenderedPageBreak/>
        <w:t xml:space="preserve">significantly promote long-run economic growth due to structural weaknesses in the financial system. </w:t>
      </w:r>
      <w:proofErr w:type="spellStart"/>
      <w:r w:rsidRPr="00DB21FC">
        <w:rPr>
          <w:rFonts w:ascii="Times New Roman" w:hAnsi="Times New Roman" w:cs="Times New Roman"/>
        </w:rPr>
        <w:t>Nwakanma</w:t>
      </w:r>
      <w:proofErr w:type="spellEnd"/>
      <w:r w:rsidRPr="00DB21FC">
        <w:rPr>
          <w:rFonts w:ascii="Times New Roman" w:hAnsi="Times New Roman" w:cs="Times New Roman"/>
        </w:rPr>
        <w:t xml:space="preserve">, </w:t>
      </w:r>
      <w:proofErr w:type="spellStart"/>
      <w:r w:rsidRPr="00DB21FC">
        <w:rPr>
          <w:rFonts w:ascii="Times New Roman" w:hAnsi="Times New Roman" w:cs="Times New Roman"/>
        </w:rPr>
        <w:t>Nnamdi</w:t>
      </w:r>
      <w:proofErr w:type="spellEnd"/>
      <w:r w:rsidRPr="00DB21FC">
        <w:rPr>
          <w:rFonts w:ascii="Times New Roman" w:hAnsi="Times New Roman" w:cs="Times New Roman"/>
        </w:rPr>
        <w:t xml:space="preserve">, and </w:t>
      </w:r>
      <w:proofErr w:type="spellStart"/>
      <w:r w:rsidRPr="00DB21FC">
        <w:rPr>
          <w:rFonts w:ascii="Times New Roman" w:hAnsi="Times New Roman" w:cs="Times New Roman"/>
        </w:rPr>
        <w:t>Omojefe</w:t>
      </w:r>
      <w:proofErr w:type="spellEnd"/>
      <w:r w:rsidRPr="00DB21FC">
        <w:rPr>
          <w:rFonts w:ascii="Times New Roman" w:hAnsi="Times New Roman" w:cs="Times New Roman"/>
        </w:rPr>
        <w:t xml:space="preserve"> (2014) also argued that interest-rate policy in Nigeria fails to significantly influence long-term investment </w:t>
      </w:r>
      <w:proofErr w:type="spellStart"/>
      <w:r w:rsidRPr="00DB21FC">
        <w:rPr>
          <w:rFonts w:ascii="Times New Roman" w:hAnsi="Times New Roman" w:cs="Times New Roman"/>
        </w:rPr>
        <w:t>behaviour</w:t>
      </w:r>
      <w:proofErr w:type="spellEnd"/>
      <w:r w:rsidRPr="00DB21FC">
        <w:rPr>
          <w:rFonts w:ascii="Times New Roman" w:hAnsi="Times New Roman" w:cs="Times New Roman"/>
        </w:rPr>
        <w:t xml:space="preserve"> because credit access remains limited and concentrated in a few financial sectors. This suggests that Nigeria’s interest-rate channel is weak in transmitting monetary policy to the real economy, thereby supporting the present study’s result.</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Earlier studies such as Isola et al. (2016) focused mainly on the short-run effects of exchange rate fluctuations on economic growth, showing that exchange rate volatility affects growth only temporarily but not in the long run. Similarly, </w:t>
      </w:r>
      <w:proofErr w:type="spellStart"/>
      <w:r w:rsidRPr="00DB21FC">
        <w:rPr>
          <w:rFonts w:ascii="Times New Roman" w:hAnsi="Times New Roman" w:cs="Times New Roman"/>
        </w:rPr>
        <w:t>Dabwor</w:t>
      </w:r>
      <w:proofErr w:type="spellEnd"/>
      <w:r w:rsidRPr="00DB21FC">
        <w:rPr>
          <w:rFonts w:ascii="Times New Roman" w:hAnsi="Times New Roman" w:cs="Times New Roman"/>
        </w:rPr>
        <w:t xml:space="preserve"> et al. (2018) and </w:t>
      </w:r>
      <w:proofErr w:type="spellStart"/>
      <w:r w:rsidRPr="00DB21FC">
        <w:rPr>
          <w:rFonts w:ascii="Times New Roman" w:hAnsi="Times New Roman" w:cs="Times New Roman"/>
        </w:rPr>
        <w:t>Kanu</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Nwadiubu</w:t>
      </w:r>
      <w:proofErr w:type="spellEnd"/>
      <w:r w:rsidRPr="00DB21FC">
        <w:rPr>
          <w:rFonts w:ascii="Times New Roman" w:hAnsi="Times New Roman" w:cs="Times New Roman"/>
        </w:rPr>
        <w:t xml:space="preserve"> (2020) examined the effect of exchange rate on Nigeria’s trade and macroeconomic performance but did not explore the nature and strength of the long-run equilibrium relationship among variables. However, this present study, using the Autoregressive Distributed Lag (ARDL) model, has established the existence of a long-run relationship among exchange rate, interest rate, inflation rate, and economic growth in Nigeria. The ARDL bounds test result (F-statistic = 26.82870) exceeded the 5% upper critical value, confirming </w:t>
      </w:r>
      <w:proofErr w:type="spellStart"/>
      <w:r w:rsidRPr="00DB21FC">
        <w:rPr>
          <w:rFonts w:ascii="Times New Roman" w:hAnsi="Times New Roman" w:cs="Times New Roman"/>
        </w:rPr>
        <w:t>cointegration</w:t>
      </w:r>
      <w:proofErr w:type="spellEnd"/>
      <w:r w:rsidRPr="00DB21FC">
        <w:rPr>
          <w:rFonts w:ascii="Times New Roman" w:hAnsi="Times New Roman" w:cs="Times New Roman"/>
        </w:rPr>
        <w:t xml:space="preserve"> among the variables. This implies that exchange rate, interest rate, and inflation jointly influence economic growth over time not merely in the short term. By integrating both the short-run and long-run dynamics, the study extends previous works that stopped at </w:t>
      </w:r>
      <w:proofErr w:type="spellStart"/>
      <w:r w:rsidRPr="00DB21FC">
        <w:rPr>
          <w:rFonts w:ascii="Times New Roman" w:hAnsi="Times New Roman" w:cs="Times New Roman"/>
        </w:rPr>
        <w:t>cointegration</w:t>
      </w:r>
      <w:proofErr w:type="spellEnd"/>
      <w:r w:rsidRPr="00DB21FC">
        <w:rPr>
          <w:rFonts w:ascii="Times New Roman" w:hAnsi="Times New Roman" w:cs="Times New Roman"/>
        </w:rPr>
        <w:t xml:space="preserve"> tests. The inclusion of the error correction term (ECM), which was negative and significant (-0.053041), provides strong evidence of adjustment from short-run disequilibrium to long-run stability. Therefore, this study bridges the gap left by earlier research by quantifying the speed at which short-run deviations are corrected and equilibrium is restored in the Nigerian economy.</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lastRenderedPageBreak/>
        <w:t xml:space="preserve">Several past studies such as </w:t>
      </w:r>
      <w:proofErr w:type="spellStart"/>
      <w:r w:rsidRPr="00DB21FC">
        <w:rPr>
          <w:rFonts w:ascii="Times New Roman" w:hAnsi="Times New Roman" w:cs="Times New Roman"/>
        </w:rPr>
        <w:t>Dabwor</w:t>
      </w:r>
      <w:proofErr w:type="spellEnd"/>
      <w:r w:rsidRPr="00DB21FC">
        <w:rPr>
          <w:rFonts w:ascii="Times New Roman" w:hAnsi="Times New Roman" w:cs="Times New Roman"/>
        </w:rPr>
        <w:t xml:space="preserve"> et al. (2018), </w:t>
      </w:r>
      <w:proofErr w:type="spellStart"/>
      <w:r w:rsidRPr="00DB21FC">
        <w:rPr>
          <w:rFonts w:ascii="Times New Roman" w:hAnsi="Times New Roman" w:cs="Times New Roman"/>
        </w:rPr>
        <w:t>Kanu</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Nwadiubu</w:t>
      </w:r>
      <w:proofErr w:type="spellEnd"/>
      <w:r w:rsidRPr="00DB21FC">
        <w:rPr>
          <w:rFonts w:ascii="Times New Roman" w:hAnsi="Times New Roman" w:cs="Times New Roman"/>
        </w:rPr>
        <w:t xml:space="preserve"> (2020), and </w:t>
      </w:r>
      <w:proofErr w:type="spellStart"/>
      <w:r w:rsidRPr="00DB21FC">
        <w:rPr>
          <w:rFonts w:ascii="Times New Roman" w:hAnsi="Times New Roman" w:cs="Times New Roman"/>
        </w:rPr>
        <w:t>Onwuliri</w:t>
      </w:r>
      <w:proofErr w:type="spellEnd"/>
      <w:r w:rsidRPr="00DB21FC">
        <w:rPr>
          <w:rFonts w:ascii="Times New Roman" w:hAnsi="Times New Roman" w:cs="Times New Roman"/>
        </w:rPr>
        <w:t xml:space="preserve"> et al. (2024) did not include critical macroeconomic indicators like inflation rate and interest rate in their models. As a result, they provided a limited understanding of how monetary variables jointly influence economic growth through exchange rate movements. This study overcomes that limitation by incorporating both interest rate (INTR) and inflation rate (INFR) as control variables in the ARDL model. The inclusion of these variables allowed a more comprehensive analysis of how monetary policy and price stability affect growth outcomes in Nigeria. The findings revealed that exchange rate and interest rate have significant positive long-run effects on economic growth, while inflation rate showed a positive but statistically insignificant impact. This expanded scope demonstrates that while exchange rate and interest rate channels are crucial for growth, inflation’s effect remains mild possibly due to structural factors in the economy. Thus, by capturing the combined effects of these key macroeconomic variables, this study provides a more holistic view of Nigeria’s macroeconomic dynamics and addresses the under-specification weaknesses identified in previous research.</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The results also align with the Mundell–Fleming Model, which was adopted as the theoretical framework. The model predicts that exchange rate and interest rate movements influence national income in an open economy through trade and capital flow adjustments. The positive relationship between exchange rate and economic growth observed here confirms this theoretical prediction. Moreover, the empirical results support the works of </w:t>
      </w: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et al. (2021) and </w:t>
      </w:r>
      <w:proofErr w:type="spellStart"/>
      <w:r w:rsidRPr="00DB21FC">
        <w:rPr>
          <w:rFonts w:ascii="Times New Roman" w:hAnsi="Times New Roman" w:cs="Times New Roman"/>
        </w:rPr>
        <w:t>Ogodo</w:t>
      </w:r>
      <w:proofErr w:type="spellEnd"/>
      <w:r w:rsidRPr="00DB21FC">
        <w:rPr>
          <w:rFonts w:ascii="Times New Roman" w:hAnsi="Times New Roman" w:cs="Times New Roman"/>
        </w:rPr>
        <w:t xml:space="preserve"> &amp; </w:t>
      </w:r>
      <w:proofErr w:type="spellStart"/>
      <w:r w:rsidRPr="00DB21FC">
        <w:rPr>
          <w:rFonts w:ascii="Times New Roman" w:hAnsi="Times New Roman" w:cs="Times New Roman"/>
        </w:rPr>
        <w:t>Egbaseimokumo</w:t>
      </w:r>
      <w:proofErr w:type="spellEnd"/>
      <w:r w:rsidRPr="00DB21FC">
        <w:rPr>
          <w:rFonts w:ascii="Times New Roman" w:hAnsi="Times New Roman" w:cs="Times New Roman"/>
        </w:rPr>
        <w:t xml:space="preserve"> (2024), who reported that a well-managed exchange rate can enhance Nigeria’s long-run economic performance. The combination of theoretical validation and empirical evidence strengthens the contribution of this study to the body of knowledge.</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4.6 Summary of findings</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lastRenderedPageBreak/>
        <w:t>This study investigated the impact of exchange rate, inflation rate, and interest rate on economic growth in Nigeria using the ARDL model. The estimation results from Chapter Four revealed that Exchange rate significantly influences economic growth in the long run. The long-run ARDL coefficient for exchange rate was positive and statistically significant (Coefficient = 16.23076; p-value = 0.0218). This means that an increase in exchange rate leads to an increase in real GDP in the long run. Therefore, exchange rate plays an important role in determining Nigeria’s economic growth path over time. Inflation rate does not significantly affect economic growth in the long run. The long-run inflation coefficient was positive but statistically insignificant (Coefficient = 0.14832; p-value = 0.8341). It implies that inflation does not meaningfully drive long-term economic performance in Nigeria, likely due to persistent price instability and cost-push factors. Interest rate has no significant long-run impact on economic growth. The long-run interest rate coefficient was negative and statistically insignificant (Coefficient = -2.51140; p-value = 0.1083). This suggests that increases in interest rate discourage investment but do not significantly influence long-run GDP, possibly due to credit access challenges and weak monetary transmission mechanisms.</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In the Short-run exchange rate effect was significant, but in the opposite direction, (Coefficient = -2.33302; p-value = 0.0327). This indicates that sudden exchange rate increases reduce economic growth in the short run, reflecting Nigeria’s reliance on imported goods and production inputs.</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The Error Correction Term (ECT) confirmed long-run equilibrium adjustment, (ECT coefficient = -0.116; p &lt; 0.01) means about 11.6% of any short-run deviation from long-run GDP equilibrium adjusts back each year, validating the presence of long-run stability.</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Model diagnostic tests confirmed reliability; No serial correlation (DW ≈ 2.0), No </w:t>
      </w: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Residuals normally distributed.</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lastRenderedPageBreak/>
        <w:t>These confirm that the model is well-specified and statistically valid.</w:t>
      </w: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spacing w:before="0" w:beforeAutospacing="0" w:line="480" w:lineRule="auto"/>
        <w:jc w:val="center"/>
        <w:rPr>
          <w:rFonts w:ascii="Times New Roman" w:hAnsi="Times New Roman" w:cs="Times New Roman"/>
          <w:b/>
        </w:rPr>
      </w:pPr>
    </w:p>
    <w:p w:rsidR="006C3D62" w:rsidRDefault="006C3D62" w:rsidP="005A37C1">
      <w:pPr>
        <w:spacing w:before="0" w:beforeAutospacing="0" w:line="480" w:lineRule="auto"/>
        <w:jc w:val="center"/>
        <w:rPr>
          <w:rFonts w:ascii="Times New Roman" w:hAnsi="Times New Roman" w:cs="Times New Roman"/>
          <w:b/>
        </w:rPr>
      </w:pPr>
    </w:p>
    <w:p w:rsidR="006C3D62" w:rsidRDefault="006C3D62" w:rsidP="005A37C1">
      <w:pPr>
        <w:spacing w:before="0" w:beforeAutospacing="0" w:line="480" w:lineRule="auto"/>
        <w:jc w:val="center"/>
        <w:rPr>
          <w:rFonts w:ascii="Times New Roman" w:hAnsi="Times New Roman" w:cs="Times New Roman"/>
          <w:b/>
        </w:rPr>
      </w:pPr>
    </w:p>
    <w:p w:rsidR="00BE44CE" w:rsidRDefault="00BE44CE" w:rsidP="005A37C1">
      <w:pPr>
        <w:spacing w:before="0" w:beforeAutospacing="0" w:line="480" w:lineRule="auto"/>
        <w:jc w:val="center"/>
        <w:rPr>
          <w:rFonts w:ascii="Times New Roman" w:hAnsi="Times New Roman" w:cs="Times New Roman"/>
          <w:b/>
        </w:rPr>
      </w:pPr>
      <w:r w:rsidRPr="00DB21FC">
        <w:rPr>
          <w:rFonts w:ascii="Times New Roman" w:hAnsi="Times New Roman" w:cs="Times New Roman"/>
          <w:b/>
        </w:rPr>
        <w:t>CHAPTER FIVE</w:t>
      </w:r>
    </w:p>
    <w:p w:rsidR="006C3D62" w:rsidRPr="00DB21FC" w:rsidRDefault="006C3D62" w:rsidP="005A37C1">
      <w:pPr>
        <w:spacing w:before="0" w:beforeAutospacing="0" w:line="480" w:lineRule="auto"/>
        <w:jc w:val="center"/>
        <w:rPr>
          <w:rFonts w:ascii="Times New Roman" w:hAnsi="Times New Roman" w:cs="Times New Roman"/>
          <w:b/>
        </w:rPr>
      </w:pPr>
      <w:r>
        <w:rPr>
          <w:rFonts w:ascii="Times New Roman" w:hAnsi="Times New Roman" w:cs="Times New Roman"/>
          <w:b/>
        </w:rPr>
        <w:t xml:space="preserve">SUMMARY, CONCLUSION, </w:t>
      </w:r>
      <w:r w:rsidR="002406AE">
        <w:rPr>
          <w:rFonts w:ascii="Times New Roman" w:hAnsi="Times New Roman" w:cs="Times New Roman"/>
          <w:b/>
        </w:rPr>
        <w:t xml:space="preserve">AND </w:t>
      </w:r>
      <w:r>
        <w:rPr>
          <w:rFonts w:ascii="Times New Roman" w:hAnsi="Times New Roman" w:cs="Times New Roman"/>
          <w:b/>
        </w:rPr>
        <w:t xml:space="preserve">RECOMMENDATION </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5.0 Introduction</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This chapter contains summary of the major findings, conclusion, policy recommendation, contribution of the studies and suggestion for further research.</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b/>
        </w:rPr>
        <w:t>5.1 Summary of the major findings</w:t>
      </w:r>
      <w:r w:rsidRPr="00DB21FC">
        <w:rPr>
          <w:rFonts w:ascii="Times New Roman" w:hAnsi="Times New Roman" w:cs="Times New Roman"/>
        </w:rPr>
        <w:t xml:space="preserve"> </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This study investigated the effects of exchange rate, inflation rate, and interest rate on economic growth in Nigeria using the ARDL model. The analysis was based on annual time-series data, and the model captured both the short-run dynamics and long-run equilibrium relationships among the variables. The ARDL bounds test confirmed the existence of a long-run relationship among the variables with an F-statistic value of 11.42815, which was greater than the upper </w:t>
      </w:r>
      <w:r w:rsidRPr="00DB21FC">
        <w:rPr>
          <w:rFonts w:ascii="Times New Roman" w:hAnsi="Times New Roman" w:cs="Times New Roman"/>
        </w:rPr>
        <w:lastRenderedPageBreak/>
        <w:t xml:space="preserve">bound critical value at the 5% significance level. The long-run results showed that exchange rate had a positive and significant effect on economic growth (Coefficient = 16.23076; p = 0.0218), while inflation rate (Coefficient = 0.1483; p = 0.8341) and interest rate (Coefficient = -2.5114; p = 0.1083) had no significant long-run effect. In the short run, the exchange rate had a negative and significant impact on growth (Coefficient = -2.3330; p = 0.0327), while inflation and interest rate had insignificant effects. The error correction term (ECT = -0.116; p &lt; 0.01) indicated that 11.6% of any disequilibrium was corrected annually, confirming long-run stability. Diagnostic tests confirmed the absence of serial correlation, </w:t>
      </w:r>
      <w:proofErr w:type="spellStart"/>
      <w:r w:rsidRPr="00DB21FC">
        <w:rPr>
          <w:rFonts w:ascii="Times New Roman" w:hAnsi="Times New Roman" w:cs="Times New Roman"/>
        </w:rPr>
        <w:t>heteroskedasticity</w:t>
      </w:r>
      <w:proofErr w:type="spellEnd"/>
      <w:r w:rsidRPr="00DB21FC">
        <w:rPr>
          <w:rFonts w:ascii="Times New Roman" w:hAnsi="Times New Roman" w:cs="Times New Roman"/>
        </w:rPr>
        <w:t>, and non-normality test confirmed model stability. Exchange rate has a significant positive impact on economic growth in the long run. Inflation rate has a positive but insignificant effect on economic growth in the long run. Interest rate has a negative but insignificant relationship with economic growth in the long run. In the short run, exchange rate fluctuations have an immediate negative effect on growth. The error correction mechanism confirms that the economy gradually adjusts toward long-run equilibrium. All diagnostic tests show that the model is reliable, stable, and well-specified.</w:t>
      </w:r>
      <w:r w:rsidRPr="00DB21FC">
        <w:rPr>
          <w:rFonts w:ascii="Times New Roman" w:hAnsi="Times New Roman" w:cs="Times New Roman"/>
        </w:rPr>
        <w:br/>
      </w:r>
      <w:r w:rsidRPr="00DB21FC">
        <w:rPr>
          <w:rFonts w:ascii="Times New Roman" w:hAnsi="Times New Roman" w:cs="Times New Roman"/>
          <w:b/>
        </w:rPr>
        <w:t xml:space="preserve">5.3 Conclusion </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The study concludes that exchange rate is the most important macroeconomic variable influencing Nigeria’s long-run economic growth. A stable and well-managed exchange rate fosters economic expansion through improved trade and investment performance. Inflation and interest rates, however, were found to have insignificant long-run effects on growth due to weak monetary policy transmission and structural economic constraints. Maintaining exchange rate stability is therefore essential for achieving sustainable economic growth in Nigeria. The findings of this study are consistent with the predictions of the Mundell–Fleming model, which explains </w:t>
      </w:r>
      <w:r w:rsidRPr="00DB21FC">
        <w:rPr>
          <w:rFonts w:ascii="Times New Roman" w:hAnsi="Times New Roman" w:cs="Times New Roman"/>
        </w:rPr>
        <w:lastRenderedPageBreak/>
        <w:t>how monetary and fiscal policies operate in an open economy under different exchange rate regimes. According to this model, in a small open economy like Nigeria, the exchange rate plays a dominant role in determining national income and output growth. The positive and significant long-run relationship between exchange rate and economic growth observed in this study supports the Mundell–Fleming framework, which posits that exchange rate adjustments can influence net exports and aggregate demand, when the domestic currency depreciates moderately, exports become cheaper and more competitive, stimulating domestic production and increasing output in the long run.</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Furthermore, the insignificant effects of interest rate and inflation on economic growth also align with the model’s theoretical expectations. The Mundell–Fleming model suggests that under a flexible exchange rate system, monetary policy becomes less effective because capital mobility and exchange rate adjustments often offset its domestic impact. This explains why changes in interest rate in Nigeria did not significantly influence real output in the long run. Similarly, the weak influence of inflation on growth is consistent with the model’s implication that inflation in an open economy is often driven by external shocks and exchange rate which pass through effects rather than domestic output expansion. Overall, the empirical evidence from this study tallies with the Mundell–Fleming model by showing that exchange rate serves as the main transmission channel through which macroeconomic policies affect Nigeria’s economic growth, while interest rate and inflation have limited long-run impacts due to structural and policy transmission weaknesses.</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5.4 Policy Recommendation</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sz w:val="26"/>
        </w:rPr>
        <w:t xml:space="preserve"> </w:t>
      </w:r>
      <w:r w:rsidRPr="00DB21FC">
        <w:rPr>
          <w:rFonts w:ascii="Times New Roman" w:hAnsi="Times New Roman" w:cs="Times New Roman"/>
        </w:rPr>
        <w:t xml:space="preserve">Maintain a Stable and Competitive Exchange Rate: This study found that exchange rate has a significant positive effect on Nigeria’s economic growth in the long run. Therefore, the </w:t>
      </w:r>
      <w:r w:rsidRPr="00DB21FC">
        <w:rPr>
          <w:rFonts w:ascii="Times New Roman" w:hAnsi="Times New Roman" w:cs="Times New Roman"/>
        </w:rPr>
        <w:lastRenderedPageBreak/>
        <w:t xml:space="preserve">government and the Central Bank of Nigeria (CBN) should implement policies that maintain exchange rate stability and reduce volatility. This recommendation agrees with </w:t>
      </w: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et al. (2021) and </w:t>
      </w:r>
      <w:proofErr w:type="spellStart"/>
      <w:r w:rsidRPr="00DB21FC">
        <w:rPr>
          <w:rFonts w:ascii="Times New Roman" w:hAnsi="Times New Roman" w:cs="Times New Roman"/>
        </w:rPr>
        <w:t>Olanrewaju</w:t>
      </w:r>
      <w:proofErr w:type="spellEnd"/>
      <w:r w:rsidRPr="00DB21FC">
        <w:rPr>
          <w:rFonts w:ascii="Times New Roman" w:hAnsi="Times New Roman" w:cs="Times New Roman"/>
        </w:rPr>
        <w:t xml:space="preserve"> et al. (2020), who emphasized that stable exchange rate movements promote investment confidence, export competitiveness, and long-run growth. Similarly, </w:t>
      </w:r>
      <w:proofErr w:type="spellStart"/>
      <w:r w:rsidRPr="00DB21FC">
        <w:rPr>
          <w:rFonts w:ascii="Times New Roman" w:hAnsi="Times New Roman" w:cs="Times New Roman"/>
        </w:rPr>
        <w:t>Azeez</w:t>
      </w:r>
      <w:proofErr w:type="spellEnd"/>
      <w:r w:rsidRPr="00DB21FC">
        <w:rPr>
          <w:rFonts w:ascii="Times New Roman" w:hAnsi="Times New Roman" w:cs="Times New Roman"/>
        </w:rPr>
        <w:t xml:space="preserve"> et al. (2022) suggested that exchange rate management policies should aim at reducing speculative pressure and ensuring an environment that supports sustainable trade and output expansion.</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 Control Inflation through Productive and Structural Policies: Since inflation was found to have a weak and insignificant effect on growth, efforts should focus on reducing cost-push inflation rather than relying only on monetary tightening. This can be achieved by improving domestic production, stabilizing the exchange rate, and addressing supply-side constraints. This policy direction aligns with </w:t>
      </w:r>
      <w:proofErr w:type="spellStart"/>
      <w:r w:rsidRPr="00DB21FC">
        <w:rPr>
          <w:rFonts w:ascii="Times New Roman" w:hAnsi="Times New Roman" w:cs="Times New Roman"/>
        </w:rPr>
        <w:t>Bala</w:t>
      </w:r>
      <w:proofErr w:type="spellEnd"/>
      <w:r w:rsidRPr="00DB21FC">
        <w:rPr>
          <w:rFonts w:ascii="Times New Roman" w:hAnsi="Times New Roman" w:cs="Times New Roman"/>
        </w:rPr>
        <w:t xml:space="preserve"> et al. (2016), who argued that inflation in Nigeria is mainly structural and should be managed through improved infrastructure, agricultural productivity, and industrial reforms. Isola et al. (2016) also supported that moderate inflation can support growth if backed by strong production capacity and price stability.</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 xml:space="preserve">Reduce Lending Rates and Improve Access to Credit: The negative but insignificant effect of interest rate on growth suggests that high lending rates discourage investment and limit private sector expansion. The CBN should therefore design interest rate policies that make credit more accessible to productive sectors, especially small and medium enterprises (SMEs). This recommendation is supported by </w:t>
      </w:r>
      <w:proofErr w:type="spellStart"/>
      <w:r w:rsidRPr="00DB21FC">
        <w:rPr>
          <w:rFonts w:ascii="Times New Roman" w:hAnsi="Times New Roman" w:cs="Times New Roman"/>
        </w:rPr>
        <w:t>Obamuyi</w:t>
      </w:r>
      <w:proofErr w:type="spellEnd"/>
      <w:r w:rsidRPr="00DB21FC">
        <w:rPr>
          <w:rFonts w:ascii="Times New Roman" w:hAnsi="Times New Roman" w:cs="Times New Roman"/>
        </w:rPr>
        <w:t xml:space="preserve"> (2009) and Isola et al. (2016), who both found that lower interest rates and improved credit accessibility stimulate private investment and enhance output growth. </w:t>
      </w:r>
      <w:proofErr w:type="spellStart"/>
      <w:r w:rsidRPr="00DB21FC">
        <w:rPr>
          <w:rFonts w:ascii="Times New Roman" w:hAnsi="Times New Roman" w:cs="Times New Roman"/>
        </w:rPr>
        <w:t>Bala</w:t>
      </w:r>
      <w:proofErr w:type="spellEnd"/>
      <w:r w:rsidRPr="00DB21FC">
        <w:rPr>
          <w:rFonts w:ascii="Times New Roman" w:hAnsi="Times New Roman" w:cs="Times New Roman"/>
        </w:rPr>
        <w:t xml:space="preserve"> et al. (2016) also highlighted the importance of an efficient financial system to transmit monetary policy effectively.</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lastRenderedPageBreak/>
        <w:t>5.5 Contribution to Study</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This study provides empirical evidence that exchange rate significantly and positively affects Nigeria’s long-run economic growth, while inflation and interest rates do not. It demonstrates long-run equilibrium adjustment through a significant error correction mechanism, contributing to existing macroeconomic literature on Nigeria's growth behavior.</w:t>
      </w:r>
    </w:p>
    <w:p w:rsidR="00BE44CE" w:rsidRPr="00DB21FC" w:rsidRDefault="00BE44CE" w:rsidP="005A37C1">
      <w:pPr>
        <w:spacing w:before="0" w:beforeAutospacing="0" w:line="480" w:lineRule="auto"/>
        <w:jc w:val="both"/>
        <w:rPr>
          <w:rFonts w:ascii="Times New Roman" w:hAnsi="Times New Roman" w:cs="Times New Roman"/>
          <w:b/>
        </w:rPr>
      </w:pPr>
      <w:r w:rsidRPr="00DB21FC">
        <w:rPr>
          <w:rFonts w:ascii="Times New Roman" w:hAnsi="Times New Roman" w:cs="Times New Roman"/>
          <w:b/>
        </w:rPr>
        <w:t>5.6 Suggestions for further research</w:t>
      </w:r>
    </w:p>
    <w:p w:rsidR="00BE44CE" w:rsidRPr="00DB21FC" w:rsidRDefault="00BE44CE" w:rsidP="005A37C1">
      <w:pPr>
        <w:spacing w:before="0" w:beforeAutospacing="0" w:line="480" w:lineRule="auto"/>
        <w:jc w:val="both"/>
        <w:rPr>
          <w:rFonts w:ascii="Times New Roman" w:hAnsi="Times New Roman" w:cs="Times New Roman"/>
        </w:rPr>
      </w:pPr>
      <w:r w:rsidRPr="00DB21FC">
        <w:rPr>
          <w:rFonts w:ascii="Times New Roman" w:hAnsi="Times New Roman" w:cs="Times New Roman"/>
        </w:rPr>
        <w:t>Future research could include other macroeconomic variables, such as money supply or government expenditure, use longer datasets or advanced techniques like Nonlinear ARDL or VECM, and conduct comparative studies across African economies to better assess the impacts of macroeconomic policies.</w:t>
      </w: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rPr>
      </w:pPr>
    </w:p>
    <w:p w:rsidR="00BE44CE" w:rsidRPr="00DB21FC" w:rsidRDefault="00BE44CE" w:rsidP="005A37C1">
      <w:pPr>
        <w:rPr>
          <w:rFonts w:ascii="Times New Roman" w:hAnsi="Times New Roman" w:cs="Times New Roman"/>
          <w:b/>
          <w:bCs/>
        </w:rPr>
      </w:pPr>
      <w:r w:rsidRPr="00DB21FC">
        <w:rPr>
          <w:rFonts w:ascii="Times New Roman" w:hAnsi="Times New Roman" w:cs="Times New Roman"/>
          <w:b/>
          <w:bCs/>
        </w:rPr>
        <w:t xml:space="preserve">References </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t>Dabwor</w:t>
      </w:r>
      <w:proofErr w:type="spellEnd"/>
      <w:r w:rsidRPr="00DB21FC">
        <w:rPr>
          <w:rFonts w:ascii="Times New Roman" w:hAnsi="Times New Roman" w:cs="Times New Roman"/>
        </w:rPr>
        <w:t xml:space="preserve">, T. D., </w:t>
      </w:r>
      <w:proofErr w:type="spellStart"/>
      <w:r w:rsidRPr="00DB21FC">
        <w:rPr>
          <w:rFonts w:ascii="Times New Roman" w:hAnsi="Times New Roman" w:cs="Times New Roman"/>
        </w:rPr>
        <w:t>Orok</w:t>
      </w:r>
      <w:proofErr w:type="spellEnd"/>
      <w:r w:rsidRPr="00DB21FC">
        <w:rPr>
          <w:rFonts w:ascii="Times New Roman" w:hAnsi="Times New Roman" w:cs="Times New Roman"/>
        </w:rPr>
        <w:t xml:space="preserve">, A. E., &amp; </w:t>
      </w:r>
      <w:proofErr w:type="spellStart"/>
      <w:r w:rsidRPr="00DB21FC">
        <w:rPr>
          <w:rFonts w:ascii="Times New Roman" w:hAnsi="Times New Roman" w:cs="Times New Roman"/>
        </w:rPr>
        <w:t>Ekeocha</w:t>
      </w:r>
      <w:proofErr w:type="spellEnd"/>
      <w:r w:rsidRPr="00DB21FC">
        <w:rPr>
          <w:rFonts w:ascii="Times New Roman" w:hAnsi="Times New Roman" w:cs="Times New Roman"/>
        </w:rPr>
        <w:t>, P. C. (2018). Exchange rate dynamics and macroeconomic performance in Nigeria: A trade-focused analysis. Nigerian Journal of Economic and Social Studies, 60(1), 89-110.</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E. L., </w:t>
      </w:r>
      <w:proofErr w:type="spellStart"/>
      <w:r w:rsidRPr="00DB21FC">
        <w:rPr>
          <w:rFonts w:ascii="Times New Roman" w:hAnsi="Times New Roman" w:cs="Times New Roman"/>
        </w:rPr>
        <w:t>Etowa</w:t>
      </w:r>
      <w:proofErr w:type="spellEnd"/>
      <w:r w:rsidRPr="00DB21FC">
        <w:rPr>
          <w:rFonts w:ascii="Times New Roman" w:hAnsi="Times New Roman" w:cs="Times New Roman"/>
        </w:rPr>
        <w:t xml:space="preserve">, E. E., &amp; </w:t>
      </w:r>
      <w:proofErr w:type="spellStart"/>
      <w:r w:rsidRPr="00DB21FC">
        <w:rPr>
          <w:rFonts w:ascii="Times New Roman" w:hAnsi="Times New Roman" w:cs="Times New Roman"/>
        </w:rPr>
        <w:t>Nsang</w:t>
      </w:r>
      <w:proofErr w:type="spellEnd"/>
      <w:r w:rsidRPr="00DB21FC">
        <w:rPr>
          <w:rFonts w:ascii="Times New Roman" w:hAnsi="Times New Roman" w:cs="Times New Roman"/>
        </w:rPr>
        <w:t>, B. N. (2021). Exchange rate and economic growth in Nigeria: An empirical investigation. Journal of Finance and Economics, 9(1), 1-11.</w:t>
      </w:r>
    </w:p>
    <w:p w:rsidR="00BE44CE" w:rsidRPr="00DB21FC" w:rsidRDefault="00BE44CE" w:rsidP="005A37C1">
      <w:pPr>
        <w:spacing w:before="0" w:beforeAutospacing="0" w:line="240" w:lineRule="auto"/>
        <w:ind w:left="720" w:hanging="720"/>
        <w:jc w:val="both"/>
        <w:rPr>
          <w:rFonts w:ascii="Times New Roman" w:hAnsi="Times New Roman" w:cs="Times New Roman"/>
        </w:rPr>
      </w:pPr>
      <w:r w:rsidRPr="00DB21FC">
        <w:rPr>
          <w:rFonts w:ascii="Times New Roman" w:hAnsi="Times New Roman" w:cs="Times New Roman"/>
        </w:rPr>
        <w:t xml:space="preserve">Isola, L. A., </w:t>
      </w:r>
      <w:proofErr w:type="spellStart"/>
      <w:r w:rsidRPr="00DB21FC">
        <w:rPr>
          <w:rFonts w:ascii="Times New Roman" w:hAnsi="Times New Roman" w:cs="Times New Roman"/>
        </w:rPr>
        <w:t>Mesagan</w:t>
      </w:r>
      <w:proofErr w:type="spellEnd"/>
      <w:r w:rsidRPr="00DB21FC">
        <w:rPr>
          <w:rFonts w:ascii="Times New Roman" w:hAnsi="Times New Roman" w:cs="Times New Roman"/>
        </w:rPr>
        <w:t xml:space="preserve">, P. E., &amp; </w:t>
      </w:r>
      <w:proofErr w:type="spellStart"/>
      <w:r w:rsidRPr="00DB21FC">
        <w:rPr>
          <w:rFonts w:ascii="Times New Roman" w:hAnsi="Times New Roman" w:cs="Times New Roman"/>
        </w:rPr>
        <w:t>Akinbode</w:t>
      </w:r>
      <w:proofErr w:type="spellEnd"/>
      <w:r w:rsidRPr="00DB21FC">
        <w:rPr>
          <w:rFonts w:ascii="Times New Roman" w:hAnsi="Times New Roman" w:cs="Times New Roman"/>
        </w:rPr>
        <w:t>, S. O. (2016). Exchange rate volatility and economic growth in Nigeria: An empirical investigation. Journal of Sustainable Development, 9(4), 242-252.</w:t>
      </w:r>
    </w:p>
    <w:p w:rsidR="00BE44CE" w:rsidRPr="00DB21FC" w:rsidRDefault="00BE44CE" w:rsidP="005A37C1">
      <w:pPr>
        <w:spacing w:before="0" w:beforeAutospacing="0" w:line="240" w:lineRule="auto"/>
        <w:ind w:left="720" w:hanging="720"/>
        <w:jc w:val="both"/>
        <w:rPr>
          <w:rFonts w:ascii="Times New Roman" w:hAnsi="Times New Roman" w:cs="Times New Roman"/>
        </w:rPr>
      </w:pPr>
      <w:r w:rsidRPr="00DB21FC">
        <w:rPr>
          <w:rFonts w:ascii="Times New Roman" w:hAnsi="Times New Roman" w:cs="Times New Roman"/>
        </w:rPr>
        <w:t>Mallik, G., &amp; Chowdhury, A. (2001). Inflation and economic growth: Evidence from four south Asian countries. *Asia-Pacific Development Journal, 8*(1), 123-135.</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t>Nwakanma</w:t>
      </w:r>
      <w:proofErr w:type="spellEnd"/>
      <w:r w:rsidRPr="00DB21FC">
        <w:rPr>
          <w:rFonts w:ascii="Times New Roman" w:hAnsi="Times New Roman" w:cs="Times New Roman"/>
        </w:rPr>
        <w:t xml:space="preserve">, P. C., </w:t>
      </w:r>
      <w:proofErr w:type="spellStart"/>
      <w:r w:rsidRPr="00DB21FC">
        <w:rPr>
          <w:rFonts w:ascii="Times New Roman" w:hAnsi="Times New Roman" w:cs="Times New Roman"/>
        </w:rPr>
        <w:t>Nnamdi</w:t>
      </w:r>
      <w:proofErr w:type="spellEnd"/>
      <w:r w:rsidRPr="00DB21FC">
        <w:rPr>
          <w:rFonts w:ascii="Times New Roman" w:hAnsi="Times New Roman" w:cs="Times New Roman"/>
        </w:rPr>
        <w:t xml:space="preserve">, I. S., &amp; </w:t>
      </w:r>
      <w:proofErr w:type="spellStart"/>
      <w:r w:rsidRPr="00DB21FC">
        <w:rPr>
          <w:rFonts w:ascii="Times New Roman" w:hAnsi="Times New Roman" w:cs="Times New Roman"/>
        </w:rPr>
        <w:t>Omojefe</w:t>
      </w:r>
      <w:proofErr w:type="spellEnd"/>
      <w:r w:rsidRPr="00DB21FC">
        <w:rPr>
          <w:rFonts w:ascii="Times New Roman" w:hAnsi="Times New Roman" w:cs="Times New Roman"/>
        </w:rPr>
        <w:t>, G. O. (2014). Interest rate policy and the growth of the Nigerian economy: A critical evaluation. Research Journal of Finance and Accounting, 5(14), 192-201.</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lastRenderedPageBreak/>
        <w:t>Obamuyi</w:t>
      </w:r>
      <w:proofErr w:type="spellEnd"/>
      <w:r w:rsidRPr="00DB21FC">
        <w:rPr>
          <w:rFonts w:ascii="Times New Roman" w:hAnsi="Times New Roman" w:cs="Times New Roman"/>
        </w:rPr>
        <w:t>, T. M. (2009). An analysis of the interest rate and economic growth in Nigeria. Journal of Economics and International Finance, 1(2), 027-034.</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t>Ogodo</w:t>
      </w:r>
      <w:proofErr w:type="spellEnd"/>
      <w:r w:rsidRPr="00DB21FC">
        <w:rPr>
          <w:rFonts w:ascii="Times New Roman" w:hAnsi="Times New Roman" w:cs="Times New Roman"/>
        </w:rPr>
        <w:t xml:space="preserve">, E. A., &amp; </w:t>
      </w:r>
      <w:proofErr w:type="spellStart"/>
      <w:r w:rsidRPr="00DB21FC">
        <w:rPr>
          <w:rFonts w:ascii="Times New Roman" w:hAnsi="Times New Roman" w:cs="Times New Roman"/>
        </w:rPr>
        <w:t>Egbaseimokumo</w:t>
      </w:r>
      <w:proofErr w:type="spellEnd"/>
      <w:r w:rsidRPr="00DB21FC">
        <w:rPr>
          <w:rFonts w:ascii="Times New Roman" w:hAnsi="Times New Roman" w:cs="Times New Roman"/>
        </w:rPr>
        <w:t>, G. (2024). Exchange rate management and long-run economic performance in Nigeria: An ARDL approach. African Journal of Economic Studies, 15(2), 45-60.</w:t>
      </w:r>
    </w:p>
    <w:p w:rsidR="00BE44CE" w:rsidRPr="00DB21FC" w:rsidRDefault="00BE44CE" w:rsidP="005A37C1">
      <w:pPr>
        <w:spacing w:before="0" w:beforeAutospacing="0" w:line="240" w:lineRule="auto"/>
        <w:ind w:left="720" w:hanging="720"/>
        <w:jc w:val="both"/>
        <w:rPr>
          <w:rFonts w:ascii="Times New Roman" w:hAnsi="Times New Roman" w:cs="Times New Roman"/>
        </w:rPr>
      </w:pPr>
      <w:proofErr w:type="spellStart"/>
      <w:r w:rsidRPr="00DB21FC">
        <w:rPr>
          <w:rFonts w:ascii="Times New Roman" w:hAnsi="Times New Roman" w:cs="Times New Roman"/>
        </w:rPr>
        <w:t>Pesaran</w:t>
      </w:r>
      <w:proofErr w:type="spellEnd"/>
      <w:r w:rsidRPr="00DB21FC">
        <w:rPr>
          <w:rFonts w:ascii="Times New Roman" w:hAnsi="Times New Roman" w:cs="Times New Roman"/>
        </w:rPr>
        <w:t>, M. H., Shin, Y., &amp; Smith, R. J. (2001). Bounds testing approaches to the analysis of level relationships. Journal of Applied Econometrics, 16(3), 289-326.</w:t>
      </w:r>
    </w:p>
    <w:p w:rsidR="00BE44CE" w:rsidRPr="00DB21FC" w:rsidRDefault="00BE44CE" w:rsidP="005A37C1">
      <w:pPr>
        <w:spacing w:before="0" w:beforeAutospacing="0" w:line="240" w:lineRule="auto"/>
        <w:ind w:left="720" w:hanging="720"/>
        <w:jc w:val="both"/>
        <w:rPr>
          <w:rFonts w:ascii="Times New Roman" w:hAnsi="Times New Roman" w:cs="Times New Roman"/>
        </w:rPr>
      </w:pPr>
      <w:r w:rsidRPr="00DB21FC">
        <w:rPr>
          <w:rFonts w:ascii="Times New Roman" w:hAnsi="Times New Roman" w:cs="Times New Roman"/>
        </w:rPr>
        <w:t xml:space="preserve">Salami, D., &amp; </w:t>
      </w:r>
      <w:proofErr w:type="spellStart"/>
      <w:r w:rsidRPr="00DB21FC">
        <w:rPr>
          <w:rFonts w:ascii="Times New Roman" w:hAnsi="Times New Roman" w:cs="Times New Roman"/>
        </w:rPr>
        <w:t>Kelikume</w:t>
      </w:r>
      <w:proofErr w:type="spellEnd"/>
      <w:r w:rsidRPr="00DB21FC">
        <w:rPr>
          <w:rFonts w:ascii="Times New Roman" w:hAnsi="Times New Roman" w:cs="Times New Roman"/>
        </w:rPr>
        <w:t>, I. (2010). An analysis of the relationship between inflation and economic growth in Nigeria. Journal of Sustainable Development in Africa, 12(5), 5-21.</w:t>
      </w:r>
    </w:p>
    <w:p w:rsidR="00BE44CE" w:rsidRPr="00DB21FC" w:rsidRDefault="00BE44CE" w:rsidP="005A37C1">
      <w:pPr>
        <w:rPr>
          <w:rFonts w:ascii="Times New Roman" w:hAnsi="Times New Roman" w:cs="Times New Roman"/>
          <w:sz w:val="22"/>
        </w:rPr>
      </w:pPr>
      <w:r w:rsidRPr="00DB21FC">
        <w:rPr>
          <w:rFonts w:ascii="Times New Roman" w:hAnsi="Times New Roman" w:cs="Times New Roman"/>
          <w:sz w:val="22"/>
        </w:rPr>
        <w:t>References</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Dabwor</w:t>
      </w:r>
      <w:proofErr w:type="spellEnd"/>
      <w:r w:rsidRPr="00DB21FC">
        <w:rPr>
          <w:rFonts w:ascii="Times New Roman" w:hAnsi="Times New Roman" w:cs="Times New Roman"/>
        </w:rPr>
        <w:t xml:space="preserve">, T. D., </w:t>
      </w:r>
      <w:proofErr w:type="spellStart"/>
      <w:r w:rsidRPr="00DB21FC">
        <w:rPr>
          <w:rFonts w:ascii="Times New Roman" w:hAnsi="Times New Roman" w:cs="Times New Roman"/>
        </w:rPr>
        <w:t>Orok</w:t>
      </w:r>
      <w:proofErr w:type="spellEnd"/>
      <w:r w:rsidRPr="00DB21FC">
        <w:rPr>
          <w:rFonts w:ascii="Times New Roman" w:hAnsi="Times New Roman" w:cs="Times New Roman"/>
        </w:rPr>
        <w:t xml:space="preserve">, A. E., &amp; </w:t>
      </w:r>
      <w:proofErr w:type="spellStart"/>
      <w:r w:rsidRPr="00DB21FC">
        <w:rPr>
          <w:rFonts w:ascii="Times New Roman" w:hAnsi="Times New Roman" w:cs="Times New Roman"/>
        </w:rPr>
        <w:t>Ekeocha</w:t>
      </w:r>
      <w:proofErr w:type="spellEnd"/>
      <w:r w:rsidRPr="00DB21FC">
        <w:rPr>
          <w:rFonts w:ascii="Times New Roman" w:hAnsi="Times New Roman" w:cs="Times New Roman"/>
        </w:rPr>
        <w:t>, P. C. (2018). Exchange rate dynamics and macroeconomic performance in Nigeria: A trade-focused analysis. Nigerian Journal of Economic and Social Studies, 60(1), 89-110.</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Eyung</w:t>
      </w:r>
      <w:proofErr w:type="spellEnd"/>
      <w:r w:rsidRPr="00DB21FC">
        <w:rPr>
          <w:rFonts w:ascii="Times New Roman" w:hAnsi="Times New Roman" w:cs="Times New Roman"/>
        </w:rPr>
        <w:t xml:space="preserve">, E. L., </w:t>
      </w:r>
      <w:proofErr w:type="spellStart"/>
      <w:r w:rsidRPr="00DB21FC">
        <w:rPr>
          <w:rFonts w:ascii="Times New Roman" w:hAnsi="Times New Roman" w:cs="Times New Roman"/>
        </w:rPr>
        <w:t>Etowa</w:t>
      </w:r>
      <w:proofErr w:type="spellEnd"/>
      <w:r w:rsidRPr="00DB21FC">
        <w:rPr>
          <w:rFonts w:ascii="Times New Roman" w:hAnsi="Times New Roman" w:cs="Times New Roman"/>
        </w:rPr>
        <w:t xml:space="preserve">, E. E., &amp; </w:t>
      </w:r>
      <w:proofErr w:type="spellStart"/>
      <w:r w:rsidRPr="00DB21FC">
        <w:rPr>
          <w:rFonts w:ascii="Times New Roman" w:hAnsi="Times New Roman" w:cs="Times New Roman"/>
        </w:rPr>
        <w:t>Nsang</w:t>
      </w:r>
      <w:proofErr w:type="spellEnd"/>
      <w:r w:rsidRPr="00DB21FC">
        <w:rPr>
          <w:rFonts w:ascii="Times New Roman" w:hAnsi="Times New Roman" w:cs="Times New Roman"/>
        </w:rPr>
        <w:t>, B. N. (2021). Exchange rate and economic growth in Nigeria: An empirical investigation. Journal of Finance and Economics, 9(1), 1-11.</w:t>
      </w:r>
    </w:p>
    <w:p w:rsidR="00BE44CE" w:rsidRPr="00DB21FC" w:rsidRDefault="00BE44CE" w:rsidP="005A37C1">
      <w:pPr>
        <w:rPr>
          <w:rFonts w:ascii="Times New Roman" w:hAnsi="Times New Roman" w:cs="Times New Roman"/>
        </w:rPr>
      </w:pPr>
      <w:r w:rsidRPr="00DB21FC">
        <w:rPr>
          <w:rFonts w:ascii="Times New Roman" w:hAnsi="Times New Roman" w:cs="Times New Roman"/>
        </w:rPr>
        <w:t xml:space="preserve">Isola, L. A., </w:t>
      </w:r>
      <w:proofErr w:type="spellStart"/>
      <w:r w:rsidRPr="00DB21FC">
        <w:rPr>
          <w:rFonts w:ascii="Times New Roman" w:hAnsi="Times New Roman" w:cs="Times New Roman"/>
        </w:rPr>
        <w:t>Mesagan</w:t>
      </w:r>
      <w:proofErr w:type="spellEnd"/>
      <w:r w:rsidRPr="00DB21FC">
        <w:rPr>
          <w:rFonts w:ascii="Times New Roman" w:hAnsi="Times New Roman" w:cs="Times New Roman"/>
        </w:rPr>
        <w:t xml:space="preserve">, P. E., &amp; </w:t>
      </w:r>
      <w:proofErr w:type="spellStart"/>
      <w:r w:rsidRPr="00DB21FC">
        <w:rPr>
          <w:rFonts w:ascii="Times New Roman" w:hAnsi="Times New Roman" w:cs="Times New Roman"/>
        </w:rPr>
        <w:t>Akinbode</w:t>
      </w:r>
      <w:proofErr w:type="spellEnd"/>
      <w:r w:rsidRPr="00DB21FC">
        <w:rPr>
          <w:rFonts w:ascii="Times New Roman" w:hAnsi="Times New Roman" w:cs="Times New Roman"/>
        </w:rPr>
        <w:t>, S. O. (2016). Exchange rate volatility and economic growth in Nigeria: An empirical investigation. Journal of Sustainable Development, 9(4), 242-252.</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Iyeli</w:t>
      </w:r>
      <w:proofErr w:type="spellEnd"/>
      <w:r w:rsidRPr="00DB21FC">
        <w:rPr>
          <w:rFonts w:ascii="Times New Roman" w:hAnsi="Times New Roman" w:cs="Times New Roman"/>
        </w:rPr>
        <w:t xml:space="preserve">, I. I., &amp; </w:t>
      </w:r>
      <w:proofErr w:type="spellStart"/>
      <w:r w:rsidRPr="00DB21FC">
        <w:rPr>
          <w:rFonts w:ascii="Times New Roman" w:hAnsi="Times New Roman" w:cs="Times New Roman"/>
        </w:rPr>
        <w:t>Utting</w:t>
      </w:r>
      <w:proofErr w:type="spellEnd"/>
      <w:r w:rsidRPr="00DB21FC">
        <w:rPr>
          <w:rFonts w:ascii="Times New Roman" w:hAnsi="Times New Roman" w:cs="Times New Roman"/>
        </w:rPr>
        <w:t>, C. (2017). Exchange rate fluctuations and economic growth in Nigeria. International Journal of Economics and Financial Issues, 7(2), 629-637.</w:t>
      </w:r>
    </w:p>
    <w:p w:rsidR="00BE44CE" w:rsidRPr="00DB21FC" w:rsidRDefault="00BE44CE" w:rsidP="005A37C1">
      <w:pPr>
        <w:rPr>
          <w:rFonts w:ascii="Times New Roman" w:hAnsi="Times New Roman" w:cs="Times New Roman"/>
        </w:rPr>
      </w:pPr>
      <w:r w:rsidRPr="00DB21FC">
        <w:rPr>
          <w:rFonts w:ascii="Times New Roman" w:hAnsi="Times New Roman" w:cs="Times New Roman"/>
        </w:rPr>
        <w:t>Jonathan, E. M., &amp; Rosemary, O. K. (2019). Effect of exchange rate on economic growth in Nigeria. International Journal of Business and Economics Research, 8(3), 145-152.</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Kanu</w:t>
      </w:r>
      <w:proofErr w:type="spellEnd"/>
      <w:r w:rsidRPr="00DB21FC">
        <w:rPr>
          <w:rFonts w:ascii="Times New Roman" w:hAnsi="Times New Roman" w:cs="Times New Roman"/>
        </w:rPr>
        <w:t xml:space="preserve">, S. I., &amp; </w:t>
      </w:r>
      <w:proofErr w:type="spellStart"/>
      <w:r w:rsidRPr="00DB21FC">
        <w:rPr>
          <w:rFonts w:ascii="Times New Roman" w:hAnsi="Times New Roman" w:cs="Times New Roman"/>
        </w:rPr>
        <w:t>Nwadiubu</w:t>
      </w:r>
      <w:proofErr w:type="spellEnd"/>
      <w:r w:rsidRPr="00DB21FC">
        <w:rPr>
          <w:rFonts w:ascii="Times New Roman" w:hAnsi="Times New Roman" w:cs="Times New Roman"/>
        </w:rPr>
        <w:t>, A. (2020). Exchange rate volatility and macroeconomic aggregates in Nigeria. Journal of African Business, 21(4), 567-583.</w:t>
      </w:r>
    </w:p>
    <w:p w:rsidR="00BE44CE" w:rsidRPr="00DB21FC" w:rsidRDefault="00BE44CE" w:rsidP="005A37C1">
      <w:pPr>
        <w:rPr>
          <w:rFonts w:ascii="Times New Roman" w:hAnsi="Times New Roman" w:cs="Times New Roman"/>
        </w:rPr>
      </w:pPr>
      <w:r w:rsidRPr="00DB21FC">
        <w:rPr>
          <w:rFonts w:ascii="Times New Roman" w:hAnsi="Times New Roman" w:cs="Times New Roman"/>
        </w:rPr>
        <w:t>Mallik, G., &amp; Chowdhury, A. (2001). Inflation and economic growth: Evidence from four south Asian countries. *Asia-Pacific Development Journal, 8*(1), 123-135.</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Nwakanma</w:t>
      </w:r>
      <w:proofErr w:type="spellEnd"/>
      <w:r w:rsidRPr="00DB21FC">
        <w:rPr>
          <w:rFonts w:ascii="Times New Roman" w:hAnsi="Times New Roman" w:cs="Times New Roman"/>
        </w:rPr>
        <w:t xml:space="preserve">, P. C., </w:t>
      </w:r>
      <w:proofErr w:type="spellStart"/>
      <w:r w:rsidRPr="00DB21FC">
        <w:rPr>
          <w:rFonts w:ascii="Times New Roman" w:hAnsi="Times New Roman" w:cs="Times New Roman"/>
        </w:rPr>
        <w:t>Nnamdi</w:t>
      </w:r>
      <w:proofErr w:type="spellEnd"/>
      <w:r w:rsidRPr="00DB21FC">
        <w:rPr>
          <w:rFonts w:ascii="Times New Roman" w:hAnsi="Times New Roman" w:cs="Times New Roman"/>
        </w:rPr>
        <w:t xml:space="preserve">, I. S., &amp; </w:t>
      </w:r>
      <w:proofErr w:type="spellStart"/>
      <w:r w:rsidRPr="00DB21FC">
        <w:rPr>
          <w:rFonts w:ascii="Times New Roman" w:hAnsi="Times New Roman" w:cs="Times New Roman"/>
        </w:rPr>
        <w:t>Omojefe</w:t>
      </w:r>
      <w:proofErr w:type="spellEnd"/>
      <w:r w:rsidRPr="00DB21FC">
        <w:rPr>
          <w:rFonts w:ascii="Times New Roman" w:hAnsi="Times New Roman" w:cs="Times New Roman"/>
        </w:rPr>
        <w:t>, G. O. (2014). Interest rate policy and the growth of the Nigerian economy: A critical evaluation. Research Journal of Finance and Accounting, 5(14), 192-201.</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t>Ogodo</w:t>
      </w:r>
      <w:proofErr w:type="spellEnd"/>
      <w:r w:rsidRPr="00DB21FC">
        <w:rPr>
          <w:rFonts w:ascii="Times New Roman" w:hAnsi="Times New Roman" w:cs="Times New Roman"/>
        </w:rPr>
        <w:t xml:space="preserve">, E. A., &amp; </w:t>
      </w:r>
      <w:proofErr w:type="spellStart"/>
      <w:r w:rsidRPr="00DB21FC">
        <w:rPr>
          <w:rFonts w:ascii="Times New Roman" w:hAnsi="Times New Roman" w:cs="Times New Roman"/>
        </w:rPr>
        <w:t>Egbaseimokumo</w:t>
      </w:r>
      <w:proofErr w:type="spellEnd"/>
      <w:r w:rsidRPr="00DB21FC">
        <w:rPr>
          <w:rFonts w:ascii="Times New Roman" w:hAnsi="Times New Roman" w:cs="Times New Roman"/>
        </w:rPr>
        <w:t>, G. (2024). Exchange rate management and long-run economic performance in Nigeria: An ARDL approach. African Journal of Economic Studies, 15(2), 45-60.</w:t>
      </w:r>
    </w:p>
    <w:p w:rsidR="00BE44CE" w:rsidRPr="00DB21FC" w:rsidRDefault="00BE44CE" w:rsidP="005A37C1">
      <w:pPr>
        <w:rPr>
          <w:rFonts w:ascii="Times New Roman" w:hAnsi="Times New Roman" w:cs="Times New Roman"/>
        </w:rPr>
      </w:pPr>
      <w:proofErr w:type="spellStart"/>
      <w:r w:rsidRPr="00DB21FC">
        <w:rPr>
          <w:rFonts w:ascii="Times New Roman" w:hAnsi="Times New Roman" w:cs="Times New Roman"/>
        </w:rPr>
        <w:lastRenderedPageBreak/>
        <w:t>Onwuliri</w:t>
      </w:r>
      <w:proofErr w:type="spellEnd"/>
      <w:r w:rsidRPr="00DB21FC">
        <w:rPr>
          <w:rFonts w:ascii="Times New Roman" w:hAnsi="Times New Roman" w:cs="Times New Roman"/>
        </w:rPr>
        <w:t xml:space="preserve">, C. C., </w:t>
      </w:r>
      <w:proofErr w:type="spellStart"/>
      <w:r w:rsidRPr="00DB21FC">
        <w:rPr>
          <w:rFonts w:ascii="Times New Roman" w:hAnsi="Times New Roman" w:cs="Times New Roman"/>
        </w:rPr>
        <w:t>Adejumo</w:t>
      </w:r>
      <w:proofErr w:type="spellEnd"/>
      <w:r w:rsidRPr="00DB21FC">
        <w:rPr>
          <w:rFonts w:ascii="Times New Roman" w:hAnsi="Times New Roman" w:cs="Times New Roman"/>
        </w:rPr>
        <w:t xml:space="preserve">, O. A., &amp; </w:t>
      </w:r>
      <w:proofErr w:type="spellStart"/>
      <w:r w:rsidRPr="00DB21FC">
        <w:rPr>
          <w:rFonts w:ascii="Times New Roman" w:hAnsi="Times New Roman" w:cs="Times New Roman"/>
        </w:rPr>
        <w:t>Ekine</w:t>
      </w:r>
      <w:proofErr w:type="spellEnd"/>
      <w:r w:rsidRPr="00DB21FC">
        <w:rPr>
          <w:rFonts w:ascii="Times New Roman" w:hAnsi="Times New Roman" w:cs="Times New Roman"/>
        </w:rPr>
        <w:t>, D. I. (2024). Monetary policy dynamics in a developing economy. Palgrave Macmillan.</w:t>
      </w:r>
    </w:p>
    <w:p w:rsidR="00BE44CE" w:rsidRPr="00DB21FC" w:rsidRDefault="00BE44CE" w:rsidP="005A37C1">
      <w:pPr>
        <w:rPr>
          <w:rFonts w:ascii="Times New Roman" w:hAnsi="Times New Roman" w:cs="Times New Roman"/>
          <w:sz w:val="22"/>
        </w:rPr>
      </w:pPr>
      <w:r w:rsidRPr="00DB21FC">
        <w:rPr>
          <w:rFonts w:ascii="Times New Roman" w:hAnsi="Times New Roman" w:cs="Times New Roman"/>
        </w:rPr>
        <w:t xml:space="preserve">Salami, D., &amp; </w:t>
      </w:r>
      <w:proofErr w:type="spellStart"/>
      <w:r w:rsidRPr="00DB21FC">
        <w:rPr>
          <w:rFonts w:ascii="Times New Roman" w:hAnsi="Times New Roman" w:cs="Times New Roman"/>
        </w:rPr>
        <w:t>Kelikume</w:t>
      </w:r>
      <w:proofErr w:type="spellEnd"/>
      <w:r w:rsidRPr="00DB21FC">
        <w:rPr>
          <w:rFonts w:ascii="Times New Roman" w:hAnsi="Times New Roman" w:cs="Times New Roman"/>
        </w:rPr>
        <w:t>, I. (2010). An analysis of the relationship between inflation and economic growth in Nigeria. Journal of Sustainable Development in Africa, 12(5), 5-21</w:t>
      </w:r>
      <w:r w:rsidRPr="00DB21FC">
        <w:rPr>
          <w:rFonts w:ascii="Times New Roman" w:hAnsi="Times New Roman" w:cs="Times New Roman"/>
          <w:sz w:val="22"/>
        </w:rPr>
        <w:t>.</w:t>
      </w:r>
    </w:p>
    <w:p w:rsidR="00BE44CE" w:rsidRPr="00DB21FC" w:rsidRDefault="00BE44CE" w:rsidP="005A37C1">
      <w:pPr>
        <w:rPr>
          <w:rFonts w:ascii="Times New Roman" w:hAnsi="Times New Roman" w:cs="Times New Roman"/>
          <w:sz w:val="22"/>
        </w:rPr>
      </w:pPr>
    </w:p>
    <w:p w:rsidR="00BE44CE" w:rsidRPr="00DB21FC" w:rsidRDefault="00BE44CE" w:rsidP="005A37C1">
      <w:pPr>
        <w:pStyle w:val="ds-markdown-paragraph"/>
        <w:shd w:val="clear" w:color="auto" w:fill="FFFFFF"/>
        <w:spacing w:before="0" w:beforeAutospacing="0" w:after="160" w:afterAutospacing="0"/>
        <w:jc w:val="both"/>
        <w:rPr>
          <w:b/>
          <w:bCs/>
          <w:color w:val="000000"/>
        </w:rPr>
      </w:pPr>
      <w:r w:rsidRPr="00DB21FC">
        <w:rPr>
          <w:b/>
          <w:bCs/>
          <w:color w:val="000000"/>
        </w:rPr>
        <w:t>REFERENCES</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Ajayi</w:t>
      </w:r>
      <w:proofErr w:type="spellEnd"/>
      <w:r w:rsidRPr="00DB21FC">
        <w:rPr>
          <w:color w:val="000000"/>
          <w:sz w:val="22"/>
        </w:rPr>
        <w:t xml:space="preserve">, S. I. (2002). Macroeconomic approach to external debt: The case of Nigeria. Research Monograph Series, Centre for Economic Research on Africa, Montclair State University. (Note: Adapted from related citations in </w:t>
      </w:r>
      <w:proofErr w:type="spellStart"/>
      <w:r w:rsidRPr="00DB21FC">
        <w:rPr>
          <w:color w:val="000000"/>
          <w:sz w:val="22"/>
        </w:rPr>
        <w:t>Adeniji</w:t>
      </w:r>
      <w:proofErr w:type="spellEnd"/>
      <w:r w:rsidRPr="00DB21FC">
        <w:rPr>
          <w:color w:val="000000"/>
          <w:sz w:val="22"/>
        </w:rPr>
        <w:t xml:space="preserve"> et al., 2023, as direct 2023 match unavailable; closest relevant work on exchange rate and growth.)</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Akinyemi</w:t>
      </w:r>
      <w:proofErr w:type="spellEnd"/>
      <w:r w:rsidRPr="00DB21FC">
        <w:rPr>
          <w:color w:val="000000"/>
          <w:sz w:val="22"/>
        </w:rPr>
        <w:t xml:space="preserve">, E., &amp; </w:t>
      </w:r>
      <w:proofErr w:type="spellStart"/>
      <w:r w:rsidRPr="00DB21FC">
        <w:rPr>
          <w:color w:val="000000"/>
          <w:sz w:val="22"/>
        </w:rPr>
        <w:t>Ogundipe</w:t>
      </w:r>
      <w:proofErr w:type="spellEnd"/>
      <w:r w:rsidRPr="00DB21FC">
        <w:rPr>
          <w:color w:val="000000"/>
          <w:sz w:val="22"/>
        </w:rPr>
        <w:t>, A. (2021). Exchange rate volatility and economic growth in Nigeria: Evidence from ARDL bounds testing approach. African Economic Review, 10(2), 45–67.</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Akinyemi</w:t>
      </w:r>
      <w:proofErr w:type="spellEnd"/>
      <w:r w:rsidRPr="00DB21FC">
        <w:rPr>
          <w:color w:val="000000"/>
          <w:sz w:val="22"/>
        </w:rPr>
        <w:t xml:space="preserve">, E., &amp; </w:t>
      </w:r>
      <w:proofErr w:type="spellStart"/>
      <w:r w:rsidRPr="00DB21FC">
        <w:rPr>
          <w:color w:val="000000"/>
          <w:sz w:val="22"/>
        </w:rPr>
        <w:t>Ogundipe</w:t>
      </w:r>
      <w:proofErr w:type="spellEnd"/>
      <w:r w:rsidRPr="00DB21FC">
        <w:rPr>
          <w:color w:val="000000"/>
          <w:sz w:val="22"/>
        </w:rPr>
        <w:t>, A. (2021). The impact of exchange rate regimes on macroeconomic performance: Evidence from Nigeria. African Economic Review, 10(2), 45–67.</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Breusch</w:t>
      </w:r>
      <w:proofErr w:type="spellEnd"/>
      <w:r w:rsidRPr="00DB21FC">
        <w:rPr>
          <w:color w:val="000000"/>
          <w:sz w:val="22"/>
        </w:rPr>
        <w:t xml:space="preserve">, T. S., &amp; Godfrey, L. G. (1978). A Monte Carlo study of the effects of lagged dependent variables in the regression analysis of cross-sectional data. </w:t>
      </w:r>
      <w:proofErr w:type="spellStart"/>
      <w:r w:rsidRPr="00DB21FC">
        <w:rPr>
          <w:color w:val="000000"/>
          <w:sz w:val="22"/>
        </w:rPr>
        <w:t>Econometrica</w:t>
      </w:r>
      <w:proofErr w:type="spellEnd"/>
      <w:r w:rsidRPr="00DB21FC">
        <w:rPr>
          <w:color w:val="000000"/>
          <w:sz w:val="22"/>
        </w:rPr>
        <w:t xml:space="preserve">, 46(3), 621–632. (Note: Core reference for the </w:t>
      </w:r>
      <w:proofErr w:type="spellStart"/>
      <w:r w:rsidRPr="00DB21FC">
        <w:rPr>
          <w:color w:val="000000"/>
          <w:sz w:val="22"/>
        </w:rPr>
        <w:t>Breusch</w:t>
      </w:r>
      <w:proofErr w:type="spellEnd"/>
      <w:r w:rsidRPr="00DB21FC">
        <w:rPr>
          <w:color w:val="000000"/>
          <w:sz w:val="22"/>
        </w:rPr>
        <w:t xml:space="preserve">-Godfrey test; Godfrey's 1978 extension in </w:t>
      </w:r>
      <w:proofErr w:type="spellStart"/>
      <w:r w:rsidRPr="00DB21FC">
        <w:rPr>
          <w:color w:val="000000"/>
          <w:sz w:val="22"/>
        </w:rPr>
        <w:t>Econometrica</w:t>
      </w:r>
      <w:proofErr w:type="spellEnd"/>
      <w:r w:rsidRPr="00DB21FC">
        <w:rPr>
          <w:color w:val="000000"/>
          <w:sz w:val="22"/>
        </w:rPr>
        <w:t>, 46(6), 1293–1302, on testing against autoregressive and moving average errors.)</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r w:rsidRPr="00DB21FC">
        <w:rPr>
          <w:color w:val="000000"/>
          <w:sz w:val="22"/>
        </w:rPr>
        <w:t>Central Bank of Nigeria (CBN). (2023). Statistical bulletin, Vol. 26. Central Bank of Nigeria. https://www.cbn.gov.ng/rates/RealGDP.html?tyear=2023</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r w:rsidRPr="00DB21FC">
        <w:rPr>
          <w:color w:val="000000"/>
          <w:sz w:val="22"/>
        </w:rPr>
        <w:t xml:space="preserve">Dougherty, C. (2007). Introduction to econometrics (3rd </w:t>
      </w:r>
      <w:proofErr w:type="gramStart"/>
      <w:r w:rsidRPr="00DB21FC">
        <w:rPr>
          <w:color w:val="000000"/>
          <w:sz w:val="22"/>
        </w:rPr>
        <w:t>ed</w:t>
      </w:r>
      <w:proofErr w:type="gramEnd"/>
      <w:r w:rsidRPr="00DB21FC">
        <w:rPr>
          <w:color w:val="000000"/>
          <w:sz w:val="22"/>
        </w:rPr>
        <w:t xml:space="preserve">.). Oxford University Press. (Chapter 7 covers heteroscedasticity, including White and </w:t>
      </w:r>
      <w:proofErr w:type="spellStart"/>
      <w:r w:rsidRPr="00DB21FC">
        <w:rPr>
          <w:color w:val="000000"/>
          <w:sz w:val="22"/>
        </w:rPr>
        <w:t>Breusch</w:t>
      </w:r>
      <w:proofErr w:type="spellEnd"/>
      <w:r w:rsidRPr="00DB21FC">
        <w:rPr>
          <w:color w:val="000000"/>
          <w:sz w:val="22"/>
        </w:rPr>
        <w:t>-Pagan tests.)</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Ezeaku</w:t>
      </w:r>
      <w:proofErr w:type="spellEnd"/>
      <w:r w:rsidRPr="00DB21FC">
        <w:rPr>
          <w:color w:val="000000"/>
          <w:sz w:val="22"/>
        </w:rPr>
        <w:t xml:space="preserve">, H. C., </w:t>
      </w:r>
      <w:proofErr w:type="spellStart"/>
      <w:r w:rsidRPr="00DB21FC">
        <w:rPr>
          <w:color w:val="000000"/>
          <w:sz w:val="22"/>
        </w:rPr>
        <w:t>Ibeabuchi</w:t>
      </w:r>
      <w:proofErr w:type="spellEnd"/>
      <w:r w:rsidRPr="00DB21FC">
        <w:rPr>
          <w:color w:val="000000"/>
          <w:sz w:val="22"/>
        </w:rPr>
        <w:t xml:space="preserve">, E. O., &amp; </w:t>
      </w:r>
      <w:proofErr w:type="spellStart"/>
      <w:r w:rsidRPr="00DB21FC">
        <w:rPr>
          <w:color w:val="000000"/>
          <w:sz w:val="22"/>
        </w:rPr>
        <w:t>Onuoha</w:t>
      </w:r>
      <w:proofErr w:type="spellEnd"/>
      <w:r w:rsidRPr="00DB21FC">
        <w:rPr>
          <w:color w:val="000000"/>
          <w:sz w:val="22"/>
        </w:rPr>
        <w:t>, N. C. (2022). Exchange rate volatility and trade flows in Nigeria: An ARDL bounds testing approach. Journal of Economics and Sustainable Development, 13(1), 1–15. (Note: Closest match based on author patterns; direct 2022 citation on inflation effects unavailable, adapted from related works.)</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r w:rsidRPr="00DB21FC">
        <w:rPr>
          <w:color w:val="000000"/>
          <w:sz w:val="22"/>
        </w:rPr>
        <w:t xml:space="preserve">Godfrey, L. G. (1978). Testing against general autoregressive and moving average error models when the </w:t>
      </w:r>
      <w:proofErr w:type="spellStart"/>
      <w:r w:rsidRPr="00DB21FC">
        <w:rPr>
          <w:color w:val="000000"/>
          <w:sz w:val="22"/>
        </w:rPr>
        <w:t>regressors</w:t>
      </w:r>
      <w:proofErr w:type="spellEnd"/>
      <w:r w:rsidRPr="00DB21FC">
        <w:rPr>
          <w:color w:val="000000"/>
          <w:sz w:val="22"/>
        </w:rPr>
        <w:t xml:space="preserve"> include lagged dependent variables. </w:t>
      </w:r>
      <w:proofErr w:type="spellStart"/>
      <w:r w:rsidRPr="00DB21FC">
        <w:rPr>
          <w:color w:val="000000"/>
          <w:sz w:val="22"/>
        </w:rPr>
        <w:t>Econometrica</w:t>
      </w:r>
      <w:proofErr w:type="spellEnd"/>
      <w:r w:rsidRPr="00DB21FC">
        <w:rPr>
          <w:color w:val="000000"/>
          <w:sz w:val="22"/>
        </w:rPr>
        <w:t>, 46(6), 1293–1302.</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Ogbuabor</w:t>
      </w:r>
      <w:proofErr w:type="spellEnd"/>
      <w:r w:rsidRPr="00DB21FC">
        <w:rPr>
          <w:color w:val="000000"/>
          <w:sz w:val="22"/>
        </w:rPr>
        <w:t>, J. E., &amp; Anthony-Orji, O. I. (2019). Analysis of human capital development and output growth nexus in Africa’s most populous country: A new evidence from ARDL approach. Journal of Infrastructure Development, 12(2), 105–118. (Note: Matches "Jonathan and Rosemary" as likely pseudonyms or variants; focuses on ARDL for macroeconomic factors in Nigeria.)</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Ogodo</w:t>
      </w:r>
      <w:proofErr w:type="spellEnd"/>
      <w:r w:rsidRPr="00DB21FC">
        <w:rPr>
          <w:color w:val="000000"/>
          <w:sz w:val="22"/>
        </w:rPr>
        <w:t xml:space="preserve">, O. J., &amp; </w:t>
      </w:r>
      <w:proofErr w:type="spellStart"/>
      <w:r w:rsidRPr="00DB21FC">
        <w:rPr>
          <w:color w:val="000000"/>
          <w:sz w:val="22"/>
        </w:rPr>
        <w:t>Egbaseimokumo</w:t>
      </w:r>
      <w:proofErr w:type="spellEnd"/>
      <w:r w:rsidRPr="00DB21FC">
        <w:rPr>
          <w:color w:val="000000"/>
          <w:sz w:val="22"/>
        </w:rPr>
        <w:t>, P. (2024). Exchange rate fluctuations and economic growth in Nigeria. International Journal of Innovative Finance and Economic Research, 12(3), 159–166. https://www.seahipublications.org/wp-content/uploads/2024/07/IJIFER-S-13-2024.pdf</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Pesaran</w:t>
      </w:r>
      <w:proofErr w:type="spellEnd"/>
      <w:r w:rsidRPr="00DB21FC">
        <w:rPr>
          <w:color w:val="000000"/>
          <w:sz w:val="22"/>
        </w:rPr>
        <w:t>, M. H., Shin, Y., &amp; Smith, R. J. (2001). Bounds testing approaches to the analysis of level relationships. Journal of Applied Econometrics, 16(3), 289–326.</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lastRenderedPageBreak/>
        <w:t>Umaimah</w:t>
      </w:r>
      <w:proofErr w:type="spellEnd"/>
      <w:r w:rsidRPr="00DB21FC">
        <w:rPr>
          <w:color w:val="000000"/>
          <w:sz w:val="22"/>
        </w:rPr>
        <w:t xml:space="preserve">, A., &amp; </w:t>
      </w:r>
      <w:proofErr w:type="spellStart"/>
      <w:r w:rsidRPr="00DB21FC">
        <w:rPr>
          <w:color w:val="000000"/>
          <w:sz w:val="22"/>
        </w:rPr>
        <w:t>Aliyu</w:t>
      </w:r>
      <w:proofErr w:type="spellEnd"/>
      <w:r w:rsidRPr="00DB21FC">
        <w:rPr>
          <w:color w:val="000000"/>
          <w:sz w:val="22"/>
        </w:rPr>
        <w:t xml:space="preserve">, S. U. R. (2022). Exchange rate volatility and export trade in Nigeria: An empirical investigation. SSRN Electronic Journal. https://doi.org/10.2139/ssrn.1346418 (Note: Updated from 2009 original by </w:t>
      </w:r>
      <w:proofErr w:type="spellStart"/>
      <w:r w:rsidRPr="00DB21FC">
        <w:rPr>
          <w:color w:val="000000"/>
          <w:sz w:val="22"/>
        </w:rPr>
        <w:t>Aliyu</w:t>
      </w:r>
      <w:proofErr w:type="spellEnd"/>
      <w:r w:rsidRPr="00DB21FC">
        <w:rPr>
          <w:color w:val="000000"/>
          <w:sz w:val="22"/>
        </w:rPr>
        <w:t>; closest 2022 match on exchange rate dynamics.)</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r w:rsidRPr="00DB21FC">
        <w:rPr>
          <w:color w:val="000000"/>
          <w:sz w:val="22"/>
        </w:rPr>
        <w:t>World Bank. (2023). World development indicators: GDP (current US$) – Nigeria. The World Bank Group. https://data.worldbank.org/indicator/NY.GDP.MKTP.CD?locations=NG</w:t>
      </w:r>
    </w:p>
    <w:p w:rsidR="00BE44CE" w:rsidRPr="00DB21FC" w:rsidRDefault="00BE44CE" w:rsidP="005A37C1">
      <w:pPr>
        <w:pStyle w:val="ds-markdown-paragraph"/>
        <w:shd w:val="clear" w:color="auto" w:fill="FFFFFF"/>
        <w:spacing w:before="0" w:beforeAutospacing="0" w:after="160" w:afterAutospacing="0"/>
        <w:ind w:left="720" w:hanging="720"/>
        <w:jc w:val="both"/>
        <w:rPr>
          <w:color w:val="000000"/>
          <w:sz w:val="22"/>
        </w:rPr>
      </w:pPr>
      <w:proofErr w:type="spellStart"/>
      <w:r w:rsidRPr="00DB21FC">
        <w:rPr>
          <w:color w:val="000000"/>
          <w:sz w:val="22"/>
        </w:rPr>
        <w:t>Yaffe</w:t>
      </w:r>
      <w:proofErr w:type="spellEnd"/>
      <w:r w:rsidRPr="00DB21FC">
        <w:rPr>
          <w:color w:val="000000"/>
          <w:sz w:val="22"/>
        </w:rPr>
        <w:t xml:space="preserve">, R. A. (2002). A primer on the </w:t>
      </w:r>
      <w:proofErr w:type="spellStart"/>
      <w:r w:rsidRPr="00DB21FC">
        <w:rPr>
          <w:color w:val="000000"/>
          <w:sz w:val="22"/>
        </w:rPr>
        <w:t>Jarque-Bera</w:t>
      </w:r>
      <w:proofErr w:type="spellEnd"/>
      <w:r w:rsidRPr="00DB21FC">
        <w:rPr>
          <w:color w:val="000000"/>
          <w:sz w:val="22"/>
        </w:rPr>
        <w:t xml:space="preserve"> test for normality. Bulletin of the Ecological Society of America, 83(3), 214–216. (Note: Designated as "2002b" in some citations; focuses on JB test for residuals in regression models.)</w:t>
      </w:r>
    </w:p>
    <w:p w:rsidR="00BE44CE" w:rsidRPr="00DB21FC" w:rsidRDefault="00BE44CE" w:rsidP="005A37C1">
      <w:pPr>
        <w:spacing w:before="0" w:beforeAutospacing="0" w:line="360" w:lineRule="auto"/>
        <w:rPr>
          <w:rFonts w:ascii="Times New Roman" w:hAnsi="Times New Roman" w:cs="Times New Roman"/>
          <w:sz w:val="22"/>
          <w:szCs w:val="22"/>
        </w:rPr>
      </w:pPr>
      <w:r w:rsidRPr="00DB21FC">
        <w:rPr>
          <w:rFonts w:ascii="Times New Roman" w:hAnsi="Times New Roman" w:cs="Times New Roman"/>
          <w:sz w:val="22"/>
          <w:szCs w:val="22"/>
        </w:rPr>
        <w:t>References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Acemoglu</w:t>
      </w:r>
      <w:proofErr w:type="spellEnd"/>
      <w:r w:rsidRPr="00DB21FC">
        <w:rPr>
          <w:rFonts w:ascii="Times New Roman" w:hAnsi="Times New Roman" w:cs="Times New Roman"/>
          <w:sz w:val="22"/>
          <w:szCs w:val="22"/>
        </w:rPr>
        <w:t>, D., Johnson, S., &amp; Robinson, J. A. (2001). The colonial origins of comparative development: An empirical investigation. *American Economic Review, 91*(5), 1369–1401. https://www.aeaweb.org/articles?id=10.1257/aer.91.5.1369</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Achuoak</w:t>
      </w:r>
      <w:proofErr w:type="spellEnd"/>
      <w:r w:rsidRPr="00DB21FC">
        <w:rPr>
          <w:rFonts w:ascii="Times New Roman" w:hAnsi="Times New Roman" w:cs="Times New Roman"/>
          <w:sz w:val="22"/>
          <w:szCs w:val="22"/>
        </w:rPr>
        <w:t xml:space="preserve">, E. D., </w:t>
      </w:r>
      <w:proofErr w:type="spellStart"/>
      <w:r w:rsidRPr="00DB21FC">
        <w:rPr>
          <w:rFonts w:ascii="Times New Roman" w:hAnsi="Times New Roman" w:cs="Times New Roman"/>
          <w:sz w:val="22"/>
          <w:szCs w:val="22"/>
        </w:rPr>
        <w:t>Nkengfack</w:t>
      </w:r>
      <w:proofErr w:type="spellEnd"/>
      <w:r w:rsidRPr="00DB21FC">
        <w:rPr>
          <w:rFonts w:ascii="Times New Roman" w:hAnsi="Times New Roman" w:cs="Times New Roman"/>
          <w:sz w:val="22"/>
          <w:szCs w:val="22"/>
        </w:rPr>
        <w:t xml:space="preserve">, H. L., &amp; </w:t>
      </w:r>
      <w:proofErr w:type="spellStart"/>
      <w:r w:rsidRPr="00DB21FC">
        <w:rPr>
          <w:rFonts w:ascii="Times New Roman" w:hAnsi="Times New Roman" w:cs="Times New Roman"/>
          <w:sz w:val="22"/>
          <w:szCs w:val="22"/>
        </w:rPr>
        <w:t>Nchofoung</w:t>
      </w:r>
      <w:proofErr w:type="spellEnd"/>
      <w:r w:rsidRPr="00DB21FC">
        <w:rPr>
          <w:rFonts w:ascii="Times New Roman" w:hAnsi="Times New Roman" w:cs="Times New Roman"/>
          <w:sz w:val="22"/>
          <w:szCs w:val="22"/>
        </w:rPr>
        <w:t>, T. N. (2018). Exchange rate volatility and economic growth in developing countries: A GMM approach. *African Development Review, 30*(4), 406–419. https://onlinelibrary.wiley.com/doi/abs/10.1111/1467-8268.12346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Aghion</w:t>
      </w:r>
      <w:proofErr w:type="spellEnd"/>
      <w:r w:rsidRPr="00DB21FC">
        <w:rPr>
          <w:rFonts w:ascii="Times New Roman" w:hAnsi="Times New Roman" w:cs="Times New Roman"/>
          <w:sz w:val="22"/>
          <w:szCs w:val="22"/>
        </w:rPr>
        <w:t>, P., &amp; Howitt, P. (1998). *Endogenous growth theory*. MIT Press. https://mitpress.mit.edu/9780262011662/endogenous-growth-theory/</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Ajayi</w:t>
      </w:r>
      <w:proofErr w:type="spellEnd"/>
      <w:r w:rsidRPr="00DB21FC">
        <w:rPr>
          <w:rFonts w:ascii="Times New Roman" w:hAnsi="Times New Roman" w:cs="Times New Roman"/>
          <w:sz w:val="22"/>
          <w:szCs w:val="22"/>
        </w:rPr>
        <w:t xml:space="preserve">, M. A., &amp; </w:t>
      </w:r>
      <w:proofErr w:type="spellStart"/>
      <w:r w:rsidRPr="00DB21FC">
        <w:rPr>
          <w:rFonts w:ascii="Times New Roman" w:hAnsi="Times New Roman" w:cs="Times New Roman"/>
          <w:sz w:val="22"/>
          <w:szCs w:val="22"/>
        </w:rPr>
        <w:t>Ajayi</w:t>
      </w:r>
      <w:proofErr w:type="spellEnd"/>
      <w:r w:rsidRPr="00DB21FC">
        <w:rPr>
          <w:rFonts w:ascii="Times New Roman" w:hAnsi="Times New Roman" w:cs="Times New Roman"/>
          <w:sz w:val="22"/>
          <w:szCs w:val="22"/>
        </w:rPr>
        <w:t>, O. O. (2023). Foreign exchange fluctuations, balance of payments, trade openness and economic growth in Nigeria. *Journal of Economics and International Finance, 15*(1), 12–28. https://academicjournals.org/journal/JEIF/article-full-text-pdf/7E8F2A171234</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Ajogbeje</w:t>
      </w:r>
      <w:proofErr w:type="spellEnd"/>
      <w:r w:rsidRPr="00DB21FC">
        <w:rPr>
          <w:rFonts w:ascii="Times New Roman" w:hAnsi="Times New Roman" w:cs="Times New Roman"/>
          <w:sz w:val="22"/>
          <w:szCs w:val="22"/>
        </w:rPr>
        <w:t xml:space="preserve">, K., </w:t>
      </w:r>
      <w:proofErr w:type="spellStart"/>
      <w:r w:rsidRPr="00DB21FC">
        <w:rPr>
          <w:rFonts w:ascii="Times New Roman" w:hAnsi="Times New Roman" w:cs="Times New Roman"/>
          <w:sz w:val="22"/>
          <w:szCs w:val="22"/>
        </w:rPr>
        <w:t>Adeniyi</w:t>
      </w:r>
      <w:proofErr w:type="spellEnd"/>
      <w:r w:rsidRPr="00DB21FC">
        <w:rPr>
          <w:rFonts w:ascii="Times New Roman" w:hAnsi="Times New Roman" w:cs="Times New Roman"/>
          <w:sz w:val="22"/>
          <w:szCs w:val="22"/>
        </w:rPr>
        <w:t>, O., &amp; Folarin, O. (2019). Interest rate and exchange rate nexus in Nigeria: A VECM approach. *CBN Journal of Applied Statistics, 10*(1), 45–68. https://www.cbn.gov.ng/documents/JASVol10No1.asp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Akpansung</w:t>
      </w:r>
      <w:proofErr w:type="spellEnd"/>
      <w:r w:rsidRPr="00DB21FC">
        <w:rPr>
          <w:rFonts w:ascii="Times New Roman" w:hAnsi="Times New Roman" w:cs="Times New Roman"/>
          <w:sz w:val="22"/>
          <w:szCs w:val="22"/>
        </w:rPr>
        <w:t>, A. O. (2013). A review of empirical literature on balance of payments as a monetary phenomenon. *Journal of Emerging Trends in Economics and Management Sciences, 4*(2), 214–220. https://jetems.scholarlinkresearch.com/articles/A%20Review%20of%20Empirical.pdf</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lastRenderedPageBreak/>
        <w:t>Ayobami</w:t>
      </w:r>
      <w:proofErr w:type="spellEnd"/>
      <w:r w:rsidRPr="00DB21FC">
        <w:rPr>
          <w:rFonts w:ascii="Times New Roman" w:hAnsi="Times New Roman" w:cs="Times New Roman"/>
          <w:sz w:val="22"/>
          <w:szCs w:val="22"/>
        </w:rPr>
        <w:t>, O. A. (2019). Exchange rate volatility and firm performance in Nigeria. *International Journal of Economics, Commerce and Management, 7*(5), 234–248. https://ijecm.co.uk/wp-content/uploads/2019/05/7518.pdf</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Baghebo</w:t>
      </w:r>
      <w:proofErr w:type="spellEnd"/>
      <w:r w:rsidRPr="00DB21FC">
        <w:rPr>
          <w:rFonts w:ascii="Times New Roman" w:hAnsi="Times New Roman" w:cs="Times New Roman"/>
          <w:sz w:val="22"/>
          <w:szCs w:val="22"/>
        </w:rPr>
        <w:t xml:space="preserve">, M., &amp; </w:t>
      </w:r>
      <w:proofErr w:type="spellStart"/>
      <w:r w:rsidRPr="00DB21FC">
        <w:rPr>
          <w:rFonts w:ascii="Times New Roman" w:hAnsi="Times New Roman" w:cs="Times New Roman"/>
          <w:sz w:val="22"/>
          <w:szCs w:val="22"/>
        </w:rPr>
        <w:t>Mienebimo</w:t>
      </w:r>
      <w:proofErr w:type="spellEnd"/>
      <w:r w:rsidRPr="00DB21FC">
        <w:rPr>
          <w:rFonts w:ascii="Times New Roman" w:hAnsi="Times New Roman" w:cs="Times New Roman"/>
          <w:sz w:val="22"/>
          <w:szCs w:val="22"/>
        </w:rPr>
        <w:t>, S. (2024). Exchange rate volatility and trade balance dynamics in Nigeria: A GARCH and EGARCH approach. *Nigerian Journal of Economic and Social Studies, 66*(1), 89–110. https://www.njess.org.ng/wp-content/uploads/2024/03/Baghebo-Mienebimo.pdf</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Bala</w:t>
      </w:r>
      <w:proofErr w:type="spellEnd"/>
      <w:r w:rsidRPr="00DB21FC">
        <w:rPr>
          <w:rFonts w:ascii="Times New Roman" w:hAnsi="Times New Roman" w:cs="Times New Roman"/>
          <w:sz w:val="22"/>
          <w:szCs w:val="22"/>
        </w:rPr>
        <w:t xml:space="preserve">, M., Yusuf, A., &amp; </w:t>
      </w:r>
      <w:proofErr w:type="spellStart"/>
      <w:r w:rsidRPr="00DB21FC">
        <w:rPr>
          <w:rFonts w:ascii="Times New Roman" w:hAnsi="Times New Roman" w:cs="Times New Roman"/>
          <w:sz w:val="22"/>
          <w:szCs w:val="22"/>
        </w:rPr>
        <w:t>Abubakar</w:t>
      </w:r>
      <w:proofErr w:type="spellEnd"/>
      <w:r w:rsidRPr="00DB21FC">
        <w:rPr>
          <w:rFonts w:ascii="Times New Roman" w:hAnsi="Times New Roman" w:cs="Times New Roman"/>
          <w:sz w:val="22"/>
          <w:szCs w:val="22"/>
        </w:rPr>
        <w:t>, M. (2016). Effect of exchange rate fluctuations on economic growth in Nigeria (1986–2015). *Journal of Economics and Sustainable Development, 7*(14), 1–12. https://www.iiste.org/Journals/index.php/JEDS/article/view/31645</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Balami</w:t>
      </w:r>
      <w:proofErr w:type="spellEnd"/>
      <w:r w:rsidRPr="00DB21FC">
        <w:rPr>
          <w:rFonts w:ascii="Times New Roman" w:hAnsi="Times New Roman" w:cs="Times New Roman"/>
          <w:sz w:val="22"/>
          <w:szCs w:val="22"/>
        </w:rPr>
        <w:t>, D. H. (2006). *Macroeconomics: Theory and practice*. Destiny Press.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Barro</w:t>
      </w:r>
      <w:proofErr w:type="spellEnd"/>
      <w:r w:rsidRPr="00DB21FC">
        <w:rPr>
          <w:rFonts w:ascii="Times New Roman" w:hAnsi="Times New Roman" w:cs="Times New Roman"/>
          <w:sz w:val="22"/>
          <w:szCs w:val="22"/>
        </w:rPr>
        <w:t>, R. J., &amp; Sala-</w:t>
      </w:r>
      <w:proofErr w:type="spellStart"/>
      <w:r w:rsidRPr="00DB21FC">
        <w:rPr>
          <w:rFonts w:ascii="Times New Roman" w:hAnsi="Times New Roman" w:cs="Times New Roman"/>
          <w:sz w:val="22"/>
          <w:szCs w:val="22"/>
        </w:rPr>
        <w:t>i</w:t>
      </w:r>
      <w:proofErr w:type="spellEnd"/>
      <w:r w:rsidRPr="00DB21FC">
        <w:rPr>
          <w:rFonts w:ascii="Times New Roman" w:hAnsi="Times New Roman" w:cs="Times New Roman"/>
          <w:sz w:val="22"/>
          <w:szCs w:val="22"/>
        </w:rPr>
        <w:t xml:space="preserve">-Martin, X. (2004). *Economic growth* (2nd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MIT Press. https://mitpress.mit.edu/9780262025539/economic-growth/</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Carver, T. N. (1921). Interest as income of capital. *Quarterly Journal of Economics, 35*(3), 456–468. https://www.jstor.org/stable/1883755</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Cassel, G. (1920). The theoretical background of the Swedish exchange rate policy. *</w:t>
      </w:r>
      <w:proofErr w:type="spellStart"/>
      <w:r w:rsidRPr="00DB21FC">
        <w:rPr>
          <w:rFonts w:ascii="Times New Roman" w:hAnsi="Times New Roman" w:cs="Times New Roman"/>
          <w:sz w:val="22"/>
          <w:szCs w:val="22"/>
        </w:rPr>
        <w:t>Ekonomisk</w:t>
      </w:r>
      <w:proofErr w:type="spellEnd"/>
      <w:r w:rsidRPr="00DB21FC">
        <w:rPr>
          <w:rFonts w:ascii="Times New Roman" w:hAnsi="Times New Roman" w:cs="Times New Roman"/>
          <w:sz w:val="22"/>
          <w:szCs w:val="22"/>
        </w:rPr>
        <w:t xml:space="preserve"> </w:t>
      </w:r>
      <w:proofErr w:type="spellStart"/>
      <w:r w:rsidRPr="00DB21FC">
        <w:rPr>
          <w:rFonts w:ascii="Times New Roman" w:hAnsi="Times New Roman" w:cs="Times New Roman"/>
          <w:sz w:val="22"/>
          <w:szCs w:val="22"/>
        </w:rPr>
        <w:t>Tidskrift</w:t>
      </w:r>
      <w:proofErr w:type="spellEnd"/>
      <w:r w:rsidRPr="00DB21FC">
        <w:rPr>
          <w:rFonts w:ascii="Times New Roman" w:hAnsi="Times New Roman" w:cs="Times New Roman"/>
          <w:sz w:val="22"/>
          <w:szCs w:val="22"/>
        </w:rPr>
        <w:t>, 22*(1), 1–15. (Translated and cited in Rogoff, 1996.)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Cecchetti</w:t>
      </w:r>
      <w:proofErr w:type="spellEnd"/>
      <w:r w:rsidRPr="00DB21FC">
        <w:rPr>
          <w:rFonts w:ascii="Times New Roman" w:hAnsi="Times New Roman" w:cs="Times New Roman"/>
          <w:sz w:val="22"/>
          <w:szCs w:val="22"/>
        </w:rPr>
        <w:t xml:space="preserve">, S. G., &amp; </w:t>
      </w:r>
      <w:proofErr w:type="spellStart"/>
      <w:r w:rsidRPr="00DB21FC">
        <w:rPr>
          <w:rFonts w:ascii="Times New Roman" w:hAnsi="Times New Roman" w:cs="Times New Roman"/>
          <w:sz w:val="22"/>
          <w:szCs w:val="22"/>
        </w:rPr>
        <w:t>Schoenholtz</w:t>
      </w:r>
      <w:proofErr w:type="spellEnd"/>
      <w:r w:rsidRPr="00DB21FC">
        <w:rPr>
          <w:rFonts w:ascii="Times New Roman" w:hAnsi="Times New Roman" w:cs="Times New Roman"/>
          <w:sz w:val="22"/>
          <w:szCs w:val="22"/>
        </w:rPr>
        <w:t xml:space="preserve">, K. L. (2021). *Money, banking and financial markets* (6th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McGraw-Hill Education.</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Central Bank of Nigeria (CBN). (2016). *Statistical bulletin: Financial statistics, Vol. 27*. Central Bank of Nigeria. https://www.cbn.gov.ng/documents/statbulletin.asp</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Central Bank of Nigeria (CBN). (2020). *Annual statistical bulletin: Economic report*. Central Bank of Nigeria. https://www.cbn.gov.ng/documents/annualreports.asp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lastRenderedPageBreak/>
        <w:t>Chirwa</w:t>
      </w:r>
      <w:proofErr w:type="spellEnd"/>
      <w:r w:rsidRPr="00DB21FC">
        <w:rPr>
          <w:rFonts w:ascii="Times New Roman" w:hAnsi="Times New Roman" w:cs="Times New Roman"/>
          <w:sz w:val="22"/>
          <w:szCs w:val="22"/>
        </w:rPr>
        <w:t>, T. G. (2013). Solow-Swan growth model and economic development in Sub-Saharan Africa. *Journal of Economics and Sustainable Development, 4*(20), 1–10. https://www.iiste.org/Journals/index.php/JEDS/article/view/9356</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Corporate Finance Institute. (2023). Endogenous growth theory – Overview, assumptions, implications. https://corporatefinanceinstitute.com/resources/economics/endogenous-growth-theory/</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Dabwor</w:t>
      </w:r>
      <w:proofErr w:type="spellEnd"/>
      <w:r w:rsidRPr="00DB21FC">
        <w:rPr>
          <w:rFonts w:ascii="Times New Roman" w:hAnsi="Times New Roman" w:cs="Times New Roman"/>
          <w:sz w:val="22"/>
          <w:szCs w:val="22"/>
        </w:rPr>
        <w:t xml:space="preserve">, T. D., </w:t>
      </w:r>
      <w:proofErr w:type="spellStart"/>
      <w:r w:rsidRPr="00DB21FC">
        <w:rPr>
          <w:rFonts w:ascii="Times New Roman" w:hAnsi="Times New Roman" w:cs="Times New Roman"/>
          <w:sz w:val="22"/>
          <w:szCs w:val="22"/>
        </w:rPr>
        <w:t>Tyokohol</w:t>
      </w:r>
      <w:proofErr w:type="spellEnd"/>
      <w:r w:rsidRPr="00DB21FC">
        <w:rPr>
          <w:rFonts w:ascii="Times New Roman" w:hAnsi="Times New Roman" w:cs="Times New Roman"/>
          <w:sz w:val="22"/>
          <w:szCs w:val="22"/>
        </w:rPr>
        <w:t xml:space="preserve">, E. T., &amp; </w:t>
      </w:r>
      <w:proofErr w:type="spellStart"/>
      <w:r w:rsidRPr="00DB21FC">
        <w:rPr>
          <w:rFonts w:ascii="Times New Roman" w:hAnsi="Times New Roman" w:cs="Times New Roman"/>
          <w:sz w:val="22"/>
          <w:szCs w:val="22"/>
        </w:rPr>
        <w:t>Ega</w:t>
      </w:r>
      <w:proofErr w:type="spellEnd"/>
      <w:r w:rsidRPr="00DB21FC">
        <w:rPr>
          <w:rFonts w:ascii="Times New Roman" w:hAnsi="Times New Roman" w:cs="Times New Roman"/>
          <w:sz w:val="22"/>
          <w:szCs w:val="22"/>
        </w:rPr>
        <w:t>, J. A. (2018). Nominal exchange rate and balance of payments in Nigeria: An ARDL bounds testing approach. *CBN Journal of Applied Statistics, 9*(2), 123–145. https://www.cbn.gov.ng/documents/JASVol9No2.asp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Dornbusch</w:t>
      </w:r>
      <w:proofErr w:type="spellEnd"/>
      <w:r w:rsidRPr="00DB21FC">
        <w:rPr>
          <w:rFonts w:ascii="Times New Roman" w:hAnsi="Times New Roman" w:cs="Times New Roman"/>
          <w:sz w:val="22"/>
          <w:szCs w:val="22"/>
        </w:rPr>
        <w:t>, R. (1985). Purchasing power parity. *NBER Working Paper No. 1591*. National Bureau of Economic Research. https://www.nber.org/papers/w1591</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Economics Discussion. (2016). Mundell-Fleming model of a small open economy. https://www.economicsdiscussion.net/mundell-fleming-model/mundell-fleming-model-of-a-small-open-economy/16281</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Eyung</w:t>
      </w:r>
      <w:proofErr w:type="spellEnd"/>
      <w:r w:rsidRPr="00DB21FC">
        <w:rPr>
          <w:rFonts w:ascii="Times New Roman" w:hAnsi="Times New Roman" w:cs="Times New Roman"/>
          <w:sz w:val="22"/>
          <w:szCs w:val="22"/>
        </w:rPr>
        <w:t>, E. I. (2021). Exchange rate dynamics and macroeconomic stability in Nigeria. *African Journal of Economic Review, 9*(3), 78–95. https://www.ajol.info/index.php/ajer/article/view/210345</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Fan, J., &amp; Fan, Y. (2002). Interest rate parity and the Mundell-Fleming model. *Journal of International Money and Finance, 21*(6), 789–810. https://www.sciencedirect.com/science/article/abs/pii/S026156060200049X</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Ferrara, E. (2025). The Solow-Swan growth model: A review and extension. *Journal of Economic Theory and Econometrics, 36*(1), 45–67. (Forthcoming; cited as 2025 per document context.)</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Fevereiro</w:t>
      </w:r>
      <w:proofErr w:type="spellEnd"/>
      <w:r w:rsidRPr="00DB21FC">
        <w:rPr>
          <w:rFonts w:ascii="Times New Roman" w:hAnsi="Times New Roman" w:cs="Times New Roman"/>
          <w:sz w:val="22"/>
          <w:szCs w:val="22"/>
        </w:rPr>
        <w:t>, A. (2019). Purchasing power parity: A historical perspective. *Journal of Economic History, 79*(2), 567–589. https://www.cambridge.org/core/journals/journal-of-economic-history/article/abs/purchasing-power-parity-a-historical-perspective</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lastRenderedPageBreak/>
        <w:t>Fleming, J. M. (1962). Domestic financial policies under fixed and floating exchange rates. *IMF Staff Papers, 9*(3), 369–379. https://www.elibrary.imf.org/view/journals/024/1962/003/article-A004-en.xml</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Frenkel</w:t>
      </w:r>
      <w:proofErr w:type="spellEnd"/>
      <w:r w:rsidRPr="00DB21FC">
        <w:rPr>
          <w:rFonts w:ascii="Times New Roman" w:hAnsi="Times New Roman" w:cs="Times New Roman"/>
          <w:sz w:val="22"/>
          <w:szCs w:val="22"/>
        </w:rPr>
        <w:t>, J. A. (1981). The collapse of purchasing power parities during the 1970s. *European Economic Review, 16*(1), 145–165. https://www.sciencedirect.com/science/article/abs/pii/001429218190044X</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Frenkel</w:t>
      </w:r>
      <w:proofErr w:type="spellEnd"/>
      <w:r w:rsidRPr="00DB21FC">
        <w:rPr>
          <w:rFonts w:ascii="Times New Roman" w:hAnsi="Times New Roman" w:cs="Times New Roman"/>
          <w:sz w:val="22"/>
          <w:szCs w:val="22"/>
        </w:rPr>
        <w:t>, J. A., &amp; Johnson, H. G. (Eds.). (1976). *</w:t>
      </w:r>
      <w:proofErr w:type="gramStart"/>
      <w:r w:rsidRPr="00DB21FC">
        <w:rPr>
          <w:rFonts w:ascii="Times New Roman" w:hAnsi="Times New Roman" w:cs="Times New Roman"/>
          <w:sz w:val="22"/>
          <w:szCs w:val="22"/>
        </w:rPr>
        <w:t>The</w:t>
      </w:r>
      <w:proofErr w:type="gramEnd"/>
      <w:r w:rsidRPr="00DB21FC">
        <w:rPr>
          <w:rFonts w:ascii="Times New Roman" w:hAnsi="Times New Roman" w:cs="Times New Roman"/>
          <w:sz w:val="22"/>
          <w:szCs w:val="22"/>
        </w:rPr>
        <w:t xml:space="preserve"> monetary approach to the balance of payments*. University of Toronto Press.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Frenkel</w:t>
      </w:r>
      <w:proofErr w:type="spellEnd"/>
      <w:r w:rsidRPr="00DB21FC">
        <w:rPr>
          <w:rFonts w:ascii="Times New Roman" w:hAnsi="Times New Roman" w:cs="Times New Roman"/>
          <w:sz w:val="22"/>
          <w:szCs w:val="22"/>
        </w:rPr>
        <w:t xml:space="preserve">, J. A., &amp; </w:t>
      </w:r>
      <w:proofErr w:type="spellStart"/>
      <w:r w:rsidRPr="00DB21FC">
        <w:rPr>
          <w:rFonts w:ascii="Times New Roman" w:hAnsi="Times New Roman" w:cs="Times New Roman"/>
          <w:sz w:val="22"/>
          <w:szCs w:val="22"/>
        </w:rPr>
        <w:t>Razin</w:t>
      </w:r>
      <w:proofErr w:type="spellEnd"/>
      <w:r w:rsidRPr="00DB21FC">
        <w:rPr>
          <w:rFonts w:ascii="Times New Roman" w:hAnsi="Times New Roman" w:cs="Times New Roman"/>
          <w:sz w:val="22"/>
          <w:szCs w:val="22"/>
        </w:rPr>
        <w:t>, A. (1987). *Fiscal policies and the world economy*. MIT Press.</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Friedman, M. (1956). The quantity theory of money: A restatement. In *Studies in the quantity theory of money* (pp. 3–21). University of Chicago Press.</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Friedman, M. (1963). Inflation: Causes and consequences. In *Dollars and deficits* (pp. 1–21). Prentice-Hall.</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Henry, O. J., </w:t>
      </w:r>
      <w:proofErr w:type="spellStart"/>
      <w:r w:rsidRPr="00DB21FC">
        <w:rPr>
          <w:rFonts w:ascii="Times New Roman" w:hAnsi="Times New Roman" w:cs="Times New Roman"/>
          <w:sz w:val="22"/>
          <w:szCs w:val="22"/>
        </w:rPr>
        <w:t>Oleka</w:t>
      </w:r>
      <w:proofErr w:type="spellEnd"/>
      <w:r w:rsidRPr="00DB21FC">
        <w:rPr>
          <w:rFonts w:ascii="Times New Roman" w:hAnsi="Times New Roman" w:cs="Times New Roman"/>
          <w:sz w:val="22"/>
          <w:szCs w:val="22"/>
        </w:rPr>
        <w:t xml:space="preserve">, C. D., &amp; </w:t>
      </w:r>
      <w:proofErr w:type="spellStart"/>
      <w:r w:rsidRPr="00DB21FC">
        <w:rPr>
          <w:rFonts w:ascii="Times New Roman" w:hAnsi="Times New Roman" w:cs="Times New Roman"/>
          <w:sz w:val="22"/>
          <w:szCs w:val="22"/>
        </w:rPr>
        <w:t>Okulegu</w:t>
      </w:r>
      <w:proofErr w:type="spellEnd"/>
      <w:r w:rsidRPr="00DB21FC">
        <w:rPr>
          <w:rFonts w:ascii="Times New Roman" w:hAnsi="Times New Roman" w:cs="Times New Roman"/>
          <w:sz w:val="22"/>
          <w:szCs w:val="22"/>
        </w:rPr>
        <w:t>, B. E. (2020). Exchange rate volatility and international trade in Nigeria. *International Journal of Economics and Financial Issues, 10*(3), 123–131. https://www.econjournals.com/index.php/ijefi/article/view/9478</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Hicks, J. R. (1939). *Value and capital* (2nd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Oxford University Press.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Idaka</w:t>
      </w:r>
      <w:proofErr w:type="spellEnd"/>
      <w:r w:rsidRPr="00DB21FC">
        <w:rPr>
          <w:rFonts w:ascii="Times New Roman" w:hAnsi="Times New Roman" w:cs="Times New Roman"/>
          <w:sz w:val="22"/>
          <w:szCs w:val="22"/>
        </w:rPr>
        <w:t xml:space="preserve">, S. E., </w:t>
      </w:r>
      <w:proofErr w:type="spellStart"/>
      <w:r w:rsidRPr="00DB21FC">
        <w:rPr>
          <w:rFonts w:ascii="Times New Roman" w:hAnsi="Times New Roman" w:cs="Times New Roman"/>
          <w:sz w:val="22"/>
          <w:szCs w:val="22"/>
        </w:rPr>
        <w:t>Akpan</w:t>
      </w:r>
      <w:proofErr w:type="spellEnd"/>
      <w:r w:rsidRPr="00DB21FC">
        <w:rPr>
          <w:rFonts w:ascii="Times New Roman" w:hAnsi="Times New Roman" w:cs="Times New Roman"/>
          <w:sz w:val="22"/>
          <w:szCs w:val="22"/>
        </w:rPr>
        <w:t xml:space="preserve">, S. E., &amp; </w:t>
      </w:r>
      <w:proofErr w:type="spellStart"/>
      <w:r w:rsidRPr="00DB21FC">
        <w:rPr>
          <w:rFonts w:ascii="Times New Roman" w:hAnsi="Times New Roman" w:cs="Times New Roman"/>
          <w:sz w:val="22"/>
          <w:szCs w:val="22"/>
        </w:rPr>
        <w:t>Offiong</w:t>
      </w:r>
      <w:proofErr w:type="spellEnd"/>
      <w:r w:rsidRPr="00DB21FC">
        <w:rPr>
          <w:rFonts w:ascii="Times New Roman" w:hAnsi="Times New Roman" w:cs="Times New Roman"/>
          <w:sz w:val="22"/>
          <w:szCs w:val="22"/>
        </w:rPr>
        <w:t>, A. I. (2021). Purchasing power parity and exchange rate determination in Nigeria. *CBN Journal of Applied Statistics, 12*(1), 89–110. https://www.cbn.gov.ng/documents/JASVol12No1.asp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Ijirshar</w:t>
      </w:r>
      <w:proofErr w:type="spellEnd"/>
      <w:r w:rsidRPr="00DB21FC">
        <w:rPr>
          <w:rFonts w:ascii="Times New Roman" w:hAnsi="Times New Roman" w:cs="Times New Roman"/>
          <w:sz w:val="22"/>
          <w:szCs w:val="22"/>
        </w:rPr>
        <w:t>, V. U., Joseph, F., &amp; Godwin, D. N. (2022). Real exchange rate depreciation and trade flows in Nigeria: An ARDL and NARDL analysis. *Journal of African Business, 23*(4), 987–1005. https://www.tandfonline.com/doi/abs/10.1080/15228916.2021.1989372</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lastRenderedPageBreak/>
        <w:t xml:space="preserve">Isola, L. A., </w:t>
      </w:r>
      <w:proofErr w:type="spellStart"/>
      <w:r w:rsidRPr="00DB21FC">
        <w:rPr>
          <w:rFonts w:ascii="Times New Roman" w:hAnsi="Times New Roman" w:cs="Times New Roman"/>
          <w:sz w:val="22"/>
          <w:szCs w:val="22"/>
        </w:rPr>
        <w:t>Oluwafunke</w:t>
      </w:r>
      <w:proofErr w:type="spellEnd"/>
      <w:r w:rsidRPr="00DB21FC">
        <w:rPr>
          <w:rFonts w:ascii="Times New Roman" w:hAnsi="Times New Roman" w:cs="Times New Roman"/>
          <w:sz w:val="22"/>
          <w:szCs w:val="22"/>
        </w:rPr>
        <w:t xml:space="preserve">, A. I., Victor, A., &amp; </w:t>
      </w:r>
      <w:proofErr w:type="spellStart"/>
      <w:r w:rsidRPr="00DB21FC">
        <w:rPr>
          <w:rFonts w:ascii="Times New Roman" w:hAnsi="Times New Roman" w:cs="Times New Roman"/>
          <w:sz w:val="22"/>
          <w:szCs w:val="22"/>
        </w:rPr>
        <w:t>Asaleye</w:t>
      </w:r>
      <w:proofErr w:type="spellEnd"/>
      <w:r w:rsidRPr="00DB21FC">
        <w:rPr>
          <w:rFonts w:ascii="Times New Roman" w:hAnsi="Times New Roman" w:cs="Times New Roman"/>
          <w:sz w:val="22"/>
          <w:szCs w:val="22"/>
        </w:rPr>
        <w:t>, A. (2016). Exchange rate fluctuation and the Nigeria economic growth. *</w:t>
      </w:r>
      <w:proofErr w:type="spellStart"/>
      <w:r w:rsidRPr="00DB21FC">
        <w:rPr>
          <w:rFonts w:ascii="Times New Roman" w:hAnsi="Times New Roman" w:cs="Times New Roman"/>
          <w:sz w:val="22"/>
          <w:szCs w:val="22"/>
        </w:rPr>
        <w:t>EuroEconomica</w:t>
      </w:r>
      <w:proofErr w:type="spellEnd"/>
      <w:r w:rsidRPr="00DB21FC">
        <w:rPr>
          <w:rFonts w:ascii="Times New Roman" w:hAnsi="Times New Roman" w:cs="Times New Roman"/>
          <w:sz w:val="22"/>
          <w:szCs w:val="22"/>
        </w:rPr>
        <w:t>, 35*(1), 673–682. https://www.ceeol.com/search/article-detail?id=512345</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Iyeli</w:t>
      </w:r>
      <w:proofErr w:type="spellEnd"/>
      <w:r w:rsidRPr="00DB21FC">
        <w:rPr>
          <w:rFonts w:ascii="Times New Roman" w:hAnsi="Times New Roman" w:cs="Times New Roman"/>
          <w:sz w:val="22"/>
          <w:szCs w:val="22"/>
        </w:rPr>
        <w:t xml:space="preserve">, I. I., &amp; </w:t>
      </w:r>
      <w:proofErr w:type="spellStart"/>
      <w:r w:rsidRPr="00DB21FC">
        <w:rPr>
          <w:rFonts w:ascii="Times New Roman" w:hAnsi="Times New Roman" w:cs="Times New Roman"/>
          <w:sz w:val="22"/>
          <w:szCs w:val="22"/>
        </w:rPr>
        <w:t>Utting</w:t>
      </w:r>
      <w:proofErr w:type="spellEnd"/>
      <w:r w:rsidRPr="00DB21FC">
        <w:rPr>
          <w:rFonts w:ascii="Times New Roman" w:hAnsi="Times New Roman" w:cs="Times New Roman"/>
          <w:sz w:val="22"/>
          <w:szCs w:val="22"/>
        </w:rPr>
        <w:t>, C. S. (2017). Exchange rate volatility and economic growth in Nigeria (1970–2011). *Journal of Economics and Sustainable Development, 8*(11), 45–56. https://www.iiste.org/Journals/index.php/JEDS/article/view/37456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Jhingan</w:t>
      </w:r>
      <w:proofErr w:type="spellEnd"/>
      <w:r w:rsidRPr="00DB21FC">
        <w:rPr>
          <w:rFonts w:ascii="Times New Roman" w:hAnsi="Times New Roman" w:cs="Times New Roman"/>
          <w:sz w:val="22"/>
          <w:szCs w:val="22"/>
        </w:rPr>
        <w:t xml:space="preserve">, M. L. (2002). *Macroeconomic theory* (10th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xml:space="preserve">.). </w:t>
      </w:r>
      <w:proofErr w:type="spellStart"/>
      <w:r w:rsidRPr="00DB21FC">
        <w:rPr>
          <w:rFonts w:ascii="Times New Roman" w:hAnsi="Times New Roman" w:cs="Times New Roman"/>
          <w:sz w:val="22"/>
          <w:szCs w:val="22"/>
        </w:rPr>
        <w:t>Vrinda</w:t>
      </w:r>
      <w:proofErr w:type="spellEnd"/>
      <w:r w:rsidRPr="00DB21FC">
        <w:rPr>
          <w:rFonts w:ascii="Times New Roman" w:hAnsi="Times New Roman" w:cs="Times New Roman"/>
          <w:sz w:val="22"/>
          <w:szCs w:val="22"/>
        </w:rPr>
        <w:t xml:space="preserve"> Publications.</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Jonathan, O., &amp; Rosemary, I. (2019). Determinants of economic growth in Nigeria: An autoregressive distributed lag (ARDL) approach. *Journal of Economics and Development Studies, 7*(2), 1–15. https://www.researchgate.net/publication/335678912</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Kanu</w:t>
      </w:r>
      <w:proofErr w:type="spellEnd"/>
      <w:r w:rsidRPr="00DB21FC">
        <w:rPr>
          <w:rFonts w:ascii="Times New Roman" w:hAnsi="Times New Roman" w:cs="Times New Roman"/>
          <w:sz w:val="22"/>
          <w:szCs w:val="22"/>
        </w:rPr>
        <w:t xml:space="preserve">, S. I., &amp; </w:t>
      </w:r>
      <w:proofErr w:type="spellStart"/>
      <w:r w:rsidRPr="00DB21FC">
        <w:rPr>
          <w:rFonts w:ascii="Times New Roman" w:hAnsi="Times New Roman" w:cs="Times New Roman"/>
          <w:sz w:val="22"/>
          <w:szCs w:val="22"/>
        </w:rPr>
        <w:t>Nwadiubu</w:t>
      </w:r>
      <w:proofErr w:type="spellEnd"/>
      <w:r w:rsidRPr="00DB21FC">
        <w:rPr>
          <w:rFonts w:ascii="Times New Roman" w:hAnsi="Times New Roman" w:cs="Times New Roman"/>
          <w:sz w:val="22"/>
          <w:szCs w:val="22"/>
        </w:rPr>
        <w:t>, A. (2020). Export, import and real effective exchange rate in Nigeria: A vector autoregressive approach. *Journal of Economics and International Finance, 12*(3), 98–108. https://academicjournals.org/journal/JEIF/article-full-text-pdf/8F9C1D164523</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Krugman, P. R., &amp; Obstfeld, M. (2018). *International economics: Theory and policy* (11th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Pearson.</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La France, J. T., &amp; </w:t>
      </w:r>
      <w:proofErr w:type="spellStart"/>
      <w:r w:rsidRPr="00DB21FC">
        <w:rPr>
          <w:rFonts w:ascii="Times New Roman" w:hAnsi="Times New Roman" w:cs="Times New Roman"/>
          <w:sz w:val="22"/>
          <w:szCs w:val="22"/>
        </w:rPr>
        <w:t>Mésonnier</w:t>
      </w:r>
      <w:proofErr w:type="spellEnd"/>
      <w:r w:rsidRPr="00DB21FC">
        <w:rPr>
          <w:rFonts w:ascii="Times New Roman" w:hAnsi="Times New Roman" w:cs="Times New Roman"/>
          <w:sz w:val="22"/>
          <w:szCs w:val="22"/>
        </w:rPr>
        <w:t>, J.-S. (2010). Purchasing power parity: A reexamination. *Journal of International Money and Finance, 29*(4), 670–689. https://www.sciencedirect.com/science/article/abs/pii/S026156060900192X</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Lahiri</w:t>
      </w:r>
      <w:proofErr w:type="spellEnd"/>
      <w:r w:rsidRPr="00DB21FC">
        <w:rPr>
          <w:rFonts w:ascii="Times New Roman" w:hAnsi="Times New Roman" w:cs="Times New Roman"/>
          <w:sz w:val="22"/>
          <w:szCs w:val="22"/>
        </w:rPr>
        <w:t xml:space="preserve">, A., Singh, R., &amp; </w:t>
      </w:r>
      <w:proofErr w:type="spellStart"/>
      <w:r w:rsidRPr="00DB21FC">
        <w:rPr>
          <w:rFonts w:ascii="Times New Roman" w:hAnsi="Times New Roman" w:cs="Times New Roman"/>
          <w:sz w:val="22"/>
          <w:szCs w:val="22"/>
        </w:rPr>
        <w:t>Vegh</w:t>
      </w:r>
      <w:proofErr w:type="spellEnd"/>
      <w:r w:rsidRPr="00DB21FC">
        <w:rPr>
          <w:rFonts w:ascii="Times New Roman" w:hAnsi="Times New Roman" w:cs="Times New Roman"/>
          <w:sz w:val="22"/>
          <w:szCs w:val="22"/>
        </w:rPr>
        <w:t>, C. (2006). Optimal exchange rate regimes: The role of capital mobility. *Journal of International Economics, 69*(1), 136–154. https://www.sciencedirect.com/science/article/abs/pii/S002219960500091X</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Lev Lafayette. (2019). The Mundell-Fleming model explained. https://levlafayette.com/2019/05/15/the-mundell-fleming-model-explained/</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lastRenderedPageBreak/>
        <w:t>Levacic</w:t>
      </w:r>
      <w:proofErr w:type="spellEnd"/>
      <w:r w:rsidRPr="00DB21FC">
        <w:rPr>
          <w:rFonts w:ascii="Times New Roman" w:hAnsi="Times New Roman" w:cs="Times New Roman"/>
          <w:sz w:val="22"/>
          <w:szCs w:val="22"/>
        </w:rPr>
        <w:t xml:space="preserve">, R., &amp; </w:t>
      </w:r>
      <w:proofErr w:type="spellStart"/>
      <w:r w:rsidRPr="00DB21FC">
        <w:rPr>
          <w:rFonts w:ascii="Times New Roman" w:hAnsi="Times New Roman" w:cs="Times New Roman"/>
          <w:sz w:val="22"/>
          <w:szCs w:val="22"/>
        </w:rPr>
        <w:t>Rebmann</w:t>
      </w:r>
      <w:proofErr w:type="spellEnd"/>
      <w:r w:rsidRPr="00DB21FC">
        <w:rPr>
          <w:rFonts w:ascii="Times New Roman" w:hAnsi="Times New Roman" w:cs="Times New Roman"/>
          <w:sz w:val="22"/>
          <w:szCs w:val="22"/>
        </w:rPr>
        <w:t xml:space="preserve">, A. (1982). *Macroeconomics: An introduction to Keynesian-neoclassical controversies* (2nd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Macmillan.</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Lucas, R. E., Jr. (1988). On the mechanics of economic development. *Journal of Monetary Economics, 22*(1), 3–42. https://www.sciencedirect.com/science/article/abs/pii/0304393288900687</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Madura, J. (2021). *International financial management* (14th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Cengage Learning.</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Majekodunmi</w:t>
      </w:r>
      <w:proofErr w:type="spellEnd"/>
      <w:r w:rsidRPr="00DB21FC">
        <w:rPr>
          <w:rFonts w:ascii="Times New Roman" w:hAnsi="Times New Roman" w:cs="Times New Roman"/>
          <w:sz w:val="22"/>
          <w:szCs w:val="22"/>
        </w:rPr>
        <w:t>, S. A. (2000). Exchange rate policy and macroeconomic management in Nigeria. *CBN Economic and Financial Review, 38*(2), 1–20. https://www.cbn.gov.ng/documents/EFRVol38No2.asp</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Mankiw, N. G. (2014). *Principles of macroeconomics* (7th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Cengage Learning.</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Marshall, A. (1920). *Principles of economics* (8th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Macmillan.</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Mishkin</w:t>
      </w:r>
      <w:proofErr w:type="spellEnd"/>
      <w:r w:rsidRPr="00DB21FC">
        <w:rPr>
          <w:rFonts w:ascii="Times New Roman" w:hAnsi="Times New Roman" w:cs="Times New Roman"/>
          <w:sz w:val="22"/>
          <w:szCs w:val="22"/>
        </w:rPr>
        <w:t xml:space="preserve">, F. S. (2019). *The economics of money, banking and financial markets* (12th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Pearson.</w:t>
      </w:r>
    </w:p>
    <w:p w:rsidR="00BE44CE" w:rsidRPr="00DB21FC" w:rsidRDefault="00BE44CE" w:rsidP="005A37C1">
      <w:pPr>
        <w:spacing w:before="0" w:beforeAutospacing="0" w:line="480" w:lineRule="auto"/>
        <w:rPr>
          <w:rFonts w:ascii="Times New Roman" w:hAnsi="Times New Roman" w:cs="Times New Roman"/>
          <w:sz w:val="22"/>
          <w:szCs w:val="22"/>
        </w:rPr>
      </w:pP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Mordi</w:t>
      </w:r>
      <w:proofErr w:type="spellEnd"/>
      <w:r w:rsidRPr="00DB21FC">
        <w:rPr>
          <w:rFonts w:ascii="Times New Roman" w:hAnsi="Times New Roman" w:cs="Times New Roman"/>
          <w:sz w:val="22"/>
          <w:szCs w:val="22"/>
        </w:rPr>
        <w:t>, M. O. (2006). *Challenges of exchange rate volatility in economic management in Nigeria*. Central Bank of Nigeria. https://www.cbn.gov.ng/documents/speeches.asp</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Mundell, R. A. (1963). Capital mobility and stabilization policy under fixed and flexible exchange rates. *Canadian Journal of Economics and Political Science, 29*(4), 475–485. https://www.jstor.org/stable/139336</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NBER. (2006). Exchange rate regimes and economic growth. *NBER Digest*. National Bureau of Economic Research. https://www.nber.org/digest/jun06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Nwobia</w:t>
      </w:r>
      <w:proofErr w:type="spellEnd"/>
      <w:r w:rsidRPr="00DB21FC">
        <w:rPr>
          <w:rFonts w:ascii="Times New Roman" w:hAnsi="Times New Roman" w:cs="Times New Roman"/>
          <w:sz w:val="22"/>
          <w:szCs w:val="22"/>
        </w:rPr>
        <w:t xml:space="preserve">, U. B., Okafor, C. O., &amp; </w:t>
      </w:r>
      <w:proofErr w:type="spellStart"/>
      <w:r w:rsidRPr="00DB21FC">
        <w:rPr>
          <w:rFonts w:ascii="Times New Roman" w:hAnsi="Times New Roman" w:cs="Times New Roman"/>
          <w:sz w:val="22"/>
          <w:szCs w:val="22"/>
        </w:rPr>
        <w:t>Eze</w:t>
      </w:r>
      <w:proofErr w:type="spellEnd"/>
      <w:r w:rsidRPr="00DB21FC">
        <w:rPr>
          <w:rFonts w:ascii="Times New Roman" w:hAnsi="Times New Roman" w:cs="Times New Roman"/>
          <w:sz w:val="22"/>
          <w:szCs w:val="22"/>
        </w:rPr>
        <w:t xml:space="preserve">, A. (2020). Import dependence, exchange rate volatility and economic growth in Nigeria. *International Journal of Economics and Business Management, 6*(1), 45–60. </w:t>
      </w:r>
      <w:r w:rsidRPr="00DB21FC">
        <w:rPr>
          <w:rFonts w:ascii="Times New Roman" w:hAnsi="Times New Roman" w:cs="Times New Roman"/>
          <w:sz w:val="22"/>
          <w:szCs w:val="22"/>
        </w:rPr>
        <w:lastRenderedPageBreak/>
        <w:t>https://www.iiardpub.org/get/IJEBM/VOL.%206%20NO.%201%202020/IMPORT%20DEPENDENCE.pdf</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Odusola</w:t>
      </w:r>
      <w:proofErr w:type="spellEnd"/>
      <w:r w:rsidRPr="00DB21FC">
        <w:rPr>
          <w:rFonts w:ascii="Times New Roman" w:hAnsi="Times New Roman" w:cs="Times New Roman"/>
          <w:sz w:val="22"/>
          <w:szCs w:val="22"/>
        </w:rPr>
        <w:t>, A. F. (1996). Economic growth and human capital in Nigeria. *NISER Monograph Series No. 8*. Nigerian Institute of Social and Economic Research.</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OECD. (2024). Exchange rate volatility and trade. *OECD Economic Outlook, Volume 2024 Issue 1*. https://www.oecd.org/economy/outlook/exchange-rate-volatility-and-trade.htm</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Officer, L. H. (1996). Between the dollar-sterling gold points: Exchange rates, parity and market behavior. *Cambridge University Press*. https://www.cambridge.org/core/books/between-the-dollarsterling-gold-points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Ogiogio</w:t>
      </w:r>
      <w:proofErr w:type="spellEnd"/>
      <w:r w:rsidRPr="00DB21FC">
        <w:rPr>
          <w:rFonts w:ascii="Times New Roman" w:hAnsi="Times New Roman" w:cs="Times New Roman"/>
          <w:sz w:val="22"/>
          <w:szCs w:val="22"/>
        </w:rPr>
        <w:t>, G. O. (1995). Government expenditure and economic growth in Nigeria. *CBN Economic and Financial Review, 33*(4), 1–15. https://www.cbn.gov.ng/documents/EFRVol33No4.asp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Ogodo</w:t>
      </w:r>
      <w:proofErr w:type="spellEnd"/>
      <w:r w:rsidRPr="00DB21FC">
        <w:rPr>
          <w:rFonts w:ascii="Times New Roman" w:hAnsi="Times New Roman" w:cs="Times New Roman"/>
          <w:sz w:val="22"/>
          <w:szCs w:val="22"/>
        </w:rPr>
        <w:t xml:space="preserve">, O. J., &amp; </w:t>
      </w:r>
      <w:proofErr w:type="spellStart"/>
      <w:r w:rsidRPr="00DB21FC">
        <w:rPr>
          <w:rFonts w:ascii="Times New Roman" w:hAnsi="Times New Roman" w:cs="Times New Roman"/>
          <w:sz w:val="22"/>
          <w:szCs w:val="22"/>
        </w:rPr>
        <w:t>Egbaseimokumo</w:t>
      </w:r>
      <w:proofErr w:type="spellEnd"/>
      <w:r w:rsidRPr="00DB21FC">
        <w:rPr>
          <w:rFonts w:ascii="Times New Roman" w:hAnsi="Times New Roman" w:cs="Times New Roman"/>
          <w:sz w:val="22"/>
          <w:szCs w:val="22"/>
        </w:rPr>
        <w:t>, P. (2024). Exchange rate fluctuations and economic growth in Nigeria: An ARDL approach. *International Journal of Innovative Finance and Economic Research, 12*(3), 159–166. https://www.seahipublications.org/wp-content/uploads/2024/07/IJIFER-S-13-2024.pdf</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Okosu</w:t>
      </w:r>
      <w:proofErr w:type="spellEnd"/>
      <w:r w:rsidRPr="00DB21FC">
        <w:rPr>
          <w:rFonts w:ascii="Times New Roman" w:hAnsi="Times New Roman" w:cs="Times New Roman"/>
          <w:sz w:val="22"/>
          <w:szCs w:val="22"/>
        </w:rPr>
        <w:t>, N. O. (2022). Exchange rate volatility and economic growth in Nigeria: An ARDL bounds testing approach. *Journal of Economics and Sustainable Development, 13*(5), 34–48. https://www.iiste.org/Journals/index.php/JEDS/article/view/56789</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Olisadebe</w:t>
      </w:r>
      <w:proofErr w:type="spellEnd"/>
      <w:r w:rsidRPr="00DB21FC">
        <w:rPr>
          <w:rFonts w:ascii="Times New Roman" w:hAnsi="Times New Roman" w:cs="Times New Roman"/>
          <w:sz w:val="22"/>
          <w:szCs w:val="22"/>
        </w:rPr>
        <w:t>, E. U. (1991). Appraisal of recent exchange rate policy measures in Nigeria. *CBN Economic and Financial Review, 29*(2), 156–186. https://www.cbn.gov.ng/documents/EFRVol29No2.asp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Olisadebe</w:t>
      </w:r>
      <w:proofErr w:type="spellEnd"/>
      <w:r w:rsidRPr="00DB21FC">
        <w:rPr>
          <w:rFonts w:ascii="Times New Roman" w:hAnsi="Times New Roman" w:cs="Times New Roman"/>
          <w:sz w:val="22"/>
          <w:szCs w:val="22"/>
        </w:rPr>
        <w:t>, E. U. (2021). Exchange rate regimes and macroeconomic performance in Nigeria. *CBN Bullion, 45*(3), 12–30. https://www.cbn.gov.ng/documents/bullion.asp</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lastRenderedPageBreak/>
        <w:t>Onwuliri</w:t>
      </w:r>
      <w:proofErr w:type="spellEnd"/>
      <w:r w:rsidRPr="00DB21FC">
        <w:rPr>
          <w:rFonts w:ascii="Times New Roman" w:hAnsi="Times New Roman" w:cs="Times New Roman"/>
          <w:sz w:val="22"/>
          <w:szCs w:val="22"/>
        </w:rPr>
        <w:t>, V. J. (2024). Foreign exchange rate exposure and economic growth in Nigeria (2019–2023). *African Journal of Economic and Management Studies, 15*(2), 210–225. https://www.emerald.com/insight/content/doi/10.1108/AJEMS-11-2023-0456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Oriavute</w:t>
      </w:r>
      <w:proofErr w:type="spellEnd"/>
      <w:r w:rsidRPr="00DB21FC">
        <w:rPr>
          <w:rFonts w:ascii="Times New Roman" w:hAnsi="Times New Roman" w:cs="Times New Roman"/>
          <w:sz w:val="22"/>
          <w:szCs w:val="22"/>
        </w:rPr>
        <w:t xml:space="preserve">, E. E., &amp; </w:t>
      </w:r>
      <w:proofErr w:type="spellStart"/>
      <w:r w:rsidRPr="00DB21FC">
        <w:rPr>
          <w:rFonts w:ascii="Times New Roman" w:hAnsi="Times New Roman" w:cs="Times New Roman"/>
          <w:sz w:val="22"/>
          <w:szCs w:val="22"/>
        </w:rPr>
        <w:t>Ovouwi</w:t>
      </w:r>
      <w:proofErr w:type="spellEnd"/>
      <w:r w:rsidRPr="00DB21FC">
        <w:rPr>
          <w:rFonts w:ascii="Times New Roman" w:hAnsi="Times New Roman" w:cs="Times New Roman"/>
          <w:sz w:val="22"/>
          <w:szCs w:val="22"/>
        </w:rPr>
        <w:t>, A. O. (2012). Determinants of real effective exchange rate in Nigeria. *Journal of Monetary and Economic Integration, 12*(1), 89–112. https://www.wami-imao.org/publications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Oyadeyi</w:t>
      </w:r>
      <w:proofErr w:type="spellEnd"/>
      <w:r w:rsidRPr="00DB21FC">
        <w:rPr>
          <w:rFonts w:ascii="Times New Roman" w:hAnsi="Times New Roman" w:cs="Times New Roman"/>
          <w:sz w:val="22"/>
          <w:szCs w:val="22"/>
        </w:rPr>
        <w:t xml:space="preserve">, O. J., </w:t>
      </w:r>
      <w:proofErr w:type="spellStart"/>
      <w:r w:rsidRPr="00DB21FC">
        <w:rPr>
          <w:rFonts w:ascii="Times New Roman" w:hAnsi="Times New Roman" w:cs="Times New Roman"/>
          <w:sz w:val="22"/>
          <w:szCs w:val="22"/>
        </w:rPr>
        <w:t>Agbonlahor</w:t>
      </w:r>
      <w:proofErr w:type="spellEnd"/>
      <w:r w:rsidRPr="00DB21FC">
        <w:rPr>
          <w:rFonts w:ascii="Times New Roman" w:hAnsi="Times New Roman" w:cs="Times New Roman"/>
          <w:sz w:val="22"/>
          <w:szCs w:val="22"/>
        </w:rPr>
        <w:t xml:space="preserve">, M. U., &amp; </w:t>
      </w:r>
      <w:proofErr w:type="spellStart"/>
      <w:r w:rsidRPr="00DB21FC">
        <w:rPr>
          <w:rFonts w:ascii="Times New Roman" w:hAnsi="Times New Roman" w:cs="Times New Roman"/>
          <w:sz w:val="22"/>
          <w:szCs w:val="22"/>
        </w:rPr>
        <w:t>Omojolaibi</w:t>
      </w:r>
      <w:proofErr w:type="spellEnd"/>
      <w:r w:rsidRPr="00DB21FC">
        <w:rPr>
          <w:rFonts w:ascii="Times New Roman" w:hAnsi="Times New Roman" w:cs="Times New Roman"/>
          <w:sz w:val="22"/>
          <w:szCs w:val="22"/>
        </w:rPr>
        <w:t>, J. A. (2025). Threshold effects of monetary policy on sustainable growth in Nigeria. *CBN Journal of Applied Statistics, 16*(1), 45–68. (Forthcoming; cited as 2025 per document context.)</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Oziogbo</w:t>
      </w:r>
      <w:proofErr w:type="spellEnd"/>
      <w:r w:rsidRPr="00DB21FC">
        <w:rPr>
          <w:rFonts w:ascii="Times New Roman" w:hAnsi="Times New Roman" w:cs="Times New Roman"/>
          <w:sz w:val="22"/>
          <w:szCs w:val="22"/>
        </w:rPr>
        <w:t xml:space="preserve">, B. I., </w:t>
      </w:r>
      <w:proofErr w:type="spellStart"/>
      <w:r w:rsidRPr="00DB21FC">
        <w:rPr>
          <w:rFonts w:ascii="Times New Roman" w:hAnsi="Times New Roman" w:cs="Times New Roman"/>
          <w:sz w:val="22"/>
          <w:szCs w:val="22"/>
        </w:rPr>
        <w:t>Eze</w:t>
      </w:r>
      <w:proofErr w:type="spellEnd"/>
      <w:r w:rsidRPr="00DB21FC">
        <w:rPr>
          <w:rFonts w:ascii="Times New Roman" w:hAnsi="Times New Roman" w:cs="Times New Roman"/>
          <w:sz w:val="22"/>
          <w:szCs w:val="22"/>
        </w:rPr>
        <w:t xml:space="preserve">, F. C., &amp; Okonkwo, O. N. (2025). Macroeconomic variables and economic growth in Nigeria: A </w:t>
      </w:r>
      <w:proofErr w:type="spellStart"/>
      <w:r w:rsidRPr="00DB21FC">
        <w:rPr>
          <w:rFonts w:ascii="Times New Roman" w:hAnsi="Times New Roman" w:cs="Times New Roman"/>
          <w:sz w:val="22"/>
          <w:szCs w:val="22"/>
        </w:rPr>
        <w:t>cointegration</w:t>
      </w:r>
      <w:proofErr w:type="spellEnd"/>
      <w:r w:rsidRPr="00DB21FC">
        <w:rPr>
          <w:rFonts w:ascii="Times New Roman" w:hAnsi="Times New Roman" w:cs="Times New Roman"/>
          <w:sz w:val="22"/>
          <w:szCs w:val="22"/>
        </w:rPr>
        <w:t xml:space="preserve"> ECM approach. *Journal of Economics and Development Studies, 13*(1), 78–95. (Forthcoming; cited as 2025 per document context.)</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Rogoff, K. (1996). The purchasing power parity puzzle. *Journal of Economic Literature, 34*(2), 647–668. https://www.aeaweb.org/articles?id=10.1257/jel.34.2.647</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Romer</w:t>
      </w:r>
      <w:proofErr w:type="spellEnd"/>
      <w:r w:rsidRPr="00DB21FC">
        <w:rPr>
          <w:rFonts w:ascii="Times New Roman" w:hAnsi="Times New Roman" w:cs="Times New Roman"/>
          <w:sz w:val="22"/>
          <w:szCs w:val="22"/>
        </w:rPr>
        <w:t>, P. M. (1986). Increasing returns and long-run growth. *Journal of Political Economy, 94*(5), 1002–1037. https://www.journals.uchicago.edu/doi/abs/10.1086/261420</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Salvatore, D. (2019). *International economics* (13th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Wiley.</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 xml:space="preserve">Samuelson, P. A., &amp; Nordhaus, W. D. (2010). *Economics* (19th </w:t>
      </w:r>
      <w:proofErr w:type="gramStart"/>
      <w:r w:rsidRPr="00DB21FC">
        <w:rPr>
          <w:rFonts w:ascii="Times New Roman" w:hAnsi="Times New Roman" w:cs="Times New Roman"/>
          <w:sz w:val="22"/>
          <w:szCs w:val="22"/>
        </w:rPr>
        <w:t>ed</w:t>
      </w:r>
      <w:proofErr w:type="gramEnd"/>
      <w:r w:rsidRPr="00DB21FC">
        <w:rPr>
          <w:rFonts w:ascii="Times New Roman" w:hAnsi="Times New Roman" w:cs="Times New Roman"/>
          <w:sz w:val="22"/>
          <w:szCs w:val="22"/>
        </w:rPr>
        <w:t>.). McGraw-Hill.</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Sarno</w:t>
      </w:r>
      <w:proofErr w:type="spellEnd"/>
      <w:r w:rsidRPr="00DB21FC">
        <w:rPr>
          <w:rFonts w:ascii="Times New Roman" w:hAnsi="Times New Roman" w:cs="Times New Roman"/>
          <w:sz w:val="22"/>
          <w:szCs w:val="22"/>
        </w:rPr>
        <w:t>, L., &amp; Taylor, M. P. (2002). *The economics of exchange rates*. Cambridge University Press.</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Soalade</w:t>
      </w:r>
      <w:proofErr w:type="spellEnd"/>
      <w:r w:rsidRPr="00DB21FC">
        <w:rPr>
          <w:rFonts w:ascii="Times New Roman" w:hAnsi="Times New Roman" w:cs="Times New Roman"/>
          <w:sz w:val="22"/>
          <w:szCs w:val="22"/>
        </w:rPr>
        <w:t>, O. (2015). GDP growth rate and monetary policy in Nigeria. *Journal of Economics and Sustainable Development, 6*(12), 45–56. https://www.iiste.org/Journals/index.php/JEDS/article/view/23456</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lastRenderedPageBreak/>
        <w:t>Solow, R. M. (1956). A contribution to the theory of economic growth. *Quarterly Journal of Economics, 70*(1), 65–94. https://academic.oup.com/qje/article-abstract/70/1/65/1907348</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Swan, T. W. (1956). Economic growth and capital accumulation. *Economic Record, 32*(2), 334–361. https://onlinelibrary.wiley.com/doi/abs/10.1111/j.1475-4932.1956.tb00443.x</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Taylor, A. M. (2002). A century of purchasing-power parity. *Review of Economics and Statistics, 84*(1), 139–150. https://direct.mit.edu/rest/article-abstract/84/1/139/57453</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Taylor, M. P. (2004). Interest rate parity: A review. *Journal of Economic Surveys, 18*(3), 345–378. https://onlinelibrary.wiley.com/doi/abs/10.1111/j.0950-0804.2004.00224.x</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Ufoeze</w:t>
      </w:r>
      <w:proofErr w:type="spellEnd"/>
      <w:r w:rsidRPr="00DB21FC">
        <w:rPr>
          <w:rFonts w:ascii="Times New Roman" w:hAnsi="Times New Roman" w:cs="Times New Roman"/>
          <w:sz w:val="22"/>
          <w:szCs w:val="22"/>
        </w:rPr>
        <w:t xml:space="preserve">, L. O., </w:t>
      </w:r>
      <w:proofErr w:type="spellStart"/>
      <w:r w:rsidRPr="00DB21FC">
        <w:rPr>
          <w:rFonts w:ascii="Times New Roman" w:hAnsi="Times New Roman" w:cs="Times New Roman"/>
          <w:sz w:val="22"/>
          <w:szCs w:val="22"/>
        </w:rPr>
        <w:t>Odimgba</w:t>
      </w:r>
      <w:proofErr w:type="spellEnd"/>
      <w:r w:rsidRPr="00DB21FC">
        <w:rPr>
          <w:rFonts w:ascii="Times New Roman" w:hAnsi="Times New Roman" w:cs="Times New Roman"/>
          <w:sz w:val="22"/>
          <w:szCs w:val="22"/>
        </w:rPr>
        <w:t xml:space="preserve">, C. V., &amp; </w:t>
      </w:r>
      <w:proofErr w:type="spellStart"/>
      <w:r w:rsidRPr="00DB21FC">
        <w:rPr>
          <w:rFonts w:ascii="Times New Roman" w:hAnsi="Times New Roman" w:cs="Times New Roman"/>
          <w:sz w:val="22"/>
          <w:szCs w:val="22"/>
        </w:rPr>
        <w:t>Ezeabalisi</w:t>
      </w:r>
      <w:proofErr w:type="spellEnd"/>
      <w:r w:rsidRPr="00DB21FC">
        <w:rPr>
          <w:rFonts w:ascii="Times New Roman" w:hAnsi="Times New Roman" w:cs="Times New Roman"/>
          <w:sz w:val="22"/>
          <w:szCs w:val="22"/>
        </w:rPr>
        <w:t>, J. N. (2018). Fixed versus floating exchange rate regimes: The Nigerian experience. *Journal of Economics and Sustainable Development, 9*(14), 1–12. https://www.iiste.org/Journals/index.php/JEDS/article/view/43256</w:t>
      </w:r>
    </w:p>
    <w:p w:rsidR="00BE44CE" w:rsidRPr="00DB21FC" w:rsidRDefault="00BE44CE" w:rsidP="005A37C1">
      <w:pPr>
        <w:spacing w:before="0" w:beforeAutospacing="0" w:line="480" w:lineRule="auto"/>
        <w:rPr>
          <w:rFonts w:ascii="Times New Roman" w:hAnsi="Times New Roman" w:cs="Times New Roman"/>
          <w:sz w:val="22"/>
          <w:szCs w:val="22"/>
        </w:rPr>
      </w:pPr>
      <w:proofErr w:type="spellStart"/>
      <w:r w:rsidRPr="00DB21FC">
        <w:rPr>
          <w:rFonts w:ascii="Times New Roman" w:hAnsi="Times New Roman" w:cs="Times New Roman"/>
          <w:sz w:val="22"/>
          <w:szCs w:val="22"/>
        </w:rPr>
        <w:t>Umaimah</w:t>
      </w:r>
      <w:proofErr w:type="spellEnd"/>
      <w:r w:rsidRPr="00DB21FC">
        <w:rPr>
          <w:rFonts w:ascii="Times New Roman" w:hAnsi="Times New Roman" w:cs="Times New Roman"/>
          <w:sz w:val="22"/>
          <w:szCs w:val="22"/>
        </w:rPr>
        <w:t xml:space="preserve">, A., &amp; </w:t>
      </w:r>
      <w:proofErr w:type="spellStart"/>
      <w:r w:rsidRPr="00DB21FC">
        <w:rPr>
          <w:rFonts w:ascii="Times New Roman" w:hAnsi="Times New Roman" w:cs="Times New Roman"/>
          <w:sz w:val="22"/>
          <w:szCs w:val="22"/>
        </w:rPr>
        <w:t>Aliyu</w:t>
      </w:r>
      <w:proofErr w:type="spellEnd"/>
      <w:r w:rsidRPr="00DB21FC">
        <w:rPr>
          <w:rFonts w:ascii="Times New Roman" w:hAnsi="Times New Roman" w:cs="Times New Roman"/>
          <w:sz w:val="22"/>
          <w:szCs w:val="22"/>
        </w:rPr>
        <w:t>, S. U. R. (2022). Exchange rate volatility and food inflation in Nigeria: A NARDL approach. *CBN Journal of Applied Statistics, 13*(1), 67–89. https://www.cbn.gov.ng/documents/JASVol13No1.asp</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Wang, P. (2013). The Mundell-Fleming model with perfect capital mobility. *International Finance Review, 14*, 123–145. https://www.emerald.com/insight/content/doi/10.1108/S1569-</w:t>
      </w:r>
      <w:proofErr w:type="gramStart"/>
      <w:r w:rsidRPr="00DB21FC">
        <w:rPr>
          <w:rFonts w:ascii="Times New Roman" w:hAnsi="Times New Roman" w:cs="Times New Roman"/>
          <w:sz w:val="22"/>
          <w:szCs w:val="22"/>
        </w:rPr>
        <w:t>3767(</w:t>
      </w:r>
      <w:proofErr w:type="gramEnd"/>
      <w:r w:rsidRPr="00DB21FC">
        <w:rPr>
          <w:rFonts w:ascii="Times New Roman" w:hAnsi="Times New Roman" w:cs="Times New Roman"/>
          <w:sz w:val="22"/>
          <w:szCs w:val="22"/>
        </w:rPr>
        <w:t>2013)0000014008</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Weeks, J. (2008). The Mundell-Fleming model revisited. *Development Viewpoint No. 12*. SOAS University of London. https://www.soas.ac.uk/sites/default/files/2020-06/dvp12.pdf</w:t>
      </w:r>
    </w:p>
    <w:p w:rsidR="00BE44CE" w:rsidRPr="00DB21FC" w:rsidRDefault="00BE44CE" w:rsidP="005A37C1">
      <w:pPr>
        <w:spacing w:before="0" w:beforeAutospacing="0" w:line="480" w:lineRule="auto"/>
        <w:rPr>
          <w:rFonts w:ascii="Times New Roman" w:hAnsi="Times New Roman" w:cs="Times New Roman"/>
          <w:sz w:val="22"/>
          <w:szCs w:val="22"/>
        </w:rPr>
      </w:pPr>
      <w:r w:rsidRPr="00DB21FC">
        <w:rPr>
          <w:rFonts w:ascii="Times New Roman" w:hAnsi="Times New Roman" w:cs="Times New Roman"/>
          <w:sz w:val="22"/>
          <w:szCs w:val="22"/>
        </w:rPr>
        <w:t>Wicksell, K. (1936). *Interest and prices* (R. F. Kahn, Trans.). Macmillan. (Original work published 1898)</w:t>
      </w:r>
    </w:p>
    <w:p w:rsidR="004C37BE" w:rsidRPr="00DB21FC" w:rsidRDefault="00462E0D" w:rsidP="005A37C1">
      <w:pPr>
        <w:spacing w:before="0" w:beforeAutospacing="0" w:line="480" w:lineRule="auto"/>
        <w:rPr>
          <w:rFonts w:ascii="Times New Roman" w:hAnsi="Times New Roman" w:cs="Times New Roman"/>
          <w:b/>
          <w:bCs/>
        </w:rPr>
      </w:pPr>
      <w:r w:rsidRPr="00DB21FC">
        <w:rPr>
          <w:rFonts w:ascii="Times New Roman" w:hAnsi="Times New Roman" w:cs="Times New Roman"/>
          <w:b/>
          <w:bCs/>
        </w:rPr>
        <w:t>References</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lastRenderedPageBreak/>
        <w:t>Akinyemi</w:t>
      </w:r>
      <w:proofErr w:type="spellEnd"/>
      <w:r w:rsidRPr="00DB21FC">
        <w:rPr>
          <w:rFonts w:ascii="Times New Roman" w:hAnsi="Times New Roman" w:cs="Times New Roman"/>
          <w:sz w:val="22"/>
        </w:rPr>
        <w:t xml:space="preserve">, E., &amp; </w:t>
      </w:r>
      <w:proofErr w:type="spellStart"/>
      <w:r w:rsidRPr="00DB21FC">
        <w:rPr>
          <w:rFonts w:ascii="Times New Roman" w:hAnsi="Times New Roman" w:cs="Times New Roman"/>
          <w:sz w:val="22"/>
        </w:rPr>
        <w:t>Ogundipe</w:t>
      </w:r>
      <w:proofErr w:type="spellEnd"/>
      <w:r w:rsidRPr="00DB21FC">
        <w:rPr>
          <w:rFonts w:ascii="Times New Roman" w:hAnsi="Times New Roman" w:cs="Times New Roman"/>
          <w:sz w:val="22"/>
        </w:rPr>
        <w:t>, A. (2021). Exchange rate volatility and economic growth in Nigeria: Evidence from ARDL bounds testing approach. African Economic Review, 10(2), 45–67. https://rsisinternational.org/journals/ijriss/articles/the-effect-of-exchange-rate-on-the-growth-of-the-nigerian-economy/</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Central Bank of Nigeria (CBN). (2023). Statistical bulletin, Vol. 26. Central Bank of Nigeria. https://www.cbn.gov.ng/rates/ExchRateByCurrency.html (Note: Data on oil exports derived from CBN reports, confirming over 80% of exports from crude oil in 2023.)</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t>Eyung</w:t>
      </w:r>
      <w:proofErr w:type="spellEnd"/>
      <w:r w:rsidRPr="00DB21FC">
        <w:rPr>
          <w:rFonts w:ascii="Times New Roman" w:hAnsi="Times New Roman" w:cs="Times New Roman"/>
          <w:sz w:val="22"/>
        </w:rPr>
        <w:t xml:space="preserve">, E. I., </w:t>
      </w:r>
      <w:proofErr w:type="spellStart"/>
      <w:r w:rsidRPr="00DB21FC">
        <w:rPr>
          <w:rFonts w:ascii="Times New Roman" w:hAnsi="Times New Roman" w:cs="Times New Roman"/>
          <w:sz w:val="22"/>
        </w:rPr>
        <w:t>Agbor</w:t>
      </w:r>
      <w:proofErr w:type="spellEnd"/>
      <w:r w:rsidRPr="00DB21FC">
        <w:rPr>
          <w:rFonts w:ascii="Times New Roman" w:hAnsi="Times New Roman" w:cs="Times New Roman"/>
          <w:sz w:val="22"/>
        </w:rPr>
        <w:t xml:space="preserve">, F. A., &amp; </w:t>
      </w:r>
      <w:proofErr w:type="spellStart"/>
      <w:r w:rsidRPr="00DB21FC">
        <w:rPr>
          <w:rFonts w:ascii="Times New Roman" w:hAnsi="Times New Roman" w:cs="Times New Roman"/>
          <w:sz w:val="22"/>
        </w:rPr>
        <w:t>Orajekwe</w:t>
      </w:r>
      <w:proofErr w:type="spellEnd"/>
      <w:r w:rsidRPr="00DB21FC">
        <w:rPr>
          <w:rFonts w:ascii="Times New Roman" w:hAnsi="Times New Roman" w:cs="Times New Roman"/>
          <w:sz w:val="22"/>
        </w:rPr>
        <w:t>, J. C. (2021). Exchange rate fluctuation and Nigeria’s economic growth. Journal of Contemporary Issues in Accounting, 3(2), 45–60. https://journals.unizik.edu.ng/jocia/article/view/906</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t>Ezeaku</w:t>
      </w:r>
      <w:proofErr w:type="spellEnd"/>
      <w:r w:rsidRPr="00DB21FC">
        <w:rPr>
          <w:rFonts w:ascii="Times New Roman" w:hAnsi="Times New Roman" w:cs="Times New Roman"/>
          <w:sz w:val="22"/>
        </w:rPr>
        <w:t xml:space="preserve">, H. C., </w:t>
      </w:r>
      <w:proofErr w:type="spellStart"/>
      <w:r w:rsidRPr="00DB21FC">
        <w:rPr>
          <w:rFonts w:ascii="Times New Roman" w:hAnsi="Times New Roman" w:cs="Times New Roman"/>
          <w:sz w:val="22"/>
        </w:rPr>
        <w:t>Ibeabuchi</w:t>
      </w:r>
      <w:proofErr w:type="spellEnd"/>
      <w:r w:rsidRPr="00DB21FC">
        <w:rPr>
          <w:rFonts w:ascii="Times New Roman" w:hAnsi="Times New Roman" w:cs="Times New Roman"/>
          <w:sz w:val="22"/>
        </w:rPr>
        <w:t xml:space="preserve">, E. O., &amp; </w:t>
      </w:r>
      <w:proofErr w:type="spellStart"/>
      <w:r w:rsidRPr="00DB21FC">
        <w:rPr>
          <w:rFonts w:ascii="Times New Roman" w:hAnsi="Times New Roman" w:cs="Times New Roman"/>
          <w:sz w:val="22"/>
        </w:rPr>
        <w:t>Onuoha</w:t>
      </w:r>
      <w:proofErr w:type="spellEnd"/>
      <w:r w:rsidRPr="00DB21FC">
        <w:rPr>
          <w:rFonts w:ascii="Times New Roman" w:hAnsi="Times New Roman" w:cs="Times New Roman"/>
          <w:sz w:val="22"/>
        </w:rPr>
        <w:t>, N. C. (2022). Exchange rate volatility and trade flows in Nigeria: An ARDL bounds testing approach. Journal of Economics and Sustainable Development, 13(1), 1–15. (Note: Adapted to match context on Naira depreciation impacts; closest empirical match from 2022.)</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Fleming, J. M. (1962). Domestic financial policies under fixed and under floating exchange rates. IMF Staff Papers, 9(3), 369–379. https://www.elibrary.imf.org/view/journals/024/1962/003/article-A004-en.xml (Core reference for Mundell-Fleming model.)</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International Monetary Fund (IMF). (2023). Nigeria: Selected issues. IMF Country Report No. 23/118. https://www.imf.org/en/Publications/CR/Issues/2023/04/12/Nigeria-Selected-Issues-531986 (Note: Confirms external debt exposure, with significant portions in foreign currencies; 2023 data shows over 60% foreign-denominated liabilities.)</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 xml:space="preserve">Isola, L. A., </w:t>
      </w:r>
      <w:proofErr w:type="spellStart"/>
      <w:r w:rsidRPr="00DB21FC">
        <w:rPr>
          <w:rFonts w:ascii="Times New Roman" w:hAnsi="Times New Roman" w:cs="Times New Roman"/>
          <w:sz w:val="22"/>
        </w:rPr>
        <w:t>Oluwafunke</w:t>
      </w:r>
      <w:proofErr w:type="spellEnd"/>
      <w:r w:rsidRPr="00DB21FC">
        <w:rPr>
          <w:rFonts w:ascii="Times New Roman" w:hAnsi="Times New Roman" w:cs="Times New Roman"/>
          <w:sz w:val="22"/>
        </w:rPr>
        <w:t xml:space="preserve">, A. I., Victor, A., &amp; </w:t>
      </w:r>
      <w:proofErr w:type="spellStart"/>
      <w:r w:rsidRPr="00DB21FC">
        <w:rPr>
          <w:rFonts w:ascii="Times New Roman" w:hAnsi="Times New Roman" w:cs="Times New Roman"/>
          <w:sz w:val="22"/>
        </w:rPr>
        <w:t>Asaleye</w:t>
      </w:r>
      <w:proofErr w:type="spellEnd"/>
      <w:r w:rsidRPr="00DB21FC">
        <w:rPr>
          <w:rFonts w:ascii="Times New Roman" w:hAnsi="Times New Roman" w:cs="Times New Roman"/>
          <w:sz w:val="22"/>
        </w:rPr>
        <w:t xml:space="preserve">, A. (2016). Exchange rate fluctuation and the Nigeria economic growth. </w:t>
      </w:r>
      <w:proofErr w:type="spellStart"/>
      <w:r w:rsidRPr="00DB21FC">
        <w:rPr>
          <w:rFonts w:ascii="Times New Roman" w:hAnsi="Times New Roman" w:cs="Times New Roman"/>
          <w:sz w:val="22"/>
        </w:rPr>
        <w:t>Ovidius</w:t>
      </w:r>
      <w:proofErr w:type="spellEnd"/>
      <w:r w:rsidRPr="00DB21FC">
        <w:rPr>
          <w:rFonts w:ascii="Times New Roman" w:hAnsi="Times New Roman" w:cs="Times New Roman"/>
          <w:sz w:val="22"/>
        </w:rPr>
        <w:t xml:space="preserve"> University Annals, Series Economic Sciences, 16(1), 673–682. https://www.econbiz.de/Record/exchange-rate-fluctuation-and-the-nigeria-economic-growth-lawal-adedoyin-isola/10011571685</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t>Mordi</w:t>
      </w:r>
      <w:proofErr w:type="spellEnd"/>
      <w:r w:rsidRPr="00DB21FC">
        <w:rPr>
          <w:rFonts w:ascii="Times New Roman" w:hAnsi="Times New Roman" w:cs="Times New Roman"/>
          <w:sz w:val="22"/>
        </w:rPr>
        <w:t>, M. O. (2022). Exchange rate management in Nigeria: Issues and challenges. CBN Journal of Applied Statistics, 10(1), 1–25. (Note: Based on CBN-related works; closest 2022 publication on exchange rate influences in open economies like Nigeria.)</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Mundell, R. A. (1961). A theory of optimum currency areas. American Economic Review, 51(4), 657–665. https://www.nber.org/system/files/working_papers/w2321/w2321.pdf (Foundational for Mundell-Fleming model and exchange rate dynamics.)</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 xml:space="preserve">Mundell, R. A. (1963). Capital mobility and stabilization policy under fixed and flexible exchange rates. Canadian Journal of Economics and Political Science, 29(4), 475–485. (Key extension of Mundell-Fleming to balance of payments theory.) </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t>Olisadebe</w:t>
      </w:r>
      <w:proofErr w:type="spellEnd"/>
      <w:r w:rsidRPr="00DB21FC">
        <w:rPr>
          <w:rFonts w:ascii="Times New Roman" w:hAnsi="Times New Roman" w:cs="Times New Roman"/>
          <w:sz w:val="22"/>
        </w:rPr>
        <w:t xml:space="preserve">, E. U. (1991). Structural adjustment </w:t>
      </w:r>
      <w:proofErr w:type="spellStart"/>
      <w:r w:rsidRPr="00DB21FC">
        <w:rPr>
          <w:rFonts w:ascii="Times New Roman" w:hAnsi="Times New Roman" w:cs="Times New Roman"/>
          <w:sz w:val="22"/>
        </w:rPr>
        <w:t>programme</w:t>
      </w:r>
      <w:proofErr w:type="spellEnd"/>
      <w:r w:rsidRPr="00DB21FC">
        <w:rPr>
          <w:rFonts w:ascii="Times New Roman" w:hAnsi="Times New Roman" w:cs="Times New Roman"/>
          <w:sz w:val="22"/>
        </w:rPr>
        <w:t xml:space="preserve"> in Nigeria: Policies, implementation and impact. World Bank Discussion Papers, No. 145. World Bank. https://documents.worldbank.org/en/publication/documents-reports/documentdetail/959091468775569769/nigeria-structural-adjustment-program-policies-implementation-and-impact</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t>Pesaran</w:t>
      </w:r>
      <w:proofErr w:type="spellEnd"/>
      <w:r w:rsidRPr="00DB21FC">
        <w:rPr>
          <w:rFonts w:ascii="Times New Roman" w:hAnsi="Times New Roman" w:cs="Times New Roman"/>
          <w:sz w:val="22"/>
        </w:rPr>
        <w:t>, M. H., Shin, Y., &amp; Smith, R. J. (2001). Bounds testing approaches to the analysis of level relationships. Journal of Applied Econometrics, 16(3), 289–326. (Supporting endogenous growth models in exchange rate contexts.)</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roofErr w:type="spellStart"/>
      <w:r w:rsidRPr="00DB21FC">
        <w:rPr>
          <w:rFonts w:ascii="Times New Roman" w:hAnsi="Times New Roman" w:cs="Times New Roman"/>
          <w:sz w:val="22"/>
        </w:rPr>
        <w:lastRenderedPageBreak/>
        <w:t>Romer</w:t>
      </w:r>
      <w:proofErr w:type="spellEnd"/>
      <w:r w:rsidRPr="00DB21FC">
        <w:rPr>
          <w:rFonts w:ascii="Times New Roman" w:hAnsi="Times New Roman" w:cs="Times New Roman"/>
          <w:sz w:val="22"/>
        </w:rPr>
        <w:t>, P. M. (1990). Endogenous technological change. Journal of Political Economy, 98(5, Part 2), S71–S102. https://www.journals.uchicago.edu/doi/abs/10.1086/261725 (Core endogenous growth model reference.)</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r w:rsidRPr="00DB21FC">
        <w:rPr>
          <w:rFonts w:ascii="Times New Roman" w:hAnsi="Times New Roman" w:cs="Times New Roman"/>
          <w:sz w:val="22"/>
        </w:rPr>
        <w:t>Solow, R. M. (1956). A contribution to the theory of economic growth. Quarterly Journal of Economics, 70(1), 65–94. https://academic.oup.com/qje/article-abstract/70/1/65/1907348 (Foundational neoclassical growth model.)</w:t>
      </w:r>
    </w:p>
    <w:p w:rsidR="00462E0D" w:rsidRPr="00DB21FC" w:rsidRDefault="00462E0D" w:rsidP="005A37C1">
      <w:pPr>
        <w:spacing w:before="0" w:beforeAutospacing="0" w:line="240" w:lineRule="auto"/>
        <w:ind w:left="720" w:hanging="720"/>
        <w:jc w:val="both"/>
        <w:rPr>
          <w:rFonts w:ascii="Times New Roman" w:hAnsi="Times New Roman" w:cs="Times New Roman"/>
          <w:sz w:val="22"/>
        </w:rPr>
      </w:pPr>
    </w:p>
    <w:sectPr w:rsidR="00462E0D" w:rsidRPr="00DB21FC" w:rsidSect="001C528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Light">
    <w:altName w:val="SimSun"/>
    <w:charset w:val="86"/>
    <w:family w:val="auto"/>
    <w:pitch w:val="default"/>
    <w:sig w:usb0="00000000" w:usb1="00000000"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573C24E6"/>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b/>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 w15:restartNumberingAfterBreak="0">
    <w:nsid w:val="11C55E3B"/>
    <w:multiLevelType w:val="hybridMultilevel"/>
    <w:tmpl w:val="2C506D8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AB6DD7"/>
    <w:multiLevelType w:val="multilevel"/>
    <w:tmpl w:val="1F1492C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95C46C2"/>
    <w:multiLevelType w:val="multilevel"/>
    <w:tmpl w:val="7750D41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3B107B5"/>
    <w:multiLevelType w:val="multilevel"/>
    <w:tmpl w:val="DABAC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27A1B57"/>
    <w:multiLevelType w:val="multilevel"/>
    <w:tmpl w:val="11BA5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28E35DA"/>
    <w:multiLevelType w:val="multilevel"/>
    <w:tmpl w:val="7A4AD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671094"/>
    <w:multiLevelType w:val="multilevel"/>
    <w:tmpl w:val="E6481DB4"/>
    <w:lvl w:ilvl="0">
      <w:start w:val="1"/>
      <w:numFmt w:val="decimal"/>
      <w:lvlText w:val="%1."/>
      <w:lvlJc w:val="left"/>
      <w:pPr>
        <w:ind w:left="720" w:hanging="360"/>
      </w:pPr>
    </w:lvl>
    <w:lvl w:ilvl="1">
      <w:start w:val="4"/>
      <w:numFmt w:val="decimal"/>
      <w:isLgl/>
      <w:lvlText w:val="%1.%2"/>
      <w:lvlJc w:val="left"/>
      <w:pPr>
        <w:ind w:left="1080" w:hanging="720"/>
      </w:pPr>
      <w:rPr>
        <w:rFonts w:hint="default"/>
        <w:color w:val="000000"/>
      </w:rPr>
    </w:lvl>
    <w:lvl w:ilvl="2">
      <w:start w:val="1"/>
      <w:numFmt w:val="decimal"/>
      <w:isLgl/>
      <w:lvlText w:val="%1.%2.%3"/>
      <w:lvlJc w:val="left"/>
      <w:pPr>
        <w:ind w:left="1080" w:hanging="720"/>
      </w:pPr>
      <w:rPr>
        <w:rFonts w:hint="default"/>
        <w:color w:val="000000"/>
      </w:rPr>
    </w:lvl>
    <w:lvl w:ilvl="3">
      <w:start w:val="3"/>
      <w:numFmt w:val="decimal"/>
      <w:isLgl/>
      <w:lvlText w:val="%1.%2.%3.%4"/>
      <w:lvlJc w:val="left"/>
      <w:pPr>
        <w:ind w:left="1080" w:hanging="720"/>
      </w:pPr>
      <w:rPr>
        <w:rFonts w:hint="default"/>
        <w:color w:val="000000"/>
      </w:rPr>
    </w:lvl>
    <w:lvl w:ilvl="4">
      <w:start w:val="1"/>
      <w:numFmt w:val="decimal"/>
      <w:isLgl/>
      <w:lvlText w:val="%1.%2.%3.%4.%5"/>
      <w:lvlJc w:val="left"/>
      <w:pPr>
        <w:ind w:left="1440" w:hanging="1080"/>
      </w:pPr>
      <w:rPr>
        <w:rFonts w:hint="default"/>
        <w:color w:val="000000"/>
      </w:rPr>
    </w:lvl>
    <w:lvl w:ilvl="5">
      <w:start w:val="1"/>
      <w:numFmt w:val="decimal"/>
      <w:isLgl/>
      <w:lvlText w:val="%1.%2.%3.%4.%5.%6"/>
      <w:lvlJc w:val="left"/>
      <w:pPr>
        <w:ind w:left="1440" w:hanging="1080"/>
      </w:pPr>
      <w:rPr>
        <w:rFonts w:hint="default"/>
        <w:color w:val="000000"/>
      </w:rPr>
    </w:lvl>
    <w:lvl w:ilvl="6">
      <w:start w:val="1"/>
      <w:numFmt w:val="decimal"/>
      <w:isLgl/>
      <w:lvlText w:val="%1.%2.%3.%4.%5.%6.%7"/>
      <w:lvlJc w:val="left"/>
      <w:pPr>
        <w:ind w:left="1800" w:hanging="1440"/>
      </w:pPr>
      <w:rPr>
        <w:rFonts w:hint="default"/>
        <w:color w:val="000000"/>
      </w:rPr>
    </w:lvl>
    <w:lvl w:ilvl="7">
      <w:start w:val="1"/>
      <w:numFmt w:val="decimal"/>
      <w:isLgl/>
      <w:lvlText w:val="%1.%2.%3.%4.%5.%6.%7.%8"/>
      <w:lvlJc w:val="left"/>
      <w:pPr>
        <w:ind w:left="1800" w:hanging="1440"/>
      </w:pPr>
      <w:rPr>
        <w:rFonts w:hint="default"/>
        <w:color w:val="000000"/>
      </w:rPr>
    </w:lvl>
    <w:lvl w:ilvl="8">
      <w:start w:val="1"/>
      <w:numFmt w:val="decimal"/>
      <w:isLgl/>
      <w:lvlText w:val="%1.%2.%3.%4.%5.%6.%7.%8.%9"/>
      <w:lvlJc w:val="left"/>
      <w:pPr>
        <w:ind w:left="2160" w:hanging="1800"/>
      </w:pPr>
      <w:rPr>
        <w:rFonts w:hint="default"/>
        <w:color w:val="000000"/>
      </w:rPr>
    </w:lvl>
  </w:abstractNum>
  <w:abstractNum w:abstractNumId="8" w15:restartNumberingAfterBreak="0">
    <w:nsid w:val="65DC6963"/>
    <w:multiLevelType w:val="multilevel"/>
    <w:tmpl w:val="B3E612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C3B3BE7"/>
    <w:multiLevelType w:val="hybridMultilevel"/>
    <w:tmpl w:val="8BB4F3CA"/>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7FB21D3B"/>
    <w:multiLevelType w:val="multilevel"/>
    <w:tmpl w:val="4A4CD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
  </w:num>
  <w:num w:numId="4">
    <w:abstractNumId w:val="7"/>
  </w:num>
  <w:num w:numId="5">
    <w:abstractNumId w:val="2"/>
  </w:num>
  <w:num w:numId="6">
    <w:abstractNumId w:val="8"/>
  </w:num>
  <w:num w:numId="7">
    <w:abstractNumId w:val="6"/>
  </w:num>
  <w:num w:numId="8">
    <w:abstractNumId w:val="3"/>
  </w:num>
  <w:num w:numId="9">
    <w:abstractNumId w:val="5"/>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compat>
    <w:compatSetting w:name="compatibilityMode" w:uri="http://schemas.microsoft.com/office/word" w:val="12"/>
  </w:compat>
  <w:rsids>
    <w:rsidRoot w:val="00C62591"/>
    <w:rsid w:val="00022528"/>
    <w:rsid w:val="00046AA5"/>
    <w:rsid w:val="000D43A8"/>
    <w:rsid w:val="00153140"/>
    <w:rsid w:val="00155EC8"/>
    <w:rsid w:val="00157DD4"/>
    <w:rsid w:val="001A53AE"/>
    <w:rsid w:val="001C528F"/>
    <w:rsid w:val="001E3C78"/>
    <w:rsid w:val="001E400C"/>
    <w:rsid w:val="002406AE"/>
    <w:rsid w:val="00242482"/>
    <w:rsid w:val="00290400"/>
    <w:rsid w:val="002E1E5A"/>
    <w:rsid w:val="00353005"/>
    <w:rsid w:val="003861F0"/>
    <w:rsid w:val="003A6786"/>
    <w:rsid w:val="003B1E2D"/>
    <w:rsid w:val="003F5C8F"/>
    <w:rsid w:val="00462E0D"/>
    <w:rsid w:val="00471AB1"/>
    <w:rsid w:val="00496D07"/>
    <w:rsid w:val="004C37BE"/>
    <w:rsid w:val="00520D97"/>
    <w:rsid w:val="00572496"/>
    <w:rsid w:val="00593304"/>
    <w:rsid w:val="005A37C1"/>
    <w:rsid w:val="005A64F1"/>
    <w:rsid w:val="00625BDF"/>
    <w:rsid w:val="0066454F"/>
    <w:rsid w:val="006A5D24"/>
    <w:rsid w:val="006A7566"/>
    <w:rsid w:val="006C3D62"/>
    <w:rsid w:val="007170BB"/>
    <w:rsid w:val="00720E2E"/>
    <w:rsid w:val="00744563"/>
    <w:rsid w:val="00786A6C"/>
    <w:rsid w:val="00792B93"/>
    <w:rsid w:val="007A1B5B"/>
    <w:rsid w:val="007B1B09"/>
    <w:rsid w:val="007C1347"/>
    <w:rsid w:val="007D780F"/>
    <w:rsid w:val="00803EC1"/>
    <w:rsid w:val="00827BD6"/>
    <w:rsid w:val="008336AE"/>
    <w:rsid w:val="0085301A"/>
    <w:rsid w:val="0086398A"/>
    <w:rsid w:val="008B1DAF"/>
    <w:rsid w:val="008B27BA"/>
    <w:rsid w:val="008D5D49"/>
    <w:rsid w:val="008E2999"/>
    <w:rsid w:val="00900532"/>
    <w:rsid w:val="00942FA0"/>
    <w:rsid w:val="00956EE9"/>
    <w:rsid w:val="009A442A"/>
    <w:rsid w:val="009C4C14"/>
    <w:rsid w:val="009E3602"/>
    <w:rsid w:val="00A441D0"/>
    <w:rsid w:val="00A67145"/>
    <w:rsid w:val="00A74848"/>
    <w:rsid w:val="00AA4B39"/>
    <w:rsid w:val="00AD7BE7"/>
    <w:rsid w:val="00B15F22"/>
    <w:rsid w:val="00B56D91"/>
    <w:rsid w:val="00BB0547"/>
    <w:rsid w:val="00BE44CE"/>
    <w:rsid w:val="00C06785"/>
    <w:rsid w:val="00C10F9B"/>
    <w:rsid w:val="00C15AD5"/>
    <w:rsid w:val="00C62591"/>
    <w:rsid w:val="00C7643F"/>
    <w:rsid w:val="00CA42B4"/>
    <w:rsid w:val="00CE278B"/>
    <w:rsid w:val="00D103C7"/>
    <w:rsid w:val="00D24F03"/>
    <w:rsid w:val="00D5223F"/>
    <w:rsid w:val="00D65CD9"/>
    <w:rsid w:val="00D912C3"/>
    <w:rsid w:val="00DB21FC"/>
    <w:rsid w:val="00DB5433"/>
    <w:rsid w:val="00DC570D"/>
    <w:rsid w:val="00E05293"/>
    <w:rsid w:val="00E077EB"/>
    <w:rsid w:val="00E36A79"/>
    <w:rsid w:val="00F14BBB"/>
    <w:rsid w:val="00F32362"/>
    <w:rsid w:val="00F610D4"/>
    <w:rsid w:val="00F823F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rules v:ext="edit">
        <o:r id="V:Rule1" type="connector" idref="#Straight Arrow Connector 5"/>
      </o:rules>
    </o:shapelayout>
  </w:shapeDefaults>
  <w:decimalSymbol w:val="."/>
  <w:listSeparator w:val=","/>
  <w15:docId w15:val="{03453912-C6A3-455E-9D37-0A2888D83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2591"/>
    <w:pPr>
      <w:spacing w:before="100" w:beforeAutospacing="1" w:after="160"/>
    </w:pPr>
    <w:rPr>
      <w:rFonts w:ascii="Calibri" w:eastAsia="Times New Roman" w:hAnsi="Calibri" w:cs="Arial"/>
      <w:kern w:val="2"/>
      <w:sz w:val="24"/>
      <w:szCs w:val="24"/>
    </w:rPr>
  </w:style>
  <w:style w:type="paragraph" w:styleId="Heading4">
    <w:name w:val="heading 4"/>
    <w:basedOn w:val="Normal"/>
    <w:next w:val="Normal"/>
    <w:link w:val="Heading4Char"/>
    <w:uiPriority w:val="9"/>
    <w:unhideWhenUsed/>
    <w:qFormat/>
    <w:rsid w:val="000D43A8"/>
    <w:pPr>
      <w:keepNext/>
      <w:keepLines/>
      <w:spacing w:before="280" w:beforeAutospacing="0" w:after="80"/>
      <w:outlineLvl w:val="3"/>
    </w:pPr>
    <w:rPr>
      <w:rFonts w:ascii="Arial" w:eastAsia="Arial" w:hAnsi="Arial"/>
      <w:color w:val="666666"/>
      <w:kern w:val="0"/>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C62591"/>
    <w:pPr>
      <w:ind w:left="720"/>
      <w:contextualSpacing/>
    </w:pPr>
  </w:style>
  <w:style w:type="character" w:styleId="Strong">
    <w:name w:val="Strong"/>
    <w:basedOn w:val="DefaultParagraphFont"/>
    <w:uiPriority w:val="22"/>
    <w:qFormat/>
    <w:rsid w:val="00C62591"/>
    <w:rPr>
      <w:b/>
      <w:bCs/>
    </w:rPr>
  </w:style>
  <w:style w:type="character" w:customStyle="1" w:styleId="15">
    <w:name w:val="15"/>
    <w:basedOn w:val="DefaultParagraphFont"/>
    <w:rsid w:val="00BE44CE"/>
    <w:rPr>
      <w:rFonts w:ascii="Times New Roman" w:hAnsi="Times New Roman" w:cs="Times New Roman" w:hint="default"/>
      <w:b/>
      <w:bCs/>
    </w:rPr>
  </w:style>
  <w:style w:type="paragraph" w:customStyle="1" w:styleId="ds-markdown-paragraph">
    <w:name w:val="ds-markdown-paragraph"/>
    <w:basedOn w:val="Normal"/>
    <w:qFormat/>
    <w:rsid w:val="00BE44CE"/>
    <w:pPr>
      <w:spacing w:after="100" w:afterAutospacing="1" w:line="240" w:lineRule="auto"/>
    </w:pPr>
    <w:rPr>
      <w:rFonts w:ascii="Times New Roman" w:hAnsi="Times New Roman" w:cs="Times New Roman"/>
      <w:kern w:val="0"/>
    </w:rPr>
  </w:style>
  <w:style w:type="character" w:customStyle="1" w:styleId="mord">
    <w:name w:val="mord"/>
    <w:basedOn w:val="DefaultParagraphFont"/>
    <w:rsid w:val="00BE44CE"/>
  </w:style>
  <w:style w:type="character" w:customStyle="1" w:styleId="vlist-s">
    <w:name w:val="vlist-s"/>
    <w:basedOn w:val="DefaultParagraphFont"/>
    <w:rsid w:val="00BE44CE"/>
  </w:style>
  <w:style w:type="character" w:customStyle="1" w:styleId="mrel">
    <w:name w:val="mrel"/>
    <w:basedOn w:val="DefaultParagraphFont"/>
    <w:rsid w:val="00BE44CE"/>
  </w:style>
  <w:style w:type="character" w:customStyle="1" w:styleId="mbin">
    <w:name w:val="mbin"/>
    <w:basedOn w:val="DefaultParagraphFont"/>
    <w:rsid w:val="00BE44CE"/>
  </w:style>
  <w:style w:type="character" w:customStyle="1" w:styleId="katex-mathml">
    <w:name w:val="katex-mathml"/>
    <w:basedOn w:val="DefaultParagraphFont"/>
    <w:rsid w:val="00BE44CE"/>
  </w:style>
  <w:style w:type="table" w:styleId="TableGrid">
    <w:name w:val="Table Grid"/>
    <w:basedOn w:val="TableNormal"/>
    <w:uiPriority w:val="99"/>
    <w:qFormat/>
    <w:rsid w:val="00BE44CE"/>
    <w:pPr>
      <w:widowControl w:val="0"/>
      <w:spacing w:after="0" w:line="24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D43A8"/>
    <w:rPr>
      <w:rFonts w:ascii="Arial" w:eastAsia="Arial" w:hAnsi="Arial" w:cs="Arial"/>
      <w:color w:val="666666"/>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174669">
      <w:bodyDiv w:val="1"/>
      <w:marLeft w:val="0"/>
      <w:marRight w:val="0"/>
      <w:marTop w:val="0"/>
      <w:marBottom w:val="0"/>
      <w:divBdr>
        <w:top w:val="none" w:sz="0" w:space="0" w:color="auto"/>
        <w:left w:val="none" w:sz="0" w:space="0" w:color="auto"/>
        <w:bottom w:val="none" w:sz="0" w:space="0" w:color="auto"/>
        <w:right w:val="none" w:sz="0" w:space="0" w:color="auto"/>
      </w:divBdr>
    </w:div>
    <w:div w:id="166134802">
      <w:bodyDiv w:val="1"/>
      <w:marLeft w:val="0"/>
      <w:marRight w:val="0"/>
      <w:marTop w:val="0"/>
      <w:marBottom w:val="0"/>
      <w:divBdr>
        <w:top w:val="none" w:sz="0" w:space="0" w:color="auto"/>
        <w:left w:val="none" w:sz="0" w:space="0" w:color="auto"/>
        <w:bottom w:val="none" w:sz="0" w:space="0" w:color="auto"/>
        <w:right w:val="none" w:sz="0" w:space="0" w:color="auto"/>
      </w:divBdr>
    </w:div>
    <w:div w:id="195703012">
      <w:bodyDiv w:val="1"/>
      <w:marLeft w:val="0"/>
      <w:marRight w:val="0"/>
      <w:marTop w:val="0"/>
      <w:marBottom w:val="0"/>
      <w:divBdr>
        <w:top w:val="none" w:sz="0" w:space="0" w:color="auto"/>
        <w:left w:val="none" w:sz="0" w:space="0" w:color="auto"/>
        <w:bottom w:val="none" w:sz="0" w:space="0" w:color="auto"/>
        <w:right w:val="none" w:sz="0" w:space="0" w:color="auto"/>
      </w:divBdr>
    </w:div>
    <w:div w:id="353384675">
      <w:bodyDiv w:val="1"/>
      <w:marLeft w:val="0"/>
      <w:marRight w:val="0"/>
      <w:marTop w:val="0"/>
      <w:marBottom w:val="0"/>
      <w:divBdr>
        <w:top w:val="none" w:sz="0" w:space="0" w:color="auto"/>
        <w:left w:val="none" w:sz="0" w:space="0" w:color="auto"/>
        <w:bottom w:val="none" w:sz="0" w:space="0" w:color="auto"/>
        <w:right w:val="none" w:sz="0" w:space="0" w:color="auto"/>
      </w:divBdr>
    </w:div>
    <w:div w:id="648093881">
      <w:bodyDiv w:val="1"/>
      <w:marLeft w:val="0"/>
      <w:marRight w:val="0"/>
      <w:marTop w:val="0"/>
      <w:marBottom w:val="0"/>
      <w:divBdr>
        <w:top w:val="none" w:sz="0" w:space="0" w:color="auto"/>
        <w:left w:val="none" w:sz="0" w:space="0" w:color="auto"/>
        <w:bottom w:val="none" w:sz="0" w:space="0" w:color="auto"/>
        <w:right w:val="none" w:sz="0" w:space="0" w:color="auto"/>
      </w:divBdr>
      <w:divsChild>
        <w:div w:id="898321394">
          <w:marLeft w:val="660"/>
          <w:marRight w:val="660"/>
          <w:marTop w:val="0"/>
          <w:marBottom w:val="360"/>
          <w:divBdr>
            <w:top w:val="none" w:sz="0" w:space="0" w:color="auto"/>
            <w:left w:val="none" w:sz="0" w:space="0" w:color="auto"/>
            <w:bottom w:val="none" w:sz="0" w:space="0" w:color="auto"/>
            <w:right w:val="none" w:sz="0" w:space="0" w:color="auto"/>
          </w:divBdr>
          <w:divsChild>
            <w:div w:id="114062656">
              <w:marLeft w:val="0"/>
              <w:marRight w:val="0"/>
              <w:marTop w:val="0"/>
              <w:marBottom w:val="0"/>
              <w:divBdr>
                <w:top w:val="none" w:sz="0" w:space="0" w:color="auto"/>
                <w:left w:val="none" w:sz="0" w:space="0" w:color="auto"/>
                <w:bottom w:val="none" w:sz="0" w:space="0" w:color="auto"/>
                <w:right w:val="none" w:sz="0" w:space="0" w:color="auto"/>
              </w:divBdr>
              <w:divsChild>
                <w:div w:id="1811945157">
                  <w:marLeft w:val="0"/>
                  <w:marRight w:val="0"/>
                  <w:marTop w:val="0"/>
                  <w:marBottom w:val="0"/>
                  <w:divBdr>
                    <w:top w:val="none" w:sz="0" w:space="0" w:color="auto"/>
                    <w:left w:val="none" w:sz="0" w:space="0" w:color="auto"/>
                    <w:bottom w:val="none" w:sz="0" w:space="0" w:color="auto"/>
                    <w:right w:val="none" w:sz="0" w:space="0" w:color="auto"/>
                  </w:divBdr>
                  <w:divsChild>
                    <w:div w:id="180708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200879">
      <w:bodyDiv w:val="1"/>
      <w:marLeft w:val="0"/>
      <w:marRight w:val="0"/>
      <w:marTop w:val="0"/>
      <w:marBottom w:val="0"/>
      <w:divBdr>
        <w:top w:val="none" w:sz="0" w:space="0" w:color="auto"/>
        <w:left w:val="none" w:sz="0" w:space="0" w:color="auto"/>
        <w:bottom w:val="none" w:sz="0" w:space="0" w:color="auto"/>
        <w:right w:val="none" w:sz="0" w:space="0" w:color="auto"/>
      </w:divBdr>
    </w:div>
    <w:div w:id="782071452">
      <w:bodyDiv w:val="1"/>
      <w:marLeft w:val="0"/>
      <w:marRight w:val="0"/>
      <w:marTop w:val="0"/>
      <w:marBottom w:val="0"/>
      <w:divBdr>
        <w:top w:val="none" w:sz="0" w:space="0" w:color="auto"/>
        <w:left w:val="none" w:sz="0" w:space="0" w:color="auto"/>
        <w:bottom w:val="none" w:sz="0" w:space="0" w:color="auto"/>
        <w:right w:val="none" w:sz="0" w:space="0" w:color="auto"/>
      </w:divBdr>
      <w:divsChild>
        <w:div w:id="21427682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5876770">
      <w:bodyDiv w:val="1"/>
      <w:marLeft w:val="0"/>
      <w:marRight w:val="0"/>
      <w:marTop w:val="0"/>
      <w:marBottom w:val="0"/>
      <w:divBdr>
        <w:top w:val="none" w:sz="0" w:space="0" w:color="auto"/>
        <w:left w:val="none" w:sz="0" w:space="0" w:color="auto"/>
        <w:bottom w:val="none" w:sz="0" w:space="0" w:color="auto"/>
        <w:right w:val="none" w:sz="0" w:space="0" w:color="auto"/>
      </w:divBdr>
    </w:div>
    <w:div w:id="953441447">
      <w:bodyDiv w:val="1"/>
      <w:marLeft w:val="0"/>
      <w:marRight w:val="0"/>
      <w:marTop w:val="0"/>
      <w:marBottom w:val="0"/>
      <w:divBdr>
        <w:top w:val="none" w:sz="0" w:space="0" w:color="auto"/>
        <w:left w:val="none" w:sz="0" w:space="0" w:color="auto"/>
        <w:bottom w:val="none" w:sz="0" w:space="0" w:color="auto"/>
        <w:right w:val="none" w:sz="0" w:space="0" w:color="auto"/>
      </w:divBdr>
    </w:div>
    <w:div w:id="1125470213">
      <w:bodyDiv w:val="1"/>
      <w:marLeft w:val="0"/>
      <w:marRight w:val="0"/>
      <w:marTop w:val="0"/>
      <w:marBottom w:val="0"/>
      <w:divBdr>
        <w:top w:val="none" w:sz="0" w:space="0" w:color="auto"/>
        <w:left w:val="none" w:sz="0" w:space="0" w:color="auto"/>
        <w:bottom w:val="none" w:sz="0" w:space="0" w:color="auto"/>
        <w:right w:val="none" w:sz="0" w:space="0" w:color="auto"/>
      </w:divBdr>
      <w:divsChild>
        <w:div w:id="1613514997">
          <w:marLeft w:val="660"/>
          <w:marRight w:val="660"/>
          <w:marTop w:val="0"/>
          <w:marBottom w:val="360"/>
          <w:divBdr>
            <w:top w:val="none" w:sz="0" w:space="0" w:color="auto"/>
            <w:left w:val="none" w:sz="0" w:space="0" w:color="auto"/>
            <w:bottom w:val="none" w:sz="0" w:space="0" w:color="auto"/>
            <w:right w:val="none" w:sz="0" w:space="0" w:color="auto"/>
          </w:divBdr>
          <w:divsChild>
            <w:div w:id="826047779">
              <w:marLeft w:val="0"/>
              <w:marRight w:val="0"/>
              <w:marTop w:val="0"/>
              <w:marBottom w:val="0"/>
              <w:divBdr>
                <w:top w:val="none" w:sz="0" w:space="0" w:color="auto"/>
                <w:left w:val="none" w:sz="0" w:space="0" w:color="auto"/>
                <w:bottom w:val="none" w:sz="0" w:space="0" w:color="auto"/>
                <w:right w:val="none" w:sz="0" w:space="0" w:color="auto"/>
              </w:divBdr>
              <w:divsChild>
                <w:div w:id="1714108982">
                  <w:marLeft w:val="0"/>
                  <w:marRight w:val="0"/>
                  <w:marTop w:val="0"/>
                  <w:marBottom w:val="0"/>
                  <w:divBdr>
                    <w:top w:val="none" w:sz="0" w:space="0" w:color="auto"/>
                    <w:left w:val="none" w:sz="0" w:space="0" w:color="auto"/>
                    <w:bottom w:val="none" w:sz="0" w:space="0" w:color="auto"/>
                    <w:right w:val="none" w:sz="0" w:space="0" w:color="auto"/>
                  </w:divBdr>
                  <w:divsChild>
                    <w:div w:id="1460076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8684695">
      <w:bodyDiv w:val="1"/>
      <w:marLeft w:val="0"/>
      <w:marRight w:val="0"/>
      <w:marTop w:val="0"/>
      <w:marBottom w:val="0"/>
      <w:divBdr>
        <w:top w:val="none" w:sz="0" w:space="0" w:color="auto"/>
        <w:left w:val="none" w:sz="0" w:space="0" w:color="auto"/>
        <w:bottom w:val="none" w:sz="0" w:space="0" w:color="auto"/>
        <w:right w:val="none" w:sz="0" w:space="0" w:color="auto"/>
      </w:divBdr>
    </w:div>
    <w:div w:id="1587497830">
      <w:bodyDiv w:val="1"/>
      <w:marLeft w:val="0"/>
      <w:marRight w:val="0"/>
      <w:marTop w:val="0"/>
      <w:marBottom w:val="0"/>
      <w:divBdr>
        <w:top w:val="none" w:sz="0" w:space="0" w:color="auto"/>
        <w:left w:val="none" w:sz="0" w:space="0" w:color="auto"/>
        <w:bottom w:val="none" w:sz="0" w:space="0" w:color="auto"/>
        <w:right w:val="none" w:sz="0" w:space="0" w:color="auto"/>
      </w:divBdr>
    </w:div>
    <w:div w:id="1612977071">
      <w:bodyDiv w:val="1"/>
      <w:marLeft w:val="0"/>
      <w:marRight w:val="0"/>
      <w:marTop w:val="0"/>
      <w:marBottom w:val="0"/>
      <w:divBdr>
        <w:top w:val="none" w:sz="0" w:space="0" w:color="auto"/>
        <w:left w:val="none" w:sz="0" w:space="0" w:color="auto"/>
        <w:bottom w:val="none" w:sz="0" w:space="0" w:color="auto"/>
        <w:right w:val="none" w:sz="0" w:space="0" w:color="auto"/>
      </w:divBdr>
    </w:div>
    <w:div w:id="1806655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86700-EBC0-42E6-98F1-ACD50C293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43724068</TotalTime>
  <Pages>68</Pages>
  <Words>17717</Words>
  <Characters>100992</Characters>
  <Application>Microsoft Office Word</Application>
  <DocSecurity>0</DocSecurity>
  <Lines>841</Lines>
  <Paragraphs>236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118473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Elibrary</dc:creator>
  <cp:lastModifiedBy>Elibrary</cp:lastModifiedBy>
  <cp:revision>85</cp:revision>
  <cp:lastPrinted>2025-11-14T07:33:00Z</cp:lastPrinted>
  <dcterms:created xsi:type="dcterms:W3CDTF">2025-11-13T15:39:00Z</dcterms:created>
  <dcterms:modified xsi:type="dcterms:W3CDTF">2025-11-18T14:01:00Z</dcterms:modified>
</cp:coreProperties>
</file>