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AEE9CC">
      <w:pPr>
        <w:spacing w:line="360" w:lineRule="auto"/>
        <w:jc w:val="center"/>
        <w:rPr>
          <w:rFonts w:ascii="Arial" w:hAnsi="Arial" w:cs="Arial"/>
          <w:b/>
          <w:sz w:val="24"/>
          <w:szCs w:val="24"/>
        </w:rPr>
      </w:pPr>
      <w:bookmarkStart w:id="0" w:name="_Toc197838382"/>
      <w:bookmarkStart w:id="1" w:name="_Toc197843837"/>
      <w:r>
        <w:rPr>
          <w:rFonts w:ascii="Arial" w:hAnsi="Arial" w:cs="Arial"/>
          <w:b/>
          <w:sz w:val="24"/>
          <w:szCs w:val="24"/>
        </w:rPr>
        <w:t>PRODUCTION AND CHARACTERIZATION OF BIOLUBRICANT FROM WASTE COOKING OIL</w:t>
      </w:r>
    </w:p>
    <w:p w14:paraId="6B6A23A6">
      <w:pPr>
        <w:spacing w:line="360" w:lineRule="auto"/>
        <w:jc w:val="center"/>
        <w:rPr>
          <w:rFonts w:ascii="Arial" w:hAnsi="Arial" w:cs="Arial"/>
          <w:b/>
          <w:sz w:val="24"/>
          <w:szCs w:val="24"/>
        </w:rPr>
      </w:pPr>
      <w:r>
        <w:rPr>
          <w:rFonts w:ascii="Arial" w:hAnsi="Arial" w:cs="Arial"/>
          <w:b/>
          <w:sz w:val="24"/>
          <w:szCs w:val="24"/>
        </w:rPr>
        <w:t>BY</w:t>
      </w:r>
    </w:p>
    <w:p w14:paraId="25DF8A00">
      <w:pPr>
        <w:spacing w:line="360" w:lineRule="auto"/>
        <w:jc w:val="center"/>
        <w:rPr>
          <w:rFonts w:ascii="Arial" w:hAnsi="Arial" w:cs="Arial"/>
          <w:b/>
          <w:sz w:val="24"/>
          <w:szCs w:val="24"/>
        </w:rPr>
      </w:pPr>
    </w:p>
    <w:p w14:paraId="787942DE">
      <w:pPr>
        <w:spacing w:line="360" w:lineRule="auto"/>
        <w:jc w:val="center"/>
        <w:rPr>
          <w:rFonts w:ascii="Arial" w:hAnsi="Arial" w:cs="Arial"/>
          <w:b/>
          <w:sz w:val="24"/>
          <w:szCs w:val="24"/>
        </w:rPr>
      </w:pPr>
      <w:r>
        <w:rPr>
          <w:rFonts w:ascii="Arial" w:hAnsi="Arial" w:cs="Arial"/>
          <w:b/>
          <w:sz w:val="24"/>
          <w:szCs w:val="24"/>
        </w:rPr>
        <w:t>MUHAMMAD FATIMA LEMA</w:t>
      </w:r>
    </w:p>
    <w:p w14:paraId="12F49815">
      <w:pPr>
        <w:spacing w:line="360" w:lineRule="auto"/>
        <w:jc w:val="center"/>
        <w:rPr>
          <w:rFonts w:ascii="Arial" w:hAnsi="Arial" w:cs="Arial"/>
          <w:b/>
          <w:sz w:val="24"/>
          <w:szCs w:val="24"/>
        </w:rPr>
      </w:pPr>
      <w:r>
        <w:rPr>
          <w:rFonts w:ascii="Arial" w:hAnsi="Arial" w:cs="Arial"/>
          <w:b/>
          <w:sz w:val="24"/>
          <w:szCs w:val="24"/>
        </w:rPr>
        <w:t>(ADM NO. 2010312212)</w:t>
      </w:r>
    </w:p>
    <w:p w14:paraId="27841CAA">
      <w:pPr>
        <w:spacing w:line="360" w:lineRule="auto"/>
        <w:jc w:val="center"/>
        <w:rPr>
          <w:rFonts w:ascii="Arial" w:hAnsi="Arial" w:cs="Arial"/>
          <w:b/>
          <w:sz w:val="24"/>
          <w:szCs w:val="24"/>
        </w:rPr>
      </w:pPr>
    </w:p>
    <w:p w14:paraId="2B8FA5DA">
      <w:pPr>
        <w:spacing w:line="360" w:lineRule="auto"/>
        <w:jc w:val="center"/>
        <w:rPr>
          <w:rFonts w:ascii="Arial" w:hAnsi="Arial" w:cs="Arial"/>
          <w:b/>
          <w:sz w:val="24"/>
          <w:szCs w:val="24"/>
        </w:rPr>
      </w:pPr>
    </w:p>
    <w:p w14:paraId="201EA02D">
      <w:pPr>
        <w:spacing w:line="360" w:lineRule="auto"/>
        <w:jc w:val="center"/>
        <w:rPr>
          <w:rFonts w:ascii="Arial" w:hAnsi="Arial" w:cs="Arial"/>
          <w:b/>
          <w:sz w:val="24"/>
          <w:szCs w:val="24"/>
        </w:rPr>
      </w:pPr>
      <w:r>
        <w:rPr>
          <w:rFonts w:ascii="Arial" w:hAnsi="Arial" w:cs="Arial"/>
          <w:b/>
          <w:sz w:val="24"/>
          <w:szCs w:val="24"/>
        </w:rPr>
        <w:t>A PROJECT SUBMITTED TO THE DEPARTMENT OF ENERGY AND APPLIED CHEMISTRY, FACULTY OF CHEMICAL AND LIFE SCIENCES USMANU DANFODIYO UNIVERSITY, SOKOTO</w:t>
      </w:r>
    </w:p>
    <w:p w14:paraId="4FAA8576">
      <w:pPr>
        <w:spacing w:line="360" w:lineRule="auto"/>
        <w:jc w:val="center"/>
        <w:rPr>
          <w:rFonts w:ascii="Arial" w:hAnsi="Arial" w:cs="Arial"/>
          <w:b/>
          <w:sz w:val="24"/>
          <w:szCs w:val="24"/>
        </w:rPr>
      </w:pPr>
      <w:r>
        <w:rPr>
          <w:rFonts w:ascii="Arial" w:hAnsi="Arial" w:cs="Arial"/>
          <w:b/>
          <w:sz w:val="24"/>
          <w:szCs w:val="24"/>
        </w:rPr>
        <w:t>IN PARTIAL FULFILMENT OF THE REQUIREMENTS FOR THE AWARD OF BACHELOR OF SCIENCE (BSC HONS.) DEGREE IN APPLIED CHEMISTRY</w:t>
      </w:r>
    </w:p>
    <w:p w14:paraId="7159353E">
      <w:pPr>
        <w:spacing w:line="360" w:lineRule="auto"/>
        <w:jc w:val="center"/>
        <w:rPr>
          <w:rFonts w:ascii="Arial" w:hAnsi="Arial" w:cs="Arial"/>
          <w:b/>
          <w:sz w:val="24"/>
          <w:szCs w:val="24"/>
        </w:rPr>
      </w:pPr>
    </w:p>
    <w:p w14:paraId="18EFC1FB">
      <w:pPr>
        <w:spacing w:line="360" w:lineRule="auto"/>
        <w:jc w:val="center"/>
        <w:rPr>
          <w:rFonts w:ascii="Arial" w:hAnsi="Arial" w:cs="Arial"/>
          <w:b/>
          <w:sz w:val="24"/>
          <w:szCs w:val="24"/>
        </w:rPr>
      </w:pPr>
    </w:p>
    <w:p w14:paraId="12CB2648">
      <w:pPr>
        <w:spacing w:line="360" w:lineRule="auto"/>
        <w:jc w:val="center"/>
        <w:rPr>
          <w:rFonts w:ascii="Arial" w:hAnsi="Arial" w:cs="Arial"/>
          <w:b/>
          <w:sz w:val="24"/>
          <w:szCs w:val="24"/>
        </w:rPr>
      </w:pPr>
      <w:r>
        <w:rPr>
          <w:rFonts w:ascii="Arial" w:hAnsi="Arial" w:cs="Arial"/>
          <w:b/>
          <w:sz w:val="24"/>
          <w:szCs w:val="24"/>
        </w:rPr>
        <w:t>SUPERVISED BY: PROF. M.N. ALMUSTAPHA</w:t>
      </w:r>
    </w:p>
    <w:p w14:paraId="5DC6AFC5">
      <w:pPr>
        <w:spacing w:line="360" w:lineRule="auto"/>
        <w:jc w:val="center"/>
        <w:rPr>
          <w:rFonts w:ascii="Arial" w:hAnsi="Arial" w:cs="Arial"/>
          <w:b/>
          <w:sz w:val="24"/>
          <w:szCs w:val="24"/>
        </w:rPr>
      </w:pPr>
    </w:p>
    <w:p w14:paraId="41AEBDE4">
      <w:pPr>
        <w:spacing w:line="360" w:lineRule="auto"/>
        <w:jc w:val="center"/>
        <w:rPr>
          <w:rFonts w:ascii="Arial" w:hAnsi="Arial" w:cs="Arial"/>
          <w:b/>
          <w:sz w:val="24"/>
          <w:szCs w:val="24"/>
        </w:rPr>
      </w:pPr>
    </w:p>
    <w:p w14:paraId="2A7A834F">
      <w:pPr>
        <w:spacing w:line="360" w:lineRule="auto"/>
        <w:jc w:val="center"/>
        <w:rPr>
          <w:rFonts w:ascii="Arial" w:hAnsi="Arial" w:cs="Arial"/>
          <w:b/>
          <w:sz w:val="24"/>
          <w:szCs w:val="24"/>
        </w:rPr>
      </w:pPr>
    </w:p>
    <w:p w14:paraId="200FAE66">
      <w:pPr>
        <w:spacing w:line="360" w:lineRule="auto"/>
        <w:jc w:val="center"/>
        <w:rPr>
          <w:rFonts w:ascii="Arial" w:hAnsi="Arial" w:cs="Arial"/>
          <w:b/>
          <w:sz w:val="24"/>
          <w:szCs w:val="24"/>
        </w:rPr>
      </w:pPr>
    </w:p>
    <w:p w14:paraId="10B6E696">
      <w:pPr>
        <w:spacing w:line="360" w:lineRule="auto"/>
        <w:jc w:val="center"/>
        <w:rPr>
          <w:rFonts w:ascii="Arial" w:hAnsi="Arial" w:cs="Arial"/>
          <w:b/>
          <w:sz w:val="24"/>
          <w:szCs w:val="24"/>
        </w:rPr>
      </w:pPr>
    </w:p>
    <w:p w14:paraId="18AA8067">
      <w:pPr>
        <w:jc w:val="center"/>
        <w:rPr>
          <w:rFonts w:ascii="Times New Roman" w:hAnsi="Times New Roman" w:cs="Times New Roman"/>
          <w:sz w:val="24"/>
          <w:szCs w:val="24"/>
        </w:rPr>
      </w:pPr>
      <w:r>
        <w:rPr>
          <w:rFonts w:ascii="Arial" w:hAnsi="Arial" w:cs="Arial"/>
          <w:b/>
          <w:sz w:val="24"/>
          <w:szCs w:val="24"/>
        </w:rPr>
        <w:t>November, 2025</w:t>
      </w:r>
    </w:p>
    <w:p w14:paraId="4B142884">
      <w:pPr>
        <w:jc w:val="center"/>
        <w:rPr>
          <w:rFonts w:ascii="Arial" w:hAnsi="Arial" w:cs="Arial"/>
          <w:b/>
          <w:sz w:val="24"/>
          <w:szCs w:val="24"/>
        </w:rPr>
      </w:pPr>
    </w:p>
    <w:p w14:paraId="2A074ACF">
      <w:pPr>
        <w:jc w:val="center"/>
        <w:rPr>
          <w:rFonts w:ascii="Arial" w:hAnsi="Arial" w:cs="Arial"/>
          <w:b/>
          <w:sz w:val="24"/>
          <w:szCs w:val="24"/>
        </w:rPr>
      </w:pPr>
    </w:p>
    <w:p w14:paraId="6A2F798C">
      <w:pPr>
        <w:sectPr>
          <w:headerReference r:id="rId5" w:type="default"/>
          <w:pgSz w:w="12240" w:h="15840"/>
          <w:pgMar w:top="1440" w:right="1440" w:bottom="1440" w:left="1440" w:header="720" w:footer="720" w:gutter="0"/>
          <w:pgNumType w:fmt="lowerRoman" w:start="1"/>
          <w:cols w:space="720" w:num="1"/>
          <w:docGrid w:linePitch="360" w:charSpace="0"/>
        </w:sectPr>
      </w:pPr>
      <w:bookmarkStart w:id="55" w:name="_GoBack"/>
      <w:bookmarkEnd w:id="55"/>
    </w:p>
    <w:p w14:paraId="0A3300B6"/>
    <w:p w14:paraId="4437557B">
      <w:pPr>
        <w:rPr>
          <w:rFonts w:ascii="Arial" w:hAnsi="Arial" w:cs="Arial"/>
          <w:b/>
          <w:sz w:val="24"/>
          <w:szCs w:val="24"/>
        </w:rPr>
      </w:pPr>
    </w:p>
    <w:p w14:paraId="040826BD">
      <w:pPr>
        <w:jc w:val="center"/>
        <w:outlineLvl w:val="0"/>
        <w:rPr>
          <w:rFonts w:ascii="Arial" w:hAnsi="Arial" w:cs="Arial"/>
          <w:b/>
          <w:sz w:val="24"/>
          <w:szCs w:val="24"/>
        </w:rPr>
      </w:pPr>
      <w:bookmarkStart w:id="2" w:name="_Toc213304974"/>
      <w:r>
        <w:rPr>
          <w:rFonts w:ascii="Arial" w:hAnsi="Arial" w:cs="Arial"/>
          <w:b/>
          <w:sz w:val="24"/>
          <w:szCs w:val="24"/>
        </w:rPr>
        <w:t>APPROVAL PAGE</w:t>
      </w:r>
      <w:bookmarkEnd w:id="2"/>
    </w:p>
    <w:p w14:paraId="298092B6">
      <w:pPr>
        <w:spacing w:line="480" w:lineRule="auto"/>
        <w:jc w:val="both"/>
        <w:rPr>
          <w:rFonts w:ascii="Arial" w:hAnsi="Arial" w:cs="Arial"/>
          <w:sz w:val="24"/>
          <w:szCs w:val="24"/>
        </w:rPr>
      </w:pPr>
      <w:r>
        <w:rPr>
          <w:rFonts w:ascii="Arial" w:hAnsi="Arial" w:cs="Arial"/>
          <w:sz w:val="24"/>
          <w:szCs w:val="24"/>
        </w:rPr>
        <w:t>This is to certify that the project report by MUHAMMAD Fatima LEMA (Adm. No. 2020312212) has met the requirements for the award of the Bachelor of Science Degree in Applied Chemistry of the Usmanu Danfodiyo University, Sokoto, and is approved for its contribution to knowledge.</w:t>
      </w:r>
    </w:p>
    <w:p w14:paraId="632B0BE8">
      <w:pPr>
        <w:spacing w:line="480" w:lineRule="auto"/>
        <w:jc w:val="both"/>
        <w:rPr>
          <w:rFonts w:ascii="Arial" w:hAnsi="Arial" w:cs="Arial"/>
          <w:sz w:val="24"/>
          <w:szCs w:val="24"/>
        </w:rPr>
      </w:pPr>
      <w:r>
        <w:rPr>
          <w:rFonts w:ascii="Arial" w:hAnsi="Arial" w:cs="Arial"/>
          <w:sz w:val="24"/>
          <w:szCs w:val="24"/>
        </w:rPr>
        <mc:AlternateContent>
          <mc:Choice Requires="wps">
            <w:drawing>
              <wp:anchor distT="0" distB="0" distL="114300" distR="114300" simplePos="0" relativeHeight="251661312" behindDoc="0" locked="0" layoutInCell="1" allowOverlap="1">
                <wp:simplePos x="0" y="0"/>
                <wp:positionH relativeFrom="column">
                  <wp:posOffset>8255</wp:posOffset>
                </wp:positionH>
                <wp:positionV relativeFrom="paragraph">
                  <wp:posOffset>438150</wp:posOffset>
                </wp:positionV>
                <wp:extent cx="1464310" cy="0"/>
                <wp:effectExtent l="0" t="0" r="0" b="0"/>
                <wp:wrapNone/>
                <wp:docPr id="15" name="Straight Connector 15"/>
                <wp:cNvGraphicFramePr/>
                <a:graphic xmlns:a="http://schemas.openxmlformats.org/drawingml/2006/main">
                  <a:graphicData uri="http://schemas.microsoft.com/office/word/2010/wordprocessingShape">
                    <wps:wsp>
                      <wps:cNvCnPr/>
                      <wps:spPr>
                        <a:xfrm>
                          <a:off x="0" y="0"/>
                          <a:ext cx="14643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0.65pt;margin-top:34.5pt;height:0pt;width:115.3pt;z-index:251661312;mso-width-relative:page;mso-height-relative:page;" filled="f" stroked="t" coordsize="21600,21600" o:gfxdata="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xvqON1AAAAAcBAAAPAAAAAAAAAAEAIAAAACIAAABk&#10;cnMvZG93bnJldi54bWxQSwECFAAUAAAACACHTuJAUhDRzdEBAAC2AwAADgAAAAAAAAABACAAAAAj&#10;AQAAZHJzL2Uyb0RvYy54bWxQSwUGAAAAAAYABgBZAQAAZgUAAAAA&#10;">
                <v:fill on="f" focussize="0,0"/>
                <v:stroke weight="0.5pt" color="#000000 [3200]" miterlimit="8" joinstyle="miter"/>
                <v:imagedata o:title=""/>
                <o:lock v:ext="edit" aspectratio="f"/>
              </v:line>
            </w:pict>
          </mc:Fallback>
        </mc:AlternateContent>
      </w:r>
    </w:p>
    <w:p w14:paraId="798D9C9F">
      <w:pPr>
        <w:spacing w:line="240" w:lineRule="auto"/>
        <w:jc w:val="both"/>
        <w:rPr>
          <w:rFonts w:ascii="Arial" w:hAnsi="Arial" w:cs="Arial"/>
          <w:sz w:val="24"/>
          <w:szCs w:val="24"/>
        </w:rPr>
      </w:pPr>
      <w:r>
        <w:rPr>
          <w:rFonts w:ascii="Arial" w:hAnsi="Arial" w:cs="Arial"/>
          <w:sz w:val="24"/>
          <w:szCs w:val="24"/>
        </w:rPr>
        <mc:AlternateContent>
          <mc:Choice Requires="wps">
            <w:drawing>
              <wp:anchor distT="0" distB="0" distL="114300" distR="114300" simplePos="0" relativeHeight="251662336" behindDoc="0" locked="0" layoutInCell="1" allowOverlap="1">
                <wp:simplePos x="0" y="0"/>
                <wp:positionH relativeFrom="column">
                  <wp:posOffset>4954905</wp:posOffset>
                </wp:positionH>
                <wp:positionV relativeFrom="paragraph">
                  <wp:posOffset>7620</wp:posOffset>
                </wp:positionV>
                <wp:extent cx="678815" cy="0"/>
                <wp:effectExtent l="0" t="0" r="0" b="0"/>
                <wp:wrapNone/>
                <wp:docPr id="16" name="Straight Connector 16"/>
                <wp:cNvGraphicFramePr/>
                <a:graphic xmlns:a="http://schemas.openxmlformats.org/drawingml/2006/main">
                  <a:graphicData uri="http://schemas.microsoft.com/office/word/2010/wordprocessingShape">
                    <wps:wsp>
                      <wps:cNvCnPr/>
                      <wps:spPr>
                        <a:xfrm>
                          <a:off x="0" y="0"/>
                          <a:ext cx="67907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390.15pt;margin-top:0.6pt;height:0pt;width:53.45pt;z-index:251662336;mso-width-relative:page;mso-height-relative:page;" filled="f" stroked="t" coordsize="21600,21600" o:gfxdata="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CTDhGC0wAAAAcBAAAPAAAAAAAAAAEAIAAAACIAAABk&#10;cnMvZG93bnJldi54bWxQSwECFAAUAAAACACHTuJAfP1Q99IBAAC1AwAADgAAAAAAAAABACAAAAAi&#10;AQAAZHJzL2Uyb0RvYy54bWxQSwUGAAAAAAYABgBZAQAAZgUAAAAA&#10;">
                <v:fill on="f" focussize="0,0"/>
                <v:stroke weight="0.5pt" color="#000000 [3200]" miterlimit="8" joinstyle="miter"/>
                <v:imagedata o:title=""/>
                <o:lock v:ext="edit" aspectratio="f"/>
              </v:line>
            </w:pict>
          </mc:Fallback>
        </mc:AlternateContent>
      </w:r>
      <w:r>
        <w:rPr>
          <w:rFonts w:ascii="Arial" w:hAnsi="Arial" w:cs="Arial"/>
          <w:sz w:val="24"/>
          <w:szCs w:val="24"/>
        </w:rPr>
        <w:t>prof. M.N Almustapha                                                                                        Date</w:t>
      </w:r>
    </w:p>
    <w:p w14:paraId="28B5ACCF">
      <w:pPr>
        <w:spacing w:line="240" w:lineRule="auto"/>
        <w:jc w:val="both"/>
        <w:rPr>
          <w:rFonts w:ascii="Arial" w:hAnsi="Arial" w:cs="Arial"/>
          <w:sz w:val="24"/>
          <w:szCs w:val="24"/>
        </w:rPr>
      </w:pPr>
      <w:r>
        <w:rPr>
          <w:rFonts w:ascii="Arial" w:hAnsi="Arial" w:cs="Arial"/>
          <w:sz w:val="24"/>
          <w:szCs w:val="24"/>
        </w:rPr>
        <mc:AlternateContent>
          <mc:Choice Requires="wps">
            <w:drawing>
              <wp:anchor distT="0" distB="0" distL="114300" distR="114300" simplePos="0" relativeHeight="251664384" behindDoc="0" locked="0" layoutInCell="1" allowOverlap="1">
                <wp:simplePos x="0" y="0"/>
                <wp:positionH relativeFrom="column">
                  <wp:posOffset>5048885</wp:posOffset>
                </wp:positionH>
                <wp:positionV relativeFrom="paragraph">
                  <wp:posOffset>267335</wp:posOffset>
                </wp:positionV>
                <wp:extent cx="706120" cy="0"/>
                <wp:effectExtent l="0" t="0" r="0" b="0"/>
                <wp:wrapNone/>
                <wp:docPr id="17" name="Straight Connector 17"/>
                <wp:cNvGraphicFramePr/>
                <a:graphic xmlns:a="http://schemas.openxmlformats.org/drawingml/2006/main">
                  <a:graphicData uri="http://schemas.microsoft.com/office/word/2010/wordprocessingShape">
                    <wps:wsp>
                      <wps:cNvCnPr/>
                      <wps:spPr>
                        <a:xfrm>
                          <a:off x="0" y="0"/>
                          <a:ext cx="7059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397.55pt;margin-top:21.05pt;height:0pt;width:55.6pt;z-index:251664384;mso-width-relative:page;mso-height-relative:page;" filled="f" stroked="t" coordsize="21600,21600" o:gfxdata="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SAJmv1wAAAAkBAAAPAAAAAAAAAAEAIAAAACIA&#10;AABkcnMvZG93bnJldi54bWxQSwECFAAUAAAACACHTuJA58u7ldEBAAC1AwAADgAAAAAAAAABACAA&#10;AAAmAQAAZHJzL2Uyb0RvYy54bWxQSwUGAAAAAAYABgBZAQAAaQUAAAAA&#10;">
                <v:fill on="f" focussize="0,0"/>
                <v:stroke weight="0.5pt" color="#000000 [3200]" miterlimit="8" joinstyle="miter"/>
                <v:imagedata o:title=""/>
                <o:lock v:ext="edit" aspectratio="f"/>
              </v:line>
            </w:pict>
          </mc:Fallback>
        </mc:AlternateContent>
      </w:r>
      <w:r>
        <w:rPr>
          <w:rFonts w:ascii="Arial" w:hAnsi="Arial" w:cs="Arial"/>
          <w:sz w:val="24"/>
          <w:szCs w:val="24"/>
        </w:rPr>
        <w:t xml:space="preserve">  </w:t>
      </w:r>
    </w:p>
    <w:p w14:paraId="428CAB5B">
      <w:pPr>
        <w:spacing w:line="240" w:lineRule="auto"/>
        <w:jc w:val="both"/>
        <w:rPr>
          <w:rFonts w:ascii="Arial" w:hAnsi="Arial" w:cs="Arial"/>
          <w:sz w:val="24"/>
          <w:szCs w:val="24"/>
        </w:rPr>
      </w:pPr>
      <w:r>
        <w:rPr>
          <w:rFonts w:ascii="Arial" w:hAnsi="Arial" w:cs="Arial"/>
          <w:sz w:val="24"/>
          <w:szCs w:val="24"/>
        </w:rPr>
        <mc:AlternateContent>
          <mc:Choice Requires="wps">
            <w:drawing>
              <wp:anchor distT="0" distB="0" distL="114300" distR="114300" simplePos="0" relativeHeight="251663360" behindDoc="0" locked="0" layoutInCell="1" allowOverlap="1">
                <wp:simplePos x="0" y="0"/>
                <wp:positionH relativeFrom="column">
                  <wp:posOffset>8255</wp:posOffset>
                </wp:positionH>
                <wp:positionV relativeFrom="paragraph">
                  <wp:posOffset>8255</wp:posOffset>
                </wp:positionV>
                <wp:extent cx="1371600" cy="19685"/>
                <wp:effectExtent l="0" t="0" r="19050" b="37465"/>
                <wp:wrapNone/>
                <wp:docPr id="18" name="Straight Connector 18"/>
                <wp:cNvGraphicFramePr/>
                <a:graphic xmlns:a="http://schemas.openxmlformats.org/drawingml/2006/main">
                  <a:graphicData uri="http://schemas.microsoft.com/office/word/2010/wordprocessingShape">
                    <wps:wsp>
                      <wps:cNvCnPr/>
                      <wps:spPr>
                        <a:xfrm>
                          <a:off x="0" y="0"/>
                          <a:ext cx="1371600" cy="196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0.65pt;margin-top:0.65pt;height:1.55pt;width:108pt;z-index:251663360;mso-width-relative:page;mso-height-relative:page;" filled="f" stroked="t" coordsize="21600,21600" o:gfxdata="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Im7mHnRAAAABQEAAA8AAAAAAAAAAQAgAAAAIgAA&#10;AGRycy9kb3ducmV2LnhtbFBLAQIUABQAAAAIAIdO4kDQ0ODq1gEAALoDAAAOAAAAAAAAAAEAIAAA&#10;ACABAABkcnMvZTJvRG9jLnhtbFBLBQYAAAAABgAGAFkBAABoBQAAAAA=&#10;">
                <v:fill on="f" focussize="0,0"/>
                <v:stroke weight="0.5pt" color="#000000 [3200]" miterlimit="8" joinstyle="miter"/>
                <v:imagedata o:title=""/>
                <o:lock v:ext="edit" aspectratio="f"/>
              </v:line>
            </w:pict>
          </mc:Fallback>
        </mc:AlternateContent>
      </w:r>
      <w:r>
        <w:rPr>
          <w:rFonts w:ascii="Arial" w:hAnsi="Arial" w:cs="Arial"/>
          <w:sz w:val="24"/>
          <w:szCs w:val="24"/>
        </w:rPr>
        <w:t xml:space="preserve">External Examiner                                                                                              Date                                                                                                                                                                                                                                        </w:t>
      </w:r>
    </w:p>
    <w:p w14:paraId="6849B6DD">
      <w:pPr>
        <w:spacing w:line="240" w:lineRule="auto"/>
        <w:jc w:val="both"/>
        <w:rPr>
          <w:rFonts w:ascii="Arial" w:hAnsi="Arial" w:cs="Arial"/>
          <w:sz w:val="24"/>
          <w:szCs w:val="24"/>
        </w:rPr>
      </w:pPr>
      <w:r>
        <w:rPr>
          <w:rFonts w:ascii="Arial" w:hAnsi="Arial" w:cs="Arial"/>
          <w:sz w:val="24"/>
          <w:szCs w:val="24"/>
        </w:rPr>
        <mc:AlternateContent>
          <mc:Choice Requires="wps">
            <w:drawing>
              <wp:anchor distT="0" distB="0" distL="114300" distR="114300" simplePos="0" relativeHeight="251665408" behindDoc="0" locked="0" layoutInCell="1" allowOverlap="1">
                <wp:simplePos x="0" y="0"/>
                <wp:positionH relativeFrom="column">
                  <wp:posOffset>-42545</wp:posOffset>
                </wp:positionH>
                <wp:positionV relativeFrom="paragraph">
                  <wp:posOffset>244475</wp:posOffset>
                </wp:positionV>
                <wp:extent cx="1498600" cy="25400"/>
                <wp:effectExtent l="0" t="0" r="25400" b="31750"/>
                <wp:wrapNone/>
                <wp:docPr id="20" name="Straight Connector 20"/>
                <wp:cNvGraphicFramePr/>
                <a:graphic xmlns:a="http://schemas.openxmlformats.org/drawingml/2006/main">
                  <a:graphicData uri="http://schemas.microsoft.com/office/word/2010/wordprocessingShape">
                    <wps:wsp>
                      <wps:cNvCnPr/>
                      <wps:spPr>
                        <a:xfrm>
                          <a:off x="0" y="0"/>
                          <a:ext cx="1498600" cy="25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3.35pt;margin-top:19.25pt;height:2pt;width:118pt;z-index:251665408;mso-width-relative:page;mso-height-relative:page;" filled="f" stroked="t" coordsize="21600,21600" o:gfxdata="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zY4cH2AAAAAgBAAAPAAAAAAAAAAEA&#10;IAAAACIAAABkcnMvZG93bnJldi54bWxQSwECFAAUAAAACACHTuJA4huiqNYBAAC6AwAADgAAAAAA&#10;AAABACAAAAAnAQAAZHJzL2Uyb0RvYy54bWxQSwUGAAAAAAYABgBZAQAAbwUAAAAA&#10;">
                <v:fill on="f" focussize="0,0"/>
                <v:stroke weight="0.5pt" color="#000000 [3200]" miterlimit="8" joinstyle="miter"/>
                <v:imagedata o:title=""/>
                <o:lock v:ext="edit" aspectratio="f"/>
              </v:line>
            </w:pict>
          </mc:Fallback>
        </mc:AlternateContent>
      </w:r>
      <w:r>
        <w:rPr>
          <w:rFonts w:ascii="Arial" w:hAnsi="Arial" w:cs="Arial"/>
          <w:sz w:val="24"/>
          <w:szCs w:val="24"/>
        </w:rPr>
        <mc:AlternateContent>
          <mc:Choice Requires="wps">
            <w:drawing>
              <wp:anchor distT="0" distB="0" distL="114300" distR="114300" simplePos="0" relativeHeight="251667456" behindDoc="0" locked="0" layoutInCell="1" allowOverlap="1">
                <wp:simplePos x="0" y="0"/>
                <wp:positionH relativeFrom="margin">
                  <wp:posOffset>5071110</wp:posOffset>
                </wp:positionH>
                <wp:positionV relativeFrom="paragraph">
                  <wp:posOffset>269875</wp:posOffset>
                </wp:positionV>
                <wp:extent cx="803275" cy="8255"/>
                <wp:effectExtent l="0" t="0" r="34925" b="29845"/>
                <wp:wrapNone/>
                <wp:docPr id="2" name="Straight Connector 2"/>
                <wp:cNvGraphicFramePr/>
                <a:graphic xmlns:a="http://schemas.openxmlformats.org/drawingml/2006/main">
                  <a:graphicData uri="http://schemas.microsoft.com/office/word/2010/wordprocessingShape">
                    <wps:wsp>
                      <wps:cNvCnPr/>
                      <wps:spPr>
                        <a:xfrm flipV="1">
                          <a:off x="0" y="0"/>
                          <a:ext cx="803275" cy="82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y;margin-left:399.3pt;margin-top:21.25pt;height:0.65pt;width:63.25pt;mso-position-horizontal-relative:margin;z-index:251667456;mso-width-relative:page;mso-height-relative:page;" filled="f" stroked="t" coordsize="21600,21600" o:gfxdata="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c2+8CdgAAAAJAQAADwAA&#10;AAAAAAABACAAAAAiAAAAZHJzL2Rvd25yZXYueG1sUEsBAhQAFAAAAAgAh07iQPDylcHdAQAAwAMA&#10;AA4AAAAAAAAAAQAgAAAAJwEAAGRycy9lMm9Eb2MueG1sUEsFBgAAAAAGAAYAWQEAAHYFAAAAAA==&#10;">
                <v:fill on="f" focussize="0,0"/>
                <v:stroke weight="0.5pt" color="#000000 [3200]" miterlimit="8" joinstyle="miter"/>
                <v:imagedata o:title=""/>
                <o:lock v:ext="edit" aspectratio="f"/>
              </v:line>
            </w:pict>
          </mc:Fallback>
        </mc:AlternateContent>
      </w:r>
      <w:r>
        <w:rPr>
          <w:rFonts w:ascii="Arial" w:hAnsi="Arial" w:cs="Arial"/>
          <w:sz w:val="24"/>
          <w:szCs w:val="24"/>
        </w:rPr>
        <w:t xml:space="preserve">                                                                                                  </w:t>
      </w:r>
    </w:p>
    <w:p w14:paraId="0BE0052F">
      <w:pPr>
        <w:spacing w:line="240" w:lineRule="auto"/>
        <w:jc w:val="both"/>
        <w:rPr>
          <w:rFonts w:ascii="Arial" w:hAnsi="Arial" w:cs="Arial"/>
          <w:sz w:val="24"/>
          <w:szCs w:val="24"/>
        </w:rPr>
      </w:pPr>
      <w:r>
        <w:rPr>
          <w:rFonts w:ascii="Arial" w:hAnsi="Arial" w:cs="Arial"/>
          <w:sz w:val="24"/>
          <w:szCs w:val="24"/>
        </w:rPr>
        <w:t>Prof. M.L. Mohammed                                                                                          Date</w:t>
      </w:r>
    </w:p>
    <w:p w14:paraId="5FD5E8CD">
      <w:pPr>
        <w:spacing w:line="240" w:lineRule="auto"/>
        <w:jc w:val="both"/>
        <w:rPr>
          <w:rFonts w:ascii="Arial" w:hAnsi="Arial" w:cs="Arial"/>
          <w:sz w:val="24"/>
          <w:szCs w:val="24"/>
        </w:rPr>
      </w:pPr>
      <w:r>
        <w:rPr>
          <w:rFonts w:ascii="Arial" w:hAnsi="Arial" w:cs="Arial"/>
          <w:sz w:val="24"/>
          <w:szCs w:val="24"/>
        </w:rPr>
        <w:t xml:space="preserve">Head of Department </w:t>
      </w:r>
    </w:p>
    <w:p w14:paraId="629DEED4">
      <w:pPr>
        <w:spacing w:line="240" w:lineRule="auto"/>
        <w:jc w:val="both"/>
        <w:rPr>
          <w:rFonts w:ascii="Arial" w:hAnsi="Arial" w:cs="Arial"/>
          <w:sz w:val="24"/>
          <w:szCs w:val="24"/>
        </w:rPr>
      </w:pPr>
    </w:p>
    <w:p w14:paraId="29328D5D">
      <w:pPr>
        <w:spacing w:line="240" w:lineRule="auto"/>
        <w:jc w:val="both"/>
        <w:rPr>
          <w:rFonts w:ascii="Arial" w:hAnsi="Arial" w:cs="Arial"/>
          <w:sz w:val="24"/>
          <w:szCs w:val="24"/>
        </w:rPr>
      </w:pPr>
    </w:p>
    <w:p w14:paraId="3318036C">
      <w:pPr>
        <w:spacing w:line="480" w:lineRule="auto"/>
        <w:jc w:val="both"/>
        <w:rPr>
          <w:rFonts w:ascii="Arial" w:hAnsi="Arial" w:cs="Arial"/>
          <w:sz w:val="24"/>
          <w:szCs w:val="24"/>
        </w:rPr>
      </w:pPr>
    </w:p>
    <w:p w14:paraId="41FCB84C">
      <w:pPr>
        <w:jc w:val="both"/>
        <w:rPr>
          <w:rFonts w:ascii="Arial" w:hAnsi="Arial" w:cs="Arial"/>
          <w:sz w:val="24"/>
          <w:szCs w:val="24"/>
        </w:rPr>
      </w:pPr>
    </w:p>
    <w:p w14:paraId="7F70C836">
      <w:pPr>
        <w:jc w:val="both"/>
        <w:rPr>
          <w:rFonts w:ascii="Arial" w:hAnsi="Arial" w:cs="Arial"/>
          <w:b/>
          <w:sz w:val="24"/>
          <w:szCs w:val="24"/>
        </w:rPr>
      </w:pPr>
    </w:p>
    <w:p w14:paraId="51F62D1D">
      <w:pPr>
        <w:jc w:val="both"/>
        <w:rPr>
          <w:rFonts w:ascii="Arial" w:hAnsi="Arial" w:cs="Arial"/>
          <w:b/>
          <w:sz w:val="24"/>
          <w:szCs w:val="24"/>
        </w:rPr>
      </w:pPr>
    </w:p>
    <w:p w14:paraId="3C083084">
      <w:pPr>
        <w:jc w:val="both"/>
        <w:rPr>
          <w:rFonts w:ascii="Arial" w:hAnsi="Arial" w:cs="Arial"/>
          <w:b/>
          <w:sz w:val="24"/>
          <w:szCs w:val="24"/>
        </w:rPr>
      </w:pPr>
    </w:p>
    <w:p w14:paraId="033F9670">
      <w:pPr>
        <w:jc w:val="both"/>
        <w:rPr>
          <w:rFonts w:ascii="Arial" w:hAnsi="Arial" w:cs="Arial"/>
          <w:b/>
          <w:sz w:val="24"/>
          <w:szCs w:val="24"/>
        </w:rPr>
      </w:pPr>
    </w:p>
    <w:p w14:paraId="4DEE1015">
      <w:pPr>
        <w:jc w:val="both"/>
        <w:rPr>
          <w:rFonts w:ascii="Arial" w:hAnsi="Arial" w:cs="Arial"/>
          <w:b/>
          <w:sz w:val="24"/>
          <w:szCs w:val="24"/>
        </w:rPr>
      </w:pPr>
    </w:p>
    <w:p w14:paraId="573FB878">
      <w:pPr>
        <w:jc w:val="both"/>
        <w:rPr>
          <w:rFonts w:ascii="Arial" w:hAnsi="Arial" w:cs="Arial"/>
          <w:b/>
          <w:sz w:val="24"/>
          <w:szCs w:val="24"/>
        </w:rPr>
      </w:pPr>
    </w:p>
    <w:p w14:paraId="6579AB6B">
      <w:pPr>
        <w:jc w:val="both"/>
        <w:rPr>
          <w:rFonts w:ascii="Arial" w:hAnsi="Arial" w:cs="Arial"/>
          <w:b/>
          <w:sz w:val="24"/>
          <w:szCs w:val="24"/>
        </w:rPr>
      </w:pPr>
    </w:p>
    <w:p w14:paraId="30257CE2">
      <w:pPr>
        <w:jc w:val="both"/>
        <w:rPr>
          <w:rFonts w:ascii="Times New Roman" w:hAnsi="Times New Roman" w:cs="Times New Roman"/>
          <w:b/>
          <w:sz w:val="24"/>
          <w:szCs w:val="24"/>
        </w:rPr>
      </w:pPr>
    </w:p>
    <w:p w14:paraId="6D4879C0">
      <w:pPr>
        <w:rPr>
          <w:rFonts w:ascii="Arial" w:hAnsi="Arial" w:cs="Arial"/>
          <w:b/>
          <w:sz w:val="24"/>
          <w:szCs w:val="24"/>
        </w:rPr>
      </w:pPr>
    </w:p>
    <w:p w14:paraId="2BC19E7B">
      <w:pPr>
        <w:jc w:val="center"/>
        <w:outlineLvl w:val="0"/>
        <w:rPr>
          <w:rFonts w:ascii="Arial" w:hAnsi="Arial" w:cs="Arial"/>
          <w:b/>
          <w:sz w:val="24"/>
          <w:szCs w:val="24"/>
        </w:rPr>
      </w:pPr>
      <w:bookmarkStart w:id="3" w:name="_Toc213304975"/>
      <w:r>
        <w:rPr>
          <w:rFonts w:ascii="Arial" w:hAnsi="Arial" w:cs="Arial"/>
          <w:b/>
          <w:sz w:val="24"/>
          <w:szCs w:val="24"/>
        </w:rPr>
        <w:t>DEDICATION</w:t>
      </w:r>
      <w:bookmarkEnd w:id="0"/>
      <w:bookmarkEnd w:id="1"/>
      <w:bookmarkEnd w:id="3"/>
    </w:p>
    <w:p w14:paraId="2EAF5B2B">
      <w:pPr>
        <w:spacing w:line="480" w:lineRule="auto"/>
        <w:jc w:val="both"/>
        <w:rPr>
          <w:rFonts w:ascii="Arial" w:hAnsi="Arial" w:cs="Arial"/>
          <w:sz w:val="24"/>
          <w:szCs w:val="24"/>
        </w:rPr>
      </w:pPr>
      <w:r>
        <w:rPr>
          <w:rFonts w:ascii="Arial" w:hAnsi="Arial" w:cs="Arial"/>
          <w:sz w:val="24"/>
          <w:szCs w:val="24"/>
        </w:rPr>
        <w:t>I dedicate this research work to my beloved parents: Alhaji Muhammad Lema Abubakar and Late Hajiya Amina Haruna.</w:t>
      </w:r>
    </w:p>
    <w:p w14:paraId="6F597F91">
      <w:pPr>
        <w:spacing w:line="480" w:lineRule="auto"/>
        <w:jc w:val="both"/>
        <w:rPr>
          <w:rFonts w:ascii="Arial" w:hAnsi="Arial" w:cs="Arial"/>
          <w:sz w:val="24"/>
          <w:szCs w:val="24"/>
        </w:rPr>
      </w:pPr>
    </w:p>
    <w:p w14:paraId="5E67D4F0">
      <w:pPr>
        <w:jc w:val="both"/>
        <w:rPr>
          <w:rFonts w:ascii="Times New Roman" w:hAnsi="Times New Roman" w:cs="Times New Roman"/>
          <w:sz w:val="24"/>
          <w:szCs w:val="24"/>
        </w:rPr>
      </w:pPr>
    </w:p>
    <w:p w14:paraId="58D21EDB">
      <w:pPr>
        <w:jc w:val="both"/>
        <w:rPr>
          <w:rFonts w:ascii="Times New Roman" w:hAnsi="Times New Roman" w:cs="Times New Roman"/>
          <w:sz w:val="24"/>
          <w:szCs w:val="24"/>
        </w:rPr>
      </w:pPr>
    </w:p>
    <w:p w14:paraId="178C8269">
      <w:pPr>
        <w:jc w:val="both"/>
        <w:rPr>
          <w:rFonts w:ascii="Times New Roman" w:hAnsi="Times New Roman" w:cs="Times New Roman"/>
          <w:sz w:val="24"/>
          <w:szCs w:val="24"/>
        </w:rPr>
      </w:pPr>
    </w:p>
    <w:p w14:paraId="15D5C825">
      <w:pPr>
        <w:jc w:val="both"/>
        <w:rPr>
          <w:rFonts w:ascii="Times New Roman" w:hAnsi="Times New Roman" w:cs="Times New Roman"/>
          <w:sz w:val="24"/>
          <w:szCs w:val="24"/>
        </w:rPr>
      </w:pPr>
    </w:p>
    <w:p w14:paraId="4E3DD3FA">
      <w:pPr>
        <w:jc w:val="both"/>
        <w:rPr>
          <w:rFonts w:ascii="Times New Roman" w:hAnsi="Times New Roman" w:cs="Times New Roman"/>
          <w:sz w:val="24"/>
          <w:szCs w:val="24"/>
        </w:rPr>
      </w:pPr>
    </w:p>
    <w:p w14:paraId="160664F8">
      <w:pPr>
        <w:jc w:val="both"/>
        <w:rPr>
          <w:rFonts w:ascii="Times New Roman" w:hAnsi="Times New Roman" w:cs="Times New Roman"/>
          <w:sz w:val="24"/>
          <w:szCs w:val="24"/>
        </w:rPr>
      </w:pPr>
    </w:p>
    <w:p w14:paraId="48FA0748">
      <w:pPr>
        <w:jc w:val="both"/>
        <w:rPr>
          <w:rFonts w:ascii="Times New Roman" w:hAnsi="Times New Roman" w:cs="Times New Roman"/>
          <w:sz w:val="24"/>
          <w:szCs w:val="24"/>
        </w:rPr>
      </w:pPr>
    </w:p>
    <w:p w14:paraId="40583071">
      <w:pPr>
        <w:jc w:val="both"/>
        <w:rPr>
          <w:rFonts w:ascii="Times New Roman" w:hAnsi="Times New Roman" w:cs="Times New Roman"/>
          <w:sz w:val="24"/>
          <w:szCs w:val="24"/>
        </w:rPr>
      </w:pPr>
    </w:p>
    <w:p w14:paraId="20F9179C">
      <w:pPr>
        <w:jc w:val="both"/>
        <w:rPr>
          <w:rFonts w:ascii="Times New Roman" w:hAnsi="Times New Roman" w:cs="Times New Roman"/>
          <w:sz w:val="24"/>
          <w:szCs w:val="24"/>
        </w:rPr>
      </w:pPr>
    </w:p>
    <w:p w14:paraId="0FEEFB5F">
      <w:pPr>
        <w:jc w:val="both"/>
        <w:rPr>
          <w:rFonts w:ascii="Times New Roman" w:hAnsi="Times New Roman" w:cs="Times New Roman"/>
          <w:sz w:val="24"/>
          <w:szCs w:val="24"/>
        </w:rPr>
      </w:pPr>
    </w:p>
    <w:p w14:paraId="194B22CB">
      <w:pPr>
        <w:jc w:val="both"/>
        <w:rPr>
          <w:rFonts w:ascii="Times New Roman" w:hAnsi="Times New Roman" w:cs="Times New Roman"/>
          <w:sz w:val="24"/>
          <w:szCs w:val="24"/>
        </w:rPr>
      </w:pPr>
    </w:p>
    <w:p w14:paraId="096A3E51">
      <w:pPr>
        <w:jc w:val="both"/>
        <w:rPr>
          <w:rFonts w:ascii="Times New Roman" w:hAnsi="Times New Roman" w:cs="Times New Roman"/>
          <w:sz w:val="24"/>
          <w:szCs w:val="24"/>
        </w:rPr>
      </w:pPr>
    </w:p>
    <w:p w14:paraId="37C7C935">
      <w:pPr>
        <w:jc w:val="both"/>
        <w:rPr>
          <w:rFonts w:ascii="Times New Roman" w:hAnsi="Times New Roman" w:cs="Times New Roman"/>
          <w:sz w:val="24"/>
          <w:szCs w:val="24"/>
        </w:rPr>
      </w:pPr>
    </w:p>
    <w:p w14:paraId="66A18BA7">
      <w:pPr>
        <w:jc w:val="both"/>
        <w:rPr>
          <w:rFonts w:ascii="Times New Roman" w:hAnsi="Times New Roman" w:cs="Times New Roman"/>
          <w:sz w:val="24"/>
          <w:szCs w:val="24"/>
        </w:rPr>
      </w:pPr>
    </w:p>
    <w:p w14:paraId="3A1F6651">
      <w:pPr>
        <w:jc w:val="both"/>
        <w:rPr>
          <w:rFonts w:ascii="Times New Roman" w:hAnsi="Times New Roman" w:cs="Times New Roman"/>
          <w:sz w:val="24"/>
          <w:szCs w:val="24"/>
        </w:rPr>
      </w:pPr>
    </w:p>
    <w:p w14:paraId="27540746">
      <w:pPr>
        <w:jc w:val="both"/>
        <w:rPr>
          <w:rFonts w:ascii="Times New Roman" w:hAnsi="Times New Roman" w:cs="Times New Roman"/>
          <w:sz w:val="24"/>
          <w:szCs w:val="24"/>
        </w:rPr>
      </w:pPr>
    </w:p>
    <w:p w14:paraId="0795503C">
      <w:pPr>
        <w:jc w:val="both"/>
        <w:rPr>
          <w:rFonts w:ascii="Times New Roman" w:hAnsi="Times New Roman" w:cs="Times New Roman"/>
          <w:sz w:val="24"/>
          <w:szCs w:val="24"/>
        </w:rPr>
      </w:pPr>
    </w:p>
    <w:p w14:paraId="02E1DB51">
      <w:pPr>
        <w:jc w:val="both"/>
        <w:rPr>
          <w:rFonts w:ascii="Times New Roman" w:hAnsi="Times New Roman" w:cs="Times New Roman"/>
          <w:sz w:val="24"/>
          <w:szCs w:val="24"/>
        </w:rPr>
      </w:pPr>
    </w:p>
    <w:p w14:paraId="573C03D3">
      <w:pPr>
        <w:jc w:val="both"/>
        <w:rPr>
          <w:rFonts w:ascii="Times New Roman" w:hAnsi="Times New Roman" w:cs="Times New Roman"/>
          <w:sz w:val="24"/>
          <w:szCs w:val="24"/>
        </w:rPr>
      </w:pPr>
    </w:p>
    <w:p w14:paraId="5299993E">
      <w:pPr>
        <w:jc w:val="both"/>
        <w:rPr>
          <w:rFonts w:ascii="Times New Roman" w:hAnsi="Times New Roman" w:cs="Times New Roman"/>
          <w:sz w:val="24"/>
          <w:szCs w:val="24"/>
        </w:rPr>
      </w:pPr>
    </w:p>
    <w:p w14:paraId="5445E9FD">
      <w:pPr>
        <w:rPr>
          <w:rFonts w:ascii="Times New Roman" w:hAnsi="Times New Roman" w:eastAsiaTheme="majorEastAsia" w:cstheme="majorBidi"/>
          <w:b/>
          <w:color w:val="2F5597" w:themeColor="accent1" w:themeShade="BF"/>
          <w:sz w:val="24"/>
          <w:szCs w:val="32"/>
        </w:rPr>
      </w:pPr>
      <w:bookmarkStart w:id="4" w:name="_Toc197843839"/>
    </w:p>
    <w:p w14:paraId="1BFA33D5">
      <w:pPr>
        <w:rPr>
          <w:rFonts w:ascii="Arial" w:hAnsi="Arial" w:cs="Arial"/>
          <w:b/>
          <w:sz w:val="24"/>
          <w:szCs w:val="24"/>
        </w:rPr>
      </w:pPr>
    </w:p>
    <w:p w14:paraId="3B3B52EB">
      <w:pPr>
        <w:rPr>
          <w:rFonts w:ascii="Arial" w:hAnsi="Arial" w:cs="Arial"/>
          <w:b/>
          <w:sz w:val="24"/>
          <w:szCs w:val="24"/>
        </w:rPr>
      </w:pPr>
    </w:p>
    <w:p w14:paraId="6A67FED1">
      <w:pPr>
        <w:jc w:val="center"/>
        <w:outlineLvl w:val="0"/>
        <w:rPr>
          <w:rFonts w:ascii="Arial" w:hAnsi="Arial" w:cs="Arial"/>
          <w:b/>
          <w:sz w:val="24"/>
          <w:szCs w:val="24"/>
        </w:rPr>
      </w:pPr>
      <w:bookmarkStart w:id="5" w:name="_Toc213304976"/>
      <w:r>
        <w:rPr>
          <w:rFonts w:ascii="Arial" w:hAnsi="Arial" w:cs="Arial"/>
          <w:b/>
          <w:sz w:val="24"/>
          <w:szCs w:val="24"/>
        </w:rPr>
        <w:t>ACKNOWLEDGEMENT</w:t>
      </w:r>
      <w:bookmarkEnd w:id="4"/>
      <w:r>
        <w:rPr>
          <w:rFonts w:ascii="Arial" w:hAnsi="Arial" w:cs="Arial"/>
          <w:b/>
          <w:sz w:val="24"/>
          <w:szCs w:val="24"/>
        </w:rPr>
        <w:t>S</w:t>
      </w:r>
      <w:bookmarkEnd w:id="5"/>
    </w:p>
    <w:p w14:paraId="2229B41E">
      <w:pPr>
        <w:spacing w:line="480" w:lineRule="auto"/>
        <w:jc w:val="both"/>
        <w:rPr>
          <w:rFonts w:ascii="Arial" w:hAnsi="Arial" w:cs="Arial"/>
          <w:sz w:val="24"/>
          <w:szCs w:val="24"/>
        </w:rPr>
      </w:pPr>
      <w:r>
        <w:rPr>
          <w:rFonts w:ascii="Arial" w:hAnsi="Arial" w:cs="Arial"/>
          <w:sz w:val="24"/>
          <w:szCs w:val="24"/>
        </w:rPr>
        <w:t>All praise and thanks are due to Allah (S.W.T.) for sparing may life to successful completion of this research work. May Allah shower his blessing and peace upon our prophet Muhammad (S.A.W) and his family ang his companion.</w:t>
      </w:r>
    </w:p>
    <w:p w14:paraId="1283E499">
      <w:pPr>
        <w:spacing w:line="480" w:lineRule="auto"/>
        <w:jc w:val="both"/>
        <w:rPr>
          <w:rFonts w:ascii="Arial" w:hAnsi="Arial" w:cs="Arial"/>
          <w:sz w:val="24"/>
          <w:szCs w:val="24"/>
        </w:rPr>
      </w:pPr>
      <w:r>
        <w:rPr>
          <w:rFonts w:ascii="Arial" w:hAnsi="Arial" w:cs="Arial"/>
          <w:sz w:val="24"/>
          <w:szCs w:val="24"/>
        </w:rPr>
        <w:t>I extended my sincere gratitude and appreciation to my supervisor, Prof. M.N. Almustapha for his expert guidance and support throughout this research. I also appreciate the contribution of all the lecturers of the Department of Energy and Applied Chemistry Usmanu Danfodiyo University, Sokoto, may Allah reward them abundantly.</w:t>
      </w:r>
    </w:p>
    <w:p w14:paraId="6109F4BD">
      <w:pPr>
        <w:spacing w:line="480" w:lineRule="auto"/>
        <w:jc w:val="both"/>
        <w:rPr>
          <w:rFonts w:ascii="Arial" w:hAnsi="Arial" w:cs="Arial"/>
          <w:sz w:val="24"/>
          <w:szCs w:val="24"/>
        </w:rPr>
      </w:pPr>
      <w:r>
        <w:rPr>
          <w:rFonts w:ascii="Arial" w:hAnsi="Arial" w:cs="Arial"/>
          <w:sz w:val="24"/>
          <w:szCs w:val="24"/>
        </w:rPr>
        <w:t xml:space="preserve"> I am deeply grateful to my parents, Alhaji Muhammad Lema Abubakar, Late  Hajiya Amina Haruna Jega and Hajiya Aminatu Muhammad Lema for their unwavering support, prayers and encouragement throughout my life, may Allah grant them the highest rank of aljannah Firdausi Amin. I would like to extend my heartfelt gratitude to my family members; Gwaggo Maiburuji, Gwaggo Halima, Mama A’ee, anty Maryam, ya Aliyu, ya Musa, Dr Mansur lema, anty aisha,anty zee , ya Marwan, ya Buhari, ya Asma’u, ya Ummi,</w:t>
      </w:r>
      <w:r>
        <w:rPr>
          <w:rFonts w:hint="default" w:ascii="Arial" w:hAnsi="Arial" w:cs="Arial"/>
          <w:sz w:val="24"/>
          <w:szCs w:val="24"/>
          <w:lang w:val="en-US"/>
        </w:rPr>
        <w:t xml:space="preserve"> Barister,</w:t>
      </w:r>
      <w:r>
        <w:rPr>
          <w:rFonts w:ascii="Arial" w:hAnsi="Arial" w:cs="Arial"/>
          <w:sz w:val="24"/>
          <w:szCs w:val="24"/>
        </w:rPr>
        <w:t xml:space="preserve"> ya Abba, ya Maryam, ya Ahijo, ya Abdullahi, Khadija, Hafsat, Islama and Muhammad Lema for their unwavering support and encouragement, may Allah reward them abundantly</w:t>
      </w:r>
    </w:p>
    <w:p w14:paraId="648E561B">
      <w:pPr>
        <w:spacing w:line="480" w:lineRule="auto"/>
        <w:jc w:val="both"/>
        <w:rPr>
          <w:rFonts w:ascii="Arial" w:hAnsi="Arial" w:cs="Arial"/>
          <w:sz w:val="24"/>
          <w:szCs w:val="24"/>
        </w:rPr>
      </w:pPr>
      <w:r>
        <w:rPr>
          <w:rFonts w:ascii="Arial" w:hAnsi="Arial" w:cs="Arial"/>
          <w:sz w:val="24"/>
          <w:szCs w:val="24"/>
        </w:rPr>
        <w:t xml:space="preserve"> I’m also grateful to my friends; Fatima Muhammad Usman, Aisha Dogondaji ,Safiya zaki,  Shemy, Maryam Nasir, Baffa, Junju and Abba Tanko for their support and contribution throughout this journey, may Allah bless them with his infinite mercy.</w:t>
      </w:r>
    </w:p>
    <w:p w14:paraId="609D9C33">
      <w:pPr>
        <w:spacing w:before="240" w:line="360" w:lineRule="auto"/>
        <w:rPr>
          <w:rFonts w:ascii="Arial" w:hAnsi="Arial" w:cs="Arial"/>
          <w:b/>
          <w:sz w:val="24"/>
          <w:szCs w:val="24"/>
        </w:rPr>
      </w:pPr>
    </w:p>
    <w:p w14:paraId="5FC55311">
      <w:pPr>
        <w:spacing w:before="240" w:line="360" w:lineRule="auto"/>
        <w:outlineLvl w:val="0"/>
        <w:rPr>
          <w:rFonts w:ascii="Arial" w:hAnsi="Arial" w:cs="Arial"/>
          <w:b/>
          <w:sz w:val="24"/>
          <w:szCs w:val="24"/>
        </w:rPr>
      </w:pPr>
    </w:p>
    <w:p w14:paraId="50F5625A">
      <w:pPr>
        <w:spacing w:before="240" w:line="360" w:lineRule="auto"/>
        <w:outlineLvl w:val="0"/>
        <w:rPr>
          <w:rFonts w:ascii="Arial" w:hAnsi="Arial" w:cs="Arial"/>
          <w:b/>
          <w:sz w:val="24"/>
          <w:szCs w:val="24"/>
        </w:rPr>
      </w:pPr>
      <w:r>
        <w:rPr>
          <w:rFonts w:ascii="Arial" w:hAnsi="Arial" w:cs="Arial"/>
          <w:b/>
          <w:sz w:val="24"/>
          <w:szCs w:val="24"/>
        </w:rPr>
        <w:t xml:space="preserve">                                                   </w:t>
      </w:r>
      <w:bookmarkStart w:id="6" w:name="_Toc213304977"/>
      <w:r>
        <w:rPr>
          <w:rFonts w:ascii="Arial" w:hAnsi="Arial" w:cs="Arial"/>
          <w:b/>
          <w:sz w:val="24"/>
          <w:szCs w:val="24"/>
        </w:rPr>
        <w:t>TABLE OF CONTENTS</w:t>
      </w:r>
      <w:bookmarkEnd w:id="6"/>
    </w:p>
    <w:p w14:paraId="0F35F238">
      <w:pPr>
        <w:pStyle w:val="13"/>
        <w:tabs>
          <w:tab w:val="right" w:leader="dot" w:pos="9350"/>
        </w:tabs>
        <w:rPr>
          <w:rFonts w:eastAsiaTheme="minorEastAsia"/>
          <w:lang w:val="en-US"/>
        </w:rPr>
      </w:pPr>
      <w:r>
        <w:rPr>
          <w:rFonts w:ascii="Arial" w:hAnsi="Arial" w:cs="Arial"/>
          <w:sz w:val="24"/>
          <w:szCs w:val="24"/>
        </w:rPr>
        <w:fldChar w:fldCharType="begin"/>
      </w:r>
      <w:r>
        <w:rPr>
          <w:rFonts w:ascii="Arial" w:hAnsi="Arial" w:cs="Arial"/>
          <w:sz w:val="24"/>
          <w:szCs w:val="24"/>
        </w:rPr>
        <w:instrText xml:space="preserve"> TOC \o "1-1" \h \z \u \t "Heading 3,3" </w:instrText>
      </w:r>
      <w:r>
        <w:rPr>
          <w:rFonts w:ascii="Arial" w:hAnsi="Arial" w:cs="Arial"/>
          <w:sz w:val="24"/>
          <w:szCs w:val="24"/>
        </w:rPr>
        <w:fldChar w:fldCharType="separate"/>
      </w:r>
      <w:r>
        <w:fldChar w:fldCharType="begin"/>
      </w:r>
      <w:r>
        <w:instrText xml:space="preserve"> HYPERLINK \l "_Toc213304974" </w:instrText>
      </w:r>
      <w:r>
        <w:fldChar w:fldCharType="separate"/>
      </w:r>
      <w:r>
        <w:rPr>
          <w:rStyle w:val="11"/>
          <w:rFonts w:ascii="Arial" w:hAnsi="Arial" w:cs="Arial"/>
        </w:rPr>
        <w:t>APPROVAL PAGE</w:t>
      </w:r>
      <w:r>
        <w:tab/>
      </w:r>
      <w:r>
        <w:fldChar w:fldCharType="begin"/>
      </w:r>
      <w:r>
        <w:instrText xml:space="preserve"> PAGEREF _Toc213304974 \h </w:instrText>
      </w:r>
      <w:r>
        <w:fldChar w:fldCharType="separate"/>
      </w:r>
      <w:r>
        <w:t>i</w:t>
      </w:r>
      <w:r>
        <w:fldChar w:fldCharType="end"/>
      </w:r>
      <w:r>
        <w:fldChar w:fldCharType="end"/>
      </w:r>
    </w:p>
    <w:p w14:paraId="69139D7B">
      <w:pPr>
        <w:pStyle w:val="13"/>
        <w:tabs>
          <w:tab w:val="right" w:leader="dot" w:pos="9350"/>
        </w:tabs>
        <w:rPr>
          <w:rFonts w:eastAsiaTheme="minorEastAsia"/>
          <w:lang w:val="en-US"/>
        </w:rPr>
      </w:pPr>
      <w:r>
        <w:fldChar w:fldCharType="begin"/>
      </w:r>
      <w:r>
        <w:instrText xml:space="preserve"> HYPERLINK \l "_Toc213304975" </w:instrText>
      </w:r>
      <w:r>
        <w:fldChar w:fldCharType="separate"/>
      </w:r>
      <w:r>
        <w:rPr>
          <w:rStyle w:val="11"/>
          <w:rFonts w:ascii="Arial" w:hAnsi="Arial" w:cs="Arial"/>
        </w:rPr>
        <w:t>DEDICATION</w:t>
      </w:r>
      <w:r>
        <w:tab/>
      </w:r>
      <w:r>
        <w:fldChar w:fldCharType="begin"/>
      </w:r>
      <w:r>
        <w:instrText xml:space="preserve"> PAGEREF _Toc213304975 \h </w:instrText>
      </w:r>
      <w:r>
        <w:fldChar w:fldCharType="separate"/>
      </w:r>
      <w:r>
        <w:t>ii</w:t>
      </w:r>
      <w:r>
        <w:fldChar w:fldCharType="end"/>
      </w:r>
      <w:r>
        <w:fldChar w:fldCharType="end"/>
      </w:r>
    </w:p>
    <w:p w14:paraId="14370B6E">
      <w:pPr>
        <w:pStyle w:val="13"/>
        <w:tabs>
          <w:tab w:val="right" w:leader="dot" w:pos="9350"/>
        </w:tabs>
        <w:rPr>
          <w:rFonts w:eastAsiaTheme="minorEastAsia"/>
          <w:lang w:val="en-US"/>
        </w:rPr>
      </w:pPr>
      <w:r>
        <w:fldChar w:fldCharType="begin"/>
      </w:r>
      <w:r>
        <w:instrText xml:space="preserve"> HYPERLINK \l "_Toc213304976" </w:instrText>
      </w:r>
      <w:r>
        <w:fldChar w:fldCharType="separate"/>
      </w:r>
      <w:r>
        <w:rPr>
          <w:rStyle w:val="11"/>
          <w:rFonts w:ascii="Arial" w:hAnsi="Arial" w:cs="Arial"/>
        </w:rPr>
        <w:t>ACKNOWLEDGEMENTS</w:t>
      </w:r>
      <w:r>
        <w:tab/>
      </w:r>
      <w:r>
        <w:fldChar w:fldCharType="begin"/>
      </w:r>
      <w:r>
        <w:instrText xml:space="preserve"> PAGEREF _Toc213304976 \h </w:instrText>
      </w:r>
      <w:r>
        <w:fldChar w:fldCharType="separate"/>
      </w:r>
      <w:r>
        <w:t>iii</w:t>
      </w:r>
      <w:r>
        <w:fldChar w:fldCharType="end"/>
      </w:r>
      <w:r>
        <w:fldChar w:fldCharType="end"/>
      </w:r>
    </w:p>
    <w:p w14:paraId="2A346415">
      <w:pPr>
        <w:pStyle w:val="13"/>
        <w:tabs>
          <w:tab w:val="right" w:leader="dot" w:pos="9350"/>
        </w:tabs>
        <w:rPr>
          <w:rFonts w:eastAsiaTheme="minorEastAsia"/>
          <w:lang w:val="en-US"/>
        </w:rPr>
      </w:pPr>
      <w:r>
        <w:fldChar w:fldCharType="begin"/>
      </w:r>
      <w:r>
        <w:instrText xml:space="preserve"> HYPERLINK \l "_Toc213304977" </w:instrText>
      </w:r>
      <w:r>
        <w:fldChar w:fldCharType="separate"/>
      </w:r>
      <w:r>
        <w:rPr>
          <w:rStyle w:val="11"/>
          <w:rFonts w:ascii="Arial" w:hAnsi="Arial" w:cs="Arial"/>
        </w:rPr>
        <w:t>TABLE OF CONTENTS</w:t>
      </w:r>
      <w:r>
        <w:tab/>
      </w:r>
      <w:r>
        <w:fldChar w:fldCharType="begin"/>
      </w:r>
      <w:r>
        <w:instrText xml:space="preserve"> PAGEREF _Toc213304977 \h </w:instrText>
      </w:r>
      <w:r>
        <w:fldChar w:fldCharType="separate"/>
      </w:r>
      <w:r>
        <w:t>iv</w:t>
      </w:r>
      <w:r>
        <w:fldChar w:fldCharType="end"/>
      </w:r>
      <w:r>
        <w:fldChar w:fldCharType="end"/>
      </w:r>
    </w:p>
    <w:p w14:paraId="0F4E325C">
      <w:pPr>
        <w:pStyle w:val="13"/>
        <w:tabs>
          <w:tab w:val="right" w:leader="dot" w:pos="9350"/>
        </w:tabs>
        <w:rPr>
          <w:rFonts w:eastAsiaTheme="minorEastAsia"/>
          <w:lang w:val="en-US"/>
        </w:rPr>
      </w:pPr>
      <w:r>
        <w:fldChar w:fldCharType="begin"/>
      </w:r>
      <w:r>
        <w:instrText xml:space="preserve"> HYPERLINK \l "_Toc213304978" </w:instrText>
      </w:r>
      <w:r>
        <w:fldChar w:fldCharType="separate"/>
      </w:r>
      <w:r>
        <w:rPr>
          <w:rStyle w:val="11"/>
          <w:rFonts w:ascii="Arial" w:hAnsi="Arial" w:cs="Arial"/>
        </w:rPr>
        <w:t>Declaration</w:t>
      </w:r>
      <w:r>
        <w:tab/>
      </w:r>
      <w:r>
        <w:fldChar w:fldCharType="begin"/>
      </w:r>
      <w:r>
        <w:instrText xml:space="preserve"> PAGEREF _Toc213304978 \h </w:instrText>
      </w:r>
      <w:r>
        <w:fldChar w:fldCharType="separate"/>
      </w:r>
      <w:r>
        <w:t>vi</w:t>
      </w:r>
      <w:r>
        <w:fldChar w:fldCharType="end"/>
      </w:r>
      <w:r>
        <w:fldChar w:fldCharType="end"/>
      </w:r>
    </w:p>
    <w:p w14:paraId="144E8DEA">
      <w:pPr>
        <w:pStyle w:val="13"/>
        <w:tabs>
          <w:tab w:val="right" w:leader="dot" w:pos="9350"/>
        </w:tabs>
        <w:rPr>
          <w:rFonts w:eastAsiaTheme="minorEastAsia"/>
          <w:lang w:val="en-US"/>
        </w:rPr>
      </w:pPr>
      <w:r>
        <w:fldChar w:fldCharType="begin"/>
      </w:r>
      <w:r>
        <w:instrText xml:space="preserve"> HYPERLINK \l "_Toc213304979" </w:instrText>
      </w:r>
      <w:r>
        <w:fldChar w:fldCharType="separate"/>
      </w:r>
      <w:r>
        <w:rPr>
          <w:rStyle w:val="11"/>
          <w:rFonts w:ascii="Arial" w:hAnsi="Arial" w:cs="Arial"/>
        </w:rPr>
        <w:t>Abstract</w:t>
      </w:r>
      <w:r>
        <w:tab/>
      </w:r>
      <w:r>
        <w:fldChar w:fldCharType="begin"/>
      </w:r>
      <w:r>
        <w:instrText xml:space="preserve"> PAGEREF _Toc213304979 \h </w:instrText>
      </w:r>
      <w:r>
        <w:fldChar w:fldCharType="separate"/>
      </w:r>
      <w:r>
        <w:t>vii</w:t>
      </w:r>
      <w:r>
        <w:fldChar w:fldCharType="end"/>
      </w:r>
      <w:r>
        <w:fldChar w:fldCharType="end"/>
      </w:r>
    </w:p>
    <w:p w14:paraId="2B6841B1">
      <w:pPr>
        <w:pStyle w:val="13"/>
        <w:tabs>
          <w:tab w:val="right" w:leader="dot" w:pos="9350"/>
        </w:tabs>
        <w:rPr>
          <w:rFonts w:eastAsiaTheme="minorEastAsia"/>
          <w:lang w:val="en-US"/>
        </w:rPr>
      </w:pPr>
      <w:r>
        <w:fldChar w:fldCharType="begin"/>
      </w:r>
      <w:r>
        <w:instrText xml:space="preserve"> HYPERLINK \l "_Toc213304980" </w:instrText>
      </w:r>
      <w:r>
        <w:fldChar w:fldCharType="separate"/>
      </w:r>
      <w:r>
        <w:rPr>
          <w:rStyle w:val="11"/>
          <w:rFonts w:ascii="Arial" w:hAnsi="Arial" w:cs="Arial"/>
        </w:rPr>
        <w:t>CHAPTER ONE</w:t>
      </w:r>
      <w:r>
        <w:tab/>
      </w:r>
      <w:r>
        <w:fldChar w:fldCharType="begin"/>
      </w:r>
      <w:r>
        <w:instrText xml:space="preserve"> PAGEREF _Toc213304980 \h </w:instrText>
      </w:r>
      <w:r>
        <w:fldChar w:fldCharType="separate"/>
      </w:r>
      <w:r>
        <w:t>1</w:t>
      </w:r>
      <w:r>
        <w:fldChar w:fldCharType="end"/>
      </w:r>
      <w:r>
        <w:fldChar w:fldCharType="end"/>
      </w:r>
    </w:p>
    <w:p w14:paraId="4121ECE8">
      <w:pPr>
        <w:pStyle w:val="13"/>
        <w:tabs>
          <w:tab w:val="right" w:leader="dot" w:pos="9350"/>
        </w:tabs>
        <w:rPr>
          <w:rFonts w:eastAsiaTheme="minorEastAsia"/>
          <w:lang w:val="en-US"/>
        </w:rPr>
      </w:pPr>
      <w:r>
        <w:fldChar w:fldCharType="begin"/>
      </w:r>
      <w:r>
        <w:instrText xml:space="preserve"> HYPERLINK \l "_Toc213304981" </w:instrText>
      </w:r>
      <w:r>
        <w:fldChar w:fldCharType="separate"/>
      </w:r>
      <w:r>
        <w:rPr>
          <w:rStyle w:val="11"/>
          <w:rFonts w:ascii="Arial" w:hAnsi="Arial" w:cs="Arial"/>
        </w:rPr>
        <w:t>INTRODUCTION</w:t>
      </w:r>
      <w:r>
        <w:tab/>
      </w:r>
      <w:r>
        <w:fldChar w:fldCharType="begin"/>
      </w:r>
      <w:r>
        <w:instrText xml:space="preserve"> PAGEREF _Toc213304981 \h </w:instrText>
      </w:r>
      <w:r>
        <w:fldChar w:fldCharType="separate"/>
      </w:r>
      <w:r>
        <w:t>1</w:t>
      </w:r>
      <w:r>
        <w:fldChar w:fldCharType="end"/>
      </w:r>
      <w:r>
        <w:fldChar w:fldCharType="end"/>
      </w:r>
    </w:p>
    <w:p w14:paraId="34971910">
      <w:pPr>
        <w:pStyle w:val="13"/>
        <w:tabs>
          <w:tab w:val="left" w:pos="660"/>
          <w:tab w:val="right" w:leader="dot" w:pos="9350"/>
        </w:tabs>
        <w:rPr>
          <w:rFonts w:eastAsiaTheme="minorEastAsia"/>
          <w:lang w:val="en-US"/>
        </w:rPr>
      </w:pPr>
      <w:r>
        <w:fldChar w:fldCharType="begin"/>
      </w:r>
      <w:r>
        <w:instrText xml:space="preserve"> HYPERLINK \l "_Toc213304982" </w:instrText>
      </w:r>
      <w:r>
        <w:fldChar w:fldCharType="separate"/>
      </w:r>
      <w:r>
        <w:rPr>
          <w:rStyle w:val="11"/>
          <w:rFonts w:ascii="Arial" w:hAnsi="Arial" w:cs="Arial"/>
        </w:rPr>
        <w:t>1.1The Background of the Research</w:t>
      </w:r>
      <w:r>
        <w:tab/>
      </w:r>
      <w:r>
        <w:fldChar w:fldCharType="begin"/>
      </w:r>
      <w:r>
        <w:instrText xml:space="preserve"> PAGEREF _Toc213304982 \h </w:instrText>
      </w:r>
      <w:r>
        <w:fldChar w:fldCharType="separate"/>
      </w:r>
      <w:r>
        <w:t>1</w:t>
      </w:r>
      <w:r>
        <w:fldChar w:fldCharType="end"/>
      </w:r>
      <w:r>
        <w:fldChar w:fldCharType="end"/>
      </w:r>
    </w:p>
    <w:p w14:paraId="7DCEFF3F">
      <w:pPr>
        <w:pStyle w:val="13"/>
        <w:tabs>
          <w:tab w:val="right" w:leader="dot" w:pos="9350"/>
        </w:tabs>
        <w:rPr>
          <w:rFonts w:eastAsiaTheme="minorEastAsia"/>
          <w:lang w:val="en-US"/>
        </w:rPr>
      </w:pPr>
      <w:r>
        <w:fldChar w:fldCharType="begin"/>
      </w:r>
      <w:r>
        <w:instrText xml:space="preserve"> HYPERLINK \l "_Toc213304983" </w:instrText>
      </w:r>
      <w:r>
        <w:fldChar w:fldCharType="separate"/>
      </w:r>
      <w:r>
        <w:rPr>
          <w:rStyle w:val="11"/>
          <w:rFonts w:ascii="Arial" w:hAnsi="Arial" w:cs="Arial"/>
        </w:rPr>
        <w:t>1.2 Statement of the Problem</w:t>
      </w:r>
      <w:r>
        <w:tab/>
      </w:r>
      <w:r>
        <w:fldChar w:fldCharType="begin"/>
      </w:r>
      <w:r>
        <w:instrText xml:space="preserve"> PAGEREF _Toc213304983 \h </w:instrText>
      </w:r>
      <w:r>
        <w:fldChar w:fldCharType="separate"/>
      </w:r>
      <w:r>
        <w:t>4</w:t>
      </w:r>
      <w:r>
        <w:fldChar w:fldCharType="end"/>
      </w:r>
      <w:r>
        <w:fldChar w:fldCharType="end"/>
      </w:r>
    </w:p>
    <w:p w14:paraId="4B524820">
      <w:pPr>
        <w:pStyle w:val="13"/>
        <w:tabs>
          <w:tab w:val="right" w:leader="dot" w:pos="9350"/>
        </w:tabs>
        <w:rPr>
          <w:rFonts w:eastAsiaTheme="minorEastAsia"/>
          <w:lang w:val="en-US"/>
        </w:rPr>
      </w:pPr>
      <w:r>
        <w:fldChar w:fldCharType="begin"/>
      </w:r>
      <w:r>
        <w:instrText xml:space="preserve"> HYPERLINK \l "_Toc213304984" </w:instrText>
      </w:r>
      <w:r>
        <w:fldChar w:fldCharType="separate"/>
      </w:r>
      <w:r>
        <w:rPr>
          <w:rStyle w:val="11"/>
          <w:rFonts w:ascii="Arial" w:hAnsi="Arial" w:cs="Arial"/>
        </w:rPr>
        <w:t>1.3 Justification of the Research</w:t>
      </w:r>
      <w:r>
        <w:tab/>
      </w:r>
      <w:r>
        <w:fldChar w:fldCharType="begin"/>
      </w:r>
      <w:r>
        <w:instrText xml:space="preserve"> PAGEREF _Toc213304984 \h </w:instrText>
      </w:r>
      <w:r>
        <w:fldChar w:fldCharType="separate"/>
      </w:r>
      <w:r>
        <w:t>4</w:t>
      </w:r>
      <w:r>
        <w:fldChar w:fldCharType="end"/>
      </w:r>
      <w:r>
        <w:fldChar w:fldCharType="end"/>
      </w:r>
    </w:p>
    <w:p w14:paraId="3DDA9D7B">
      <w:pPr>
        <w:pStyle w:val="13"/>
        <w:tabs>
          <w:tab w:val="right" w:leader="dot" w:pos="9350"/>
        </w:tabs>
        <w:rPr>
          <w:rFonts w:eastAsiaTheme="minorEastAsia"/>
          <w:lang w:val="en-US"/>
        </w:rPr>
      </w:pPr>
      <w:r>
        <w:fldChar w:fldCharType="begin"/>
      </w:r>
      <w:r>
        <w:instrText xml:space="preserve"> HYPERLINK \l "_Toc213304985" </w:instrText>
      </w:r>
      <w:r>
        <w:fldChar w:fldCharType="separate"/>
      </w:r>
      <w:r>
        <w:rPr>
          <w:rStyle w:val="11"/>
          <w:rFonts w:ascii="Arial" w:hAnsi="Arial" w:cs="Arial"/>
        </w:rPr>
        <w:t>1.4 Aim and Objectives</w:t>
      </w:r>
      <w:r>
        <w:tab/>
      </w:r>
      <w:r>
        <w:fldChar w:fldCharType="begin"/>
      </w:r>
      <w:r>
        <w:instrText xml:space="preserve"> PAGEREF _Toc213304985 \h </w:instrText>
      </w:r>
      <w:r>
        <w:fldChar w:fldCharType="separate"/>
      </w:r>
      <w:r>
        <w:t>5</w:t>
      </w:r>
      <w:r>
        <w:fldChar w:fldCharType="end"/>
      </w:r>
      <w:r>
        <w:fldChar w:fldCharType="end"/>
      </w:r>
    </w:p>
    <w:p w14:paraId="3B5DA498">
      <w:pPr>
        <w:pStyle w:val="13"/>
        <w:tabs>
          <w:tab w:val="right" w:leader="dot" w:pos="9350"/>
        </w:tabs>
        <w:rPr>
          <w:rFonts w:eastAsiaTheme="minorEastAsia"/>
          <w:lang w:val="en-US"/>
        </w:rPr>
      </w:pPr>
      <w:r>
        <w:fldChar w:fldCharType="begin"/>
      </w:r>
      <w:r>
        <w:instrText xml:space="preserve"> HYPERLINK \l "_Toc213304986" </w:instrText>
      </w:r>
      <w:r>
        <w:fldChar w:fldCharType="separate"/>
      </w:r>
      <w:r>
        <w:rPr>
          <w:rStyle w:val="11"/>
          <w:rFonts w:ascii="Arial" w:hAnsi="Arial" w:cs="Arial"/>
        </w:rPr>
        <w:t>CHAPTER TWO</w:t>
      </w:r>
      <w:r>
        <w:tab/>
      </w:r>
      <w:r>
        <w:fldChar w:fldCharType="begin"/>
      </w:r>
      <w:r>
        <w:instrText xml:space="preserve"> PAGEREF _Toc213304986 \h </w:instrText>
      </w:r>
      <w:r>
        <w:fldChar w:fldCharType="separate"/>
      </w:r>
      <w:r>
        <w:t>6</w:t>
      </w:r>
      <w:r>
        <w:fldChar w:fldCharType="end"/>
      </w:r>
      <w:r>
        <w:fldChar w:fldCharType="end"/>
      </w:r>
    </w:p>
    <w:p w14:paraId="50072E06">
      <w:pPr>
        <w:pStyle w:val="13"/>
        <w:tabs>
          <w:tab w:val="right" w:leader="dot" w:pos="9350"/>
        </w:tabs>
        <w:rPr>
          <w:rFonts w:eastAsiaTheme="minorEastAsia"/>
          <w:lang w:val="en-US"/>
        </w:rPr>
      </w:pPr>
      <w:r>
        <w:fldChar w:fldCharType="begin"/>
      </w:r>
      <w:r>
        <w:instrText xml:space="preserve"> HYPERLINK \l "_Toc213304987" </w:instrText>
      </w:r>
      <w:r>
        <w:fldChar w:fldCharType="separate"/>
      </w:r>
      <w:r>
        <w:rPr>
          <w:rStyle w:val="11"/>
          <w:rFonts w:ascii="Arial" w:hAnsi="Arial" w:cs="Arial"/>
        </w:rPr>
        <w:t>LITERATURE REVIEW</w:t>
      </w:r>
      <w:r>
        <w:tab/>
      </w:r>
      <w:r>
        <w:fldChar w:fldCharType="begin"/>
      </w:r>
      <w:r>
        <w:instrText xml:space="preserve"> PAGEREF _Toc213304987 \h </w:instrText>
      </w:r>
      <w:r>
        <w:fldChar w:fldCharType="separate"/>
      </w:r>
      <w:r>
        <w:t>6</w:t>
      </w:r>
      <w:r>
        <w:fldChar w:fldCharType="end"/>
      </w:r>
      <w:r>
        <w:fldChar w:fldCharType="end"/>
      </w:r>
    </w:p>
    <w:p w14:paraId="7AD3780B">
      <w:pPr>
        <w:pStyle w:val="13"/>
        <w:tabs>
          <w:tab w:val="right" w:leader="dot" w:pos="9350"/>
        </w:tabs>
        <w:rPr>
          <w:rFonts w:eastAsiaTheme="minorEastAsia"/>
          <w:lang w:val="en-US"/>
        </w:rPr>
      </w:pPr>
      <w:r>
        <w:fldChar w:fldCharType="begin"/>
      </w:r>
      <w:r>
        <w:instrText xml:space="preserve"> HYPERLINK \l "_Toc213304988" </w:instrText>
      </w:r>
      <w:r>
        <w:fldChar w:fldCharType="separate"/>
      </w:r>
      <w:r>
        <w:rPr>
          <w:rStyle w:val="11"/>
          <w:rFonts w:ascii="Arial" w:hAnsi="Arial" w:cs="Arial"/>
        </w:rPr>
        <w:t>2.1 Biolubricants</w:t>
      </w:r>
      <w:r>
        <w:tab/>
      </w:r>
      <w:r>
        <w:fldChar w:fldCharType="begin"/>
      </w:r>
      <w:r>
        <w:instrText xml:space="preserve"> PAGEREF _Toc213304988 \h </w:instrText>
      </w:r>
      <w:r>
        <w:fldChar w:fldCharType="separate"/>
      </w:r>
      <w:r>
        <w:t>6</w:t>
      </w:r>
      <w:r>
        <w:fldChar w:fldCharType="end"/>
      </w:r>
      <w:r>
        <w:fldChar w:fldCharType="end"/>
      </w:r>
    </w:p>
    <w:p w14:paraId="25409781">
      <w:pPr>
        <w:pStyle w:val="13"/>
        <w:tabs>
          <w:tab w:val="left" w:pos="660"/>
          <w:tab w:val="right" w:leader="dot" w:pos="9350"/>
        </w:tabs>
        <w:rPr>
          <w:rFonts w:eastAsiaTheme="minorEastAsia"/>
          <w:lang w:val="en-US"/>
        </w:rPr>
      </w:pPr>
      <w:r>
        <w:fldChar w:fldCharType="begin"/>
      </w:r>
      <w:r>
        <w:instrText xml:space="preserve"> HYPERLINK \l "_Toc213304989" </w:instrText>
      </w:r>
      <w:r>
        <w:fldChar w:fldCharType="separate"/>
      </w:r>
      <w:r>
        <w:rPr>
          <w:rStyle w:val="11"/>
          <w:rFonts w:ascii="Arial" w:hAnsi="Arial" w:cs="Arial"/>
        </w:rPr>
        <w:t>2.2</w:t>
      </w:r>
      <w:r>
        <w:rPr>
          <w:rFonts w:eastAsiaTheme="minorEastAsia"/>
          <w:lang w:val="en-US"/>
        </w:rPr>
        <w:t xml:space="preserve">  </w:t>
      </w:r>
      <w:r>
        <w:rPr>
          <w:rStyle w:val="11"/>
          <w:rFonts w:ascii="Arial" w:hAnsi="Arial" w:cs="Arial"/>
        </w:rPr>
        <w:t>Classification of Biolubricants</w:t>
      </w:r>
      <w:r>
        <w:tab/>
      </w:r>
      <w:r>
        <w:fldChar w:fldCharType="begin"/>
      </w:r>
      <w:r>
        <w:instrText xml:space="preserve"> PAGEREF _Toc213304989 \h </w:instrText>
      </w:r>
      <w:r>
        <w:fldChar w:fldCharType="separate"/>
      </w:r>
      <w:r>
        <w:t>7</w:t>
      </w:r>
      <w:r>
        <w:fldChar w:fldCharType="end"/>
      </w:r>
      <w:r>
        <w:fldChar w:fldCharType="end"/>
      </w:r>
    </w:p>
    <w:p w14:paraId="079CC70F">
      <w:pPr>
        <w:pStyle w:val="13"/>
        <w:tabs>
          <w:tab w:val="right" w:leader="dot" w:pos="9350"/>
        </w:tabs>
        <w:rPr>
          <w:rFonts w:eastAsiaTheme="minorEastAsia"/>
          <w:lang w:val="en-US"/>
        </w:rPr>
      </w:pPr>
      <w:r>
        <w:fldChar w:fldCharType="begin"/>
      </w:r>
      <w:r>
        <w:instrText xml:space="preserve"> HYPERLINK \l "_Toc213304990" </w:instrText>
      </w:r>
      <w:r>
        <w:fldChar w:fldCharType="separate"/>
      </w:r>
      <w:r>
        <w:rPr>
          <w:rStyle w:val="11"/>
          <w:rFonts w:ascii="Arial" w:hAnsi="Arial" w:cs="Arial"/>
        </w:rPr>
        <w:t>2.2.1. Natural Oils</w:t>
      </w:r>
      <w:r>
        <w:tab/>
      </w:r>
      <w:r>
        <w:fldChar w:fldCharType="begin"/>
      </w:r>
      <w:r>
        <w:instrText xml:space="preserve"> PAGEREF _Toc213304990 \h </w:instrText>
      </w:r>
      <w:r>
        <w:fldChar w:fldCharType="separate"/>
      </w:r>
      <w:r>
        <w:t>7</w:t>
      </w:r>
      <w:r>
        <w:fldChar w:fldCharType="end"/>
      </w:r>
      <w:r>
        <w:fldChar w:fldCharType="end"/>
      </w:r>
    </w:p>
    <w:p w14:paraId="58E73C46">
      <w:pPr>
        <w:pStyle w:val="13"/>
        <w:tabs>
          <w:tab w:val="right" w:leader="dot" w:pos="9350"/>
        </w:tabs>
        <w:rPr>
          <w:rFonts w:eastAsiaTheme="minorEastAsia"/>
          <w:lang w:val="en-US"/>
        </w:rPr>
      </w:pPr>
      <w:r>
        <w:fldChar w:fldCharType="begin"/>
      </w:r>
      <w:r>
        <w:instrText xml:space="preserve"> HYPERLINK \l "_Toc213304991" </w:instrText>
      </w:r>
      <w:r>
        <w:fldChar w:fldCharType="separate"/>
      </w:r>
      <w:r>
        <w:rPr>
          <w:rStyle w:val="11"/>
          <w:rFonts w:ascii="Arial" w:hAnsi="Arial" w:cs="Arial"/>
        </w:rPr>
        <w:t>2.2.2. Synthetic Oils</w:t>
      </w:r>
      <w:r>
        <w:tab/>
      </w:r>
      <w:r>
        <w:fldChar w:fldCharType="begin"/>
      </w:r>
      <w:r>
        <w:instrText xml:space="preserve"> PAGEREF _Toc213304991 \h </w:instrText>
      </w:r>
      <w:r>
        <w:fldChar w:fldCharType="separate"/>
      </w:r>
      <w:r>
        <w:t>7</w:t>
      </w:r>
      <w:r>
        <w:fldChar w:fldCharType="end"/>
      </w:r>
      <w:r>
        <w:fldChar w:fldCharType="end"/>
      </w:r>
    </w:p>
    <w:p w14:paraId="58CC7FF2">
      <w:pPr>
        <w:pStyle w:val="13"/>
        <w:tabs>
          <w:tab w:val="right" w:leader="dot" w:pos="9350"/>
        </w:tabs>
        <w:rPr>
          <w:rFonts w:eastAsiaTheme="minorEastAsia"/>
          <w:lang w:val="en-US"/>
        </w:rPr>
      </w:pPr>
      <w:r>
        <w:fldChar w:fldCharType="begin"/>
      </w:r>
      <w:r>
        <w:instrText xml:space="preserve"> HYPERLINK \l "_Toc213304992" </w:instrText>
      </w:r>
      <w:r>
        <w:fldChar w:fldCharType="separate"/>
      </w:r>
      <w:r>
        <w:rPr>
          <w:rStyle w:val="11"/>
          <w:rFonts w:ascii="Arial" w:hAnsi="Arial" w:cs="Arial"/>
        </w:rPr>
        <w:t>2.3 Waste Cooking Oils</w:t>
      </w:r>
      <w:r>
        <w:tab/>
      </w:r>
      <w:r>
        <w:fldChar w:fldCharType="begin"/>
      </w:r>
      <w:r>
        <w:instrText xml:space="preserve"> PAGEREF _Toc213304992 \h </w:instrText>
      </w:r>
      <w:r>
        <w:fldChar w:fldCharType="separate"/>
      </w:r>
      <w:r>
        <w:t>8</w:t>
      </w:r>
      <w:r>
        <w:fldChar w:fldCharType="end"/>
      </w:r>
      <w:r>
        <w:fldChar w:fldCharType="end"/>
      </w:r>
    </w:p>
    <w:p w14:paraId="5B57B66C">
      <w:pPr>
        <w:pStyle w:val="13"/>
        <w:tabs>
          <w:tab w:val="right" w:leader="dot" w:pos="9350"/>
        </w:tabs>
        <w:rPr>
          <w:rFonts w:eastAsiaTheme="minorEastAsia"/>
          <w:lang w:val="en-US"/>
        </w:rPr>
      </w:pPr>
      <w:r>
        <w:fldChar w:fldCharType="begin"/>
      </w:r>
      <w:r>
        <w:instrText xml:space="preserve"> HYPERLINK \l "_Toc213304993" </w:instrText>
      </w:r>
      <w:r>
        <w:fldChar w:fldCharType="separate"/>
      </w:r>
      <w:r>
        <w:rPr>
          <w:rStyle w:val="11"/>
          <w:rFonts w:ascii="Arial" w:hAnsi="Arial" w:cs="Arial"/>
          <w:lang w:val="en-US"/>
        </w:rPr>
        <w:t>2.4 Merits of using biolubricants</w:t>
      </w:r>
      <w:r>
        <w:tab/>
      </w:r>
      <w:r>
        <w:fldChar w:fldCharType="begin"/>
      </w:r>
      <w:r>
        <w:instrText xml:space="preserve"> PAGEREF _Toc213304993 \h </w:instrText>
      </w:r>
      <w:r>
        <w:fldChar w:fldCharType="separate"/>
      </w:r>
      <w:r>
        <w:t>9</w:t>
      </w:r>
      <w:r>
        <w:fldChar w:fldCharType="end"/>
      </w:r>
      <w:r>
        <w:fldChar w:fldCharType="end"/>
      </w:r>
    </w:p>
    <w:p w14:paraId="186D448B">
      <w:pPr>
        <w:pStyle w:val="13"/>
        <w:tabs>
          <w:tab w:val="right" w:leader="dot" w:pos="9350"/>
        </w:tabs>
        <w:rPr>
          <w:rFonts w:eastAsiaTheme="minorEastAsia"/>
          <w:lang w:val="en-US"/>
        </w:rPr>
      </w:pPr>
      <w:r>
        <w:fldChar w:fldCharType="begin"/>
      </w:r>
      <w:r>
        <w:instrText xml:space="preserve"> HYPERLINK \l "_Toc213304994" </w:instrText>
      </w:r>
      <w:r>
        <w:fldChar w:fldCharType="separate"/>
      </w:r>
      <w:r>
        <w:rPr>
          <w:rStyle w:val="11"/>
          <w:rFonts w:ascii="Arial" w:hAnsi="Arial" w:cs="Arial"/>
          <w:lang w:val="en-US"/>
        </w:rPr>
        <w:t>2.5 Demerits of using biolubricants</w:t>
      </w:r>
      <w:r>
        <w:tab/>
      </w:r>
      <w:r>
        <w:fldChar w:fldCharType="begin"/>
      </w:r>
      <w:r>
        <w:instrText xml:space="preserve"> PAGEREF _Toc213304994 \h </w:instrText>
      </w:r>
      <w:r>
        <w:fldChar w:fldCharType="separate"/>
      </w:r>
      <w:r>
        <w:t>9</w:t>
      </w:r>
      <w:r>
        <w:fldChar w:fldCharType="end"/>
      </w:r>
      <w:r>
        <w:fldChar w:fldCharType="end"/>
      </w:r>
    </w:p>
    <w:p w14:paraId="0E5A18C6">
      <w:pPr>
        <w:pStyle w:val="13"/>
        <w:tabs>
          <w:tab w:val="right" w:leader="dot" w:pos="9350"/>
        </w:tabs>
        <w:rPr>
          <w:rFonts w:eastAsiaTheme="minorEastAsia"/>
          <w:lang w:val="en-US"/>
        </w:rPr>
      </w:pPr>
      <w:r>
        <w:fldChar w:fldCharType="begin"/>
      </w:r>
      <w:r>
        <w:instrText xml:space="preserve"> HYPERLINK \l "_Toc213304995" </w:instrText>
      </w:r>
      <w:r>
        <w:fldChar w:fldCharType="separate"/>
      </w:r>
      <w:r>
        <w:rPr>
          <w:rStyle w:val="11"/>
          <w:rFonts w:ascii="Arial" w:hAnsi="Arial" w:cs="Arial"/>
        </w:rPr>
        <w:t>2.6 Applications of bio lubricants</w:t>
      </w:r>
      <w:r>
        <w:tab/>
      </w:r>
      <w:r>
        <w:fldChar w:fldCharType="begin"/>
      </w:r>
      <w:r>
        <w:instrText xml:space="preserve"> PAGEREF _Toc213304995 \h </w:instrText>
      </w:r>
      <w:r>
        <w:fldChar w:fldCharType="separate"/>
      </w:r>
      <w:r>
        <w:t>10</w:t>
      </w:r>
      <w:r>
        <w:fldChar w:fldCharType="end"/>
      </w:r>
      <w:r>
        <w:fldChar w:fldCharType="end"/>
      </w:r>
    </w:p>
    <w:p w14:paraId="30F70A82">
      <w:pPr>
        <w:pStyle w:val="13"/>
        <w:tabs>
          <w:tab w:val="right" w:leader="dot" w:pos="9350"/>
        </w:tabs>
        <w:rPr>
          <w:rFonts w:eastAsiaTheme="minorEastAsia"/>
          <w:lang w:val="en-US"/>
        </w:rPr>
      </w:pPr>
      <w:r>
        <w:fldChar w:fldCharType="begin"/>
      </w:r>
      <w:r>
        <w:instrText xml:space="preserve"> HYPERLINK \l "_Toc213304996" </w:instrText>
      </w:r>
      <w:r>
        <w:fldChar w:fldCharType="separate"/>
      </w:r>
      <w:r>
        <w:rPr>
          <w:rStyle w:val="11"/>
          <w:rFonts w:ascii="Arial" w:hAnsi="Arial" w:cs="Arial"/>
        </w:rPr>
        <w:t>2.7. Transesterification Process</w:t>
      </w:r>
      <w:r>
        <w:tab/>
      </w:r>
      <w:r>
        <w:fldChar w:fldCharType="begin"/>
      </w:r>
      <w:r>
        <w:instrText xml:space="preserve"> PAGEREF _Toc213304996 \h </w:instrText>
      </w:r>
      <w:r>
        <w:fldChar w:fldCharType="separate"/>
      </w:r>
      <w:r>
        <w:t>10</w:t>
      </w:r>
      <w:r>
        <w:fldChar w:fldCharType="end"/>
      </w:r>
      <w:r>
        <w:fldChar w:fldCharType="end"/>
      </w:r>
    </w:p>
    <w:p w14:paraId="71D8055E">
      <w:pPr>
        <w:pStyle w:val="13"/>
        <w:tabs>
          <w:tab w:val="right" w:leader="dot" w:pos="9350"/>
        </w:tabs>
        <w:rPr>
          <w:rFonts w:eastAsiaTheme="minorEastAsia"/>
          <w:lang w:val="en-US"/>
        </w:rPr>
      </w:pPr>
      <w:r>
        <w:fldChar w:fldCharType="begin"/>
      </w:r>
      <w:r>
        <w:instrText xml:space="preserve"> HYPERLINK \l "_Toc213304997" </w:instrText>
      </w:r>
      <w:r>
        <w:fldChar w:fldCharType="separate"/>
      </w:r>
      <w:r>
        <w:rPr>
          <w:rStyle w:val="11"/>
          <w:rFonts w:ascii="Arial" w:hAnsi="Arial" w:cs="Arial"/>
        </w:rPr>
        <w:t>MATERIALS AND METHODS</w:t>
      </w:r>
      <w:r>
        <w:tab/>
      </w:r>
      <w:r>
        <w:fldChar w:fldCharType="begin"/>
      </w:r>
      <w:r>
        <w:instrText xml:space="preserve"> PAGEREF _Toc213304997 \h </w:instrText>
      </w:r>
      <w:r>
        <w:fldChar w:fldCharType="separate"/>
      </w:r>
      <w:r>
        <w:t>11</w:t>
      </w:r>
      <w:r>
        <w:fldChar w:fldCharType="end"/>
      </w:r>
      <w:r>
        <w:fldChar w:fldCharType="end"/>
      </w:r>
    </w:p>
    <w:p w14:paraId="75C178A8">
      <w:pPr>
        <w:pStyle w:val="13"/>
        <w:tabs>
          <w:tab w:val="right" w:leader="dot" w:pos="9350"/>
        </w:tabs>
        <w:rPr>
          <w:rFonts w:eastAsiaTheme="minorEastAsia"/>
          <w:lang w:val="en-US"/>
        </w:rPr>
      </w:pPr>
      <w:r>
        <w:fldChar w:fldCharType="begin"/>
      </w:r>
      <w:r>
        <w:instrText xml:space="preserve"> HYPERLINK \l "_Toc213304998" </w:instrText>
      </w:r>
      <w:r>
        <w:fldChar w:fldCharType="separate"/>
      </w:r>
      <w:r>
        <w:rPr>
          <w:rStyle w:val="11"/>
          <w:rFonts w:ascii="Arial" w:hAnsi="Arial" w:cs="Arial"/>
        </w:rPr>
        <w:t>3.1.1 Apparatus\Equipment</w:t>
      </w:r>
      <w:r>
        <w:tab/>
      </w:r>
      <w:r>
        <w:fldChar w:fldCharType="begin"/>
      </w:r>
      <w:r>
        <w:instrText xml:space="preserve"> PAGEREF _Toc213304998 \h </w:instrText>
      </w:r>
      <w:r>
        <w:fldChar w:fldCharType="separate"/>
      </w:r>
      <w:r>
        <w:t>11</w:t>
      </w:r>
      <w:r>
        <w:fldChar w:fldCharType="end"/>
      </w:r>
      <w:r>
        <w:fldChar w:fldCharType="end"/>
      </w:r>
    </w:p>
    <w:p w14:paraId="192238FA">
      <w:pPr>
        <w:pStyle w:val="13"/>
        <w:tabs>
          <w:tab w:val="right" w:leader="dot" w:pos="9350"/>
        </w:tabs>
        <w:rPr>
          <w:rFonts w:eastAsiaTheme="minorEastAsia"/>
          <w:lang w:val="en-US"/>
        </w:rPr>
      </w:pPr>
      <w:r>
        <w:fldChar w:fldCharType="begin"/>
      </w:r>
      <w:r>
        <w:instrText xml:space="preserve"> HYPERLINK \l "_Toc213304999" </w:instrText>
      </w:r>
      <w:r>
        <w:fldChar w:fldCharType="separate"/>
      </w:r>
      <w:r>
        <w:rPr>
          <w:rStyle w:val="11"/>
          <w:rFonts w:ascii="Arial" w:hAnsi="Arial" w:cs="Arial"/>
        </w:rPr>
        <w:t>3.1.2 REAGENTS</w:t>
      </w:r>
      <w:r>
        <w:tab/>
      </w:r>
      <w:r>
        <w:fldChar w:fldCharType="begin"/>
      </w:r>
      <w:r>
        <w:instrText xml:space="preserve"> PAGEREF _Toc213304999 \h </w:instrText>
      </w:r>
      <w:r>
        <w:fldChar w:fldCharType="separate"/>
      </w:r>
      <w:r>
        <w:t>12</w:t>
      </w:r>
      <w:r>
        <w:fldChar w:fldCharType="end"/>
      </w:r>
      <w:r>
        <w:fldChar w:fldCharType="end"/>
      </w:r>
    </w:p>
    <w:p w14:paraId="6AC468DE">
      <w:pPr>
        <w:pStyle w:val="13"/>
        <w:tabs>
          <w:tab w:val="right" w:leader="dot" w:pos="9350"/>
        </w:tabs>
        <w:rPr>
          <w:rFonts w:eastAsiaTheme="minorEastAsia"/>
          <w:lang w:val="en-US"/>
        </w:rPr>
      </w:pPr>
      <w:r>
        <w:fldChar w:fldCharType="begin"/>
      </w:r>
      <w:r>
        <w:instrText xml:space="preserve"> HYPERLINK \l "_Toc213305000" </w:instrText>
      </w:r>
      <w:r>
        <w:fldChar w:fldCharType="separate"/>
      </w:r>
      <w:r>
        <w:rPr>
          <w:rStyle w:val="11"/>
          <w:rFonts w:ascii="Arial" w:hAnsi="Arial" w:cs="Arial"/>
        </w:rPr>
        <w:t>3.2 METHODS</w:t>
      </w:r>
      <w:r>
        <w:tab/>
      </w:r>
      <w:r>
        <w:fldChar w:fldCharType="begin"/>
      </w:r>
      <w:r>
        <w:instrText xml:space="preserve"> PAGEREF _Toc213305000 \h </w:instrText>
      </w:r>
      <w:r>
        <w:fldChar w:fldCharType="separate"/>
      </w:r>
      <w:r>
        <w:t>12</w:t>
      </w:r>
      <w:r>
        <w:fldChar w:fldCharType="end"/>
      </w:r>
      <w:r>
        <w:fldChar w:fldCharType="end"/>
      </w:r>
    </w:p>
    <w:p w14:paraId="72D6DAA3">
      <w:pPr>
        <w:pStyle w:val="13"/>
        <w:tabs>
          <w:tab w:val="right" w:leader="dot" w:pos="9350"/>
        </w:tabs>
        <w:rPr>
          <w:rFonts w:eastAsiaTheme="minorEastAsia"/>
          <w:lang w:val="en-US"/>
        </w:rPr>
      </w:pPr>
      <w:r>
        <w:fldChar w:fldCharType="begin"/>
      </w:r>
      <w:r>
        <w:instrText xml:space="preserve"> HYPERLINK \l "_Toc213305001" </w:instrText>
      </w:r>
      <w:r>
        <w:fldChar w:fldCharType="separate"/>
      </w:r>
      <w:r>
        <w:rPr>
          <w:rStyle w:val="11"/>
          <w:rFonts w:ascii="Arial" w:hAnsi="Arial" w:cs="Arial"/>
        </w:rPr>
        <w:t>3.2.1 Sample collection</w:t>
      </w:r>
      <w:r>
        <w:tab/>
      </w:r>
      <w:r>
        <w:fldChar w:fldCharType="begin"/>
      </w:r>
      <w:r>
        <w:instrText xml:space="preserve"> PAGEREF _Toc213305001 \h </w:instrText>
      </w:r>
      <w:r>
        <w:fldChar w:fldCharType="separate"/>
      </w:r>
      <w:r>
        <w:t>12</w:t>
      </w:r>
      <w:r>
        <w:fldChar w:fldCharType="end"/>
      </w:r>
      <w:r>
        <w:fldChar w:fldCharType="end"/>
      </w:r>
    </w:p>
    <w:p w14:paraId="243508DB">
      <w:pPr>
        <w:pStyle w:val="13"/>
        <w:tabs>
          <w:tab w:val="right" w:leader="dot" w:pos="9350"/>
        </w:tabs>
        <w:rPr>
          <w:rFonts w:eastAsiaTheme="minorEastAsia"/>
          <w:lang w:val="en-US"/>
        </w:rPr>
      </w:pPr>
      <w:r>
        <w:fldChar w:fldCharType="begin"/>
      </w:r>
      <w:r>
        <w:instrText xml:space="preserve"> HYPERLINK \l "_Toc213305002" </w:instrText>
      </w:r>
      <w:r>
        <w:fldChar w:fldCharType="separate"/>
      </w:r>
      <w:r>
        <w:rPr>
          <w:rStyle w:val="11"/>
          <w:rFonts w:ascii="Arial" w:hAnsi="Arial" w:cs="Arial"/>
        </w:rPr>
        <w:t>3.2.2 Pre-treatment of waste cooking oil</w:t>
      </w:r>
      <w:r>
        <w:tab/>
      </w:r>
      <w:r>
        <w:fldChar w:fldCharType="begin"/>
      </w:r>
      <w:r>
        <w:instrText xml:space="preserve"> PAGEREF _Toc213305002 \h </w:instrText>
      </w:r>
      <w:r>
        <w:fldChar w:fldCharType="separate"/>
      </w:r>
      <w:r>
        <w:t>12</w:t>
      </w:r>
      <w:r>
        <w:fldChar w:fldCharType="end"/>
      </w:r>
      <w:r>
        <w:fldChar w:fldCharType="end"/>
      </w:r>
    </w:p>
    <w:p w14:paraId="054C30F5">
      <w:pPr>
        <w:pStyle w:val="13"/>
        <w:tabs>
          <w:tab w:val="right" w:leader="dot" w:pos="9350"/>
        </w:tabs>
        <w:rPr>
          <w:rFonts w:eastAsiaTheme="minorEastAsia"/>
          <w:lang w:val="en-US"/>
        </w:rPr>
      </w:pPr>
      <w:r>
        <w:fldChar w:fldCharType="begin"/>
      </w:r>
      <w:r>
        <w:instrText xml:space="preserve"> HYPERLINK \l "_Toc213305003" </w:instrText>
      </w:r>
      <w:r>
        <w:fldChar w:fldCharType="separate"/>
      </w:r>
      <w:r>
        <w:rPr>
          <w:rStyle w:val="11"/>
          <w:rFonts w:ascii="Arial" w:hAnsi="Arial" w:cs="Arial"/>
        </w:rPr>
        <w:t>3.2.3 Preparation of Reagents</w:t>
      </w:r>
      <w:r>
        <w:tab/>
      </w:r>
      <w:r>
        <w:fldChar w:fldCharType="begin"/>
      </w:r>
      <w:r>
        <w:instrText xml:space="preserve"> PAGEREF _Toc213305003 \h </w:instrText>
      </w:r>
      <w:r>
        <w:fldChar w:fldCharType="separate"/>
      </w:r>
      <w:r>
        <w:t>13</w:t>
      </w:r>
      <w:r>
        <w:fldChar w:fldCharType="end"/>
      </w:r>
      <w:r>
        <w:fldChar w:fldCharType="end"/>
      </w:r>
    </w:p>
    <w:p w14:paraId="38237BB3">
      <w:pPr>
        <w:pStyle w:val="13"/>
        <w:tabs>
          <w:tab w:val="right" w:leader="dot" w:pos="9350"/>
        </w:tabs>
        <w:rPr>
          <w:rFonts w:eastAsiaTheme="minorEastAsia"/>
          <w:lang w:val="en-US"/>
        </w:rPr>
      </w:pPr>
      <w:r>
        <w:fldChar w:fldCharType="begin"/>
      </w:r>
      <w:r>
        <w:instrText xml:space="preserve"> HYPERLINK \l "_Toc213305004" </w:instrText>
      </w:r>
      <w:r>
        <w:fldChar w:fldCharType="separate"/>
      </w:r>
      <w:r>
        <w:rPr>
          <w:rStyle w:val="11"/>
          <w:rFonts w:ascii="Arial" w:hAnsi="Arial" w:cs="Arial"/>
        </w:rPr>
        <w:t>3.2.3.1 Potassium hydroxide(KOH)</w:t>
      </w:r>
      <w:r>
        <w:tab/>
      </w:r>
      <w:r>
        <w:fldChar w:fldCharType="begin"/>
      </w:r>
      <w:r>
        <w:instrText xml:space="preserve"> PAGEREF _Toc213305004 \h </w:instrText>
      </w:r>
      <w:r>
        <w:fldChar w:fldCharType="separate"/>
      </w:r>
      <w:r>
        <w:t>13</w:t>
      </w:r>
      <w:r>
        <w:fldChar w:fldCharType="end"/>
      </w:r>
      <w:r>
        <w:fldChar w:fldCharType="end"/>
      </w:r>
    </w:p>
    <w:p w14:paraId="0E66FC0F">
      <w:pPr>
        <w:pStyle w:val="13"/>
        <w:tabs>
          <w:tab w:val="right" w:leader="dot" w:pos="9350"/>
        </w:tabs>
        <w:rPr>
          <w:rFonts w:eastAsiaTheme="minorEastAsia"/>
          <w:lang w:val="en-US"/>
        </w:rPr>
      </w:pPr>
      <w:r>
        <w:fldChar w:fldCharType="begin"/>
      </w:r>
      <w:r>
        <w:instrText xml:space="preserve"> HYPERLINK \l "_Toc213305005" </w:instrText>
      </w:r>
      <w:r>
        <w:fldChar w:fldCharType="separate"/>
      </w:r>
      <w:r>
        <w:rPr>
          <w:rStyle w:val="11"/>
          <w:rFonts w:ascii="Arial" w:hAnsi="Arial" w:cs="Arial"/>
        </w:rPr>
        <w:t>3.2.3.2 Phenolphthalein indicator</w:t>
      </w:r>
      <w:r>
        <w:tab/>
      </w:r>
      <w:r>
        <w:fldChar w:fldCharType="begin"/>
      </w:r>
      <w:r>
        <w:instrText xml:space="preserve"> PAGEREF _Toc213305005 \h </w:instrText>
      </w:r>
      <w:r>
        <w:fldChar w:fldCharType="separate"/>
      </w:r>
      <w:r>
        <w:t>13</w:t>
      </w:r>
      <w:r>
        <w:fldChar w:fldCharType="end"/>
      </w:r>
      <w:r>
        <w:fldChar w:fldCharType="end"/>
      </w:r>
    </w:p>
    <w:p w14:paraId="0FBC0365">
      <w:pPr>
        <w:pStyle w:val="13"/>
        <w:tabs>
          <w:tab w:val="right" w:leader="dot" w:pos="9350"/>
        </w:tabs>
        <w:rPr>
          <w:rFonts w:eastAsiaTheme="minorEastAsia"/>
          <w:lang w:val="en-US"/>
        </w:rPr>
      </w:pPr>
      <w:r>
        <w:fldChar w:fldCharType="begin"/>
      </w:r>
      <w:r>
        <w:instrText xml:space="preserve"> HYPERLINK \l "_Toc213305006" </w:instrText>
      </w:r>
      <w:r>
        <w:fldChar w:fldCharType="separate"/>
      </w:r>
      <w:r>
        <w:rPr>
          <w:rStyle w:val="11"/>
          <w:rFonts w:ascii="Arial" w:hAnsi="Arial" w:cs="Arial"/>
        </w:rPr>
        <w:t>3.2.3.3 Transesterification process</w:t>
      </w:r>
      <w:r>
        <w:tab/>
      </w:r>
      <w:r>
        <w:fldChar w:fldCharType="begin"/>
      </w:r>
      <w:r>
        <w:instrText xml:space="preserve"> PAGEREF _Toc213305006 \h </w:instrText>
      </w:r>
      <w:r>
        <w:fldChar w:fldCharType="separate"/>
      </w:r>
      <w:r>
        <w:t>13</w:t>
      </w:r>
      <w:r>
        <w:fldChar w:fldCharType="end"/>
      </w:r>
      <w:r>
        <w:fldChar w:fldCharType="end"/>
      </w:r>
    </w:p>
    <w:p w14:paraId="6DE40CFB">
      <w:pPr>
        <w:pStyle w:val="13"/>
        <w:tabs>
          <w:tab w:val="right" w:leader="dot" w:pos="9350"/>
        </w:tabs>
        <w:rPr>
          <w:rFonts w:eastAsiaTheme="minorEastAsia"/>
          <w:lang w:val="en-US"/>
        </w:rPr>
      </w:pPr>
      <w:r>
        <w:fldChar w:fldCharType="begin"/>
      </w:r>
      <w:r>
        <w:instrText xml:space="preserve"> HYPERLINK \l "_Toc213305007" </w:instrText>
      </w:r>
      <w:r>
        <w:fldChar w:fldCharType="separate"/>
      </w:r>
      <w:r>
        <w:rPr>
          <w:rStyle w:val="11"/>
          <w:rFonts w:ascii="Arial" w:hAnsi="Arial" w:cs="Arial"/>
        </w:rPr>
        <w:t>3.2.3.4 Characterization tests</w:t>
      </w:r>
      <w:r>
        <w:tab/>
      </w:r>
      <w:r>
        <w:fldChar w:fldCharType="begin"/>
      </w:r>
      <w:r>
        <w:instrText xml:space="preserve"> PAGEREF _Toc213305007 \h </w:instrText>
      </w:r>
      <w:r>
        <w:fldChar w:fldCharType="separate"/>
      </w:r>
      <w:r>
        <w:t>13</w:t>
      </w:r>
      <w:r>
        <w:fldChar w:fldCharType="end"/>
      </w:r>
      <w:r>
        <w:fldChar w:fldCharType="end"/>
      </w:r>
    </w:p>
    <w:p w14:paraId="064FFF13">
      <w:pPr>
        <w:pStyle w:val="13"/>
        <w:tabs>
          <w:tab w:val="right" w:leader="dot" w:pos="9350"/>
        </w:tabs>
        <w:rPr>
          <w:rFonts w:eastAsiaTheme="minorEastAsia"/>
          <w:lang w:val="en-US"/>
        </w:rPr>
      </w:pPr>
      <w:r>
        <w:fldChar w:fldCharType="begin"/>
      </w:r>
      <w:r>
        <w:instrText xml:space="preserve"> HYPERLINK \l "_Toc213305008" </w:instrText>
      </w:r>
      <w:r>
        <w:fldChar w:fldCharType="separate"/>
      </w:r>
      <w:r>
        <w:rPr>
          <w:rStyle w:val="11"/>
          <w:rFonts w:ascii="Arial" w:hAnsi="Arial" w:cs="Arial"/>
        </w:rPr>
        <w:t>3.2.3.5 Determination of acid value</w:t>
      </w:r>
      <w:r>
        <w:tab/>
      </w:r>
      <w:r>
        <w:fldChar w:fldCharType="begin"/>
      </w:r>
      <w:r>
        <w:instrText xml:space="preserve"> PAGEREF _Toc213305008 \h </w:instrText>
      </w:r>
      <w:r>
        <w:fldChar w:fldCharType="separate"/>
      </w:r>
      <w:r>
        <w:t>13</w:t>
      </w:r>
      <w:r>
        <w:fldChar w:fldCharType="end"/>
      </w:r>
      <w:r>
        <w:fldChar w:fldCharType="end"/>
      </w:r>
    </w:p>
    <w:p w14:paraId="4081955B">
      <w:pPr>
        <w:pStyle w:val="13"/>
        <w:tabs>
          <w:tab w:val="right" w:leader="dot" w:pos="9350"/>
        </w:tabs>
        <w:rPr>
          <w:rFonts w:eastAsiaTheme="minorEastAsia"/>
          <w:lang w:val="en-US"/>
        </w:rPr>
      </w:pPr>
      <w:r>
        <w:fldChar w:fldCharType="begin"/>
      </w:r>
      <w:r>
        <w:instrText xml:space="preserve"> HYPERLINK \l "_Toc213305009" </w:instrText>
      </w:r>
      <w:r>
        <w:fldChar w:fldCharType="separate"/>
      </w:r>
      <w:r>
        <w:rPr>
          <w:rStyle w:val="11"/>
          <w:rFonts w:ascii="Arial" w:hAnsi="Arial" w:cs="Arial"/>
        </w:rPr>
        <w:t>3.2.3.6 Determination of Viscosity (ASTM D445)</w:t>
      </w:r>
      <w:r>
        <w:tab/>
      </w:r>
      <w:r>
        <w:fldChar w:fldCharType="begin"/>
      </w:r>
      <w:r>
        <w:instrText xml:space="preserve"> PAGEREF _Toc213305009 \h </w:instrText>
      </w:r>
      <w:r>
        <w:fldChar w:fldCharType="separate"/>
      </w:r>
      <w:r>
        <w:t>14</w:t>
      </w:r>
      <w:r>
        <w:fldChar w:fldCharType="end"/>
      </w:r>
      <w:r>
        <w:fldChar w:fldCharType="end"/>
      </w:r>
    </w:p>
    <w:p w14:paraId="1D29B64C">
      <w:pPr>
        <w:pStyle w:val="13"/>
        <w:tabs>
          <w:tab w:val="right" w:leader="dot" w:pos="9350"/>
        </w:tabs>
        <w:rPr>
          <w:rFonts w:eastAsiaTheme="minorEastAsia"/>
          <w:lang w:val="en-US"/>
        </w:rPr>
      </w:pPr>
      <w:r>
        <w:fldChar w:fldCharType="begin"/>
      </w:r>
      <w:r>
        <w:instrText xml:space="preserve"> HYPERLINK \l "_Toc213305010" </w:instrText>
      </w:r>
      <w:r>
        <w:fldChar w:fldCharType="separate"/>
      </w:r>
      <w:r>
        <w:rPr>
          <w:rStyle w:val="11"/>
          <w:rFonts w:ascii="Arial" w:hAnsi="Arial" w:cs="Arial"/>
        </w:rPr>
        <w:t>3.2.3.7 Determination of flash point (ASTM D92)</w:t>
      </w:r>
      <w:r>
        <w:tab/>
      </w:r>
      <w:r>
        <w:fldChar w:fldCharType="begin"/>
      </w:r>
      <w:r>
        <w:instrText xml:space="preserve"> PAGEREF _Toc213305010 \h </w:instrText>
      </w:r>
      <w:r>
        <w:fldChar w:fldCharType="separate"/>
      </w:r>
      <w:r>
        <w:t>14</w:t>
      </w:r>
      <w:r>
        <w:fldChar w:fldCharType="end"/>
      </w:r>
      <w:r>
        <w:fldChar w:fldCharType="end"/>
      </w:r>
    </w:p>
    <w:p w14:paraId="45228F53">
      <w:pPr>
        <w:pStyle w:val="13"/>
        <w:tabs>
          <w:tab w:val="right" w:leader="dot" w:pos="9350"/>
        </w:tabs>
        <w:rPr>
          <w:rFonts w:eastAsiaTheme="minorEastAsia"/>
          <w:lang w:val="en-US"/>
        </w:rPr>
      </w:pPr>
      <w:r>
        <w:fldChar w:fldCharType="begin"/>
      </w:r>
      <w:r>
        <w:instrText xml:space="preserve"> HYPERLINK \l "_Toc213305011" </w:instrText>
      </w:r>
      <w:r>
        <w:fldChar w:fldCharType="separate"/>
      </w:r>
      <w:r>
        <w:rPr>
          <w:rStyle w:val="11"/>
          <w:rFonts w:ascii="Arial" w:hAnsi="Arial" w:cs="Arial"/>
        </w:rPr>
        <w:t>3.2.3.8 Determination of saponification value</w:t>
      </w:r>
      <w:r>
        <w:tab/>
      </w:r>
      <w:r>
        <w:fldChar w:fldCharType="begin"/>
      </w:r>
      <w:r>
        <w:instrText xml:space="preserve"> PAGEREF _Toc213305011 \h </w:instrText>
      </w:r>
      <w:r>
        <w:fldChar w:fldCharType="separate"/>
      </w:r>
      <w:r>
        <w:t>14</w:t>
      </w:r>
      <w:r>
        <w:fldChar w:fldCharType="end"/>
      </w:r>
      <w:r>
        <w:fldChar w:fldCharType="end"/>
      </w:r>
    </w:p>
    <w:p w14:paraId="3F3FDC6F">
      <w:pPr>
        <w:pStyle w:val="13"/>
        <w:tabs>
          <w:tab w:val="right" w:leader="dot" w:pos="9350"/>
        </w:tabs>
        <w:rPr>
          <w:rFonts w:eastAsiaTheme="minorEastAsia"/>
          <w:lang w:val="en-US"/>
        </w:rPr>
      </w:pPr>
      <w:r>
        <w:fldChar w:fldCharType="begin"/>
      </w:r>
      <w:r>
        <w:instrText xml:space="preserve"> HYPERLINK \l "_Toc213305012" </w:instrText>
      </w:r>
      <w:r>
        <w:fldChar w:fldCharType="separate"/>
      </w:r>
      <w:r>
        <w:rPr>
          <w:rStyle w:val="11"/>
          <w:rFonts w:ascii="Arial" w:hAnsi="Arial" w:cs="Arial"/>
        </w:rPr>
        <w:t>RESULTS AND DISCUSSION</w:t>
      </w:r>
      <w:r>
        <w:tab/>
      </w:r>
      <w:r>
        <w:fldChar w:fldCharType="begin"/>
      </w:r>
      <w:r>
        <w:instrText xml:space="preserve"> PAGEREF _Toc213305012 \h </w:instrText>
      </w:r>
      <w:r>
        <w:fldChar w:fldCharType="separate"/>
      </w:r>
      <w:r>
        <w:t>15</w:t>
      </w:r>
      <w:r>
        <w:fldChar w:fldCharType="end"/>
      </w:r>
      <w:r>
        <w:fldChar w:fldCharType="end"/>
      </w:r>
    </w:p>
    <w:p w14:paraId="3B5D8875">
      <w:pPr>
        <w:pStyle w:val="13"/>
        <w:tabs>
          <w:tab w:val="right" w:leader="dot" w:pos="9350"/>
        </w:tabs>
        <w:rPr>
          <w:rFonts w:eastAsiaTheme="minorEastAsia"/>
          <w:lang w:val="en-US"/>
        </w:rPr>
      </w:pPr>
      <w:r>
        <w:fldChar w:fldCharType="begin"/>
      </w:r>
      <w:r>
        <w:instrText xml:space="preserve"> HYPERLINK \l "_Toc213305013" </w:instrText>
      </w:r>
      <w:r>
        <w:fldChar w:fldCharType="separate"/>
      </w:r>
      <w:r>
        <w:rPr>
          <w:rStyle w:val="11"/>
          <w:rFonts w:ascii="Arial" w:hAnsi="Arial" w:cs="Arial"/>
        </w:rPr>
        <w:t>4.1 Result</w:t>
      </w:r>
      <w:r>
        <w:tab/>
      </w:r>
      <w:r>
        <w:fldChar w:fldCharType="begin"/>
      </w:r>
      <w:r>
        <w:instrText xml:space="preserve"> PAGEREF _Toc213305013 \h </w:instrText>
      </w:r>
      <w:r>
        <w:fldChar w:fldCharType="separate"/>
      </w:r>
      <w:r>
        <w:t>15</w:t>
      </w:r>
      <w:r>
        <w:fldChar w:fldCharType="end"/>
      </w:r>
      <w:r>
        <w:fldChar w:fldCharType="end"/>
      </w:r>
    </w:p>
    <w:p w14:paraId="0A56D167">
      <w:pPr>
        <w:pStyle w:val="13"/>
        <w:tabs>
          <w:tab w:val="right" w:leader="dot" w:pos="9350"/>
        </w:tabs>
        <w:rPr>
          <w:rFonts w:eastAsiaTheme="minorEastAsia"/>
          <w:lang w:val="en-US"/>
        </w:rPr>
      </w:pPr>
      <w:r>
        <w:fldChar w:fldCharType="begin"/>
      </w:r>
      <w:r>
        <w:instrText xml:space="preserve"> HYPERLINK \l "_Toc213305014" </w:instrText>
      </w:r>
      <w:r>
        <w:fldChar w:fldCharType="separate"/>
      </w:r>
      <w:r>
        <w:rPr>
          <w:rStyle w:val="11"/>
          <w:rFonts w:ascii="Arial" w:hAnsi="Arial" w:cs="Arial"/>
        </w:rPr>
        <w:t>4.2 Discussion</w:t>
      </w:r>
      <w:r>
        <w:tab/>
      </w:r>
      <w:r>
        <w:fldChar w:fldCharType="begin"/>
      </w:r>
      <w:r>
        <w:instrText xml:space="preserve"> PAGEREF _Toc213305014 \h </w:instrText>
      </w:r>
      <w:r>
        <w:fldChar w:fldCharType="separate"/>
      </w:r>
      <w:r>
        <w:t>15</w:t>
      </w:r>
      <w:r>
        <w:fldChar w:fldCharType="end"/>
      </w:r>
      <w:r>
        <w:fldChar w:fldCharType="end"/>
      </w:r>
    </w:p>
    <w:p w14:paraId="42FC99F8">
      <w:pPr>
        <w:pStyle w:val="13"/>
        <w:tabs>
          <w:tab w:val="right" w:leader="dot" w:pos="9350"/>
        </w:tabs>
        <w:rPr>
          <w:rFonts w:eastAsiaTheme="minorEastAsia"/>
          <w:lang w:val="en-US"/>
        </w:rPr>
      </w:pPr>
      <w:r>
        <w:fldChar w:fldCharType="begin"/>
      </w:r>
      <w:r>
        <w:instrText xml:space="preserve"> HYPERLINK \l "_Toc213305015" </w:instrText>
      </w:r>
      <w:r>
        <w:fldChar w:fldCharType="separate"/>
      </w:r>
      <w:r>
        <w:rPr>
          <w:rStyle w:val="11"/>
          <w:rFonts w:ascii="Arial" w:hAnsi="Arial" w:cs="Arial"/>
        </w:rPr>
        <w:t>CHAPTER FIVE</w:t>
      </w:r>
      <w:r>
        <w:tab/>
      </w:r>
      <w:r>
        <w:fldChar w:fldCharType="begin"/>
      </w:r>
      <w:r>
        <w:instrText xml:space="preserve"> PAGEREF _Toc213305015 \h </w:instrText>
      </w:r>
      <w:r>
        <w:fldChar w:fldCharType="separate"/>
      </w:r>
      <w:r>
        <w:t>17</w:t>
      </w:r>
      <w:r>
        <w:fldChar w:fldCharType="end"/>
      </w:r>
      <w:r>
        <w:fldChar w:fldCharType="end"/>
      </w:r>
    </w:p>
    <w:p w14:paraId="74AE4D43">
      <w:pPr>
        <w:pStyle w:val="13"/>
        <w:tabs>
          <w:tab w:val="right" w:leader="dot" w:pos="9350"/>
        </w:tabs>
        <w:rPr>
          <w:rFonts w:eastAsiaTheme="minorEastAsia"/>
          <w:lang w:val="en-US"/>
        </w:rPr>
      </w:pPr>
      <w:r>
        <w:fldChar w:fldCharType="begin"/>
      </w:r>
      <w:r>
        <w:instrText xml:space="preserve"> HYPERLINK \l "_Toc213305016" </w:instrText>
      </w:r>
      <w:r>
        <w:fldChar w:fldCharType="separate"/>
      </w:r>
      <w:r>
        <w:rPr>
          <w:rStyle w:val="11"/>
          <w:rFonts w:ascii="Arial" w:hAnsi="Arial" w:cs="Arial"/>
        </w:rPr>
        <w:t>5.1 Summary</w:t>
      </w:r>
      <w:r>
        <w:tab/>
      </w:r>
      <w:r>
        <w:fldChar w:fldCharType="begin"/>
      </w:r>
      <w:r>
        <w:instrText xml:space="preserve"> PAGEREF _Toc213305016 \h </w:instrText>
      </w:r>
      <w:r>
        <w:fldChar w:fldCharType="separate"/>
      </w:r>
      <w:r>
        <w:t>17</w:t>
      </w:r>
      <w:r>
        <w:fldChar w:fldCharType="end"/>
      </w:r>
      <w:r>
        <w:fldChar w:fldCharType="end"/>
      </w:r>
    </w:p>
    <w:p w14:paraId="18351518">
      <w:pPr>
        <w:pStyle w:val="13"/>
        <w:tabs>
          <w:tab w:val="right" w:leader="dot" w:pos="9350"/>
        </w:tabs>
        <w:rPr>
          <w:rFonts w:eastAsiaTheme="minorEastAsia"/>
          <w:lang w:val="en-US"/>
        </w:rPr>
      </w:pPr>
      <w:r>
        <w:fldChar w:fldCharType="begin"/>
      </w:r>
      <w:r>
        <w:instrText xml:space="preserve"> HYPERLINK \l "_Toc213305017" </w:instrText>
      </w:r>
      <w:r>
        <w:fldChar w:fldCharType="separate"/>
      </w:r>
      <w:r>
        <w:rPr>
          <w:rStyle w:val="11"/>
          <w:rFonts w:ascii="Arial" w:hAnsi="Arial" w:cs="Arial"/>
        </w:rPr>
        <w:t>5.2 Conclusion</w:t>
      </w:r>
      <w:r>
        <w:tab/>
      </w:r>
      <w:r>
        <w:fldChar w:fldCharType="begin"/>
      </w:r>
      <w:r>
        <w:instrText xml:space="preserve"> PAGEREF _Toc213305017 \h </w:instrText>
      </w:r>
      <w:r>
        <w:fldChar w:fldCharType="separate"/>
      </w:r>
      <w:r>
        <w:t>17</w:t>
      </w:r>
      <w:r>
        <w:fldChar w:fldCharType="end"/>
      </w:r>
      <w:r>
        <w:fldChar w:fldCharType="end"/>
      </w:r>
    </w:p>
    <w:p w14:paraId="744E9BEA">
      <w:pPr>
        <w:pStyle w:val="13"/>
        <w:tabs>
          <w:tab w:val="right" w:leader="dot" w:pos="9350"/>
        </w:tabs>
        <w:rPr>
          <w:rFonts w:eastAsiaTheme="minorEastAsia"/>
          <w:lang w:val="en-US"/>
        </w:rPr>
      </w:pPr>
      <w:r>
        <w:fldChar w:fldCharType="begin"/>
      </w:r>
      <w:r>
        <w:instrText xml:space="preserve"> HYPERLINK \l "_Toc213305018" </w:instrText>
      </w:r>
      <w:r>
        <w:fldChar w:fldCharType="separate"/>
      </w:r>
      <w:r>
        <w:rPr>
          <w:rStyle w:val="11"/>
          <w:rFonts w:ascii="Arial" w:hAnsi="Arial" w:cs="Arial"/>
        </w:rPr>
        <w:t>5.3 Recommendations</w:t>
      </w:r>
      <w:r>
        <w:tab/>
      </w:r>
      <w:r>
        <w:fldChar w:fldCharType="begin"/>
      </w:r>
      <w:r>
        <w:instrText xml:space="preserve"> PAGEREF _Toc213305018 \h </w:instrText>
      </w:r>
      <w:r>
        <w:fldChar w:fldCharType="separate"/>
      </w:r>
      <w:r>
        <w:t>18</w:t>
      </w:r>
      <w:r>
        <w:fldChar w:fldCharType="end"/>
      </w:r>
      <w:r>
        <w:fldChar w:fldCharType="end"/>
      </w:r>
    </w:p>
    <w:p w14:paraId="7EA93721">
      <w:pPr>
        <w:pStyle w:val="13"/>
        <w:tabs>
          <w:tab w:val="right" w:leader="dot" w:pos="9350"/>
        </w:tabs>
        <w:rPr>
          <w:rFonts w:eastAsiaTheme="minorEastAsia"/>
          <w:lang w:val="en-US"/>
        </w:rPr>
      </w:pPr>
      <w:r>
        <w:fldChar w:fldCharType="begin"/>
      </w:r>
      <w:r>
        <w:instrText xml:space="preserve"> HYPERLINK \l "_Toc213305020" </w:instrText>
      </w:r>
      <w:r>
        <w:fldChar w:fldCharType="separate"/>
      </w:r>
      <w:r>
        <w:rPr>
          <w:rStyle w:val="11"/>
          <w:rFonts w:ascii="Arial" w:hAnsi="Arial" w:cs="Arial"/>
        </w:rPr>
        <w:t>REFERENCES</w:t>
      </w:r>
      <w:r>
        <w:tab/>
      </w:r>
      <w:r>
        <w:fldChar w:fldCharType="begin"/>
      </w:r>
      <w:r>
        <w:instrText xml:space="preserve"> PAGEREF _Toc213305020 \h </w:instrText>
      </w:r>
      <w:r>
        <w:fldChar w:fldCharType="separate"/>
      </w:r>
      <w:r>
        <w:t>19</w:t>
      </w:r>
      <w:r>
        <w:fldChar w:fldCharType="end"/>
      </w:r>
      <w:r>
        <w:fldChar w:fldCharType="end"/>
      </w:r>
    </w:p>
    <w:p w14:paraId="65BA3BBF">
      <w:pPr>
        <w:pStyle w:val="13"/>
        <w:tabs>
          <w:tab w:val="right" w:leader="dot" w:pos="9350"/>
        </w:tabs>
        <w:rPr>
          <w:rFonts w:eastAsiaTheme="minorEastAsia"/>
          <w:lang w:val="en-US"/>
        </w:rPr>
      </w:pPr>
      <w:r>
        <w:fldChar w:fldCharType="begin"/>
      </w:r>
      <w:r>
        <w:instrText xml:space="preserve"> HYPERLINK \l "_Toc213305021" </w:instrText>
      </w:r>
      <w:r>
        <w:fldChar w:fldCharType="separate"/>
      </w:r>
      <w:r>
        <w:rPr>
          <w:rStyle w:val="11"/>
          <w:rFonts w:ascii="Arial" w:hAnsi="Arial" w:cs="Arial"/>
        </w:rPr>
        <w:t>APPENDICES</w:t>
      </w:r>
      <w:r>
        <w:tab/>
      </w:r>
      <w:r>
        <w:fldChar w:fldCharType="begin"/>
      </w:r>
      <w:r>
        <w:instrText xml:space="preserve"> PAGEREF _Toc213305021 \h </w:instrText>
      </w:r>
      <w:r>
        <w:fldChar w:fldCharType="separate"/>
      </w:r>
      <w:r>
        <w:t>27</w:t>
      </w:r>
      <w:r>
        <w:fldChar w:fldCharType="end"/>
      </w:r>
      <w:r>
        <w:fldChar w:fldCharType="end"/>
      </w:r>
    </w:p>
    <w:p w14:paraId="1AB2D345">
      <w:pPr>
        <w:spacing w:before="240" w:line="360" w:lineRule="auto"/>
        <w:jc w:val="both"/>
        <w:rPr>
          <w:rFonts w:ascii="Arial" w:hAnsi="Arial" w:cs="Arial"/>
          <w:sz w:val="24"/>
          <w:szCs w:val="24"/>
        </w:rPr>
      </w:pPr>
      <w:r>
        <w:rPr>
          <w:rFonts w:ascii="Arial" w:hAnsi="Arial" w:cs="Arial"/>
          <w:sz w:val="24"/>
          <w:szCs w:val="24"/>
        </w:rPr>
        <w:fldChar w:fldCharType="end"/>
      </w:r>
    </w:p>
    <w:p w14:paraId="4CED6687">
      <w:pPr>
        <w:spacing w:before="240" w:line="360" w:lineRule="auto"/>
        <w:jc w:val="center"/>
        <w:rPr>
          <w:rFonts w:ascii="Arial" w:hAnsi="Arial" w:cs="Arial"/>
          <w:sz w:val="24"/>
          <w:szCs w:val="24"/>
        </w:rPr>
      </w:pPr>
    </w:p>
    <w:p w14:paraId="6C34CA74">
      <w:pPr>
        <w:spacing w:before="240" w:line="360" w:lineRule="auto"/>
        <w:jc w:val="center"/>
        <w:rPr>
          <w:rFonts w:ascii="Arial" w:hAnsi="Arial" w:cs="Arial"/>
          <w:sz w:val="24"/>
          <w:szCs w:val="24"/>
        </w:rPr>
      </w:pPr>
    </w:p>
    <w:p w14:paraId="7122D518">
      <w:pPr>
        <w:spacing w:before="240" w:line="360" w:lineRule="auto"/>
        <w:jc w:val="center"/>
        <w:rPr>
          <w:rFonts w:ascii="Arial" w:hAnsi="Arial" w:cs="Arial"/>
          <w:b/>
          <w:sz w:val="24"/>
          <w:szCs w:val="24"/>
        </w:rPr>
      </w:pPr>
    </w:p>
    <w:p w14:paraId="122BEDB0">
      <w:pPr>
        <w:spacing w:before="240" w:line="360" w:lineRule="auto"/>
        <w:jc w:val="center"/>
        <w:rPr>
          <w:rFonts w:ascii="Arial" w:hAnsi="Arial" w:cs="Arial"/>
          <w:b/>
          <w:sz w:val="24"/>
          <w:szCs w:val="24"/>
        </w:rPr>
      </w:pPr>
    </w:p>
    <w:p w14:paraId="2A0623DD">
      <w:pPr>
        <w:spacing w:before="240" w:line="360" w:lineRule="auto"/>
        <w:jc w:val="center"/>
        <w:rPr>
          <w:rFonts w:ascii="Arial" w:hAnsi="Arial" w:cs="Arial"/>
          <w:b/>
          <w:sz w:val="24"/>
          <w:szCs w:val="24"/>
        </w:rPr>
      </w:pPr>
    </w:p>
    <w:p w14:paraId="4C431C49">
      <w:pPr>
        <w:spacing w:before="240" w:line="360" w:lineRule="auto"/>
        <w:jc w:val="center"/>
        <w:rPr>
          <w:rFonts w:ascii="Arial" w:hAnsi="Arial" w:cs="Arial"/>
          <w:b/>
          <w:sz w:val="24"/>
          <w:szCs w:val="24"/>
        </w:rPr>
      </w:pPr>
    </w:p>
    <w:p w14:paraId="0844BCE3">
      <w:pPr>
        <w:spacing w:before="240" w:line="360" w:lineRule="auto"/>
        <w:jc w:val="center"/>
        <w:rPr>
          <w:rFonts w:ascii="Arial" w:hAnsi="Arial" w:cs="Arial"/>
          <w:b/>
          <w:sz w:val="24"/>
          <w:szCs w:val="24"/>
        </w:rPr>
      </w:pPr>
    </w:p>
    <w:p w14:paraId="60537C0F">
      <w:pPr>
        <w:spacing w:before="240" w:line="360" w:lineRule="auto"/>
        <w:jc w:val="center"/>
        <w:rPr>
          <w:rFonts w:ascii="Arial" w:hAnsi="Arial" w:cs="Arial"/>
          <w:b/>
          <w:sz w:val="24"/>
          <w:szCs w:val="24"/>
        </w:rPr>
      </w:pPr>
    </w:p>
    <w:p w14:paraId="535EF736">
      <w:pPr>
        <w:spacing w:before="240" w:line="360" w:lineRule="auto"/>
        <w:jc w:val="center"/>
        <w:rPr>
          <w:rFonts w:ascii="Arial" w:hAnsi="Arial" w:cs="Arial"/>
          <w:b/>
          <w:sz w:val="24"/>
          <w:szCs w:val="24"/>
        </w:rPr>
      </w:pPr>
    </w:p>
    <w:p w14:paraId="11524784">
      <w:pPr>
        <w:spacing w:before="240" w:line="360" w:lineRule="auto"/>
        <w:rPr>
          <w:rFonts w:ascii="Arial" w:hAnsi="Arial" w:cs="Arial"/>
          <w:b/>
          <w:sz w:val="24"/>
          <w:szCs w:val="24"/>
        </w:rPr>
      </w:pPr>
      <w:r>
        <w:rPr>
          <w:rFonts w:ascii="Arial" w:hAnsi="Arial" w:cs="Arial"/>
          <w:b/>
          <w:sz w:val="24"/>
          <w:szCs w:val="24"/>
        </w:rPr>
        <w:t xml:space="preserve"> </w:t>
      </w:r>
    </w:p>
    <w:p w14:paraId="2E9214B7">
      <w:pPr>
        <w:spacing w:before="240" w:line="360" w:lineRule="auto"/>
        <w:jc w:val="center"/>
        <w:outlineLvl w:val="0"/>
        <w:rPr>
          <w:rFonts w:ascii="Arial" w:hAnsi="Arial" w:cs="Arial"/>
          <w:b/>
          <w:sz w:val="24"/>
          <w:szCs w:val="24"/>
        </w:rPr>
      </w:pPr>
      <w:bookmarkStart w:id="7" w:name="_Toc213304978"/>
      <w:r>
        <w:rPr>
          <w:rFonts w:ascii="Arial" w:hAnsi="Arial" w:cs="Arial"/>
          <w:b/>
          <w:sz w:val="24"/>
          <w:szCs w:val="24"/>
        </w:rPr>
        <w:t>Declaration</w:t>
      </w:r>
      <w:bookmarkEnd w:id="7"/>
    </w:p>
    <w:p w14:paraId="1B9C5EF2">
      <w:pPr>
        <w:spacing w:before="240" w:line="360" w:lineRule="auto"/>
        <w:jc w:val="both"/>
        <w:rPr>
          <w:rFonts w:ascii="Arial" w:hAnsi="Arial" w:cs="Arial"/>
          <w:sz w:val="24"/>
          <w:szCs w:val="24"/>
        </w:rPr>
      </w:pPr>
      <w:r>
        <w:rPr>
          <w:rFonts w:ascii="Arial" w:hAnsi="Arial" w:cs="Arial"/>
          <w:sz w:val="24"/>
          <w:szCs w:val="24"/>
        </w:rPr>
        <w:t>I here by declare that this project is based on my original work except for quotations and citations which have been duly acknowledged. I also declare that it has not been previously or concurrently submitted for any other degree at Usmanu Danfodiyo University, Sokoto.</w:t>
      </w:r>
    </w:p>
    <w:p w14:paraId="22E1E8D7">
      <w:pPr>
        <w:spacing w:line="240" w:lineRule="auto"/>
        <w:jc w:val="both"/>
        <w:rPr>
          <w:rFonts w:ascii="Arial" w:hAnsi="Arial" w:cs="Arial"/>
          <w:sz w:val="24"/>
          <w:szCs w:val="24"/>
        </w:rPr>
      </w:pPr>
      <w:r>
        <w:rPr>
          <w:rFonts w:ascii="Arial" w:hAnsi="Arial" w:cs="Arial"/>
          <w:sz w:val="24"/>
          <w:szCs w:val="24"/>
        </w:rPr>
        <mc:AlternateContent>
          <mc:Choice Requires="wps">
            <w:drawing>
              <wp:anchor distT="0" distB="0" distL="114300" distR="114300" simplePos="0" relativeHeight="251659264" behindDoc="0" locked="0" layoutInCell="1" allowOverlap="1">
                <wp:simplePos x="0" y="0"/>
                <wp:positionH relativeFrom="column">
                  <wp:posOffset>-42545</wp:posOffset>
                </wp:positionH>
                <wp:positionV relativeFrom="paragraph">
                  <wp:posOffset>242570</wp:posOffset>
                </wp:positionV>
                <wp:extent cx="1938655" cy="0"/>
                <wp:effectExtent l="0" t="0" r="0" b="0"/>
                <wp:wrapNone/>
                <wp:docPr id="14" name="Straight Connector 14"/>
                <wp:cNvGraphicFramePr/>
                <a:graphic xmlns:a="http://schemas.openxmlformats.org/drawingml/2006/main">
                  <a:graphicData uri="http://schemas.microsoft.com/office/word/2010/wordprocessingShape">
                    <wps:wsp>
                      <wps:cNvCnPr/>
                      <wps:spPr>
                        <a:xfrm flipV="1">
                          <a:off x="0" y="0"/>
                          <a:ext cx="19386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y;margin-left:-3.35pt;margin-top:19.1pt;height:0pt;width:152.65pt;z-index:251659264;mso-width-relative:page;mso-height-relative:page;" filled="f" stroked="t" coordsize="21600,21600" o:gfxdata="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fRRO31gAAAAgBAAAPAAAAAAAA&#10;AAEAIAAAACIAAABkcnMvZG93bnJldi54bWxQSwECFAAUAAAACACHTuJA8aLo5dsBAADAAwAADgAA&#10;AAAAAAABACAAAAAlAQAAZHJzL2Uyb0RvYy54bWxQSwUGAAAAAAYABgBZAQAAcgUAAAAA&#10;">
                <v:fill on="f" focussize="0,0"/>
                <v:stroke weight="0.5pt" color="#000000 [3200]" miterlimit="8" joinstyle="miter"/>
                <v:imagedata o:title=""/>
                <o:lock v:ext="edit" aspectratio="f"/>
              </v:line>
            </w:pict>
          </mc:Fallback>
        </mc:AlternateContent>
      </w:r>
      <w:r>
        <w:rPr>
          <w:rFonts w:ascii="Arial" w:hAnsi="Arial" w:cs="Arial"/>
          <w:sz w:val="24"/>
          <w:szCs w:val="24"/>
        </w:rPr>
        <mc:AlternateContent>
          <mc:Choice Requires="wps">
            <w:drawing>
              <wp:anchor distT="0" distB="0" distL="114300" distR="114300" simplePos="0" relativeHeight="251660288" behindDoc="0" locked="0" layoutInCell="1" allowOverlap="1">
                <wp:simplePos x="0" y="0"/>
                <wp:positionH relativeFrom="column">
                  <wp:posOffset>4847590</wp:posOffset>
                </wp:positionH>
                <wp:positionV relativeFrom="paragraph">
                  <wp:posOffset>278765</wp:posOffset>
                </wp:positionV>
                <wp:extent cx="786130" cy="0"/>
                <wp:effectExtent l="0" t="0" r="0" b="0"/>
                <wp:wrapNone/>
                <wp:docPr id="13" name="Straight Connector 13"/>
                <wp:cNvGraphicFramePr/>
                <a:graphic xmlns:a="http://schemas.openxmlformats.org/drawingml/2006/main">
                  <a:graphicData uri="http://schemas.microsoft.com/office/word/2010/wordprocessingShape">
                    <wps:wsp>
                      <wps:cNvCnPr/>
                      <wps:spPr>
                        <a:xfrm>
                          <a:off x="0" y="0"/>
                          <a:ext cx="78639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381.7pt;margin-top:21.95pt;height:0pt;width:61.9pt;z-index:251660288;mso-width-relative:page;mso-height-relative:page;" filled="f" stroked="t" coordsize="21600,21600" o:gfxdata="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HRwN9/XAAAACQEAAA8AAAAAAAAAAQAgAAAA&#10;IgAAAGRycy9kb3ducmV2LnhtbFBLAQIUABQAAAAIAIdO4kA7kSnu0wEAALUDAAAOAAAAAAAAAAEA&#10;IAAAACYBAABkcnMvZTJvRG9jLnhtbFBLBQYAAAAABgAGAFkBAABrBQAAAAA=&#10;">
                <v:fill on="f" focussize="0,0"/>
                <v:stroke weight="0.5pt" color="#000000 [3200]" miterlimit="8" joinstyle="miter"/>
                <v:imagedata o:title=""/>
                <o:lock v:ext="edit" aspectratio="f"/>
              </v:line>
            </w:pict>
          </mc:Fallback>
        </mc:AlternateContent>
      </w:r>
      <w:r>
        <w:rPr>
          <w:rFonts w:ascii="Arial" w:hAnsi="Arial" w:cs="Arial"/>
          <w:sz w:val="24"/>
          <w:szCs w:val="24"/>
        </w:rPr>
        <w:t xml:space="preserve">                                                                                                   </w:t>
      </w:r>
    </w:p>
    <w:p w14:paraId="08ACEE36">
      <w:pPr>
        <w:spacing w:line="240" w:lineRule="auto"/>
        <w:jc w:val="both"/>
        <w:rPr>
          <w:rFonts w:ascii="Arial" w:hAnsi="Arial" w:cs="Arial"/>
          <w:sz w:val="24"/>
          <w:szCs w:val="24"/>
        </w:rPr>
      </w:pPr>
      <w:r>
        <w:rPr>
          <w:rFonts w:ascii="Arial" w:hAnsi="Arial" w:cs="Arial"/>
          <w:sz w:val="24"/>
          <w:szCs w:val="24"/>
        </w:rPr>
        <w:t xml:space="preserve"> Muhammad Fatima Lema                                                                               Date </w:t>
      </w:r>
    </w:p>
    <w:p w14:paraId="5CC66867">
      <w:pPr>
        <w:spacing w:before="240" w:line="360" w:lineRule="auto"/>
        <w:jc w:val="center"/>
        <w:rPr>
          <w:rFonts w:ascii="Arial" w:hAnsi="Arial" w:cs="Arial"/>
          <w:b/>
          <w:sz w:val="24"/>
          <w:szCs w:val="24"/>
        </w:rPr>
      </w:pPr>
    </w:p>
    <w:p w14:paraId="201E992B">
      <w:pPr>
        <w:spacing w:before="240" w:line="360" w:lineRule="auto"/>
        <w:jc w:val="center"/>
        <w:rPr>
          <w:rFonts w:ascii="Arial" w:hAnsi="Arial" w:cs="Arial"/>
          <w:b/>
          <w:sz w:val="24"/>
          <w:szCs w:val="24"/>
        </w:rPr>
      </w:pPr>
    </w:p>
    <w:p w14:paraId="5FE56AC2">
      <w:pPr>
        <w:spacing w:before="240" w:line="360" w:lineRule="auto"/>
        <w:jc w:val="center"/>
        <w:rPr>
          <w:rFonts w:ascii="Arial" w:hAnsi="Arial" w:cs="Arial"/>
          <w:b/>
          <w:sz w:val="24"/>
          <w:szCs w:val="24"/>
        </w:rPr>
      </w:pPr>
    </w:p>
    <w:p w14:paraId="63B4BFEC">
      <w:pPr>
        <w:spacing w:before="240" w:line="360" w:lineRule="auto"/>
        <w:jc w:val="center"/>
        <w:rPr>
          <w:rFonts w:ascii="Arial" w:hAnsi="Arial" w:cs="Arial"/>
          <w:b/>
          <w:sz w:val="24"/>
          <w:szCs w:val="24"/>
        </w:rPr>
      </w:pPr>
    </w:p>
    <w:p w14:paraId="0BBD758B">
      <w:pPr>
        <w:spacing w:before="240" w:line="360" w:lineRule="auto"/>
        <w:jc w:val="center"/>
        <w:rPr>
          <w:rFonts w:ascii="Arial" w:hAnsi="Arial" w:cs="Arial"/>
          <w:b/>
          <w:sz w:val="24"/>
          <w:szCs w:val="24"/>
        </w:rPr>
      </w:pPr>
    </w:p>
    <w:p w14:paraId="33EAB5B3">
      <w:pPr>
        <w:spacing w:before="240" w:line="360" w:lineRule="auto"/>
        <w:jc w:val="center"/>
        <w:rPr>
          <w:rFonts w:ascii="Arial" w:hAnsi="Arial" w:cs="Arial"/>
          <w:b/>
          <w:sz w:val="24"/>
          <w:szCs w:val="24"/>
        </w:rPr>
      </w:pPr>
    </w:p>
    <w:p w14:paraId="18A1F08E">
      <w:pPr>
        <w:spacing w:before="240" w:line="360" w:lineRule="auto"/>
        <w:jc w:val="center"/>
        <w:rPr>
          <w:rFonts w:ascii="Arial" w:hAnsi="Arial" w:cs="Arial"/>
          <w:b/>
          <w:sz w:val="24"/>
          <w:szCs w:val="24"/>
        </w:rPr>
      </w:pPr>
    </w:p>
    <w:p w14:paraId="27E5D5C0">
      <w:pPr>
        <w:spacing w:before="240" w:line="360" w:lineRule="auto"/>
        <w:jc w:val="center"/>
        <w:rPr>
          <w:rFonts w:ascii="Arial" w:hAnsi="Arial" w:cs="Arial"/>
          <w:b/>
          <w:sz w:val="24"/>
          <w:szCs w:val="24"/>
        </w:rPr>
      </w:pPr>
    </w:p>
    <w:p w14:paraId="11274838">
      <w:pPr>
        <w:spacing w:before="240" w:line="360" w:lineRule="auto"/>
        <w:jc w:val="center"/>
        <w:rPr>
          <w:rFonts w:ascii="Arial" w:hAnsi="Arial" w:cs="Arial"/>
          <w:b/>
          <w:sz w:val="24"/>
          <w:szCs w:val="24"/>
        </w:rPr>
      </w:pPr>
    </w:p>
    <w:p w14:paraId="3C8CFCD9">
      <w:pPr>
        <w:spacing w:before="240" w:line="360" w:lineRule="auto"/>
        <w:jc w:val="center"/>
        <w:rPr>
          <w:rFonts w:ascii="Arial" w:hAnsi="Arial" w:cs="Arial"/>
          <w:b/>
          <w:sz w:val="24"/>
          <w:szCs w:val="24"/>
        </w:rPr>
      </w:pPr>
    </w:p>
    <w:p w14:paraId="55918BA5">
      <w:pPr>
        <w:spacing w:before="240" w:line="360" w:lineRule="auto"/>
        <w:jc w:val="center"/>
        <w:rPr>
          <w:rFonts w:ascii="Arial" w:hAnsi="Arial" w:cs="Arial"/>
          <w:b/>
          <w:sz w:val="24"/>
          <w:szCs w:val="24"/>
        </w:rPr>
      </w:pPr>
    </w:p>
    <w:p w14:paraId="67708798">
      <w:pPr>
        <w:spacing w:before="240" w:line="360" w:lineRule="auto"/>
        <w:rPr>
          <w:rFonts w:ascii="Arial" w:hAnsi="Arial" w:cs="Arial"/>
          <w:b/>
          <w:sz w:val="24"/>
          <w:szCs w:val="24"/>
        </w:rPr>
      </w:pPr>
    </w:p>
    <w:p w14:paraId="70E329BB">
      <w:pPr>
        <w:spacing w:before="240" w:line="360" w:lineRule="auto"/>
        <w:rPr>
          <w:rFonts w:ascii="Arial" w:hAnsi="Arial" w:cs="Arial"/>
          <w:b/>
          <w:sz w:val="24"/>
          <w:szCs w:val="24"/>
        </w:rPr>
      </w:pPr>
    </w:p>
    <w:p w14:paraId="55A7AF29">
      <w:pPr>
        <w:spacing w:before="240" w:line="360" w:lineRule="auto"/>
        <w:rPr>
          <w:rFonts w:ascii="Arial" w:hAnsi="Arial" w:cs="Arial"/>
          <w:b/>
          <w:sz w:val="24"/>
          <w:szCs w:val="24"/>
        </w:rPr>
      </w:pPr>
    </w:p>
    <w:p w14:paraId="4579A5BA">
      <w:pPr>
        <w:spacing w:before="240" w:line="360" w:lineRule="auto"/>
        <w:rPr>
          <w:rFonts w:ascii="Arial" w:hAnsi="Arial" w:cs="Arial"/>
          <w:b/>
          <w:sz w:val="24"/>
          <w:szCs w:val="24"/>
        </w:rPr>
      </w:pPr>
    </w:p>
    <w:p w14:paraId="22BFEFA3">
      <w:pPr>
        <w:spacing w:before="240" w:line="360" w:lineRule="auto"/>
        <w:jc w:val="center"/>
        <w:outlineLvl w:val="0"/>
        <w:rPr>
          <w:rFonts w:ascii="Arial" w:hAnsi="Arial" w:cs="Arial"/>
          <w:b/>
          <w:sz w:val="24"/>
          <w:szCs w:val="24"/>
        </w:rPr>
      </w:pPr>
      <w:bookmarkStart w:id="8" w:name="_Toc213304979"/>
      <w:r>
        <w:rPr>
          <w:rFonts w:ascii="Arial" w:hAnsi="Arial" w:cs="Arial"/>
          <w:b/>
          <w:sz w:val="24"/>
          <w:szCs w:val="24"/>
        </w:rPr>
        <w:t>Abstract</w:t>
      </w:r>
      <w:bookmarkEnd w:id="8"/>
    </w:p>
    <w:p w14:paraId="68208A15">
      <w:pPr>
        <w:pStyle w:val="21"/>
        <w:jc w:val="both"/>
        <w:rPr>
          <w:rFonts w:ascii="Arial" w:hAnsi="Arial" w:cs="Arial"/>
          <w:sz w:val="24"/>
          <w:szCs w:val="24"/>
        </w:rPr>
      </w:pPr>
      <w:r>
        <w:rPr>
          <w:rFonts w:ascii="Arial" w:hAnsi="Arial" w:cs="Arial"/>
          <w:sz w:val="24"/>
          <w:szCs w:val="24"/>
        </w:rPr>
        <w:t>The growing environmental concerns associated with petroleum-based lubricants have driven research toward sustainable alternatives such as bio lubricants derived from renewable sources. This study focuses on the production and characterization of bio lubricant synthesized from waste cooking oil (WCO) using the transesterification process. The WCO was collected from local food outlets and pre-treated to remove impurities and moisture. Transesterification was conducted in two stages: first, producing methyl ester using methanol and potassium hydroxide as a catalyst, and second, synthesizing a polyol ester bio lubricant using trimethylolpropane (TMP). The resulting product was characterized for its physicochemical properties, including acid value, viscosity, flash point, and saponification value. The bio lubricant yielded 90.05% with an acid value of 2.24 mgKOH/g, viscosity of 58 mm²/s at 40°C, flash point of 132°C, and saponification value of 45.6 mgKOH/g. These results are within ASTM standard ranges, confirming that the bio lubricant possesses desirable lubricating properties comparable to conventional mineral oils. Hence, WCO-derived bio lubricant represents a sustainable, environmentally friendly, and economically viable alternative to petroleum-based lubricants</w:t>
      </w:r>
    </w:p>
    <w:p w14:paraId="568C1950">
      <w:pPr>
        <w:spacing w:before="240" w:line="360" w:lineRule="auto"/>
        <w:jc w:val="center"/>
        <w:rPr>
          <w:rFonts w:ascii="Arial" w:hAnsi="Arial" w:cs="Arial"/>
          <w:b/>
          <w:sz w:val="24"/>
          <w:szCs w:val="24"/>
        </w:rPr>
        <w:sectPr>
          <w:footerReference r:id="rId6" w:type="default"/>
          <w:pgSz w:w="12240" w:h="15840"/>
          <w:pgMar w:top="1440" w:right="1440" w:bottom="1440" w:left="1440" w:header="720" w:footer="720" w:gutter="0"/>
          <w:pgNumType w:fmt="lowerRoman" w:start="1"/>
          <w:cols w:space="720" w:num="1"/>
          <w:docGrid w:linePitch="360" w:charSpace="0"/>
        </w:sectPr>
      </w:pPr>
    </w:p>
    <w:p w14:paraId="3EB717BB">
      <w:pPr>
        <w:spacing w:before="240" w:line="360" w:lineRule="auto"/>
        <w:jc w:val="center"/>
        <w:outlineLvl w:val="0"/>
        <w:rPr>
          <w:rFonts w:ascii="Arial" w:hAnsi="Arial" w:cs="Arial"/>
          <w:b/>
          <w:sz w:val="24"/>
          <w:szCs w:val="24"/>
        </w:rPr>
      </w:pPr>
      <w:bookmarkStart w:id="9" w:name="_Toc213304980"/>
      <w:r>
        <w:rPr>
          <w:rFonts w:ascii="Arial" w:hAnsi="Arial" w:cs="Arial"/>
          <w:b/>
          <w:sz w:val="24"/>
          <w:szCs w:val="24"/>
        </w:rPr>
        <w:t>CHAPTER ONE</w:t>
      </w:r>
      <w:bookmarkEnd w:id="9"/>
    </w:p>
    <w:p w14:paraId="6B665C39">
      <w:pPr>
        <w:spacing w:before="240" w:line="360" w:lineRule="auto"/>
        <w:jc w:val="both"/>
        <w:outlineLvl w:val="0"/>
        <w:rPr>
          <w:rFonts w:ascii="Arial" w:hAnsi="Arial" w:cs="Arial"/>
          <w:b/>
          <w:sz w:val="24"/>
          <w:szCs w:val="24"/>
        </w:rPr>
      </w:pPr>
      <w:r>
        <w:rPr>
          <w:rFonts w:ascii="Arial" w:hAnsi="Arial" w:cs="Arial"/>
          <w:b/>
          <w:sz w:val="24"/>
          <w:szCs w:val="24"/>
        </w:rPr>
        <w:t xml:space="preserve">                                                         </w:t>
      </w:r>
      <w:bookmarkStart w:id="10" w:name="_Toc213304981"/>
      <w:r>
        <w:rPr>
          <w:rFonts w:ascii="Arial" w:hAnsi="Arial" w:cs="Arial"/>
          <w:b/>
          <w:sz w:val="24"/>
          <w:szCs w:val="24"/>
        </w:rPr>
        <w:t>INTRODUCTION</w:t>
      </w:r>
      <w:bookmarkEnd w:id="10"/>
    </w:p>
    <w:p w14:paraId="11FA840F">
      <w:pPr>
        <w:pStyle w:val="14"/>
        <w:numPr>
          <w:ilvl w:val="1"/>
          <w:numId w:val="1"/>
        </w:numPr>
        <w:spacing w:before="240" w:line="360" w:lineRule="auto"/>
        <w:jc w:val="both"/>
        <w:outlineLvl w:val="0"/>
        <w:rPr>
          <w:rFonts w:ascii="Arial" w:hAnsi="Arial" w:cs="Arial"/>
          <w:b/>
          <w:sz w:val="24"/>
          <w:szCs w:val="24"/>
        </w:rPr>
      </w:pPr>
      <w:bookmarkStart w:id="11" w:name="_Toc213304982"/>
      <w:r>
        <w:rPr>
          <w:rFonts w:ascii="Arial" w:hAnsi="Arial" w:cs="Arial"/>
          <w:b/>
          <w:sz w:val="24"/>
          <w:szCs w:val="24"/>
        </w:rPr>
        <w:t>The Background of the Research</w:t>
      </w:r>
      <w:bookmarkEnd w:id="11"/>
    </w:p>
    <w:p w14:paraId="4496E22E">
      <w:pPr>
        <w:spacing w:before="240" w:line="360" w:lineRule="auto"/>
        <w:jc w:val="both"/>
        <w:rPr>
          <w:rFonts w:ascii="Arial" w:hAnsi="Arial" w:cs="Arial"/>
          <w:sz w:val="24"/>
          <w:szCs w:val="24"/>
        </w:rPr>
      </w:pPr>
      <w:r>
        <w:rPr>
          <w:rFonts w:ascii="Arial" w:hAnsi="Arial" w:cs="Arial"/>
          <w:sz w:val="24"/>
          <w:szCs w:val="24"/>
          <w:u w:val="single"/>
        </w:rPr>
        <w:t>Biolubricant</w:t>
      </w:r>
      <w:r>
        <w:rPr>
          <w:rFonts w:ascii="Arial" w:hAnsi="Arial" w:cs="Arial"/>
          <w:sz w:val="24"/>
          <w:szCs w:val="24"/>
        </w:rPr>
        <w:t xml:space="preserve"> is synthetic oleo chemical esters normally plant origin, synthesized from transesterification which ‘are environmentally friendly, nontoxic to humans and other living things, possesses high biodegradability, and have excellent lubrication performance at a minimal waste disposal (Annisa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 2018). These have a neutral CO balance and readily decompose in nature due to presence of esters, which are found to be degraded aerobically as well as anaerobically (Gnanasekaran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 2018). Transesterification of vegetable oils is the most important initial step in producing biofuel or bio lubricant. Fatty acid alkyl esters, along with glycerol, are produced by the transesterification of vegetable oils (Thangaraj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 2019). Transesterification reactions can be catalysed by both homogenous (Fukuda et al.,2001; Lam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.,2010) and heterogeneous catalysts (Macario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 2010). In a catalytic transesterification reaction, homogenous alkali catalysts are commonly used. The alkaline catalyst mostly used is potassium hydroxide (KOH), since it decreases the tendency for soap formation compared to sodium hydroxide (NaOH). It also reduces the number of methyl esters dissolved in the glycerol phase after the reaction, thus reducing ester losses (Anusi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 2018). Transesterification of vegetable oils with lower alcohols like methanol, ethanol, etc. produces 'biolubricants' (Bilal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2013).</w:t>
      </w:r>
    </w:p>
    <w:p w14:paraId="76026539">
      <w:pPr>
        <w:spacing w:before="240" w:line="360" w:lineRule="auto"/>
        <w:ind w:firstLine="720"/>
        <w:jc w:val="both"/>
        <w:rPr>
          <w:rFonts w:ascii="Arial" w:hAnsi="Arial" w:cs="Arial"/>
          <w:sz w:val="24"/>
          <w:szCs w:val="24"/>
        </w:rPr>
      </w:pPr>
      <w:r>
        <w:rPr>
          <w:rFonts w:ascii="Arial" w:hAnsi="Arial" w:cs="Arial"/>
          <w:sz w:val="24"/>
          <w:szCs w:val="24"/>
        </w:rPr>
        <w:t xml:space="preserve">Lubricants work towards reduction in wear between two surfaces using a substance that can carry load in between of the two relatively moving surfaces. It was reported that the annual production of lubricants is 30-40 million tons(Mang and Dresel ,2006;Saidur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.,2011;Menezes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.,2013). The action of lubrication not only reduces wear, but also helps in corrosion resistance, in oxidative resistance, and in insulation (Encinar </w:t>
      </w:r>
      <w:r>
        <w:rPr>
          <w:rFonts w:ascii="Arial" w:hAnsi="Arial" w:cs="Arial"/>
          <w:i/>
          <w:sz w:val="24"/>
          <w:szCs w:val="24"/>
        </w:rPr>
        <w:t>et al</w:t>
      </w:r>
      <w:r>
        <w:rPr>
          <w:rFonts w:ascii="Arial" w:hAnsi="Arial" w:cs="Arial"/>
          <w:sz w:val="24"/>
          <w:szCs w:val="24"/>
        </w:rPr>
        <w:t xml:space="preserve">., 2020). The most common base stock for the production of lubricating oils is mineral oils, which are obtained from the petroleum sources. The mineral oils obtained during refining of crude oil and hence they are readily available and are economically cheaper (Owuna </w:t>
      </w:r>
      <w:r>
        <w:rPr>
          <w:rFonts w:ascii="Arial" w:hAnsi="Arial" w:cs="Arial"/>
          <w:i/>
          <w:sz w:val="24"/>
          <w:szCs w:val="24"/>
        </w:rPr>
        <w:t>et al</w:t>
      </w:r>
      <w:r>
        <w:rPr>
          <w:rFonts w:ascii="Arial" w:hAnsi="Arial" w:cs="Arial"/>
          <w:sz w:val="24"/>
          <w:szCs w:val="24"/>
        </w:rPr>
        <w:t>.,2020). However, the concerned and problems associated with the  petroleum-based feedstock are environmental pollution and depletion of petroleum reserves. This has led to a search for an alternative.</w:t>
      </w:r>
    </w:p>
    <w:p w14:paraId="47E2A649">
      <w:pPr>
        <w:spacing w:before="240" w:line="360" w:lineRule="auto"/>
        <w:ind w:firstLine="720"/>
        <w:jc w:val="both"/>
        <w:rPr>
          <w:rFonts w:ascii="Arial" w:hAnsi="Arial" w:cs="Arial"/>
          <w:sz w:val="24"/>
          <w:szCs w:val="24"/>
        </w:rPr>
      </w:pPr>
      <w:r>
        <w:rPr>
          <w:rFonts w:ascii="Arial" w:hAnsi="Arial" w:cs="Arial"/>
          <w:sz w:val="24"/>
          <w:szCs w:val="24"/>
        </w:rPr>
        <w:t xml:space="preserve">Biolubricant can be classified according to their chemical feature composition in natural and synthetic oil. Natural oils are made using vegetable oils or animal fat, have been use as starting materials to obtain their respective oils through several extraction and distillation method (Lovell, 2006 and Duzcukoglu, 2011). These oils are widely available, are in expensive, and exhibit higher biodegradability than those obtain from mineral oils (Aluyor </w:t>
      </w:r>
      <w:r>
        <w:rPr>
          <w:rFonts w:ascii="Arial" w:hAnsi="Arial" w:cs="Arial"/>
          <w:i/>
          <w:sz w:val="24"/>
          <w:szCs w:val="24"/>
        </w:rPr>
        <w:t>et al</w:t>
      </w:r>
      <w:r>
        <w:rPr>
          <w:rFonts w:ascii="Arial" w:hAnsi="Arial" w:cs="Arial"/>
          <w:sz w:val="24"/>
          <w:szCs w:val="24"/>
        </w:rPr>
        <w:t xml:space="preserve">., 2009). while synthetic oil uses the natural oils as starting material to form more advance bio lubricant. Among them, it was reported ester synthesis, involving modification by microorganism alcohol poly alcohol poly glycols, perfluroalkyleters, and other species, are able to graft to a natural oil (Backe, 1993). in such a way that the synthesize bio lubricant exhibited thermo oxidative stability wear resistance and lubricity properties even greater than those exhibited by mineral oils (Kumar </w:t>
      </w:r>
      <w:r>
        <w:rPr>
          <w:rFonts w:ascii="Arial" w:hAnsi="Arial" w:cs="Arial"/>
          <w:i/>
          <w:sz w:val="24"/>
          <w:szCs w:val="24"/>
        </w:rPr>
        <w:t>et al</w:t>
      </w:r>
      <w:r>
        <w:rPr>
          <w:rFonts w:ascii="Arial" w:hAnsi="Arial" w:cs="Arial"/>
          <w:sz w:val="24"/>
          <w:szCs w:val="24"/>
        </w:rPr>
        <w:t>., 2008).</w:t>
      </w:r>
    </w:p>
    <w:p w14:paraId="1C40EC52">
      <w:pPr>
        <w:spacing w:line="360" w:lineRule="auto"/>
        <w:jc w:val="both"/>
        <w:rPr>
          <w:rFonts w:ascii="Arial" w:hAnsi="Arial" w:cs="Arial"/>
          <w:sz w:val="24"/>
          <w:szCs w:val="24"/>
        </w:rPr>
      </w:pPr>
      <w:r>
        <w:rPr>
          <w:rFonts w:ascii="Arial" w:hAnsi="Arial" w:cs="Arial"/>
          <w:sz w:val="24"/>
          <w:szCs w:val="24"/>
        </w:rPr>
        <w:t xml:space="preserve">      Large amount of waste cooking oil and animal fat are available throughout the globe, particularly in wealthy nations because of disposal issues and the potential for pollution of water and land resources. The management of such oils and fat is a serious task (Juan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.,.2020).  Despite the fact that some of waste cooking oil is utilised to make soap, the majority of it is dumped into the environment(Saidur,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.,2011). Because vast volume of waste cooking oils are illegally thrown into rivers and landfills. The waste cooking oils can be utilized for the production of Bio based lubricants which cannot only reduce the burden on mineral oil-based lubricants but also provide a safe method for recycling of waste cooking oil (Sarno </w:t>
      </w:r>
      <w:r>
        <w:rPr>
          <w:rFonts w:ascii="Arial" w:hAnsi="Arial" w:cs="Arial"/>
          <w:i/>
          <w:sz w:val="24"/>
          <w:szCs w:val="24"/>
        </w:rPr>
        <w:t>et al</w:t>
      </w:r>
      <w:r>
        <w:rPr>
          <w:rFonts w:ascii="Arial" w:hAnsi="Arial" w:cs="Arial"/>
          <w:sz w:val="24"/>
          <w:szCs w:val="24"/>
        </w:rPr>
        <w:t>., 2019).</w:t>
      </w:r>
    </w:p>
    <w:p w14:paraId="5AD6F564">
      <w:pPr>
        <w:spacing w:before="240" w:line="360" w:lineRule="auto"/>
        <w:ind w:firstLine="720"/>
        <w:jc w:val="both"/>
        <w:rPr>
          <w:rFonts w:ascii="Arial" w:hAnsi="Arial" w:cs="Arial"/>
          <w:sz w:val="24"/>
          <w:szCs w:val="24"/>
        </w:rPr>
      </w:pPr>
      <w:r>
        <w:rPr>
          <w:rFonts w:ascii="Arial" w:hAnsi="Arial" w:cs="Arial"/>
          <w:sz w:val="24"/>
          <w:szCs w:val="24"/>
        </w:rPr>
        <w:t xml:space="preserve"> Waste cooking oil are generated in the process of frying food with edible oil and cannot be utilized again without refining because of toxic component produce during refining operation (permadani </w:t>
      </w:r>
      <w:r>
        <w:rPr>
          <w:rFonts w:ascii="Arial" w:hAnsi="Arial" w:cs="Arial"/>
          <w:i/>
          <w:sz w:val="24"/>
          <w:szCs w:val="24"/>
        </w:rPr>
        <w:t>et al</w:t>
      </w:r>
      <w:r>
        <w:rPr>
          <w:rFonts w:ascii="Arial" w:hAnsi="Arial" w:cs="Arial"/>
          <w:sz w:val="24"/>
          <w:szCs w:val="24"/>
        </w:rPr>
        <w:t xml:space="preserve">., 2018). Because frying food is frequently used everywhere around the globe in large quantities, and because of the growth in population worldwide, waste cooking oils are generated in large quantities on a daily basis (EMRPB, 2015). The global waste cooking oil production is estimated between 20 and 32 of total consumption of vegetable oil with the main producers being hospitality and household sectors (Orjuela </w:t>
      </w:r>
      <w:r>
        <w:rPr>
          <w:rFonts w:ascii="Arial" w:hAnsi="Arial" w:cs="Arial"/>
          <w:i/>
          <w:sz w:val="24"/>
          <w:szCs w:val="24"/>
        </w:rPr>
        <w:t>et al</w:t>
      </w:r>
      <w:r>
        <w:rPr>
          <w:rFonts w:ascii="Arial" w:hAnsi="Arial" w:cs="Arial"/>
          <w:sz w:val="24"/>
          <w:szCs w:val="24"/>
        </w:rPr>
        <w:t>., 2020). Waste cooking oil is another problem, and the disposal of this oil pollutes the environment. Making bio base lubricant from waste cooking can solve this problem. The main challenge in utilizing vegetable oils as a potential feedstock for Bio lubricants production, apart from their low oxidative and thermal stability, is their availability. Many countries, such as India, are already scarce in vegetable oil and import from foreign countries the major quantity of vegetable oil in order to fulfil the demand needs. This makes the scientific community look at further alternatives. To cater the needs of the future lesson the burden on the environment, optimisation of the resources by employing waste for the production of utilities is of major interest for many scientists (Marion, 2017 and Mannu, 2020).</w:t>
      </w:r>
    </w:p>
    <w:p w14:paraId="3DB1E81A">
      <w:pPr>
        <w:spacing w:before="240" w:line="360" w:lineRule="auto"/>
        <w:ind w:firstLine="720"/>
        <w:jc w:val="both"/>
        <w:rPr>
          <w:rFonts w:ascii="Arial" w:hAnsi="Arial" w:cs="Arial"/>
          <w:sz w:val="24"/>
          <w:szCs w:val="24"/>
        </w:rPr>
      </w:pPr>
      <w:r>
        <w:rPr>
          <w:rFonts w:ascii="Arial" w:hAnsi="Arial" w:cs="Arial"/>
          <w:sz w:val="24"/>
          <w:szCs w:val="24"/>
        </w:rPr>
        <w:t xml:space="preserve">Biolubricants formulated from plant oils offer several advantages. They provide superior lubricity, leading to reduced friction losses. Their lower volatility results in decreased exhaust emissions, and they also possess a higher viscosity index (Sarma and Vinu, 2022). Viscosity is one of the key properties of a bio lubricant, as it describes the internal friction within a liquid due to molecular interactions (Cecilia </w:t>
      </w:r>
      <w:r>
        <w:rPr>
          <w:rFonts w:ascii="Arial" w:hAnsi="Arial" w:cs="Arial"/>
          <w:i/>
          <w:sz w:val="24"/>
          <w:szCs w:val="24"/>
        </w:rPr>
        <w:t>et al</w:t>
      </w:r>
      <w:r>
        <w:rPr>
          <w:rFonts w:ascii="Arial" w:hAnsi="Arial" w:cs="Arial"/>
          <w:sz w:val="24"/>
          <w:szCs w:val="24"/>
        </w:rPr>
        <w:t xml:space="preserve">., 2020). Despite the great potential of vegetable oils as biolubricants, they are not widely commercialized due to their high heterogeneity and other undesirable physical properties related to poor oxidation stability, poor low-temperature properties, and poor viscosity indexes, among others(Panchal,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.,2013; Nagendramma and Kaul,2012) Considering these disadvantages, the main challenge of bio lubricants is maintaining the consistent chemical composition of the vegetable oils used as starting materials to meet final application and performance specifications.</w:t>
      </w:r>
    </w:p>
    <w:p w14:paraId="4248C3CB">
      <w:pPr>
        <w:spacing w:before="240" w:line="360" w:lineRule="auto"/>
        <w:ind w:firstLine="720"/>
        <w:jc w:val="both"/>
        <w:rPr>
          <w:rFonts w:ascii="Arial" w:hAnsi="Arial" w:cs="Arial"/>
          <w:sz w:val="24"/>
          <w:szCs w:val="24"/>
        </w:rPr>
      </w:pPr>
      <w:r>
        <w:rPr>
          <w:rFonts w:ascii="Arial" w:hAnsi="Arial" w:cs="Arial"/>
          <w:sz w:val="24"/>
          <w:szCs w:val="24"/>
        </w:rPr>
        <w:t xml:space="preserve">Biolubricants have gained significant traction across various industrial sectors due to their environmental advantages and technical performance. In hydraulic systems, particularly in environmentally sensitive areas like forestry and agriculture, they are increasingly mandated to prevent soil and water contamination from potential leaks (Cecilia </w:t>
      </w:r>
      <w:r>
        <w:rPr>
          <w:rFonts w:ascii="Arial" w:hAnsi="Arial" w:cs="Arial"/>
          <w:i/>
          <w:sz w:val="24"/>
          <w:szCs w:val="24"/>
        </w:rPr>
        <w:t>et al</w:t>
      </w:r>
      <w:r>
        <w:rPr>
          <w:rFonts w:ascii="Arial" w:hAnsi="Arial" w:cs="Arial"/>
          <w:sz w:val="24"/>
          <w:szCs w:val="24"/>
        </w:rPr>
        <w:t xml:space="preserve">., 2020). The metal working industry benefits from their superior lubricity in applications like cutting and grinding fluids, where they reduce friction and extend tool life (Negi </w:t>
      </w:r>
      <w:r>
        <w:rPr>
          <w:rFonts w:ascii="Arial" w:hAnsi="Arial" w:cs="Arial"/>
          <w:i/>
          <w:sz w:val="24"/>
          <w:szCs w:val="24"/>
        </w:rPr>
        <w:t>et al</w:t>
      </w:r>
      <w:r>
        <w:rPr>
          <w:rFonts w:ascii="Arial" w:hAnsi="Arial" w:cs="Arial"/>
          <w:sz w:val="24"/>
          <w:szCs w:val="24"/>
        </w:rPr>
        <w:t xml:space="preserve">., 2021). For total loss lubrication systems, such as chainsaw oils and rail flange lubricants, their high biodegradability is essential as the lubricant is directly released into the environment (Ilyas </w:t>
      </w:r>
      <w:r>
        <w:rPr>
          <w:rFonts w:ascii="Arial" w:hAnsi="Arial" w:cs="Arial"/>
          <w:i/>
          <w:sz w:val="24"/>
          <w:szCs w:val="24"/>
        </w:rPr>
        <w:t>et al</w:t>
      </w:r>
      <w:r>
        <w:rPr>
          <w:rFonts w:ascii="Arial" w:hAnsi="Arial" w:cs="Arial"/>
          <w:sz w:val="24"/>
          <w:szCs w:val="24"/>
        </w:rPr>
        <w:t>.,2022)</w:t>
      </w:r>
    </w:p>
    <w:p w14:paraId="44E43725">
      <w:pPr>
        <w:spacing w:before="240" w:line="360" w:lineRule="auto"/>
        <w:jc w:val="both"/>
        <w:outlineLvl w:val="0"/>
        <w:rPr>
          <w:rFonts w:ascii="Arial" w:hAnsi="Arial" w:cs="Arial"/>
          <w:sz w:val="24"/>
          <w:szCs w:val="24"/>
        </w:rPr>
      </w:pPr>
      <w:bookmarkStart w:id="12" w:name="_Toc213304983"/>
      <w:r>
        <w:rPr>
          <w:rFonts w:ascii="Arial" w:hAnsi="Arial" w:cs="Arial"/>
          <w:b/>
          <w:sz w:val="24"/>
          <w:szCs w:val="24"/>
        </w:rPr>
        <w:t>1.2 Statement of the Problem</w:t>
      </w:r>
      <w:bookmarkEnd w:id="12"/>
    </w:p>
    <w:p w14:paraId="1416C043">
      <w:pPr>
        <w:spacing w:before="240" w:line="360" w:lineRule="auto"/>
        <w:jc w:val="both"/>
        <w:rPr>
          <w:rFonts w:ascii="Arial" w:hAnsi="Arial" w:cs="Arial"/>
          <w:b/>
          <w:sz w:val="24"/>
          <w:szCs w:val="24"/>
        </w:rPr>
      </w:pPr>
      <w:r>
        <w:rPr>
          <w:rFonts w:ascii="Arial" w:hAnsi="Arial" w:cs="Arial"/>
          <w:sz w:val="24"/>
          <w:szCs w:val="24"/>
        </w:rPr>
        <w:t xml:space="preserve">Increasing environmental awareness and growing regulations over pollution and contamination have accelerated the development of renewable and biodegradable lubricants(Betton, 2010; Nagendramma and Kaul, 2012).The global demand for sustainable lubricants has surged due to environmental regulations (e.g, EV Circular Economy Action Plan) and the depletion of fossil fuels (Teh </w:t>
      </w:r>
      <w:r>
        <w:rPr>
          <w:rFonts w:ascii="Arial" w:hAnsi="Arial" w:cs="Arial"/>
          <w:i/>
          <w:sz w:val="24"/>
          <w:szCs w:val="24"/>
        </w:rPr>
        <w:t>et al</w:t>
      </w:r>
      <w:r>
        <w:rPr>
          <w:rFonts w:ascii="Arial" w:hAnsi="Arial" w:cs="Arial"/>
          <w:sz w:val="24"/>
          <w:szCs w:val="24"/>
        </w:rPr>
        <w:t xml:space="preserve">., 2025).Besides, the growing use of fossil fuels at an increased rate will cause an escalation of local air pollution and exacerbate issues about the warming of the earth as a result of CO emissions(Shaldar </w:t>
      </w:r>
      <w:r>
        <w:rPr>
          <w:rFonts w:ascii="Arial" w:hAnsi="Arial" w:cs="Arial"/>
          <w:i/>
          <w:sz w:val="24"/>
          <w:szCs w:val="24"/>
        </w:rPr>
        <w:t>et al</w:t>
      </w:r>
      <w:r>
        <w:rPr>
          <w:rFonts w:ascii="Arial" w:hAnsi="Arial" w:cs="Arial"/>
          <w:sz w:val="24"/>
          <w:szCs w:val="24"/>
        </w:rPr>
        <w:t xml:space="preserve">., 2019). About 95% of total lubricant production is petroleum based generally denoted as mineral oil. These oils are composed of a complex mixture of paraffinic(linear\branch), olefinic, naphthenic, and aromatic hydrocarbons of 20 to 50 carbon atoms. These formulations are non-renewable and toxic in such a way that the lubricants are harmful to humans and the environment as a consequence of their low biodegradability and high toxicity; some are even considered to be carcinogenic. </w:t>
      </w:r>
    </w:p>
    <w:p w14:paraId="6D79E7AB">
      <w:pPr>
        <w:spacing w:before="240" w:line="360" w:lineRule="auto"/>
        <w:jc w:val="both"/>
        <w:outlineLvl w:val="0"/>
        <w:rPr>
          <w:rFonts w:ascii="Arial" w:hAnsi="Arial" w:cs="Arial"/>
          <w:b/>
          <w:sz w:val="24"/>
          <w:szCs w:val="24"/>
        </w:rPr>
      </w:pPr>
      <w:bookmarkStart w:id="13" w:name="_Toc213304984"/>
      <w:r>
        <w:rPr>
          <w:rFonts w:ascii="Arial" w:hAnsi="Arial" w:cs="Arial"/>
          <w:b/>
          <w:sz w:val="24"/>
          <w:szCs w:val="24"/>
        </w:rPr>
        <w:t>1.3 Justification of the Research</w:t>
      </w:r>
      <w:bookmarkEnd w:id="13"/>
    </w:p>
    <w:p w14:paraId="2AC43811">
      <w:pPr>
        <w:spacing w:before="240" w:line="360" w:lineRule="auto"/>
        <w:jc w:val="both"/>
        <w:rPr>
          <w:rFonts w:ascii="Arial" w:hAnsi="Arial" w:cs="Arial"/>
          <w:sz w:val="24"/>
          <w:szCs w:val="24"/>
        </w:rPr>
      </w:pPr>
      <w:r>
        <w:rPr>
          <w:rFonts w:ascii="Arial" w:hAnsi="Arial" w:cs="Arial"/>
          <w:sz w:val="24"/>
          <w:szCs w:val="24"/>
        </w:rPr>
        <w:t xml:space="preserve">The use of vegetable oil as lubricant was experimented over a century ago, using oil from the agricultural industry (Oniya, </w:t>
      </w:r>
      <w:r>
        <w:rPr>
          <w:rFonts w:ascii="Arial" w:hAnsi="Arial" w:cs="Arial"/>
          <w:i/>
          <w:sz w:val="24"/>
          <w:szCs w:val="24"/>
        </w:rPr>
        <w:t>et al</w:t>
      </w:r>
      <w:r>
        <w:rPr>
          <w:rFonts w:ascii="Arial" w:hAnsi="Arial" w:cs="Arial"/>
          <w:sz w:val="24"/>
          <w:szCs w:val="24"/>
        </w:rPr>
        <w:t xml:space="preserve">., 2014; Adewuyi, </w:t>
      </w:r>
      <w:r>
        <w:rPr>
          <w:rFonts w:ascii="Arial" w:hAnsi="Arial" w:cs="Arial"/>
          <w:i/>
          <w:sz w:val="24"/>
          <w:szCs w:val="24"/>
        </w:rPr>
        <w:t>et al</w:t>
      </w:r>
      <w:r>
        <w:rPr>
          <w:rFonts w:ascii="Arial" w:hAnsi="Arial" w:cs="Arial"/>
          <w:sz w:val="24"/>
          <w:szCs w:val="24"/>
        </w:rPr>
        <w:t xml:space="preserve">., 2014) reported that more than 95% of world lubricant is produced from edible oils such as grapeseed oil, soya bean oil, canola oil, palm oil and kernel oil. The major benefits of bio lubricant according to (Syaima </w:t>
      </w:r>
      <w:r>
        <w:rPr>
          <w:rFonts w:ascii="Arial" w:hAnsi="Arial" w:cs="Arial"/>
          <w:i/>
          <w:sz w:val="24"/>
          <w:szCs w:val="24"/>
        </w:rPr>
        <w:t>et al</w:t>
      </w:r>
      <w:r>
        <w:rPr>
          <w:rFonts w:ascii="Arial" w:hAnsi="Arial" w:cs="Arial"/>
          <w:sz w:val="24"/>
          <w:szCs w:val="24"/>
        </w:rPr>
        <w:t xml:space="preserve">., 2014) are its renewability, low environmental toxicity and biodegradability as well as its high viscosity index, which makes its viscosity to be virtually stable at constant temperature unlike mineral oil. This makes it to be more preferable than mineral oil-based lubricant. (Jabal </w:t>
      </w:r>
      <w:r>
        <w:rPr>
          <w:rFonts w:ascii="Arial" w:hAnsi="Arial" w:cs="Arial"/>
          <w:i/>
          <w:sz w:val="24"/>
          <w:szCs w:val="24"/>
        </w:rPr>
        <w:t>et al</w:t>
      </w:r>
      <w:r>
        <w:rPr>
          <w:rFonts w:ascii="Arial" w:hAnsi="Arial" w:cs="Arial"/>
          <w:sz w:val="24"/>
          <w:szCs w:val="24"/>
        </w:rPr>
        <w:t xml:space="preserve">., 2014) reported that biolubricants are easy to produce and have better lubricating ability due to a huge amount of unsaturated and polar ester groups components they contained which favourably affected the status during reciprocating sliding. Vegetable oil-based lubricant according to (Agrawal </w:t>
      </w:r>
      <w:r>
        <w:rPr>
          <w:rFonts w:ascii="Arial" w:hAnsi="Arial" w:cs="Arial"/>
          <w:i/>
          <w:sz w:val="24"/>
          <w:szCs w:val="24"/>
        </w:rPr>
        <w:t>et al</w:t>
      </w:r>
      <w:r>
        <w:rPr>
          <w:rFonts w:ascii="Arial" w:hAnsi="Arial" w:cs="Arial"/>
          <w:sz w:val="24"/>
          <w:szCs w:val="24"/>
        </w:rPr>
        <w:t xml:space="preserve">., 2017) is becoming more attractive everyday due to its environmental benefits. (Ahmed </w:t>
      </w:r>
      <w:r>
        <w:rPr>
          <w:rFonts w:ascii="Arial" w:hAnsi="Arial" w:cs="Arial"/>
          <w:i/>
          <w:sz w:val="24"/>
          <w:szCs w:val="24"/>
        </w:rPr>
        <w:t>et al</w:t>
      </w:r>
      <w:r>
        <w:rPr>
          <w:rFonts w:ascii="Arial" w:hAnsi="Arial" w:cs="Arial"/>
          <w:sz w:val="24"/>
          <w:szCs w:val="24"/>
        </w:rPr>
        <w:t xml:space="preserve">., (2014) reported that vegetable oil, have a capability to contribute towards the goal of controlling environmental pollution, security and energy independence since they are biodegradable and nontoxic. New and sustainable lubricants are also needed to replace conventional lubricants derived from fossil fuels. This research can help in the production and characterization bio lubricant from waste cooking oil. This could solve many recent environmentally related challenges and will resolve issues concerning their sustainability. (Hussain </w:t>
      </w:r>
      <w:r>
        <w:rPr>
          <w:rFonts w:ascii="Arial" w:hAnsi="Arial" w:cs="Arial"/>
          <w:i/>
          <w:sz w:val="24"/>
          <w:szCs w:val="24"/>
        </w:rPr>
        <w:t>et al</w:t>
      </w:r>
      <w:r>
        <w:rPr>
          <w:rFonts w:ascii="Arial" w:hAnsi="Arial" w:cs="Arial"/>
          <w:sz w:val="24"/>
          <w:szCs w:val="24"/>
        </w:rPr>
        <w:t xml:space="preserve">.,2021; Nogales </w:t>
      </w:r>
      <w:r>
        <w:rPr>
          <w:rFonts w:ascii="Arial" w:hAnsi="Arial" w:cs="Arial"/>
          <w:i/>
          <w:sz w:val="24"/>
          <w:szCs w:val="24"/>
        </w:rPr>
        <w:t>et al</w:t>
      </w:r>
      <w:r>
        <w:rPr>
          <w:rFonts w:ascii="Arial" w:hAnsi="Arial" w:cs="Arial"/>
          <w:sz w:val="24"/>
          <w:szCs w:val="24"/>
        </w:rPr>
        <w:t>.,2021).</w:t>
      </w:r>
    </w:p>
    <w:p w14:paraId="3E5FD382">
      <w:pPr>
        <w:spacing w:before="240" w:line="360" w:lineRule="auto"/>
        <w:jc w:val="both"/>
        <w:outlineLvl w:val="0"/>
        <w:rPr>
          <w:rFonts w:ascii="Arial" w:hAnsi="Arial" w:cs="Arial"/>
          <w:sz w:val="24"/>
          <w:szCs w:val="24"/>
        </w:rPr>
      </w:pPr>
      <w:bookmarkStart w:id="14" w:name="_Toc213304985"/>
      <w:r>
        <w:rPr>
          <w:rFonts w:ascii="Arial" w:hAnsi="Arial" w:cs="Arial"/>
          <w:b/>
          <w:sz w:val="24"/>
          <w:szCs w:val="24"/>
        </w:rPr>
        <w:t>1.4 Aim and Objectives</w:t>
      </w:r>
      <w:bookmarkEnd w:id="14"/>
    </w:p>
    <w:p w14:paraId="71B70D7D">
      <w:pPr>
        <w:spacing w:before="240" w:line="360" w:lineRule="auto"/>
        <w:jc w:val="both"/>
        <w:rPr>
          <w:rFonts w:ascii="Arial" w:hAnsi="Arial" w:cs="Arial"/>
          <w:sz w:val="24"/>
          <w:szCs w:val="24"/>
        </w:rPr>
      </w:pPr>
      <w:r>
        <w:rPr>
          <w:rFonts w:ascii="Arial" w:hAnsi="Arial" w:cs="Arial"/>
          <w:sz w:val="24"/>
          <w:szCs w:val="24"/>
        </w:rPr>
        <w:t>The aim of this research is to produce and characterize biolubricants from waste cooking oil</w:t>
      </w:r>
    </w:p>
    <w:p w14:paraId="55BF59BB">
      <w:pPr>
        <w:spacing w:before="240" w:line="360" w:lineRule="auto"/>
        <w:jc w:val="both"/>
        <w:rPr>
          <w:rFonts w:ascii="Arial" w:hAnsi="Arial" w:cs="Arial"/>
          <w:sz w:val="24"/>
          <w:szCs w:val="24"/>
        </w:rPr>
      </w:pPr>
      <w:r>
        <w:rPr>
          <w:rFonts w:ascii="Arial" w:hAnsi="Arial" w:cs="Arial"/>
          <w:sz w:val="24"/>
          <w:szCs w:val="24"/>
        </w:rPr>
        <w:t>The objectives of the study are to:</w:t>
      </w:r>
    </w:p>
    <w:p w14:paraId="2ACC5159">
      <w:pPr>
        <w:spacing w:before="240" w:line="360" w:lineRule="auto"/>
        <w:jc w:val="both"/>
        <w:rPr>
          <w:rFonts w:ascii="Arial" w:hAnsi="Arial" w:cs="Arial"/>
          <w:sz w:val="24"/>
          <w:szCs w:val="24"/>
        </w:rPr>
      </w:pPr>
      <w:r>
        <w:rPr>
          <w:rFonts w:ascii="Arial" w:hAnsi="Arial" w:cs="Arial"/>
          <w:sz w:val="24"/>
          <w:szCs w:val="24"/>
        </w:rPr>
        <w:t>1.To produce bio lubricants from waste cooking oil through transesterification process.</w:t>
      </w:r>
    </w:p>
    <w:p w14:paraId="0340AE10">
      <w:pPr>
        <w:spacing w:before="240" w:line="360" w:lineRule="auto"/>
        <w:jc w:val="both"/>
        <w:rPr>
          <w:rFonts w:ascii="Arial" w:hAnsi="Arial" w:cs="Arial"/>
          <w:sz w:val="24"/>
          <w:szCs w:val="24"/>
        </w:rPr>
      </w:pPr>
      <w:r>
        <w:rPr>
          <w:rFonts w:ascii="Arial" w:hAnsi="Arial" w:cs="Arial"/>
          <w:sz w:val="24"/>
          <w:szCs w:val="24"/>
        </w:rPr>
        <w:t>2. To characterize the physicochemical properties of the produced biolubricants, including viscosity, flash point, Acid value and Saponification value.</w:t>
      </w:r>
    </w:p>
    <w:p w14:paraId="5014FD19">
      <w:pPr>
        <w:spacing w:before="240" w:line="360" w:lineRule="auto"/>
        <w:jc w:val="both"/>
        <w:rPr>
          <w:rFonts w:ascii="Arial" w:hAnsi="Arial" w:cs="Arial"/>
          <w:sz w:val="24"/>
          <w:szCs w:val="24"/>
        </w:rPr>
      </w:pPr>
      <w:r>
        <w:rPr>
          <w:rFonts w:ascii="Arial" w:hAnsi="Arial" w:cs="Arial"/>
          <w:sz w:val="24"/>
          <w:szCs w:val="24"/>
        </w:rPr>
        <w:t>3. To compare the properties of biolubricant with that of ASTM Standard for biodiesel.</w:t>
      </w:r>
    </w:p>
    <w:p w14:paraId="757F7D12">
      <w:pPr>
        <w:spacing w:before="240" w:line="360" w:lineRule="auto"/>
        <w:jc w:val="both"/>
        <w:rPr>
          <w:rFonts w:ascii="Arial" w:hAnsi="Arial" w:cs="Arial"/>
          <w:sz w:val="24"/>
          <w:szCs w:val="24"/>
        </w:rPr>
      </w:pPr>
    </w:p>
    <w:p w14:paraId="5910CE43">
      <w:pPr>
        <w:spacing w:before="240" w:line="360" w:lineRule="auto"/>
        <w:jc w:val="center"/>
        <w:rPr>
          <w:rFonts w:ascii="Arial" w:hAnsi="Arial" w:cs="Arial"/>
          <w:b/>
          <w:sz w:val="24"/>
          <w:szCs w:val="24"/>
        </w:rPr>
      </w:pPr>
    </w:p>
    <w:p w14:paraId="7D547126">
      <w:pPr>
        <w:spacing w:before="240" w:line="360" w:lineRule="auto"/>
        <w:jc w:val="center"/>
        <w:rPr>
          <w:rFonts w:ascii="Arial" w:hAnsi="Arial" w:cs="Arial"/>
          <w:b/>
          <w:sz w:val="24"/>
          <w:szCs w:val="24"/>
        </w:rPr>
      </w:pPr>
    </w:p>
    <w:p w14:paraId="459DDE8F">
      <w:pPr>
        <w:spacing w:before="240" w:line="360" w:lineRule="auto"/>
        <w:jc w:val="center"/>
        <w:rPr>
          <w:rFonts w:ascii="Arial" w:hAnsi="Arial" w:cs="Arial"/>
          <w:b/>
          <w:sz w:val="24"/>
          <w:szCs w:val="24"/>
        </w:rPr>
      </w:pPr>
    </w:p>
    <w:p w14:paraId="3662F015">
      <w:pPr>
        <w:spacing w:before="240" w:line="360" w:lineRule="auto"/>
        <w:jc w:val="center"/>
        <w:rPr>
          <w:rFonts w:ascii="Arial" w:hAnsi="Arial" w:cs="Arial"/>
          <w:b/>
          <w:sz w:val="24"/>
          <w:szCs w:val="24"/>
        </w:rPr>
      </w:pPr>
    </w:p>
    <w:p w14:paraId="1EAAB1D4">
      <w:pPr>
        <w:spacing w:before="240" w:line="360" w:lineRule="auto"/>
        <w:jc w:val="center"/>
        <w:rPr>
          <w:rFonts w:ascii="Arial" w:hAnsi="Arial" w:cs="Arial"/>
          <w:b/>
          <w:sz w:val="24"/>
          <w:szCs w:val="24"/>
        </w:rPr>
      </w:pPr>
    </w:p>
    <w:p w14:paraId="1F4A171C">
      <w:pPr>
        <w:spacing w:before="240" w:line="360" w:lineRule="auto"/>
        <w:jc w:val="both"/>
        <w:outlineLvl w:val="0"/>
        <w:rPr>
          <w:rFonts w:ascii="Arial" w:hAnsi="Arial" w:cs="Arial"/>
          <w:b/>
          <w:sz w:val="24"/>
          <w:szCs w:val="24"/>
        </w:rPr>
      </w:pPr>
    </w:p>
    <w:p w14:paraId="311F3E77">
      <w:pPr>
        <w:spacing w:before="240" w:line="360" w:lineRule="auto"/>
        <w:jc w:val="center"/>
        <w:outlineLvl w:val="0"/>
        <w:rPr>
          <w:rFonts w:ascii="Arial" w:hAnsi="Arial" w:cs="Arial"/>
          <w:b/>
          <w:sz w:val="24"/>
          <w:szCs w:val="24"/>
        </w:rPr>
      </w:pPr>
      <w:bookmarkStart w:id="15" w:name="_Toc213304986"/>
      <w:r>
        <w:rPr>
          <w:rFonts w:ascii="Arial" w:hAnsi="Arial" w:cs="Arial"/>
          <w:b/>
          <w:sz w:val="24"/>
          <w:szCs w:val="24"/>
        </w:rPr>
        <w:t>CHAPTER TWO</w:t>
      </w:r>
      <w:bookmarkEnd w:id="15"/>
    </w:p>
    <w:p w14:paraId="59E01CC4">
      <w:pPr>
        <w:spacing w:before="240" w:line="360" w:lineRule="auto"/>
        <w:jc w:val="both"/>
        <w:outlineLvl w:val="0"/>
        <w:rPr>
          <w:rFonts w:ascii="Arial" w:hAnsi="Arial" w:cs="Arial"/>
          <w:b/>
          <w:sz w:val="24"/>
          <w:szCs w:val="24"/>
        </w:rPr>
      </w:pPr>
      <w:r>
        <w:rPr>
          <w:rFonts w:ascii="Arial" w:hAnsi="Arial" w:cs="Arial"/>
          <w:b/>
          <w:sz w:val="24"/>
          <w:szCs w:val="24"/>
        </w:rPr>
        <w:t xml:space="preserve">                                              </w:t>
      </w:r>
      <w:bookmarkStart w:id="16" w:name="_Toc213304987"/>
      <w:r>
        <w:rPr>
          <w:rFonts w:ascii="Arial" w:hAnsi="Arial" w:cs="Arial"/>
          <w:b/>
          <w:sz w:val="24"/>
          <w:szCs w:val="24"/>
        </w:rPr>
        <w:t>LITERATURE REVIEW</w:t>
      </w:r>
      <w:bookmarkEnd w:id="16"/>
    </w:p>
    <w:p w14:paraId="50F9E056">
      <w:pPr>
        <w:spacing w:before="240" w:line="360" w:lineRule="auto"/>
        <w:jc w:val="both"/>
        <w:outlineLvl w:val="0"/>
        <w:rPr>
          <w:rFonts w:ascii="Arial" w:hAnsi="Arial" w:cs="Arial"/>
          <w:b/>
          <w:sz w:val="24"/>
          <w:szCs w:val="24"/>
        </w:rPr>
      </w:pPr>
      <w:bookmarkStart w:id="17" w:name="_Toc213304988"/>
      <w:r>
        <w:rPr>
          <w:rFonts w:ascii="Arial" w:hAnsi="Arial" w:cs="Arial"/>
          <w:b/>
          <w:sz w:val="24"/>
          <w:szCs w:val="24"/>
        </w:rPr>
        <w:t>2.1 Biolubricants</w:t>
      </w:r>
      <w:bookmarkEnd w:id="17"/>
    </w:p>
    <w:p w14:paraId="0A56667D">
      <w:pPr>
        <w:spacing w:before="240" w:line="360" w:lineRule="auto"/>
        <w:jc w:val="both"/>
        <w:rPr>
          <w:rFonts w:ascii="Arial" w:hAnsi="Arial" w:cs="Arial"/>
          <w:sz w:val="24"/>
          <w:szCs w:val="24"/>
        </w:rPr>
      </w:pPr>
      <w:r>
        <w:rPr>
          <w:rFonts w:ascii="Arial" w:hAnsi="Arial" w:cs="Arial"/>
          <w:sz w:val="24"/>
          <w:szCs w:val="24"/>
        </w:rPr>
        <w:t xml:space="preserve">Biolubricants are classified as sustainable lubricants due to their carbon neutral nature (Durango-Giraldo </w:t>
      </w:r>
      <w:r>
        <w:rPr>
          <w:rFonts w:ascii="Arial" w:hAnsi="Arial" w:cs="Arial"/>
          <w:i/>
          <w:sz w:val="24"/>
          <w:szCs w:val="24"/>
        </w:rPr>
        <w:t>et al</w:t>
      </w:r>
      <w:r>
        <w:rPr>
          <w:rFonts w:ascii="Arial" w:hAnsi="Arial" w:cs="Arial"/>
          <w:sz w:val="24"/>
          <w:szCs w:val="24"/>
        </w:rPr>
        <w:t xml:space="preserve">., 2021) it is expected that the bio lubricant market will rise by 15-20% in the next two decades (Almasi </w:t>
      </w:r>
      <w:r>
        <w:rPr>
          <w:rFonts w:ascii="Arial" w:hAnsi="Arial" w:cs="Arial"/>
          <w:i/>
          <w:sz w:val="24"/>
          <w:szCs w:val="24"/>
        </w:rPr>
        <w:t>et al</w:t>
      </w:r>
      <w:r>
        <w:rPr>
          <w:rFonts w:ascii="Arial" w:hAnsi="Arial" w:cs="Arial"/>
          <w:sz w:val="24"/>
          <w:szCs w:val="24"/>
        </w:rPr>
        <w:t xml:space="preserve">., 2021).  </w:t>
      </w:r>
      <w:r>
        <w:rPr>
          <w:rFonts w:ascii="Arial" w:hAnsi="Arial" w:cs="Arial"/>
          <w:sz w:val="24"/>
          <w:szCs w:val="24"/>
          <w:lang w:val="en-US"/>
        </w:rPr>
        <w:t>According to Verified Market Research the bio lubricants market was valued at USD 2.82 billion in 2018 and is expected to reach USD 3.63 billion by 2026, growing at a Compound Annual Growth Rate (CAGR) of 3.2% from 2019 to 2026. Asia and the Americas are also expected to have the highest growth rate in this sector between 2019 and 2024. These data show the growing industry interest in replacing petroleum-based lubricants with more environmentally friendly ones, and therefore the need to find solutions to concerns about production costs and other more functional aspects, including poor oxidation stability.</w:t>
      </w:r>
      <w:r>
        <w:rPr>
          <w:rFonts w:ascii="Arial" w:hAnsi="Arial" w:cs="Arial"/>
          <w:sz w:val="24"/>
          <w:szCs w:val="24"/>
        </w:rPr>
        <w:t xml:space="preserve"> Biolubricant are lubricant derived from renewable biological feedstock (mainly vegetable oils, animal fat, and waste cooking oil) or they chemical modified derivatises (e.g. polyol esters). Biolubricants act as antifriction agents which reduce the risks associated with machine failures and maintains optimum operations. They are essential for heat transfer, power transmission, lubrication, and corrosion inhibition in machinery (Amit </w:t>
      </w:r>
      <w:r>
        <w:rPr>
          <w:rFonts w:ascii="Arial" w:hAnsi="Arial" w:cs="Arial"/>
          <w:i/>
          <w:sz w:val="24"/>
          <w:szCs w:val="24"/>
        </w:rPr>
        <w:t>et al</w:t>
      </w:r>
      <w:r>
        <w:rPr>
          <w:rFonts w:ascii="Arial" w:hAnsi="Arial" w:cs="Arial"/>
          <w:sz w:val="24"/>
          <w:szCs w:val="24"/>
        </w:rPr>
        <w:t xml:space="preserve">., 2012). </w:t>
      </w:r>
    </w:p>
    <w:p w14:paraId="1F723F4A">
      <w:pPr>
        <w:spacing w:before="240" w:line="360" w:lineRule="auto"/>
        <w:ind w:firstLine="720"/>
        <w:jc w:val="both"/>
        <w:rPr>
          <w:rFonts w:ascii="Arial" w:hAnsi="Arial" w:cs="Arial"/>
          <w:sz w:val="24"/>
          <w:szCs w:val="24"/>
        </w:rPr>
      </w:pPr>
      <w:r>
        <w:rPr>
          <w:rFonts w:ascii="Arial" w:hAnsi="Arial" w:cs="Arial"/>
          <w:sz w:val="24"/>
          <w:szCs w:val="24"/>
        </w:rPr>
        <w:t xml:space="preserve">      The main purposes of bio lubrication are to protect the surfaces from corrosion, reduce oxidation, reduce wear due to contact, prevent heat loss from the surfaces in contact, act as insulator in transformer applications, as sealing agents (against dust, dirt and water), biodegradable, and improve efficiency of machines (Jamat </w:t>
      </w:r>
      <w:r>
        <w:rPr>
          <w:rFonts w:ascii="Arial" w:hAnsi="Arial" w:cs="Arial"/>
          <w:i/>
          <w:sz w:val="24"/>
          <w:szCs w:val="24"/>
        </w:rPr>
        <w:t>et al</w:t>
      </w:r>
      <w:r>
        <w:rPr>
          <w:rFonts w:ascii="Arial" w:hAnsi="Arial" w:cs="Arial"/>
          <w:sz w:val="24"/>
          <w:szCs w:val="24"/>
        </w:rPr>
        <w:t xml:space="preserve">., 2010; Amit </w:t>
      </w:r>
      <w:r>
        <w:rPr>
          <w:rFonts w:ascii="Arial" w:hAnsi="Arial" w:cs="Arial"/>
          <w:i/>
          <w:sz w:val="24"/>
          <w:szCs w:val="24"/>
        </w:rPr>
        <w:t>et al</w:t>
      </w:r>
      <w:r>
        <w:rPr>
          <w:rFonts w:ascii="Arial" w:hAnsi="Arial" w:cs="Arial"/>
          <w:sz w:val="24"/>
          <w:szCs w:val="24"/>
        </w:rPr>
        <w:t xml:space="preserve">., 2012; Dabai </w:t>
      </w:r>
      <w:r>
        <w:rPr>
          <w:rFonts w:ascii="Arial" w:hAnsi="Arial" w:cs="Arial"/>
          <w:i/>
          <w:sz w:val="24"/>
          <w:szCs w:val="24"/>
        </w:rPr>
        <w:t>et al</w:t>
      </w:r>
      <w:r>
        <w:rPr>
          <w:rFonts w:ascii="Arial" w:hAnsi="Arial" w:cs="Arial"/>
          <w:sz w:val="24"/>
          <w:szCs w:val="24"/>
        </w:rPr>
        <w:t xml:space="preserve">., 2018; Jeevan and Jayaram, 2018). The major property of any bio lubricant is viscosity, which is responsible for preventing friction between two surfaces in contact (Amit </w:t>
      </w:r>
      <w:r>
        <w:rPr>
          <w:rFonts w:ascii="Arial" w:hAnsi="Arial" w:cs="Arial"/>
          <w:i/>
          <w:sz w:val="24"/>
          <w:szCs w:val="24"/>
        </w:rPr>
        <w:t>et al</w:t>
      </w:r>
      <w:r>
        <w:rPr>
          <w:rFonts w:ascii="Arial" w:hAnsi="Arial" w:cs="Arial"/>
          <w:sz w:val="24"/>
          <w:szCs w:val="24"/>
        </w:rPr>
        <w:t xml:space="preserve">., 2012). Other important qualities of bio lubricants include temperature stability, prices, availability, environmental friendliness, toxicity, chemical stability, corrosiveness, flammability, and compatibility (Dabai </w:t>
      </w:r>
      <w:r>
        <w:rPr>
          <w:rFonts w:ascii="Arial" w:hAnsi="Arial" w:cs="Arial"/>
          <w:i/>
          <w:sz w:val="24"/>
          <w:szCs w:val="24"/>
        </w:rPr>
        <w:t>et al</w:t>
      </w:r>
      <w:r>
        <w:rPr>
          <w:rFonts w:ascii="Arial" w:hAnsi="Arial" w:cs="Arial"/>
          <w:sz w:val="24"/>
          <w:szCs w:val="24"/>
        </w:rPr>
        <w:t xml:space="preserve">., 2018; Jeevan and Jayaram, 2018). The common chemical-pre-treatment for the conversion of vegetable oils to bio lubricants is esterification of the free fatty acids with methanol in the presence of acidic catalysts, and subsequent transesterification of the produced methyl esters to bio lubricants using TMP (Endalew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2011; Tahira, 2012; Hassani, 2013). Jeevan and Jayaram (2018), observed that chemical modification of vegetable oils produced better lubricating effects and improved the lubricating oils’ affinity between metal surfaces in contact.</w:t>
      </w:r>
    </w:p>
    <w:p w14:paraId="378614BB">
      <w:pPr>
        <w:pStyle w:val="14"/>
        <w:numPr>
          <w:ilvl w:val="1"/>
          <w:numId w:val="2"/>
        </w:numPr>
        <w:spacing w:line="360" w:lineRule="auto"/>
        <w:jc w:val="both"/>
        <w:outlineLvl w:val="0"/>
        <w:rPr>
          <w:rFonts w:ascii="Arial" w:hAnsi="Arial" w:cs="Arial"/>
          <w:b/>
          <w:sz w:val="24"/>
          <w:szCs w:val="24"/>
        </w:rPr>
      </w:pPr>
      <w:bookmarkStart w:id="18" w:name="_Toc213304989"/>
      <w:r>
        <w:rPr>
          <w:rFonts w:ascii="Arial" w:hAnsi="Arial" w:cs="Arial"/>
          <w:b/>
          <w:sz w:val="24"/>
          <w:szCs w:val="24"/>
        </w:rPr>
        <w:t>Classification of Biolubricants</w:t>
      </w:r>
      <w:bookmarkEnd w:id="18"/>
      <w:r>
        <w:rPr>
          <w:rFonts w:ascii="Arial" w:hAnsi="Arial" w:cs="Arial"/>
          <w:b/>
          <w:sz w:val="24"/>
          <w:szCs w:val="24"/>
        </w:rPr>
        <w:t xml:space="preserve"> </w:t>
      </w:r>
    </w:p>
    <w:p w14:paraId="0B1F882B">
      <w:pPr>
        <w:spacing w:line="360" w:lineRule="auto"/>
        <w:jc w:val="both"/>
        <w:rPr>
          <w:rFonts w:ascii="Arial" w:hAnsi="Arial" w:cs="Arial"/>
          <w:sz w:val="24"/>
          <w:szCs w:val="24"/>
        </w:rPr>
      </w:pPr>
      <w:r>
        <w:rPr>
          <w:rFonts w:ascii="Arial" w:hAnsi="Arial" w:cs="Arial"/>
          <w:sz w:val="24"/>
          <w:szCs w:val="24"/>
        </w:rPr>
        <w:t>Biolubricants can be classified according to their chemical fluid composition in natural and synthetic oils. Natural oils are made using vegetable oils or animal fats, while synthetic oils use the natural oils as starting materials to form more advanced biolubricants</w:t>
      </w:r>
    </w:p>
    <w:p w14:paraId="59012EB0">
      <w:pPr>
        <w:spacing w:line="360" w:lineRule="auto"/>
        <w:jc w:val="both"/>
        <w:outlineLvl w:val="0"/>
        <w:rPr>
          <w:rFonts w:ascii="Arial" w:hAnsi="Arial" w:cs="Arial"/>
          <w:b/>
          <w:sz w:val="24"/>
          <w:szCs w:val="24"/>
        </w:rPr>
      </w:pPr>
      <w:bookmarkStart w:id="19" w:name="_Toc213304990"/>
      <w:r>
        <w:rPr>
          <w:rFonts w:ascii="Arial" w:hAnsi="Arial" w:cs="Arial"/>
          <w:b/>
          <w:sz w:val="24"/>
          <w:szCs w:val="24"/>
        </w:rPr>
        <w:t>2.2.1. Natural Oils</w:t>
      </w:r>
      <w:bookmarkEnd w:id="19"/>
    </w:p>
    <w:p w14:paraId="7FE6FAAB">
      <w:pPr>
        <w:spacing w:line="360" w:lineRule="auto"/>
        <w:jc w:val="both"/>
        <w:rPr>
          <w:rFonts w:ascii="Arial" w:hAnsi="Arial" w:cs="Arial"/>
          <w:sz w:val="24"/>
          <w:szCs w:val="24"/>
        </w:rPr>
      </w:pPr>
      <w:r>
        <w:rPr>
          <w:rFonts w:ascii="Arial" w:hAnsi="Arial" w:cs="Arial"/>
          <w:sz w:val="24"/>
          <w:szCs w:val="24"/>
        </w:rPr>
        <w:t xml:space="preserve">Natural oils are obtained from vegetables, fruits, or seeds, as well as fats obtained from animals and have been used as starting materials to obtain their respective oils through several extraction and distillation methods (Lovell </w:t>
      </w:r>
      <w:r>
        <w:rPr>
          <w:rFonts w:ascii="Arial" w:hAnsi="Arial" w:cs="Arial"/>
          <w:i/>
          <w:sz w:val="24"/>
          <w:szCs w:val="24"/>
        </w:rPr>
        <w:t>et al</w:t>
      </w:r>
      <w:r>
        <w:rPr>
          <w:rFonts w:ascii="Arial" w:hAnsi="Arial" w:cs="Arial"/>
          <w:sz w:val="24"/>
          <w:szCs w:val="24"/>
        </w:rPr>
        <w:t xml:space="preserve">., 2006; Duzcukoglu and Sahin, 2011). These oils are widely available, are inexpensive, and exhibit higher biodegradability than those obtained from mineral oils (Aluyor </w:t>
      </w:r>
      <w:r>
        <w:rPr>
          <w:rFonts w:ascii="Arial" w:hAnsi="Arial" w:cs="Arial"/>
          <w:i/>
          <w:sz w:val="24"/>
          <w:szCs w:val="24"/>
        </w:rPr>
        <w:t>et al</w:t>
      </w:r>
      <w:r>
        <w:rPr>
          <w:rFonts w:ascii="Arial" w:hAnsi="Arial" w:cs="Arial"/>
          <w:sz w:val="24"/>
          <w:szCs w:val="24"/>
        </w:rPr>
        <w:t xml:space="preserve">., 2009). Generally, the physicochemical properties of vegetable oils depend on the composition of free fatty acids. Natural oils display variable compositions, since both environmental and biological parameters strongly influence chemical composition (Gunstone, 2000). Nonetheless, some parameters of natural oils are generally better than those of traditional mineral oils (Lovell, et al., 2010; Karmakar </w:t>
      </w:r>
      <w:r>
        <w:rPr>
          <w:rFonts w:ascii="Arial" w:hAnsi="Arial" w:cs="Arial"/>
          <w:i/>
          <w:sz w:val="24"/>
          <w:szCs w:val="24"/>
        </w:rPr>
        <w:t>et al</w:t>
      </w:r>
      <w:r>
        <w:rPr>
          <w:rFonts w:ascii="Arial" w:hAnsi="Arial" w:cs="Arial"/>
          <w:sz w:val="24"/>
          <w:szCs w:val="24"/>
        </w:rPr>
        <w:t>., 2017). However, the use of these natural oils to synthesize bio lubricants is inconsistent, since most interfere with the food chain, thereby causing speculation regarding the prices of consumable vegetable oils and producing increased prices and social imbalances.</w:t>
      </w:r>
    </w:p>
    <w:p w14:paraId="4523DFDF">
      <w:pPr>
        <w:spacing w:line="360" w:lineRule="auto"/>
        <w:jc w:val="both"/>
        <w:outlineLvl w:val="0"/>
        <w:rPr>
          <w:rFonts w:ascii="Arial" w:hAnsi="Arial" w:cs="Arial"/>
          <w:b/>
          <w:sz w:val="24"/>
          <w:szCs w:val="24"/>
        </w:rPr>
      </w:pPr>
      <w:bookmarkStart w:id="20" w:name="_Toc213304991"/>
      <w:r>
        <w:rPr>
          <w:rFonts w:ascii="Arial" w:hAnsi="Arial" w:cs="Arial"/>
          <w:b/>
          <w:sz w:val="24"/>
          <w:szCs w:val="24"/>
        </w:rPr>
        <w:t>2.2.2. Synthetic Oils</w:t>
      </w:r>
      <w:bookmarkEnd w:id="20"/>
    </w:p>
    <w:p w14:paraId="2ACF1E83">
      <w:pPr>
        <w:spacing w:line="360" w:lineRule="auto"/>
        <w:jc w:val="both"/>
        <w:rPr>
          <w:rFonts w:ascii="Arial" w:hAnsi="Arial" w:cs="Arial"/>
          <w:sz w:val="24"/>
          <w:szCs w:val="24"/>
        </w:rPr>
      </w:pPr>
      <w:r>
        <w:rPr>
          <w:rFonts w:ascii="Arial" w:hAnsi="Arial" w:cs="Arial"/>
          <w:sz w:val="24"/>
          <w:szCs w:val="24"/>
        </w:rPr>
        <w:t xml:space="preserve">Synthetic esters are formed by chemical modification of plant-based oils or animal fats.  Among them, it was reported that ester synthesis, involving modification by microorganisms, alcohols, polyalcohols, polyglycols, perfluoroalkylethers, and other species, are able to graft to a natural oil (Backe, 1993). in such a way that the synthesized bio lubricant exhibited thermo-oxidative stability, wear resistance, and lubricity properties even greater than those exhibited by mineral oils (Kumar and Sharma 2008). However, synthetic esters also display several limitations, since chemical modification raises the price of the lubricant, slightly increases the volatility and toxicity, diminishes the friction tolerance, and the esters do not work well with mineral oils in comparison to unmodified vegetable oils (Chang </w:t>
      </w:r>
      <w:r>
        <w:rPr>
          <w:rFonts w:ascii="Arial" w:hAnsi="Arial" w:cs="Arial"/>
          <w:i/>
          <w:sz w:val="24"/>
          <w:szCs w:val="24"/>
        </w:rPr>
        <w:t>et al</w:t>
      </w:r>
      <w:r>
        <w:rPr>
          <w:rFonts w:ascii="Arial" w:hAnsi="Arial" w:cs="Arial"/>
          <w:sz w:val="24"/>
          <w:szCs w:val="24"/>
        </w:rPr>
        <w:t>., 2018).</w:t>
      </w:r>
    </w:p>
    <w:p w14:paraId="469E2E1C">
      <w:pPr>
        <w:spacing w:line="360" w:lineRule="auto"/>
        <w:jc w:val="both"/>
        <w:outlineLvl w:val="0"/>
        <w:rPr>
          <w:rFonts w:ascii="Arial" w:hAnsi="Arial" w:cs="Arial"/>
          <w:b/>
          <w:sz w:val="24"/>
          <w:szCs w:val="24"/>
        </w:rPr>
      </w:pPr>
      <w:bookmarkStart w:id="21" w:name="_Toc213304992"/>
      <w:r>
        <w:rPr>
          <w:rFonts w:ascii="Arial" w:hAnsi="Arial" w:cs="Arial"/>
          <w:b/>
          <w:sz w:val="24"/>
          <w:szCs w:val="24"/>
        </w:rPr>
        <w:t>2.3 Waste Cooking Oils</w:t>
      </w:r>
      <w:bookmarkEnd w:id="21"/>
    </w:p>
    <w:p w14:paraId="1004B243">
      <w:pPr>
        <w:spacing w:line="360" w:lineRule="auto"/>
        <w:jc w:val="both"/>
        <w:rPr>
          <w:rFonts w:ascii="Arial" w:hAnsi="Arial" w:cs="Arial"/>
          <w:sz w:val="24"/>
          <w:szCs w:val="24"/>
          <w:lang w:val="en-US"/>
        </w:rPr>
      </w:pPr>
      <w:r>
        <w:rPr>
          <w:rFonts w:ascii="Arial" w:hAnsi="Arial" w:cs="Arial"/>
          <w:sz w:val="24"/>
          <w:szCs w:val="24"/>
        </w:rPr>
        <w:t xml:space="preserve">Waste Cooking Oil (WCO) refers to fats and oils that have been used for cooking or frying in commercial or industrial food processing activities, including restaurants (Zhang </w:t>
      </w:r>
      <w:r>
        <w:rPr>
          <w:rFonts w:ascii="Arial" w:hAnsi="Arial" w:cs="Arial"/>
          <w:i/>
          <w:sz w:val="24"/>
          <w:szCs w:val="24"/>
        </w:rPr>
        <w:t>et al</w:t>
      </w:r>
      <w:r>
        <w:rPr>
          <w:rFonts w:ascii="Arial" w:hAnsi="Arial" w:cs="Arial"/>
          <w:sz w:val="24"/>
          <w:szCs w:val="24"/>
        </w:rPr>
        <w:t xml:space="preserve">., 2020). Used cooking oil (UCO) is also known as waste cooking oil. The repetitive use of vegetable oils for cooking meals in both commercial and home settings results in waste cooking oil. Waste cooking oil is made up of a range of vegetable oils, including sunflower, palm, rapeseed, soya, and others, and is generally combined (Zhang </w:t>
      </w:r>
      <w:r>
        <w:rPr>
          <w:rFonts w:ascii="Arial" w:hAnsi="Arial" w:cs="Arial"/>
          <w:i/>
          <w:sz w:val="24"/>
          <w:szCs w:val="24"/>
        </w:rPr>
        <w:t>et al</w:t>
      </w:r>
      <w:r>
        <w:rPr>
          <w:rFonts w:ascii="Arial" w:hAnsi="Arial" w:cs="Arial"/>
          <w:sz w:val="24"/>
          <w:szCs w:val="24"/>
        </w:rPr>
        <w:t xml:space="preserve">., 2020). Waste cooking oils are mostly made up of triglycerides, monoglycerides, diglycerides, and free fatty acids in varying amounts (5–20% by weight) that are produced during the frying process (Balasubramaniam </w:t>
      </w:r>
      <w:r>
        <w:rPr>
          <w:rFonts w:ascii="Arial" w:hAnsi="Arial" w:cs="Arial"/>
          <w:i/>
          <w:sz w:val="24"/>
          <w:szCs w:val="24"/>
        </w:rPr>
        <w:t>et al</w:t>
      </w:r>
      <w:r>
        <w:rPr>
          <w:rFonts w:ascii="Arial" w:hAnsi="Arial" w:cs="Arial"/>
          <w:sz w:val="24"/>
          <w:szCs w:val="24"/>
        </w:rPr>
        <w:t xml:space="preserve">., 2012).  The disposal of Waste cooking oil pollutes the environment. </w:t>
      </w:r>
      <w:r>
        <w:rPr>
          <w:rFonts w:ascii="Arial" w:hAnsi="Arial" w:cs="Arial"/>
          <w:sz w:val="24"/>
          <w:szCs w:val="24"/>
          <w:lang w:val="en-US"/>
        </w:rPr>
        <w:t xml:space="preserve">Using was te cooking oil (WCO) to produce bio-lubricant offers significant environmental and economic advantages by transforming a costly waste problem into a valuable resource. The benefits stem from creating a circular economy that turns environmental liabilities into sustainable opportunities. </w:t>
      </w:r>
    </w:p>
    <w:p w14:paraId="7341F57F">
      <w:pPr>
        <w:spacing w:line="360" w:lineRule="auto"/>
        <w:jc w:val="both"/>
        <w:rPr>
          <w:rFonts w:ascii="Arial" w:hAnsi="Arial" w:cs="Arial"/>
          <w:sz w:val="24"/>
          <w:szCs w:val="24"/>
          <w:lang w:val="en-US"/>
        </w:rPr>
      </w:pPr>
      <w:r>
        <w:rPr>
          <w:rFonts w:ascii="Arial" w:hAnsi="Arial" w:cs="Arial"/>
          <w:sz w:val="24"/>
          <w:szCs w:val="24"/>
          <w:lang w:val="en-US"/>
        </w:rPr>
        <w:t xml:space="preserve">          The valorization of waste cooking oil into biolubricants offers significant environmental and economic advantages, supporting a circular economy. From an environmental perspective, this process directly tackles pollution by diverting waste cooking oil from improper disposal, which is a major cause of water and soil contamination(Sharma, </w:t>
      </w:r>
      <w:r>
        <w:rPr>
          <w:rFonts w:ascii="Arial" w:hAnsi="Arial" w:cs="Arial"/>
          <w:i/>
          <w:sz w:val="24"/>
          <w:szCs w:val="24"/>
          <w:lang w:val="en-US"/>
        </w:rPr>
        <w:t>et</w:t>
      </w:r>
      <w:r>
        <w:rPr>
          <w:rFonts w:ascii="Arial" w:hAnsi="Arial" w:cs="Arial"/>
          <w:sz w:val="24"/>
          <w:szCs w:val="24"/>
          <w:lang w:val="en-US"/>
        </w:rPr>
        <w:t xml:space="preserve"> </w:t>
      </w:r>
      <w:r>
        <w:rPr>
          <w:rFonts w:ascii="Arial" w:hAnsi="Arial" w:cs="Arial"/>
          <w:i/>
          <w:sz w:val="24"/>
          <w:szCs w:val="24"/>
          <w:lang w:val="en-US"/>
        </w:rPr>
        <w:t>al</w:t>
      </w:r>
      <w:r>
        <w:rPr>
          <w:rFonts w:ascii="Arial" w:hAnsi="Arial" w:cs="Arial"/>
          <w:sz w:val="24"/>
          <w:szCs w:val="24"/>
          <w:lang w:val="en-US"/>
        </w:rPr>
        <w:t xml:space="preserve">., 2025). The resulting biolubricants are more biodegradable and less toxic than persistent petroleum based lubricants, leading to a lower ecological impact(Teh, </w:t>
      </w:r>
      <w:r>
        <w:rPr>
          <w:rFonts w:ascii="Arial" w:hAnsi="Arial" w:cs="Arial"/>
          <w:i/>
          <w:sz w:val="24"/>
          <w:szCs w:val="24"/>
          <w:lang w:val="en-US"/>
        </w:rPr>
        <w:t>et</w:t>
      </w:r>
      <w:r>
        <w:rPr>
          <w:rFonts w:ascii="Arial" w:hAnsi="Arial" w:cs="Arial"/>
          <w:sz w:val="24"/>
          <w:szCs w:val="24"/>
          <w:lang w:val="en-US"/>
        </w:rPr>
        <w:t xml:space="preserve"> </w:t>
      </w:r>
      <w:r>
        <w:rPr>
          <w:rFonts w:ascii="Arial" w:hAnsi="Arial" w:cs="Arial"/>
          <w:i/>
          <w:sz w:val="24"/>
          <w:szCs w:val="24"/>
          <w:lang w:val="en-US"/>
        </w:rPr>
        <w:t>al</w:t>
      </w:r>
      <w:r>
        <w:rPr>
          <w:rFonts w:ascii="Arial" w:hAnsi="Arial" w:cs="Arial"/>
          <w:sz w:val="24"/>
          <w:szCs w:val="24"/>
          <w:lang w:val="en-US"/>
        </w:rPr>
        <w:t xml:space="preserve">.,2025). Economically, waste cooking oil provides a low cost  raw material for lubricant production, which can significantly reduce base oil costs(PMC, 2020; Jahromi,2023). This model creates new revenue streams for resturants, recyclers, and other waste cooking oil producers, while simultaneously cutting the expenses associated with waste management and disposal(Sharma, </w:t>
      </w:r>
      <w:r>
        <w:rPr>
          <w:rFonts w:ascii="Arial" w:hAnsi="Arial" w:cs="Arial"/>
          <w:i/>
          <w:sz w:val="24"/>
          <w:szCs w:val="24"/>
          <w:lang w:val="en-US"/>
        </w:rPr>
        <w:t>et</w:t>
      </w:r>
      <w:r>
        <w:rPr>
          <w:rFonts w:ascii="Arial" w:hAnsi="Arial" w:cs="Arial"/>
          <w:sz w:val="24"/>
          <w:szCs w:val="24"/>
          <w:lang w:val="en-US"/>
        </w:rPr>
        <w:t xml:space="preserve"> </w:t>
      </w:r>
      <w:r>
        <w:rPr>
          <w:rFonts w:ascii="Arial" w:hAnsi="Arial" w:cs="Arial"/>
          <w:i/>
          <w:sz w:val="24"/>
          <w:szCs w:val="24"/>
          <w:lang w:val="en-US"/>
        </w:rPr>
        <w:t>al</w:t>
      </w:r>
      <w:r>
        <w:rPr>
          <w:rFonts w:ascii="Arial" w:hAnsi="Arial" w:cs="Arial"/>
          <w:sz w:val="24"/>
          <w:szCs w:val="24"/>
          <w:lang w:val="en-US"/>
        </w:rPr>
        <w:t xml:space="preserve">., 2025). The market for these biolubricants is experiencing growth, driven by tightening environmental regulations and rising consumer demand for sustainable, green products(Teh, </w:t>
      </w:r>
      <w:r>
        <w:rPr>
          <w:rFonts w:ascii="Arial" w:hAnsi="Arial" w:cs="Arial"/>
          <w:i/>
          <w:sz w:val="24"/>
          <w:szCs w:val="24"/>
          <w:lang w:val="en-US"/>
        </w:rPr>
        <w:t>et</w:t>
      </w:r>
      <w:r>
        <w:rPr>
          <w:rFonts w:ascii="Arial" w:hAnsi="Arial" w:cs="Arial"/>
          <w:sz w:val="24"/>
          <w:szCs w:val="24"/>
          <w:lang w:val="en-US"/>
        </w:rPr>
        <w:t xml:space="preserve"> </w:t>
      </w:r>
      <w:r>
        <w:rPr>
          <w:rFonts w:ascii="Arial" w:hAnsi="Arial" w:cs="Arial"/>
          <w:i/>
          <w:sz w:val="24"/>
          <w:szCs w:val="24"/>
          <w:lang w:val="en-US"/>
        </w:rPr>
        <w:t>al</w:t>
      </w:r>
      <w:r>
        <w:rPr>
          <w:rFonts w:ascii="Arial" w:hAnsi="Arial" w:cs="Arial"/>
          <w:sz w:val="24"/>
          <w:szCs w:val="24"/>
          <w:lang w:val="en-US"/>
        </w:rPr>
        <w:t xml:space="preserve">., 2025; Mannu, </w:t>
      </w:r>
      <w:r>
        <w:rPr>
          <w:rFonts w:ascii="Arial" w:hAnsi="Arial" w:cs="Arial"/>
          <w:i/>
          <w:sz w:val="24"/>
          <w:szCs w:val="24"/>
          <w:lang w:val="en-US"/>
        </w:rPr>
        <w:t>et</w:t>
      </w:r>
      <w:r>
        <w:rPr>
          <w:rFonts w:ascii="Arial" w:hAnsi="Arial" w:cs="Arial"/>
          <w:sz w:val="24"/>
          <w:szCs w:val="24"/>
          <w:lang w:val="en-US"/>
        </w:rPr>
        <w:t xml:space="preserve"> </w:t>
      </w:r>
      <w:r>
        <w:rPr>
          <w:rFonts w:ascii="Arial" w:hAnsi="Arial" w:cs="Arial"/>
          <w:i/>
          <w:sz w:val="24"/>
          <w:szCs w:val="24"/>
          <w:lang w:val="en-US"/>
        </w:rPr>
        <w:t>al</w:t>
      </w:r>
      <w:r>
        <w:rPr>
          <w:rFonts w:ascii="Arial" w:hAnsi="Arial" w:cs="Arial"/>
          <w:sz w:val="24"/>
          <w:szCs w:val="24"/>
          <w:lang w:val="en-US"/>
        </w:rPr>
        <w:t>., 2025).</w:t>
      </w:r>
    </w:p>
    <w:p w14:paraId="4C207A57">
      <w:pPr>
        <w:spacing w:line="360" w:lineRule="auto"/>
        <w:jc w:val="both"/>
        <w:outlineLvl w:val="0"/>
        <w:rPr>
          <w:rFonts w:ascii="Arial" w:hAnsi="Arial" w:cs="Arial"/>
          <w:b/>
          <w:sz w:val="24"/>
          <w:szCs w:val="24"/>
          <w:lang w:val="en-US"/>
        </w:rPr>
      </w:pPr>
      <w:bookmarkStart w:id="22" w:name="_Toc213304993"/>
      <w:r>
        <w:rPr>
          <w:rFonts w:ascii="Arial" w:hAnsi="Arial" w:cs="Arial"/>
          <w:b/>
          <w:sz w:val="24"/>
          <w:szCs w:val="24"/>
          <w:lang w:val="en-US"/>
        </w:rPr>
        <w:t>2.4 Merits of using biolubricants</w:t>
      </w:r>
      <w:bookmarkEnd w:id="22"/>
    </w:p>
    <w:p w14:paraId="24D27302">
      <w:pPr>
        <w:spacing w:before="240" w:line="360" w:lineRule="auto"/>
        <w:jc w:val="both"/>
        <w:rPr>
          <w:rFonts w:ascii="Arial" w:hAnsi="Arial" w:cs="Arial"/>
          <w:sz w:val="24"/>
          <w:szCs w:val="24"/>
        </w:rPr>
      </w:pPr>
      <w:r>
        <w:rPr>
          <w:rFonts w:ascii="Arial" w:hAnsi="Arial" w:cs="Arial"/>
          <w:sz w:val="24"/>
          <w:szCs w:val="24"/>
          <w:lang w:val="en-US"/>
        </w:rPr>
        <w:t xml:space="preserve">Biolubricants have excellent lubricity, higher viscosity, have been reported to produce fewer emission due to higher boiling temperature ranges of esters, lower volatility, higher flash point, less dermatological problems both to humans and animals, and are biodegradable </w:t>
      </w:r>
      <w:r>
        <w:rPr>
          <w:rFonts w:ascii="Arial" w:hAnsi="Arial" w:cs="Arial"/>
          <w:sz w:val="24"/>
          <w:szCs w:val="24"/>
        </w:rPr>
        <w:t>(Tirth, 2017; Muhammad, 2018).</w:t>
      </w:r>
    </w:p>
    <w:p w14:paraId="43F69786">
      <w:pPr>
        <w:spacing w:before="240" w:line="360" w:lineRule="auto"/>
        <w:jc w:val="both"/>
        <w:outlineLvl w:val="0"/>
        <w:rPr>
          <w:rFonts w:ascii="Arial" w:hAnsi="Arial" w:cs="Arial"/>
          <w:b/>
          <w:sz w:val="24"/>
          <w:szCs w:val="24"/>
          <w:lang w:val="en-US"/>
        </w:rPr>
      </w:pPr>
      <w:bookmarkStart w:id="23" w:name="_Toc213304994"/>
      <w:r>
        <w:rPr>
          <w:rFonts w:ascii="Arial" w:hAnsi="Arial" w:cs="Arial"/>
          <w:b/>
          <w:sz w:val="24"/>
          <w:szCs w:val="24"/>
          <w:lang w:val="en-US"/>
        </w:rPr>
        <w:t>2.5 Demerits of using biolubricants</w:t>
      </w:r>
      <w:bookmarkEnd w:id="23"/>
    </w:p>
    <w:p w14:paraId="7AE89C7A">
      <w:pPr>
        <w:tabs>
          <w:tab w:val="left" w:pos="3420"/>
        </w:tabs>
        <w:spacing w:before="240" w:line="360" w:lineRule="auto"/>
        <w:jc w:val="both"/>
        <w:rPr>
          <w:rFonts w:ascii="Arial" w:hAnsi="Arial" w:cs="Arial"/>
          <w:b/>
          <w:sz w:val="24"/>
          <w:szCs w:val="24"/>
        </w:rPr>
      </w:pPr>
      <w:r>
        <w:rPr>
          <w:rFonts w:ascii="Arial" w:hAnsi="Arial" w:cs="Arial"/>
          <w:sz w:val="24"/>
          <w:szCs w:val="24"/>
          <w:lang w:val="en-US"/>
        </w:rPr>
        <w:t>Previous researches revealed that the major concerns with the use of biolubricants are their poor resistance to thermal and oxidative degradation owing to the presence of acyl group in their molecules (glycol backbone in oil give rise to a tertiary β-hydrogen that is thermally unstable)</w:t>
      </w:r>
      <w:r>
        <w:rPr>
          <w:rFonts w:ascii="Arial" w:hAnsi="Arial" w:cs="Arial"/>
          <w:sz w:val="24"/>
          <w:szCs w:val="24"/>
        </w:rPr>
        <w:t xml:space="preserve"> (</w:t>
      </w:r>
      <w:bookmarkStart w:id="24" w:name="_Hlk212372485"/>
      <w:r>
        <w:rPr>
          <w:rFonts w:ascii="Arial" w:hAnsi="Arial" w:cs="Arial"/>
          <w:sz w:val="24"/>
          <w:szCs w:val="24"/>
        </w:rPr>
        <w:t>Tirth, 2017; Jeevan and Jayaram, 2018</w:t>
      </w:r>
      <w:bookmarkEnd w:id="24"/>
      <w:r>
        <w:rPr>
          <w:rFonts w:ascii="Arial" w:hAnsi="Arial" w:cs="Arial"/>
          <w:sz w:val="24"/>
          <w:szCs w:val="24"/>
        </w:rPr>
        <w:t xml:space="preserve">). it was also reported that low thermal and oxidative property of vegetable oils is caused by methylene interrupted poly unsaturation (Dabai, </w:t>
      </w:r>
      <w:r>
        <w:rPr>
          <w:rFonts w:ascii="Arial" w:hAnsi="Arial" w:cs="Arial"/>
          <w:i/>
          <w:sz w:val="24"/>
          <w:szCs w:val="24"/>
        </w:rPr>
        <w:t>et al</w:t>
      </w:r>
      <w:r>
        <w:rPr>
          <w:rFonts w:ascii="Arial" w:hAnsi="Arial" w:cs="Arial"/>
          <w:sz w:val="24"/>
          <w:szCs w:val="24"/>
        </w:rPr>
        <w:t xml:space="preserve">., 2018; Jeevan and Jayaram, 2018). Biolubricant also have poor low temperature properties due to the formation of macro crystalline structures (at low temperature through uniform stacking of triglycerides back bones) which limit the easy flow of the fluids due to loss of kinetic energy of the molecules during the self-stacking (Weimin and Xiaobo 2015). The presence of ester group was also found to be responsible for low-temperature fluidity and reduced volatility at high temperatures in bio lubricants (Jumat, </w:t>
      </w:r>
      <w:r>
        <w:rPr>
          <w:rFonts w:ascii="Arial" w:hAnsi="Arial" w:cs="Arial"/>
          <w:i/>
          <w:sz w:val="24"/>
          <w:szCs w:val="24"/>
        </w:rPr>
        <w:t>et al.,</w:t>
      </w:r>
      <w:r>
        <w:rPr>
          <w:rFonts w:ascii="Arial" w:hAnsi="Arial" w:cs="Arial"/>
          <w:sz w:val="24"/>
          <w:szCs w:val="24"/>
        </w:rPr>
        <w:t xml:space="preserve"> 2014). </w:t>
      </w:r>
      <w:r>
        <w:rPr>
          <w:rFonts w:ascii="Arial" w:hAnsi="Arial" w:cs="Arial"/>
          <w:sz w:val="24"/>
          <w:szCs w:val="24"/>
          <w:lang w:val="en-US"/>
        </w:rPr>
        <w:t>Further reviews confirmed that for suitability as bio lubricant, a fluid should contain properties such as biodegradability, cleanliness (particle count), less water content, poor acidity, high viscosity, homogeneity, low volatility, high oxidative stability, and elastomer compatibility</w:t>
      </w:r>
      <w:r>
        <w:rPr>
          <w:rFonts w:ascii="Arial" w:hAnsi="Arial" w:cs="Arial"/>
          <w:sz w:val="24"/>
          <w:szCs w:val="24"/>
        </w:rPr>
        <w:t xml:space="preserve"> (Tirth </w:t>
      </w:r>
      <w:r>
        <w:rPr>
          <w:rFonts w:ascii="Arial" w:hAnsi="Arial" w:cs="Arial"/>
          <w:i/>
          <w:sz w:val="24"/>
          <w:szCs w:val="24"/>
        </w:rPr>
        <w:t>et al</w:t>
      </w:r>
      <w:r>
        <w:rPr>
          <w:rFonts w:ascii="Arial" w:hAnsi="Arial" w:cs="Arial"/>
          <w:sz w:val="24"/>
          <w:szCs w:val="24"/>
        </w:rPr>
        <w:t xml:space="preserve">., 2017; Jagadeesh </w:t>
      </w:r>
      <w:r>
        <w:rPr>
          <w:rFonts w:ascii="Arial" w:hAnsi="Arial" w:cs="Arial"/>
          <w:i/>
          <w:sz w:val="24"/>
          <w:szCs w:val="24"/>
        </w:rPr>
        <w:t>et al</w:t>
      </w:r>
      <w:r>
        <w:rPr>
          <w:rFonts w:ascii="Arial" w:hAnsi="Arial" w:cs="Arial"/>
          <w:sz w:val="24"/>
          <w:szCs w:val="24"/>
        </w:rPr>
        <w:t>., 2018).</w:t>
      </w:r>
      <w:bookmarkStart w:id="25" w:name="_Toc213304995"/>
    </w:p>
    <w:p w14:paraId="6320332C">
      <w:pPr>
        <w:spacing w:line="360" w:lineRule="auto"/>
        <w:jc w:val="both"/>
        <w:outlineLvl w:val="0"/>
        <w:rPr>
          <w:rFonts w:ascii="Arial" w:hAnsi="Arial" w:cs="Arial"/>
          <w:b/>
          <w:sz w:val="24"/>
          <w:szCs w:val="24"/>
        </w:rPr>
      </w:pPr>
    </w:p>
    <w:p w14:paraId="5EF50D3F">
      <w:pPr>
        <w:spacing w:line="360" w:lineRule="auto"/>
        <w:jc w:val="both"/>
        <w:outlineLvl w:val="0"/>
        <w:rPr>
          <w:rFonts w:ascii="Arial" w:hAnsi="Arial" w:cs="Arial"/>
          <w:b/>
          <w:sz w:val="24"/>
          <w:szCs w:val="24"/>
        </w:rPr>
      </w:pPr>
      <w:r>
        <w:rPr>
          <w:rFonts w:ascii="Arial" w:hAnsi="Arial" w:cs="Arial"/>
          <w:b/>
          <w:sz w:val="24"/>
          <w:szCs w:val="24"/>
        </w:rPr>
        <w:t>2.6 Applications of bio lubricants</w:t>
      </w:r>
      <w:bookmarkEnd w:id="25"/>
    </w:p>
    <w:p w14:paraId="78B4C1D3">
      <w:pPr>
        <w:spacing w:line="360" w:lineRule="auto"/>
        <w:jc w:val="both"/>
        <w:rPr>
          <w:rFonts w:ascii="Arial" w:hAnsi="Arial" w:cs="Arial"/>
          <w:sz w:val="24"/>
          <w:szCs w:val="24"/>
        </w:rPr>
      </w:pPr>
      <w:r>
        <w:rPr>
          <w:rFonts w:ascii="Arial" w:hAnsi="Arial" w:cs="Arial"/>
          <w:sz w:val="24"/>
          <w:szCs w:val="24"/>
        </w:rPr>
        <w:t xml:space="preserve">Bio lubricants have been utilized for various maintenance and industrial applications (Abdullah </w:t>
      </w:r>
      <w:r>
        <w:rPr>
          <w:rFonts w:ascii="Arial" w:hAnsi="Arial" w:cs="Arial"/>
          <w:i/>
          <w:sz w:val="24"/>
          <w:szCs w:val="24"/>
        </w:rPr>
        <w:t>et al</w:t>
      </w:r>
      <w:r>
        <w:rPr>
          <w:rFonts w:ascii="Arial" w:hAnsi="Arial" w:cs="Arial"/>
          <w:sz w:val="24"/>
          <w:szCs w:val="24"/>
        </w:rPr>
        <w:t xml:space="preserve">., 2016; Masood </w:t>
      </w:r>
      <w:r>
        <w:rPr>
          <w:rFonts w:ascii="Arial" w:hAnsi="Arial" w:cs="Arial"/>
          <w:i/>
          <w:sz w:val="24"/>
          <w:szCs w:val="24"/>
        </w:rPr>
        <w:t>et al</w:t>
      </w:r>
      <w:r>
        <w:rPr>
          <w:rFonts w:ascii="Arial" w:hAnsi="Arial" w:cs="Arial"/>
          <w:sz w:val="24"/>
          <w:szCs w:val="24"/>
        </w:rPr>
        <w:t xml:space="preserve">., 2012). Bio lubricants have found great uses in machines that loose oil directly into the environment during operations (Total Loss Lubricants) and in machinery used in machinery used in environmentally sensitive areas such as water treatment and food processing (Gobinda, </w:t>
      </w:r>
      <w:r>
        <w:rPr>
          <w:rFonts w:ascii="Arial" w:hAnsi="Arial" w:cs="Arial"/>
          <w:i/>
          <w:sz w:val="24"/>
          <w:szCs w:val="24"/>
        </w:rPr>
        <w:t>et al.,</w:t>
      </w:r>
      <w:r>
        <w:rPr>
          <w:rFonts w:ascii="Arial" w:hAnsi="Arial" w:cs="Arial"/>
          <w:sz w:val="24"/>
          <w:szCs w:val="24"/>
        </w:rPr>
        <w:t xml:space="preserve"> 2017). Generally, bio lubricants are being used as hydraulic fluids in power equipment’s, two-stroke engines (Gobinda, </w:t>
      </w:r>
      <w:r>
        <w:rPr>
          <w:rFonts w:ascii="Arial" w:hAnsi="Arial" w:cs="Arial"/>
          <w:i/>
          <w:sz w:val="24"/>
          <w:szCs w:val="24"/>
        </w:rPr>
        <w:t>et al</w:t>
      </w:r>
      <w:r>
        <w:rPr>
          <w:rFonts w:ascii="Arial" w:hAnsi="Arial" w:cs="Arial"/>
          <w:sz w:val="24"/>
          <w:szCs w:val="24"/>
        </w:rPr>
        <w:t xml:space="preserve">., 2017; Sunny and Madhu, 2014), air-craft jet engine, metalworking fluids, boat engines, chain saw oils, drilling fluids used for geological explorations, marines, greases, and railroad flanges. Other applications include concrete mould release agent, dust suppressants, cutting fluids, and gear oils (Jain, and Suhane, 2013). </w:t>
      </w:r>
    </w:p>
    <w:p w14:paraId="0C58E850">
      <w:pPr>
        <w:spacing w:line="360" w:lineRule="auto"/>
        <w:jc w:val="both"/>
        <w:outlineLvl w:val="0"/>
        <w:rPr>
          <w:rFonts w:ascii="Arial" w:hAnsi="Arial" w:cs="Arial"/>
          <w:b/>
          <w:sz w:val="24"/>
          <w:szCs w:val="24"/>
        </w:rPr>
      </w:pPr>
      <w:bookmarkStart w:id="26" w:name="_Toc213304996"/>
      <w:r>
        <w:rPr>
          <w:rFonts w:ascii="Arial" w:hAnsi="Arial" w:cs="Arial"/>
          <w:b/>
          <w:sz w:val="24"/>
          <w:szCs w:val="24"/>
        </w:rPr>
        <w:t>2.7. Transesterification Process</w:t>
      </w:r>
      <w:bookmarkEnd w:id="26"/>
    </w:p>
    <w:p w14:paraId="4823ECAC">
      <w:pPr>
        <w:spacing w:line="360" w:lineRule="auto"/>
        <w:jc w:val="both"/>
        <w:rPr>
          <w:rFonts w:ascii="Arial" w:hAnsi="Arial" w:cs="Arial"/>
          <w:sz w:val="24"/>
          <w:szCs w:val="24"/>
        </w:rPr>
      </w:pPr>
      <w:r>
        <w:rPr>
          <w:rFonts w:ascii="Arial" w:hAnsi="Arial" w:cs="Arial"/>
          <w:sz w:val="24"/>
          <w:szCs w:val="24"/>
        </w:rPr>
        <w:t xml:space="preserve">It is the most conventional method of producing bio lubricant due to the fact that this method is relatively easy, carried out at normal conditions and gives the best conversion efficiency and quality of the converted fuel (Gashaw et al., 2015).  The transesterification reaction is a reversible reaction and is represented by the general equation as in the following equation (1). However, the presence of a catalyst (a strong acid or base) will accelerate the conversion (Schuchardt et al.,1998). The transesterification reaction is a two staged process. The first stage process is the reaction in which the triglyceride molecule reacts with primary short chain alcohol such as methanol\ethanol to form another alcohol and mixtures of fatty acid methyl esters. It is worth knowing that methanol is preferred alcohol due to it inherit physicochemical attributes such as being easily dissolved in potassium hydroxide (KOH) solution and its fast triglyceride reaction (Ma and Hanna 1999) The second stage transesterification process is the reaction of the vegetable oil derived methyl esters with polyols, to produce triesters (bio lubricants). </w:t>
      </w:r>
    </w:p>
    <w:p w14:paraId="67037903">
      <w:pPr>
        <w:spacing w:line="360" w:lineRule="auto"/>
        <w:jc w:val="both"/>
        <w:rPr>
          <w:rFonts w:ascii="Arial" w:hAnsi="Arial" w:cs="Arial"/>
          <w:sz w:val="24"/>
          <w:szCs w:val="24"/>
        </w:rPr>
      </w:pPr>
      <w:r>
        <w:rPr>
          <w:rFonts w:ascii="Arial" w:hAnsi="Arial" w:cs="Arial"/>
          <w:sz w:val="24"/>
          <w:szCs w:val="24"/>
        </w:rPr>
        <w:t xml:space="preserve">Triglycerides+ Methanol   </w:t>
      </w:r>
      <w:r>
        <w:rPr>
          <w:rFonts w:ascii="Arial" w:hAnsi="Arial" w:cs="Arial"/>
          <w:sz w:val="36"/>
          <w:szCs w:val="36"/>
        </w:rPr>
        <w:t>→</w:t>
      </w:r>
      <w:r>
        <w:rPr>
          <w:rFonts w:ascii="Arial" w:hAnsi="Arial" w:cs="Arial"/>
          <w:sz w:val="24"/>
          <w:szCs w:val="24"/>
        </w:rPr>
        <w:t xml:space="preserve">      Glycerol+ Methyl esters (equation 1)</w:t>
      </w:r>
    </w:p>
    <w:p w14:paraId="70100AC3">
      <w:pPr>
        <w:spacing w:line="360" w:lineRule="auto"/>
        <w:jc w:val="both"/>
        <w:rPr>
          <w:rFonts w:ascii="Arial" w:hAnsi="Arial" w:cs="Arial"/>
          <w:sz w:val="24"/>
          <w:szCs w:val="24"/>
        </w:rPr>
      </w:pPr>
    </w:p>
    <w:p w14:paraId="75279F34">
      <w:pPr>
        <w:spacing w:line="360" w:lineRule="auto"/>
        <w:jc w:val="both"/>
        <w:rPr>
          <w:rFonts w:ascii="Arial" w:hAnsi="Arial" w:cs="Arial"/>
          <w:sz w:val="24"/>
          <w:szCs w:val="24"/>
        </w:rPr>
      </w:pPr>
      <w:r>
        <w:rPr>
          <w:rFonts w:ascii="Arial" w:hAnsi="Arial" w:cs="Arial"/>
          <w:b/>
          <w:sz w:val="24"/>
          <w:szCs w:val="24"/>
        </w:rPr>
        <w:t xml:space="preserve">                                                </w:t>
      </w:r>
      <w:r>
        <w:rPr>
          <w:rFonts w:hint="default" w:ascii="Arial" w:hAnsi="Arial" w:cs="Arial"/>
          <w:b/>
          <w:sz w:val="24"/>
          <w:szCs w:val="24"/>
          <w:lang w:val="en-US"/>
        </w:rPr>
        <w:t xml:space="preserve"> </w:t>
      </w:r>
      <w:r>
        <w:rPr>
          <w:rFonts w:ascii="Arial" w:hAnsi="Arial" w:cs="Arial"/>
          <w:b/>
          <w:sz w:val="24"/>
          <w:szCs w:val="24"/>
        </w:rPr>
        <w:t>CHAPTER THREE</w:t>
      </w:r>
    </w:p>
    <w:p w14:paraId="0A311B54">
      <w:pPr>
        <w:spacing w:line="360" w:lineRule="auto"/>
        <w:jc w:val="both"/>
        <w:outlineLvl w:val="0"/>
        <w:rPr>
          <w:rFonts w:ascii="Arial" w:hAnsi="Arial" w:cs="Arial"/>
          <w:b/>
          <w:sz w:val="24"/>
          <w:szCs w:val="24"/>
        </w:rPr>
      </w:pPr>
      <w:r>
        <w:rPr>
          <w:rFonts w:ascii="Arial" w:hAnsi="Arial" w:cs="Arial"/>
          <w:b/>
          <w:sz w:val="24"/>
          <w:szCs w:val="24"/>
        </w:rPr>
        <w:t xml:space="preserve">                                           </w:t>
      </w:r>
      <w:bookmarkStart w:id="27" w:name="_Toc213304997"/>
      <w:r>
        <w:rPr>
          <w:rFonts w:ascii="Arial" w:hAnsi="Arial" w:cs="Arial"/>
          <w:b/>
          <w:sz w:val="24"/>
          <w:szCs w:val="24"/>
        </w:rPr>
        <w:t>MATERIALS AND METHODS</w:t>
      </w:r>
      <w:bookmarkEnd w:id="27"/>
    </w:p>
    <w:p w14:paraId="7AD3B27A">
      <w:pPr>
        <w:spacing w:line="360" w:lineRule="auto"/>
        <w:jc w:val="both"/>
        <w:rPr>
          <w:rFonts w:ascii="Arial" w:hAnsi="Arial" w:cs="Arial"/>
          <w:b/>
          <w:sz w:val="24"/>
          <w:szCs w:val="24"/>
        </w:rPr>
      </w:pPr>
      <w:r>
        <w:rPr>
          <w:rFonts w:ascii="Arial" w:hAnsi="Arial" w:cs="Arial"/>
          <w:b/>
          <w:sz w:val="24"/>
          <w:szCs w:val="24"/>
        </w:rPr>
        <w:t>3.1 Materials</w:t>
      </w:r>
    </w:p>
    <w:p w14:paraId="683D5ED4">
      <w:pPr>
        <w:spacing w:line="360" w:lineRule="auto"/>
        <w:jc w:val="both"/>
        <w:outlineLvl w:val="0"/>
        <w:rPr>
          <w:rFonts w:ascii="Arial" w:hAnsi="Arial" w:cs="Arial"/>
          <w:b/>
          <w:sz w:val="24"/>
          <w:szCs w:val="24"/>
        </w:rPr>
      </w:pPr>
      <w:bookmarkStart w:id="28" w:name="_Toc213304998"/>
      <w:r>
        <w:rPr>
          <w:rFonts w:ascii="Arial" w:hAnsi="Arial" w:cs="Arial"/>
          <w:b/>
          <w:sz w:val="24"/>
          <w:szCs w:val="24"/>
        </w:rPr>
        <w:t>3.1.1 Apparatus\Equipment</w:t>
      </w:r>
      <w:bookmarkEnd w:id="28"/>
      <w:r>
        <w:rPr>
          <w:rFonts w:ascii="Arial" w:hAnsi="Arial" w:cs="Arial"/>
          <w:b/>
          <w:sz w:val="24"/>
          <w:szCs w:val="24"/>
        </w:rPr>
        <w:t xml:space="preserve"> </w:t>
      </w:r>
    </w:p>
    <w:p w14:paraId="60BBA6B2">
      <w:pPr>
        <w:spacing w:line="360" w:lineRule="auto"/>
        <w:jc w:val="both"/>
        <w:rPr>
          <w:rFonts w:ascii="Arial" w:hAnsi="Arial" w:cs="Arial"/>
          <w:sz w:val="24"/>
          <w:szCs w:val="24"/>
        </w:rPr>
      </w:pPr>
      <w:r>
        <w:rPr>
          <w:rFonts w:ascii="Arial" w:hAnsi="Arial" w:cs="Arial"/>
          <w:sz w:val="24"/>
          <w:szCs w:val="24"/>
        </w:rPr>
        <w:t xml:space="preserve">The apparatus used for this research are as follows in the table below with their model and manufacturers: </w:t>
      </w:r>
    </w:p>
    <w:p w14:paraId="0C1CFFC6">
      <w:pPr>
        <w:spacing w:line="360" w:lineRule="auto"/>
        <w:jc w:val="both"/>
        <w:rPr>
          <w:rFonts w:ascii="Arial" w:hAnsi="Arial" w:cs="Arial"/>
          <w:sz w:val="24"/>
          <w:szCs w:val="24"/>
        </w:rPr>
      </w:pPr>
      <w:r>
        <w:rPr>
          <w:rFonts w:ascii="Arial" w:hAnsi="Arial" w:cs="Arial"/>
          <w:b/>
          <w:sz w:val="24"/>
          <w:szCs w:val="24"/>
        </w:rPr>
        <w:t>Table 1:</w:t>
      </w:r>
      <w:r>
        <w:rPr>
          <w:rFonts w:ascii="Arial" w:hAnsi="Arial" w:cs="Arial"/>
          <w:sz w:val="24"/>
          <w:szCs w:val="24"/>
        </w:rPr>
        <w:t xml:space="preserve"> List of Apparatus</w:t>
      </w:r>
    </w:p>
    <w:tbl>
      <w:tblPr>
        <w:tblStyle w:val="12"/>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079"/>
        <w:gridCol w:w="3080"/>
        <w:gridCol w:w="3080"/>
      </w:tblGrid>
      <w:tr w14:paraId="33BC2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3079" w:type="dxa"/>
            <w:tcBorders>
              <w:top w:val="single" w:color="auto" w:sz="4" w:space="0"/>
              <w:bottom w:val="single" w:color="auto" w:sz="4" w:space="0"/>
            </w:tcBorders>
          </w:tcPr>
          <w:p w14:paraId="7BF357AA">
            <w:pPr>
              <w:spacing w:after="0" w:line="240" w:lineRule="auto"/>
              <w:jc w:val="both"/>
              <w:rPr>
                <w:rFonts w:ascii="Arial" w:hAnsi="Arial" w:cs="Arial"/>
                <w:b/>
                <w:sz w:val="24"/>
                <w:szCs w:val="24"/>
              </w:rPr>
            </w:pPr>
            <w:r>
              <w:rPr>
                <w:rFonts w:ascii="Arial" w:hAnsi="Arial" w:cs="Arial"/>
                <w:b/>
                <w:sz w:val="24"/>
                <w:szCs w:val="24"/>
              </w:rPr>
              <w:t>Apparatus</w:t>
            </w:r>
          </w:p>
        </w:tc>
        <w:tc>
          <w:tcPr>
            <w:tcW w:w="3080" w:type="dxa"/>
            <w:tcBorders>
              <w:top w:val="single" w:color="auto" w:sz="4" w:space="0"/>
              <w:bottom w:val="single" w:color="auto" w:sz="4" w:space="0"/>
            </w:tcBorders>
          </w:tcPr>
          <w:p w14:paraId="4435CA4A">
            <w:pPr>
              <w:spacing w:after="0" w:line="240" w:lineRule="auto"/>
              <w:jc w:val="both"/>
              <w:rPr>
                <w:rFonts w:ascii="Arial" w:hAnsi="Arial" w:cs="Arial"/>
                <w:b/>
                <w:sz w:val="24"/>
                <w:szCs w:val="24"/>
              </w:rPr>
            </w:pPr>
            <w:r>
              <w:rPr>
                <w:rFonts w:ascii="Arial" w:hAnsi="Arial" w:cs="Arial"/>
                <w:b/>
                <w:sz w:val="24"/>
                <w:szCs w:val="24"/>
              </w:rPr>
              <w:t>Model</w:t>
            </w:r>
          </w:p>
        </w:tc>
        <w:tc>
          <w:tcPr>
            <w:tcW w:w="3080" w:type="dxa"/>
            <w:tcBorders>
              <w:top w:val="single" w:color="auto" w:sz="4" w:space="0"/>
              <w:bottom w:val="single" w:color="auto" w:sz="4" w:space="0"/>
            </w:tcBorders>
          </w:tcPr>
          <w:p w14:paraId="16BDBB94">
            <w:pPr>
              <w:spacing w:after="0" w:line="240" w:lineRule="auto"/>
              <w:jc w:val="both"/>
              <w:rPr>
                <w:rFonts w:ascii="Arial" w:hAnsi="Arial" w:cs="Arial"/>
                <w:b/>
                <w:sz w:val="24"/>
                <w:szCs w:val="24"/>
              </w:rPr>
            </w:pPr>
            <w:r>
              <w:rPr>
                <w:rFonts w:ascii="Arial" w:hAnsi="Arial" w:cs="Arial"/>
                <w:b/>
                <w:sz w:val="24"/>
                <w:szCs w:val="24"/>
              </w:rPr>
              <w:t>Manufacturer</w:t>
            </w:r>
          </w:p>
        </w:tc>
      </w:tr>
      <w:tr w14:paraId="06BC0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0" w:hRule="atLeast"/>
        </w:trPr>
        <w:tc>
          <w:tcPr>
            <w:tcW w:w="3079" w:type="dxa"/>
            <w:tcBorders>
              <w:top w:val="single" w:color="auto" w:sz="4" w:space="0"/>
            </w:tcBorders>
          </w:tcPr>
          <w:p w14:paraId="419D7BF8">
            <w:pPr>
              <w:spacing w:after="0" w:line="240" w:lineRule="auto"/>
              <w:jc w:val="both"/>
              <w:rPr>
                <w:rFonts w:ascii="Arial" w:hAnsi="Arial" w:cs="Arial"/>
                <w:sz w:val="24"/>
                <w:szCs w:val="24"/>
              </w:rPr>
            </w:pPr>
            <w:r>
              <w:rPr>
                <w:rFonts w:ascii="Arial" w:hAnsi="Arial" w:cs="Arial"/>
                <w:sz w:val="24"/>
                <w:szCs w:val="24"/>
              </w:rPr>
              <w:t xml:space="preserve">Cooler </w:t>
            </w:r>
          </w:p>
          <w:p w14:paraId="0E8FAAE8">
            <w:pPr>
              <w:spacing w:after="0" w:line="240" w:lineRule="auto"/>
              <w:jc w:val="both"/>
              <w:rPr>
                <w:rFonts w:ascii="Arial" w:hAnsi="Arial" w:cs="Arial"/>
                <w:sz w:val="24"/>
                <w:szCs w:val="24"/>
              </w:rPr>
            </w:pPr>
            <w:r>
              <w:rPr>
                <w:rFonts w:ascii="Arial" w:hAnsi="Arial" w:cs="Arial"/>
                <w:sz w:val="24"/>
                <w:szCs w:val="24"/>
              </w:rPr>
              <w:t>Water bath</w:t>
            </w:r>
          </w:p>
        </w:tc>
        <w:tc>
          <w:tcPr>
            <w:tcW w:w="3080" w:type="dxa"/>
            <w:tcBorders>
              <w:top w:val="single" w:color="auto" w:sz="4" w:space="0"/>
            </w:tcBorders>
          </w:tcPr>
          <w:p w14:paraId="6EA9FFD2">
            <w:pPr>
              <w:spacing w:after="0" w:line="240" w:lineRule="auto"/>
              <w:jc w:val="both"/>
              <w:rPr>
                <w:rFonts w:ascii="Arial" w:hAnsi="Arial" w:cs="Arial"/>
                <w:sz w:val="24"/>
                <w:szCs w:val="24"/>
              </w:rPr>
            </w:pPr>
            <w:r>
              <w:rPr>
                <w:rFonts w:ascii="Arial" w:hAnsi="Arial" w:cs="Arial"/>
                <w:sz w:val="24"/>
                <w:szCs w:val="24"/>
              </w:rPr>
              <w:t>CA-1112-CE</w:t>
            </w:r>
          </w:p>
          <w:p w14:paraId="188E218D">
            <w:pPr>
              <w:spacing w:after="0" w:line="240" w:lineRule="auto"/>
              <w:jc w:val="both"/>
              <w:rPr>
                <w:rFonts w:ascii="Arial" w:hAnsi="Arial" w:cs="Arial"/>
                <w:sz w:val="24"/>
                <w:szCs w:val="24"/>
              </w:rPr>
            </w:pPr>
            <w:r>
              <w:rPr>
                <w:rFonts w:ascii="Arial" w:hAnsi="Arial" w:cs="Arial"/>
                <w:sz w:val="24"/>
                <w:szCs w:val="24"/>
              </w:rPr>
              <w:t>WB-500</w:t>
            </w:r>
          </w:p>
        </w:tc>
        <w:tc>
          <w:tcPr>
            <w:tcW w:w="3080" w:type="dxa"/>
            <w:tcBorders>
              <w:top w:val="single" w:color="auto" w:sz="4" w:space="0"/>
            </w:tcBorders>
          </w:tcPr>
          <w:p w14:paraId="55687668">
            <w:pPr>
              <w:spacing w:after="0" w:line="240" w:lineRule="auto"/>
              <w:jc w:val="both"/>
              <w:rPr>
                <w:rFonts w:ascii="Arial" w:hAnsi="Arial" w:cs="Arial"/>
                <w:sz w:val="24"/>
                <w:szCs w:val="24"/>
              </w:rPr>
            </w:pPr>
            <w:r>
              <w:rPr>
                <w:rFonts w:ascii="Arial" w:hAnsi="Arial" w:cs="Arial"/>
                <w:sz w:val="24"/>
                <w:szCs w:val="24"/>
              </w:rPr>
              <w:t>Made in china</w:t>
            </w:r>
          </w:p>
          <w:p w14:paraId="18409ADA">
            <w:pPr>
              <w:spacing w:after="0" w:line="240" w:lineRule="auto"/>
              <w:jc w:val="both"/>
              <w:rPr>
                <w:rFonts w:ascii="Arial" w:hAnsi="Arial" w:cs="Arial"/>
                <w:sz w:val="24"/>
                <w:szCs w:val="24"/>
              </w:rPr>
            </w:pPr>
            <w:r>
              <w:rPr>
                <w:rFonts w:ascii="Arial" w:hAnsi="Arial" w:cs="Arial"/>
                <w:sz w:val="24"/>
                <w:szCs w:val="24"/>
              </w:rPr>
              <w:t>Bosch medical system</w:t>
            </w:r>
          </w:p>
        </w:tc>
      </w:tr>
      <w:tr w14:paraId="6C54E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079" w:type="dxa"/>
          </w:tcPr>
          <w:p w14:paraId="7E8E9B36">
            <w:pPr>
              <w:spacing w:after="0" w:line="240" w:lineRule="auto"/>
              <w:jc w:val="both"/>
              <w:rPr>
                <w:rFonts w:ascii="Arial" w:hAnsi="Arial" w:cs="Arial"/>
                <w:sz w:val="24"/>
                <w:szCs w:val="24"/>
              </w:rPr>
            </w:pPr>
            <w:r>
              <w:rPr>
                <w:rFonts w:ascii="Arial" w:hAnsi="Arial" w:cs="Arial"/>
                <w:sz w:val="24"/>
                <w:szCs w:val="24"/>
              </w:rPr>
              <w:t>Heating mantle</w:t>
            </w:r>
          </w:p>
          <w:p w14:paraId="785ABCFB">
            <w:pPr>
              <w:spacing w:after="0" w:line="240" w:lineRule="auto"/>
              <w:jc w:val="both"/>
              <w:rPr>
                <w:rFonts w:ascii="Arial" w:hAnsi="Arial" w:cs="Arial"/>
                <w:sz w:val="24"/>
                <w:szCs w:val="24"/>
              </w:rPr>
            </w:pPr>
          </w:p>
        </w:tc>
        <w:tc>
          <w:tcPr>
            <w:tcW w:w="3080" w:type="dxa"/>
          </w:tcPr>
          <w:p w14:paraId="00E6EAFA">
            <w:pPr>
              <w:spacing w:after="0" w:line="240" w:lineRule="auto"/>
              <w:jc w:val="both"/>
              <w:rPr>
                <w:rFonts w:ascii="Arial" w:hAnsi="Arial" w:cs="Arial"/>
                <w:sz w:val="24"/>
                <w:szCs w:val="24"/>
              </w:rPr>
            </w:pPr>
            <w:r>
              <w:rPr>
                <w:rFonts w:ascii="Arial" w:hAnsi="Arial" w:cs="Arial"/>
                <w:sz w:val="24"/>
                <w:szCs w:val="24"/>
              </w:rPr>
              <w:t>WHLSG2\ER2</w:t>
            </w:r>
          </w:p>
        </w:tc>
        <w:tc>
          <w:tcPr>
            <w:tcW w:w="3080" w:type="dxa"/>
          </w:tcPr>
          <w:p w14:paraId="218FFFCC">
            <w:pPr>
              <w:spacing w:after="0" w:line="240" w:lineRule="auto"/>
              <w:jc w:val="both"/>
              <w:rPr>
                <w:rFonts w:ascii="Arial" w:hAnsi="Arial" w:cs="Arial"/>
                <w:sz w:val="24"/>
                <w:szCs w:val="24"/>
              </w:rPr>
            </w:pPr>
            <w:r>
              <w:rPr>
                <w:rFonts w:ascii="Arial" w:hAnsi="Arial" w:cs="Arial"/>
                <w:sz w:val="24"/>
                <w:szCs w:val="24"/>
              </w:rPr>
              <w:t>Winkler, Austria</w:t>
            </w:r>
          </w:p>
        </w:tc>
      </w:tr>
      <w:tr w14:paraId="48164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3079" w:type="dxa"/>
          </w:tcPr>
          <w:p w14:paraId="50E1E0F7">
            <w:pPr>
              <w:spacing w:after="0" w:line="240" w:lineRule="auto"/>
              <w:jc w:val="both"/>
              <w:rPr>
                <w:rFonts w:ascii="Arial" w:hAnsi="Arial" w:cs="Arial"/>
                <w:sz w:val="24"/>
                <w:szCs w:val="24"/>
              </w:rPr>
            </w:pPr>
            <w:r>
              <w:rPr>
                <w:rFonts w:ascii="Arial" w:hAnsi="Arial" w:cs="Arial"/>
                <w:sz w:val="24"/>
                <w:szCs w:val="24"/>
              </w:rPr>
              <w:t>Weighing balance</w:t>
            </w:r>
          </w:p>
        </w:tc>
        <w:tc>
          <w:tcPr>
            <w:tcW w:w="3080" w:type="dxa"/>
          </w:tcPr>
          <w:p w14:paraId="2EADEABD">
            <w:pPr>
              <w:spacing w:after="0" w:line="240" w:lineRule="auto"/>
              <w:jc w:val="both"/>
              <w:rPr>
                <w:rFonts w:ascii="Arial" w:hAnsi="Arial" w:cs="Arial"/>
                <w:sz w:val="24"/>
                <w:szCs w:val="24"/>
              </w:rPr>
            </w:pPr>
            <w:r>
              <w:rPr>
                <w:rFonts w:ascii="Arial" w:hAnsi="Arial" w:cs="Arial"/>
                <w:sz w:val="24"/>
                <w:szCs w:val="24"/>
              </w:rPr>
              <w:t>Metal balance</w:t>
            </w:r>
          </w:p>
        </w:tc>
        <w:tc>
          <w:tcPr>
            <w:tcW w:w="3080" w:type="dxa"/>
          </w:tcPr>
          <w:p w14:paraId="0C170629">
            <w:pPr>
              <w:spacing w:after="0" w:line="240" w:lineRule="auto"/>
              <w:jc w:val="both"/>
              <w:rPr>
                <w:rFonts w:ascii="Arial" w:hAnsi="Arial" w:cs="Arial"/>
                <w:sz w:val="24"/>
                <w:szCs w:val="24"/>
              </w:rPr>
            </w:pPr>
            <w:r>
              <w:rPr>
                <w:rFonts w:ascii="Arial" w:hAnsi="Arial" w:cs="Arial"/>
                <w:sz w:val="24"/>
                <w:szCs w:val="24"/>
              </w:rPr>
              <w:t>Gallenkam, England</w:t>
            </w:r>
          </w:p>
        </w:tc>
      </w:tr>
      <w:tr w14:paraId="5D6D5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1" w:hRule="atLeast"/>
        </w:trPr>
        <w:tc>
          <w:tcPr>
            <w:tcW w:w="3079" w:type="dxa"/>
          </w:tcPr>
          <w:p w14:paraId="1FDC61CF">
            <w:pPr>
              <w:spacing w:after="0" w:line="240" w:lineRule="auto"/>
              <w:jc w:val="both"/>
              <w:rPr>
                <w:rFonts w:ascii="Arial" w:hAnsi="Arial" w:cs="Arial"/>
                <w:sz w:val="24"/>
                <w:szCs w:val="24"/>
              </w:rPr>
            </w:pPr>
            <w:r>
              <w:rPr>
                <w:rFonts w:ascii="Arial" w:hAnsi="Arial" w:cs="Arial"/>
                <w:sz w:val="24"/>
                <w:szCs w:val="24"/>
              </w:rPr>
              <w:t>Measuring cylinder</w:t>
            </w:r>
          </w:p>
        </w:tc>
        <w:tc>
          <w:tcPr>
            <w:tcW w:w="3080" w:type="dxa"/>
          </w:tcPr>
          <w:p w14:paraId="4F529CF5">
            <w:pPr>
              <w:spacing w:after="0" w:line="240" w:lineRule="auto"/>
              <w:jc w:val="both"/>
              <w:rPr>
                <w:rFonts w:ascii="Arial" w:hAnsi="Arial" w:cs="Arial"/>
                <w:sz w:val="24"/>
                <w:szCs w:val="24"/>
              </w:rPr>
            </w:pPr>
            <w:r>
              <w:rPr>
                <w:rFonts w:ascii="Arial" w:hAnsi="Arial" w:cs="Arial"/>
                <w:sz w:val="24"/>
                <w:szCs w:val="24"/>
              </w:rPr>
              <w:t>Glass</w:t>
            </w:r>
          </w:p>
        </w:tc>
        <w:tc>
          <w:tcPr>
            <w:tcW w:w="3080" w:type="dxa"/>
          </w:tcPr>
          <w:p w14:paraId="21D10513">
            <w:pPr>
              <w:spacing w:after="0" w:line="240" w:lineRule="auto"/>
              <w:jc w:val="both"/>
              <w:rPr>
                <w:rFonts w:ascii="Arial" w:hAnsi="Arial" w:cs="Arial"/>
                <w:sz w:val="24"/>
                <w:szCs w:val="24"/>
              </w:rPr>
            </w:pPr>
            <w:r>
              <w:rPr>
                <w:rFonts w:ascii="Arial" w:hAnsi="Arial" w:cs="Arial"/>
                <w:sz w:val="24"/>
                <w:szCs w:val="24"/>
              </w:rPr>
              <w:t>Pyrex, England</w:t>
            </w:r>
          </w:p>
        </w:tc>
      </w:tr>
      <w:tr w14:paraId="0D40F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9" w:hRule="atLeast"/>
        </w:trPr>
        <w:tc>
          <w:tcPr>
            <w:tcW w:w="3079" w:type="dxa"/>
          </w:tcPr>
          <w:p w14:paraId="61948D5E">
            <w:pPr>
              <w:spacing w:after="0" w:line="240" w:lineRule="auto"/>
              <w:jc w:val="both"/>
              <w:rPr>
                <w:rFonts w:ascii="Arial" w:hAnsi="Arial" w:cs="Arial"/>
                <w:sz w:val="24"/>
                <w:szCs w:val="24"/>
              </w:rPr>
            </w:pPr>
            <w:r>
              <w:rPr>
                <w:rFonts w:ascii="Arial" w:hAnsi="Arial" w:cs="Arial"/>
                <w:sz w:val="24"/>
                <w:szCs w:val="24"/>
              </w:rPr>
              <w:t xml:space="preserve">Lab oven </w:t>
            </w:r>
          </w:p>
        </w:tc>
        <w:tc>
          <w:tcPr>
            <w:tcW w:w="3080" w:type="dxa"/>
          </w:tcPr>
          <w:p w14:paraId="6153DF6D">
            <w:pPr>
              <w:spacing w:after="0" w:line="240" w:lineRule="auto"/>
              <w:jc w:val="both"/>
              <w:rPr>
                <w:rFonts w:ascii="Arial" w:hAnsi="Arial" w:cs="Arial"/>
                <w:sz w:val="24"/>
                <w:szCs w:val="24"/>
              </w:rPr>
            </w:pPr>
            <w:r>
              <w:rPr>
                <w:rFonts w:ascii="Arial" w:hAnsi="Arial" w:cs="Arial"/>
                <w:sz w:val="24"/>
                <w:szCs w:val="24"/>
              </w:rPr>
              <w:t>SM9053</w:t>
            </w:r>
          </w:p>
        </w:tc>
        <w:tc>
          <w:tcPr>
            <w:tcW w:w="3080" w:type="dxa"/>
          </w:tcPr>
          <w:p w14:paraId="5BA7DEA9">
            <w:pPr>
              <w:spacing w:after="0" w:line="240" w:lineRule="auto"/>
              <w:jc w:val="both"/>
              <w:rPr>
                <w:rFonts w:ascii="Arial" w:hAnsi="Arial" w:cs="Arial"/>
                <w:sz w:val="24"/>
                <w:szCs w:val="24"/>
              </w:rPr>
            </w:pPr>
            <w:r>
              <w:rPr>
                <w:rFonts w:ascii="Arial" w:hAnsi="Arial" w:cs="Arial"/>
                <w:sz w:val="24"/>
                <w:szCs w:val="24"/>
              </w:rPr>
              <w:t>Surgifriend med, England</w:t>
            </w:r>
          </w:p>
        </w:tc>
      </w:tr>
      <w:tr w14:paraId="30003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5" w:hRule="atLeast"/>
        </w:trPr>
        <w:tc>
          <w:tcPr>
            <w:tcW w:w="3079" w:type="dxa"/>
            <w:tcBorders>
              <w:bottom w:val="single" w:color="auto" w:sz="4" w:space="0"/>
            </w:tcBorders>
          </w:tcPr>
          <w:p w14:paraId="33136222">
            <w:pPr>
              <w:spacing w:after="0" w:line="240" w:lineRule="auto"/>
              <w:jc w:val="both"/>
              <w:rPr>
                <w:rFonts w:ascii="Arial" w:hAnsi="Arial" w:cs="Arial"/>
                <w:sz w:val="24"/>
                <w:szCs w:val="24"/>
              </w:rPr>
            </w:pPr>
            <w:r>
              <w:rPr>
                <w:rFonts w:ascii="Arial" w:hAnsi="Arial" w:cs="Arial"/>
                <w:sz w:val="24"/>
                <w:szCs w:val="24"/>
              </w:rPr>
              <w:t>Reflux condenser</w:t>
            </w:r>
          </w:p>
          <w:p w14:paraId="3044BD61">
            <w:pPr>
              <w:spacing w:after="0" w:line="240" w:lineRule="auto"/>
              <w:jc w:val="both"/>
              <w:rPr>
                <w:rFonts w:ascii="Arial" w:hAnsi="Arial" w:cs="Arial"/>
                <w:sz w:val="24"/>
                <w:szCs w:val="24"/>
              </w:rPr>
            </w:pPr>
          </w:p>
          <w:p w14:paraId="58F4F517">
            <w:pPr>
              <w:spacing w:after="0" w:line="240" w:lineRule="auto"/>
              <w:jc w:val="both"/>
              <w:rPr>
                <w:rFonts w:ascii="Arial" w:hAnsi="Arial" w:cs="Arial"/>
                <w:sz w:val="24"/>
                <w:szCs w:val="24"/>
              </w:rPr>
            </w:pPr>
            <w:r>
              <w:rPr>
                <w:rFonts w:ascii="Arial" w:hAnsi="Arial" w:cs="Arial"/>
                <w:sz w:val="24"/>
                <w:szCs w:val="24"/>
              </w:rPr>
              <w:t>Viscometer</w:t>
            </w:r>
          </w:p>
        </w:tc>
        <w:tc>
          <w:tcPr>
            <w:tcW w:w="3080" w:type="dxa"/>
            <w:tcBorders>
              <w:bottom w:val="single" w:color="auto" w:sz="4" w:space="0"/>
            </w:tcBorders>
          </w:tcPr>
          <w:p w14:paraId="3C60C4A2">
            <w:pPr>
              <w:spacing w:after="0" w:line="240" w:lineRule="auto"/>
              <w:jc w:val="both"/>
              <w:rPr>
                <w:rFonts w:ascii="Arial" w:hAnsi="Arial" w:cs="Arial"/>
                <w:sz w:val="24"/>
                <w:szCs w:val="24"/>
              </w:rPr>
            </w:pPr>
            <w:r>
              <w:rPr>
                <w:rFonts w:ascii="Arial" w:hAnsi="Arial" w:cs="Arial"/>
                <w:sz w:val="24"/>
                <w:szCs w:val="24"/>
              </w:rPr>
              <w:t>C1\11</w:t>
            </w:r>
          </w:p>
          <w:p w14:paraId="24BD0D95">
            <w:pPr>
              <w:spacing w:after="0" w:line="240" w:lineRule="auto"/>
              <w:jc w:val="both"/>
              <w:rPr>
                <w:rFonts w:ascii="Arial" w:hAnsi="Arial" w:cs="Arial"/>
                <w:sz w:val="24"/>
                <w:szCs w:val="24"/>
              </w:rPr>
            </w:pPr>
          </w:p>
          <w:p w14:paraId="0FE6DFF7">
            <w:pPr>
              <w:spacing w:after="0" w:line="240" w:lineRule="auto"/>
              <w:jc w:val="both"/>
              <w:rPr>
                <w:rFonts w:ascii="Arial" w:hAnsi="Arial" w:cs="Arial"/>
                <w:sz w:val="24"/>
                <w:szCs w:val="24"/>
              </w:rPr>
            </w:pPr>
            <w:r>
              <w:rPr>
                <w:rFonts w:ascii="Arial" w:hAnsi="Arial" w:cs="Arial"/>
                <w:sz w:val="24"/>
                <w:szCs w:val="24"/>
              </w:rPr>
              <w:t>NDJ-8S</w:t>
            </w:r>
          </w:p>
        </w:tc>
        <w:tc>
          <w:tcPr>
            <w:tcW w:w="3080" w:type="dxa"/>
            <w:tcBorders>
              <w:bottom w:val="single" w:color="auto" w:sz="4" w:space="0"/>
            </w:tcBorders>
          </w:tcPr>
          <w:p w14:paraId="55754F67">
            <w:pPr>
              <w:spacing w:after="0" w:line="240" w:lineRule="auto"/>
              <w:jc w:val="both"/>
              <w:rPr>
                <w:rFonts w:ascii="Arial" w:hAnsi="Arial" w:cs="Arial"/>
                <w:sz w:val="24"/>
                <w:szCs w:val="24"/>
              </w:rPr>
            </w:pPr>
            <w:r>
              <w:rPr>
                <w:rFonts w:ascii="Arial" w:hAnsi="Arial" w:cs="Arial"/>
                <w:sz w:val="24"/>
                <w:szCs w:val="24"/>
              </w:rPr>
              <w:t>GC10 Glass, England</w:t>
            </w:r>
          </w:p>
          <w:p w14:paraId="4A172749">
            <w:pPr>
              <w:spacing w:after="0" w:line="240" w:lineRule="auto"/>
              <w:jc w:val="both"/>
              <w:rPr>
                <w:rFonts w:ascii="Arial" w:hAnsi="Arial" w:cs="Arial"/>
                <w:sz w:val="24"/>
                <w:szCs w:val="24"/>
              </w:rPr>
            </w:pPr>
          </w:p>
          <w:p w14:paraId="14F1676A">
            <w:pPr>
              <w:spacing w:after="0" w:line="240" w:lineRule="auto"/>
              <w:jc w:val="both"/>
              <w:rPr>
                <w:rFonts w:ascii="Arial" w:hAnsi="Arial" w:cs="Arial"/>
                <w:sz w:val="24"/>
                <w:szCs w:val="24"/>
              </w:rPr>
            </w:pPr>
            <w:r>
              <w:rPr>
                <w:rFonts w:ascii="Arial" w:hAnsi="Arial" w:cs="Arial"/>
                <w:sz w:val="24"/>
                <w:szCs w:val="24"/>
              </w:rPr>
              <w:t>Drawell Scientific</w:t>
            </w:r>
          </w:p>
        </w:tc>
      </w:tr>
    </w:tbl>
    <w:p w14:paraId="42A2A55E">
      <w:pPr>
        <w:spacing w:line="360" w:lineRule="auto"/>
        <w:jc w:val="both"/>
        <w:rPr>
          <w:rFonts w:ascii="Arial" w:hAnsi="Arial" w:cs="Arial"/>
          <w:sz w:val="24"/>
          <w:szCs w:val="24"/>
        </w:rPr>
      </w:pPr>
      <w:r>
        <w:rPr>
          <w:rFonts w:ascii="Arial" w:hAnsi="Arial" w:cs="Arial"/>
          <w:sz w:val="24"/>
          <w:szCs w:val="24"/>
        </w:rPr>
        <w:t xml:space="preserve"> </w:t>
      </w:r>
    </w:p>
    <w:p w14:paraId="7D2C311B">
      <w:pPr>
        <w:spacing w:line="360" w:lineRule="auto"/>
        <w:jc w:val="both"/>
        <w:rPr>
          <w:rFonts w:ascii="Arial" w:hAnsi="Arial" w:cs="Arial"/>
          <w:sz w:val="24"/>
          <w:szCs w:val="24"/>
        </w:rPr>
      </w:pPr>
    </w:p>
    <w:p w14:paraId="0789C1A4">
      <w:pPr>
        <w:spacing w:line="360" w:lineRule="auto"/>
        <w:jc w:val="both"/>
        <w:rPr>
          <w:rFonts w:ascii="Arial" w:hAnsi="Arial" w:cs="Arial"/>
          <w:sz w:val="24"/>
          <w:szCs w:val="24"/>
        </w:rPr>
      </w:pPr>
    </w:p>
    <w:p w14:paraId="5AD2212F">
      <w:pPr>
        <w:spacing w:line="360" w:lineRule="auto"/>
        <w:jc w:val="both"/>
        <w:rPr>
          <w:rFonts w:ascii="Arial" w:hAnsi="Arial" w:cs="Arial"/>
          <w:sz w:val="24"/>
          <w:szCs w:val="24"/>
        </w:rPr>
      </w:pPr>
    </w:p>
    <w:p w14:paraId="3873CF96">
      <w:pPr>
        <w:spacing w:line="360" w:lineRule="auto"/>
        <w:jc w:val="both"/>
        <w:rPr>
          <w:rFonts w:ascii="Arial" w:hAnsi="Arial" w:cs="Arial"/>
          <w:sz w:val="24"/>
          <w:szCs w:val="24"/>
        </w:rPr>
      </w:pPr>
    </w:p>
    <w:p w14:paraId="74A4D3DA">
      <w:pPr>
        <w:spacing w:line="360" w:lineRule="auto"/>
        <w:jc w:val="both"/>
        <w:rPr>
          <w:rFonts w:ascii="Arial" w:hAnsi="Arial" w:cs="Arial"/>
          <w:sz w:val="24"/>
          <w:szCs w:val="24"/>
        </w:rPr>
      </w:pPr>
    </w:p>
    <w:p w14:paraId="196AFA40">
      <w:pPr>
        <w:spacing w:line="360" w:lineRule="auto"/>
        <w:jc w:val="both"/>
        <w:rPr>
          <w:rFonts w:ascii="Arial" w:hAnsi="Arial" w:cs="Arial"/>
          <w:sz w:val="24"/>
          <w:szCs w:val="24"/>
        </w:rPr>
      </w:pPr>
    </w:p>
    <w:p w14:paraId="2A35B396">
      <w:pPr>
        <w:spacing w:line="360" w:lineRule="auto"/>
        <w:jc w:val="both"/>
        <w:rPr>
          <w:rFonts w:ascii="Arial" w:hAnsi="Arial" w:cs="Arial"/>
          <w:sz w:val="24"/>
          <w:szCs w:val="24"/>
        </w:rPr>
      </w:pPr>
    </w:p>
    <w:p w14:paraId="72517B46">
      <w:pPr>
        <w:spacing w:line="360" w:lineRule="auto"/>
        <w:jc w:val="both"/>
        <w:outlineLvl w:val="0"/>
        <w:rPr>
          <w:rFonts w:ascii="Arial" w:hAnsi="Arial" w:cs="Arial"/>
          <w:b/>
          <w:sz w:val="24"/>
          <w:szCs w:val="24"/>
        </w:rPr>
      </w:pPr>
      <w:bookmarkStart w:id="29" w:name="_Toc213304999"/>
      <w:r>
        <w:rPr>
          <w:rFonts w:ascii="Arial" w:hAnsi="Arial" w:cs="Arial"/>
          <w:b/>
          <w:sz w:val="24"/>
          <w:szCs w:val="24"/>
        </w:rPr>
        <w:t>3.1.2 REAGENTS</w:t>
      </w:r>
      <w:bookmarkEnd w:id="29"/>
    </w:p>
    <w:p w14:paraId="40C15BAB">
      <w:pPr>
        <w:spacing w:line="360" w:lineRule="auto"/>
        <w:jc w:val="both"/>
        <w:rPr>
          <w:rFonts w:ascii="Arial" w:hAnsi="Arial" w:cs="Arial"/>
          <w:sz w:val="24"/>
          <w:szCs w:val="24"/>
        </w:rPr>
      </w:pPr>
      <w:r>
        <w:rPr>
          <w:rFonts w:ascii="Arial" w:hAnsi="Arial" w:cs="Arial"/>
          <w:sz w:val="24"/>
          <w:szCs w:val="24"/>
        </w:rPr>
        <w:t>The reagents used for this research with their chemical formula, purity and manufacturers are as follows:</w:t>
      </w:r>
    </w:p>
    <w:p w14:paraId="3B7123BC">
      <w:pPr>
        <w:spacing w:line="360" w:lineRule="auto"/>
        <w:jc w:val="both"/>
        <w:rPr>
          <w:rFonts w:ascii="Arial" w:hAnsi="Arial" w:cs="Arial"/>
          <w:sz w:val="24"/>
          <w:szCs w:val="24"/>
        </w:rPr>
      </w:pPr>
      <w:r>
        <w:rPr>
          <w:rFonts w:ascii="Arial" w:hAnsi="Arial" w:cs="Arial"/>
          <w:b/>
          <w:sz w:val="24"/>
          <w:szCs w:val="24"/>
        </w:rPr>
        <w:t>Table 2:</w:t>
      </w:r>
      <w:r>
        <w:rPr>
          <w:rFonts w:ascii="Arial" w:hAnsi="Arial" w:cs="Arial"/>
          <w:sz w:val="24"/>
          <w:szCs w:val="24"/>
        </w:rPr>
        <w:t xml:space="preserve"> List of Chemicals\ Reagents</w:t>
      </w:r>
    </w:p>
    <w:tbl>
      <w:tblPr>
        <w:tblStyle w:val="12"/>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773"/>
        <w:gridCol w:w="2330"/>
        <w:gridCol w:w="1522"/>
        <w:gridCol w:w="2683"/>
      </w:tblGrid>
      <w:tr w14:paraId="19802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trPr>
        <w:tc>
          <w:tcPr>
            <w:tcW w:w="2773" w:type="dxa"/>
            <w:tcBorders>
              <w:top w:val="single" w:color="auto" w:sz="4" w:space="0"/>
              <w:bottom w:val="single" w:color="auto" w:sz="4" w:space="0"/>
            </w:tcBorders>
          </w:tcPr>
          <w:p w14:paraId="43CCFF36">
            <w:pPr>
              <w:spacing w:after="0" w:line="360" w:lineRule="auto"/>
              <w:jc w:val="both"/>
              <w:rPr>
                <w:rFonts w:ascii="Arial" w:hAnsi="Arial" w:cs="Arial"/>
                <w:b/>
                <w:sz w:val="24"/>
                <w:szCs w:val="24"/>
              </w:rPr>
            </w:pPr>
            <w:r>
              <w:rPr>
                <w:rFonts w:ascii="Arial" w:hAnsi="Arial" w:cs="Arial"/>
                <w:b/>
                <w:sz w:val="24"/>
                <w:szCs w:val="24"/>
              </w:rPr>
              <w:t>Reagent</w:t>
            </w:r>
          </w:p>
        </w:tc>
        <w:tc>
          <w:tcPr>
            <w:tcW w:w="2330" w:type="dxa"/>
            <w:tcBorders>
              <w:top w:val="single" w:color="auto" w:sz="4" w:space="0"/>
              <w:bottom w:val="single" w:color="auto" w:sz="4" w:space="0"/>
            </w:tcBorders>
          </w:tcPr>
          <w:p w14:paraId="249B0DFA">
            <w:pPr>
              <w:spacing w:after="0" w:line="360" w:lineRule="auto"/>
              <w:jc w:val="both"/>
              <w:rPr>
                <w:rFonts w:ascii="Arial" w:hAnsi="Arial" w:cs="Arial"/>
                <w:b/>
                <w:sz w:val="24"/>
                <w:szCs w:val="24"/>
              </w:rPr>
            </w:pPr>
            <w:r>
              <w:rPr>
                <w:rFonts w:ascii="Arial" w:hAnsi="Arial" w:cs="Arial"/>
                <w:b/>
                <w:sz w:val="24"/>
                <w:szCs w:val="24"/>
              </w:rPr>
              <w:t>Chemical formula</w:t>
            </w:r>
          </w:p>
        </w:tc>
        <w:tc>
          <w:tcPr>
            <w:tcW w:w="1522" w:type="dxa"/>
            <w:tcBorders>
              <w:top w:val="single" w:color="auto" w:sz="4" w:space="0"/>
              <w:bottom w:val="single" w:color="auto" w:sz="4" w:space="0"/>
            </w:tcBorders>
          </w:tcPr>
          <w:p w14:paraId="7E03FB0A">
            <w:pPr>
              <w:spacing w:after="0" w:line="360" w:lineRule="auto"/>
              <w:jc w:val="both"/>
              <w:rPr>
                <w:rFonts w:ascii="Arial" w:hAnsi="Arial" w:cs="Arial"/>
                <w:b/>
                <w:sz w:val="24"/>
                <w:szCs w:val="24"/>
              </w:rPr>
            </w:pPr>
            <w:r>
              <w:rPr>
                <w:rFonts w:ascii="Arial" w:hAnsi="Arial" w:cs="Arial"/>
                <w:b/>
                <w:sz w:val="24"/>
                <w:szCs w:val="24"/>
              </w:rPr>
              <w:t>Purity</w:t>
            </w:r>
          </w:p>
        </w:tc>
        <w:tc>
          <w:tcPr>
            <w:tcW w:w="2683" w:type="dxa"/>
            <w:tcBorders>
              <w:top w:val="single" w:color="auto" w:sz="4" w:space="0"/>
              <w:bottom w:val="single" w:color="auto" w:sz="4" w:space="0"/>
            </w:tcBorders>
          </w:tcPr>
          <w:p w14:paraId="16EAF1F2">
            <w:pPr>
              <w:spacing w:after="0" w:line="360" w:lineRule="auto"/>
              <w:jc w:val="both"/>
              <w:rPr>
                <w:rFonts w:ascii="Arial" w:hAnsi="Arial" w:cs="Arial"/>
                <w:b/>
                <w:sz w:val="24"/>
                <w:szCs w:val="24"/>
              </w:rPr>
            </w:pPr>
            <w:r>
              <w:rPr>
                <w:rFonts w:ascii="Arial" w:hAnsi="Arial" w:cs="Arial"/>
                <w:b/>
                <w:sz w:val="24"/>
                <w:szCs w:val="24"/>
              </w:rPr>
              <w:t>Manufacturer</w:t>
            </w:r>
          </w:p>
        </w:tc>
      </w:tr>
      <w:tr w14:paraId="7F631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773" w:type="dxa"/>
            <w:tcBorders>
              <w:top w:val="single" w:color="auto" w:sz="4" w:space="0"/>
            </w:tcBorders>
          </w:tcPr>
          <w:p w14:paraId="318C455C">
            <w:pPr>
              <w:spacing w:after="0" w:line="360" w:lineRule="auto"/>
              <w:jc w:val="both"/>
              <w:rPr>
                <w:rFonts w:ascii="Arial" w:hAnsi="Arial" w:cs="Arial"/>
                <w:sz w:val="24"/>
                <w:szCs w:val="24"/>
              </w:rPr>
            </w:pPr>
            <w:r>
              <w:rPr>
                <w:rFonts w:ascii="Arial" w:hAnsi="Arial" w:cs="Arial"/>
                <w:sz w:val="24"/>
                <w:szCs w:val="24"/>
              </w:rPr>
              <mc:AlternateContent>
                <mc:Choice Requires="wps">
                  <w:drawing>
                    <wp:anchor distT="0" distB="0" distL="114300" distR="114300" simplePos="0" relativeHeight="251666432" behindDoc="0" locked="0" layoutInCell="1" allowOverlap="1">
                      <wp:simplePos x="0" y="0"/>
                      <wp:positionH relativeFrom="column">
                        <wp:posOffset>-51435</wp:posOffset>
                      </wp:positionH>
                      <wp:positionV relativeFrom="paragraph">
                        <wp:posOffset>284480</wp:posOffset>
                      </wp:positionV>
                      <wp:extent cx="590105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90126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4.05pt;margin-top:22.4pt;height:0pt;width:464.65pt;z-index:251666432;mso-width-relative:page;mso-height-relative:page;" filled="f" stroked="t" coordsize="21600,21600" o:gfxdata="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CpoNZN1gAAAAgBAAAPAAAAAAAAAAEAIAAAACIA&#10;AABkcnMvZG93bnJldi54bWxQSwECFAAUAAAACACHTuJAEbw98NIBAAC0AwAADgAAAAAAAAABACAA&#10;AAAlAQAAZHJzL2Uyb0RvYy54bWxQSwUGAAAAAAYABgBZAQAAaQUAAAAA&#10;">
                      <v:fill on="f" focussize="0,0"/>
                      <v:stroke weight="0.5pt" color="#000000 [3200]" miterlimit="8" joinstyle="miter"/>
                      <v:imagedata o:title=""/>
                      <o:lock v:ext="edit" aspectratio="f"/>
                    </v:line>
                  </w:pict>
                </mc:Fallback>
              </mc:AlternateContent>
            </w:r>
            <w:r>
              <w:rPr>
                <w:rFonts w:ascii="Arial" w:hAnsi="Arial" w:cs="Arial"/>
                <w:sz w:val="24"/>
                <w:szCs w:val="24"/>
              </w:rPr>
              <w:t>Methanol</w:t>
            </w:r>
          </w:p>
        </w:tc>
        <w:tc>
          <w:tcPr>
            <w:tcW w:w="2330" w:type="dxa"/>
            <w:tcBorders>
              <w:top w:val="single" w:color="auto" w:sz="4" w:space="0"/>
            </w:tcBorders>
          </w:tcPr>
          <w:p w14:paraId="18996A77">
            <w:pPr>
              <w:tabs>
                <w:tab w:val="right" w:pos="2438"/>
              </w:tabs>
              <w:spacing w:after="0" w:line="360" w:lineRule="auto"/>
              <w:jc w:val="both"/>
              <w:rPr>
                <w:rFonts w:ascii="Arial" w:hAnsi="Arial" w:cs="Arial"/>
                <w:sz w:val="24"/>
                <w:szCs w:val="24"/>
              </w:rPr>
            </w:pPr>
            <w:r>
              <w:rPr>
                <w:rFonts w:ascii="Arial" w:hAnsi="Arial" w:cs="Arial"/>
                <w:sz w:val="24"/>
                <w:szCs w:val="24"/>
              </w:rPr>
              <w:t>CH</w:t>
            </w:r>
            <w:r>
              <w:rPr>
                <w:rFonts w:ascii="Arial" w:hAnsi="Arial" w:cs="Arial"/>
                <w:sz w:val="24"/>
                <w:szCs w:val="24"/>
                <w:vertAlign w:val="subscript"/>
              </w:rPr>
              <w:t>3</w:t>
            </w:r>
            <w:r>
              <w:rPr>
                <w:rFonts w:ascii="Arial" w:hAnsi="Arial" w:cs="Arial"/>
                <w:sz w:val="24"/>
                <w:szCs w:val="24"/>
              </w:rPr>
              <w:t>OH</w:t>
            </w:r>
            <w:r>
              <w:rPr>
                <w:rFonts w:ascii="Arial" w:hAnsi="Arial" w:cs="Arial"/>
                <w:sz w:val="24"/>
                <w:szCs w:val="24"/>
              </w:rPr>
              <w:br w:type="textWrapping"/>
            </w:r>
          </w:p>
        </w:tc>
        <w:tc>
          <w:tcPr>
            <w:tcW w:w="1522" w:type="dxa"/>
            <w:tcBorders>
              <w:top w:val="single" w:color="auto" w:sz="4" w:space="0"/>
            </w:tcBorders>
          </w:tcPr>
          <w:p w14:paraId="340D44AC">
            <w:pPr>
              <w:spacing w:after="0" w:line="360" w:lineRule="auto"/>
              <w:jc w:val="both"/>
              <w:rPr>
                <w:rFonts w:ascii="Arial" w:hAnsi="Arial" w:cs="Arial"/>
                <w:sz w:val="24"/>
                <w:szCs w:val="24"/>
              </w:rPr>
            </w:pPr>
            <w:r>
              <w:rPr>
                <w:rFonts w:ascii="Arial" w:hAnsi="Arial" w:cs="Arial"/>
                <w:sz w:val="24"/>
                <w:szCs w:val="24"/>
              </w:rPr>
              <w:t>99.50%</w:t>
            </w:r>
          </w:p>
        </w:tc>
        <w:tc>
          <w:tcPr>
            <w:tcW w:w="2683" w:type="dxa"/>
            <w:tcBorders>
              <w:top w:val="single" w:color="auto" w:sz="4" w:space="0"/>
            </w:tcBorders>
          </w:tcPr>
          <w:p w14:paraId="61A34330">
            <w:pPr>
              <w:spacing w:after="0" w:line="360" w:lineRule="auto"/>
              <w:jc w:val="both"/>
              <w:rPr>
                <w:rFonts w:ascii="Arial" w:hAnsi="Arial" w:cs="Arial"/>
                <w:sz w:val="24"/>
                <w:szCs w:val="24"/>
              </w:rPr>
            </w:pPr>
            <w:r>
              <w:rPr>
                <w:rFonts w:ascii="Arial" w:hAnsi="Arial" w:cs="Arial"/>
                <w:sz w:val="24"/>
                <w:szCs w:val="24"/>
              </w:rPr>
              <w:t>BDH LTD, UK</w:t>
            </w:r>
          </w:p>
        </w:tc>
      </w:tr>
      <w:tr w14:paraId="064B0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2773" w:type="dxa"/>
          </w:tcPr>
          <w:p w14:paraId="1CB75F03">
            <w:pPr>
              <w:spacing w:after="0" w:line="360" w:lineRule="auto"/>
              <w:jc w:val="both"/>
              <w:rPr>
                <w:rFonts w:ascii="Arial" w:hAnsi="Arial" w:cs="Arial"/>
                <w:sz w:val="24"/>
                <w:szCs w:val="24"/>
              </w:rPr>
            </w:pPr>
            <w:r>
              <w:rPr>
                <w:rFonts w:ascii="Arial" w:hAnsi="Arial" w:cs="Arial"/>
                <w:sz w:val="24"/>
                <w:szCs w:val="24"/>
              </w:rPr>
              <w:t>Ethanol</w:t>
            </w:r>
          </w:p>
        </w:tc>
        <w:tc>
          <w:tcPr>
            <w:tcW w:w="2330" w:type="dxa"/>
          </w:tcPr>
          <w:p w14:paraId="1446CFCF">
            <w:pPr>
              <w:spacing w:after="0" w:line="360" w:lineRule="auto"/>
              <w:jc w:val="both"/>
              <w:rPr>
                <w:rFonts w:ascii="Arial" w:hAnsi="Arial" w:cs="Arial"/>
                <w:sz w:val="24"/>
                <w:szCs w:val="24"/>
              </w:rPr>
            </w:pPr>
            <w:r>
              <w:rPr>
                <w:rFonts w:ascii="Arial" w:hAnsi="Arial" w:cs="Arial"/>
                <w:sz w:val="24"/>
                <w:szCs w:val="24"/>
              </w:rPr>
              <w:t>C</w:t>
            </w:r>
            <w:r>
              <w:rPr>
                <w:rFonts w:ascii="Arial" w:hAnsi="Arial" w:cs="Arial"/>
                <w:sz w:val="24"/>
                <w:szCs w:val="24"/>
                <w:vertAlign w:val="subscript"/>
              </w:rPr>
              <w:t>2</w:t>
            </w:r>
            <w:r>
              <w:rPr>
                <w:rFonts w:ascii="Arial" w:hAnsi="Arial" w:cs="Arial"/>
                <w:sz w:val="24"/>
                <w:szCs w:val="24"/>
              </w:rPr>
              <w:t>H</w:t>
            </w:r>
            <w:r>
              <w:rPr>
                <w:rFonts w:ascii="Arial" w:hAnsi="Arial" w:cs="Arial"/>
                <w:sz w:val="24"/>
                <w:szCs w:val="24"/>
                <w:vertAlign w:val="subscript"/>
              </w:rPr>
              <w:t>5</w:t>
            </w:r>
            <w:r>
              <w:rPr>
                <w:rFonts w:ascii="Arial" w:hAnsi="Arial" w:cs="Arial"/>
                <w:sz w:val="24"/>
                <w:szCs w:val="24"/>
              </w:rPr>
              <w:t>OH</w:t>
            </w:r>
          </w:p>
        </w:tc>
        <w:tc>
          <w:tcPr>
            <w:tcW w:w="1522" w:type="dxa"/>
          </w:tcPr>
          <w:p w14:paraId="5CC5A3B0">
            <w:pPr>
              <w:spacing w:after="0" w:line="360" w:lineRule="auto"/>
              <w:jc w:val="both"/>
              <w:rPr>
                <w:rFonts w:ascii="Arial" w:hAnsi="Arial" w:cs="Arial"/>
                <w:sz w:val="24"/>
                <w:szCs w:val="24"/>
              </w:rPr>
            </w:pPr>
            <w:r>
              <w:rPr>
                <w:rFonts w:ascii="Arial" w:hAnsi="Arial" w:cs="Arial"/>
                <w:sz w:val="24"/>
                <w:szCs w:val="24"/>
              </w:rPr>
              <w:t>99.00%</w:t>
            </w:r>
          </w:p>
        </w:tc>
        <w:tc>
          <w:tcPr>
            <w:tcW w:w="2683" w:type="dxa"/>
          </w:tcPr>
          <w:p w14:paraId="29053C95">
            <w:pPr>
              <w:spacing w:after="0" w:line="360" w:lineRule="auto"/>
              <w:jc w:val="both"/>
              <w:rPr>
                <w:rFonts w:ascii="Arial" w:hAnsi="Arial" w:cs="Arial"/>
                <w:sz w:val="24"/>
                <w:szCs w:val="24"/>
              </w:rPr>
            </w:pPr>
            <w:r>
              <w:rPr>
                <w:rFonts w:ascii="Arial" w:hAnsi="Arial" w:cs="Arial"/>
                <w:sz w:val="24"/>
                <w:szCs w:val="24"/>
              </w:rPr>
              <w:t>BDH LTD, UK</w:t>
            </w:r>
          </w:p>
        </w:tc>
      </w:tr>
      <w:tr w14:paraId="1A7C8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773" w:type="dxa"/>
          </w:tcPr>
          <w:p w14:paraId="6592A147">
            <w:pPr>
              <w:spacing w:after="0" w:line="360" w:lineRule="auto"/>
              <w:jc w:val="both"/>
              <w:rPr>
                <w:rFonts w:ascii="Arial" w:hAnsi="Arial" w:cs="Arial"/>
                <w:sz w:val="24"/>
                <w:szCs w:val="24"/>
              </w:rPr>
            </w:pPr>
            <w:r>
              <w:rPr>
                <w:rFonts w:ascii="Arial" w:hAnsi="Arial" w:cs="Arial"/>
                <w:sz w:val="24"/>
                <w:szCs w:val="24"/>
              </w:rPr>
              <w:t>Phenolphthalein</w:t>
            </w:r>
          </w:p>
        </w:tc>
        <w:tc>
          <w:tcPr>
            <w:tcW w:w="2330" w:type="dxa"/>
          </w:tcPr>
          <w:p w14:paraId="402C60D7">
            <w:pPr>
              <w:spacing w:after="0" w:line="360" w:lineRule="auto"/>
              <w:jc w:val="both"/>
              <w:rPr>
                <w:rFonts w:ascii="Arial" w:hAnsi="Arial" w:cs="Arial"/>
                <w:sz w:val="24"/>
                <w:szCs w:val="24"/>
              </w:rPr>
            </w:pPr>
            <w:r>
              <w:rPr>
                <w:rFonts w:ascii="Arial" w:hAnsi="Arial" w:cs="Arial"/>
                <w:sz w:val="24"/>
                <w:szCs w:val="24"/>
              </w:rPr>
              <w:t>C</w:t>
            </w:r>
            <w:r>
              <w:rPr>
                <w:rFonts w:ascii="Arial" w:hAnsi="Arial" w:cs="Arial"/>
                <w:sz w:val="24"/>
                <w:szCs w:val="24"/>
                <w:vertAlign w:val="subscript"/>
              </w:rPr>
              <w:t>20</w:t>
            </w:r>
            <w:r>
              <w:rPr>
                <w:rFonts w:ascii="Arial" w:hAnsi="Arial" w:cs="Arial"/>
                <w:sz w:val="24"/>
                <w:szCs w:val="24"/>
              </w:rPr>
              <w:t>H</w:t>
            </w:r>
            <w:r>
              <w:rPr>
                <w:rFonts w:ascii="Arial" w:hAnsi="Arial" w:cs="Arial"/>
                <w:sz w:val="24"/>
                <w:szCs w:val="24"/>
                <w:vertAlign w:val="subscript"/>
              </w:rPr>
              <w:t>14</w:t>
            </w:r>
            <w:r>
              <w:rPr>
                <w:rFonts w:ascii="Arial" w:hAnsi="Arial" w:cs="Arial"/>
                <w:sz w:val="24"/>
                <w:szCs w:val="24"/>
              </w:rPr>
              <w:t>O</w:t>
            </w:r>
            <w:r>
              <w:rPr>
                <w:rFonts w:ascii="Arial" w:hAnsi="Arial" w:cs="Arial"/>
                <w:sz w:val="24"/>
                <w:szCs w:val="24"/>
                <w:vertAlign w:val="subscript"/>
              </w:rPr>
              <w:t>4</w:t>
            </w:r>
          </w:p>
        </w:tc>
        <w:tc>
          <w:tcPr>
            <w:tcW w:w="1522" w:type="dxa"/>
          </w:tcPr>
          <w:p w14:paraId="47368FF1">
            <w:pPr>
              <w:spacing w:after="0" w:line="360" w:lineRule="auto"/>
              <w:jc w:val="both"/>
              <w:rPr>
                <w:rFonts w:ascii="Arial" w:hAnsi="Arial" w:cs="Arial"/>
                <w:sz w:val="24"/>
                <w:szCs w:val="24"/>
              </w:rPr>
            </w:pPr>
            <w:r>
              <w:rPr>
                <w:rFonts w:ascii="Arial" w:hAnsi="Arial" w:cs="Arial"/>
                <w:sz w:val="24"/>
                <w:szCs w:val="24"/>
              </w:rPr>
              <w:t>96.00%</w:t>
            </w:r>
          </w:p>
        </w:tc>
        <w:tc>
          <w:tcPr>
            <w:tcW w:w="2683" w:type="dxa"/>
          </w:tcPr>
          <w:p w14:paraId="3A5F5DD8">
            <w:pPr>
              <w:spacing w:after="0" w:line="360" w:lineRule="auto"/>
              <w:jc w:val="both"/>
              <w:rPr>
                <w:rFonts w:ascii="Arial" w:hAnsi="Arial" w:cs="Arial"/>
                <w:sz w:val="24"/>
                <w:szCs w:val="24"/>
              </w:rPr>
            </w:pPr>
            <w:r>
              <w:rPr>
                <w:rFonts w:ascii="Arial" w:hAnsi="Arial" w:cs="Arial"/>
                <w:sz w:val="24"/>
                <w:szCs w:val="24"/>
              </w:rPr>
              <w:t>BDH LTD, UK</w:t>
            </w:r>
          </w:p>
        </w:tc>
      </w:tr>
      <w:tr w14:paraId="34B81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773" w:type="dxa"/>
          </w:tcPr>
          <w:p w14:paraId="69AE27E9">
            <w:pPr>
              <w:spacing w:after="0" w:line="360" w:lineRule="auto"/>
              <w:jc w:val="both"/>
              <w:rPr>
                <w:rFonts w:ascii="Arial" w:hAnsi="Arial" w:cs="Arial"/>
                <w:sz w:val="24"/>
                <w:szCs w:val="24"/>
              </w:rPr>
            </w:pPr>
            <w:r>
              <w:rPr>
                <w:rFonts w:ascii="Arial" w:hAnsi="Arial" w:cs="Arial"/>
                <w:sz w:val="24"/>
                <w:szCs w:val="24"/>
              </w:rPr>
              <w:t>Potassium hydroxide</w:t>
            </w:r>
          </w:p>
        </w:tc>
        <w:tc>
          <w:tcPr>
            <w:tcW w:w="2330" w:type="dxa"/>
          </w:tcPr>
          <w:p w14:paraId="540CAB66">
            <w:pPr>
              <w:spacing w:after="0" w:line="360" w:lineRule="auto"/>
              <w:jc w:val="both"/>
              <w:rPr>
                <w:rFonts w:ascii="Arial" w:hAnsi="Arial" w:cs="Arial"/>
                <w:sz w:val="24"/>
                <w:szCs w:val="24"/>
              </w:rPr>
            </w:pPr>
            <w:r>
              <w:rPr>
                <w:rFonts w:ascii="Arial" w:hAnsi="Arial" w:cs="Arial"/>
                <w:sz w:val="24"/>
                <w:szCs w:val="24"/>
              </w:rPr>
              <w:t>KOH</w:t>
            </w:r>
          </w:p>
        </w:tc>
        <w:tc>
          <w:tcPr>
            <w:tcW w:w="1522" w:type="dxa"/>
          </w:tcPr>
          <w:p w14:paraId="5DBC03A6">
            <w:pPr>
              <w:spacing w:after="0" w:line="360" w:lineRule="auto"/>
              <w:jc w:val="both"/>
              <w:rPr>
                <w:rFonts w:ascii="Arial" w:hAnsi="Arial" w:cs="Arial"/>
                <w:sz w:val="24"/>
                <w:szCs w:val="24"/>
              </w:rPr>
            </w:pPr>
            <w:r>
              <w:rPr>
                <w:rFonts w:ascii="Arial" w:hAnsi="Arial" w:cs="Arial"/>
                <w:sz w:val="24"/>
                <w:szCs w:val="24"/>
              </w:rPr>
              <w:t>99.00%</w:t>
            </w:r>
          </w:p>
        </w:tc>
        <w:tc>
          <w:tcPr>
            <w:tcW w:w="2683" w:type="dxa"/>
          </w:tcPr>
          <w:p w14:paraId="479AC176">
            <w:pPr>
              <w:spacing w:after="0" w:line="360" w:lineRule="auto"/>
              <w:jc w:val="both"/>
              <w:rPr>
                <w:rFonts w:ascii="Arial" w:hAnsi="Arial" w:cs="Arial"/>
                <w:sz w:val="24"/>
                <w:szCs w:val="24"/>
              </w:rPr>
            </w:pPr>
            <w:r>
              <w:rPr>
                <w:rFonts w:ascii="Arial" w:hAnsi="Arial" w:cs="Arial"/>
                <w:sz w:val="24"/>
                <w:szCs w:val="24"/>
              </w:rPr>
              <w:t>Griffin and George</w:t>
            </w:r>
          </w:p>
        </w:tc>
      </w:tr>
      <w:tr w14:paraId="720A8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773" w:type="dxa"/>
          </w:tcPr>
          <w:p w14:paraId="7D5981FF">
            <w:pPr>
              <w:spacing w:after="0" w:line="360" w:lineRule="auto"/>
              <w:jc w:val="both"/>
              <w:rPr>
                <w:rFonts w:ascii="Arial" w:hAnsi="Arial" w:cs="Arial"/>
                <w:sz w:val="24"/>
                <w:szCs w:val="24"/>
              </w:rPr>
            </w:pPr>
            <w:r>
              <w:rPr>
                <w:rFonts w:ascii="Arial" w:hAnsi="Arial" w:cs="Arial"/>
                <w:sz w:val="24"/>
                <w:szCs w:val="24"/>
              </w:rPr>
              <w:t>Trimethylolpropane (TMP)</w:t>
            </w:r>
          </w:p>
        </w:tc>
        <w:tc>
          <w:tcPr>
            <w:tcW w:w="2330" w:type="dxa"/>
          </w:tcPr>
          <w:p w14:paraId="05772E28">
            <w:pPr>
              <w:spacing w:after="0" w:line="360" w:lineRule="auto"/>
              <w:jc w:val="both"/>
              <w:rPr>
                <w:rFonts w:ascii="Arial" w:hAnsi="Arial" w:cs="Arial"/>
                <w:sz w:val="24"/>
                <w:szCs w:val="24"/>
              </w:rPr>
            </w:pPr>
            <w:r>
              <w:rPr>
                <w:rFonts w:ascii="Arial" w:hAnsi="Arial" w:cs="Arial"/>
                <w:sz w:val="24"/>
                <w:szCs w:val="24"/>
              </w:rPr>
              <w:t>CH</w:t>
            </w:r>
            <w:r>
              <w:rPr>
                <w:rFonts w:ascii="Arial" w:hAnsi="Arial" w:cs="Arial"/>
                <w:sz w:val="24"/>
                <w:szCs w:val="24"/>
                <w:vertAlign w:val="subscript"/>
              </w:rPr>
              <w:t>3</w:t>
            </w:r>
            <w:r>
              <w:rPr>
                <w:rFonts w:ascii="Arial" w:hAnsi="Arial" w:cs="Arial"/>
                <w:sz w:val="24"/>
                <w:szCs w:val="24"/>
              </w:rPr>
              <w:t>CH</w:t>
            </w:r>
            <w:r>
              <w:rPr>
                <w:rFonts w:ascii="Arial" w:hAnsi="Arial" w:cs="Arial"/>
                <w:sz w:val="24"/>
                <w:szCs w:val="24"/>
                <w:vertAlign w:val="subscript"/>
              </w:rPr>
              <w:t>2</w:t>
            </w:r>
            <w:r>
              <w:rPr>
                <w:rFonts w:ascii="Arial" w:hAnsi="Arial" w:cs="Arial"/>
                <w:sz w:val="24"/>
                <w:szCs w:val="24"/>
              </w:rPr>
              <w:t>C (CH</w:t>
            </w:r>
            <w:r>
              <w:rPr>
                <w:rFonts w:ascii="Arial" w:hAnsi="Arial" w:cs="Arial"/>
                <w:sz w:val="24"/>
                <w:szCs w:val="24"/>
                <w:vertAlign w:val="subscript"/>
              </w:rPr>
              <w:t>2</w:t>
            </w:r>
            <w:r>
              <w:rPr>
                <w:rFonts w:ascii="Arial" w:hAnsi="Arial" w:cs="Arial"/>
                <w:sz w:val="24"/>
                <w:szCs w:val="24"/>
              </w:rPr>
              <w:t>OH)</w:t>
            </w:r>
            <w:r>
              <w:rPr>
                <w:rFonts w:ascii="Arial" w:hAnsi="Arial" w:cs="Arial"/>
                <w:sz w:val="24"/>
                <w:szCs w:val="24"/>
                <w:vertAlign w:val="subscript"/>
              </w:rPr>
              <w:t>3</w:t>
            </w:r>
          </w:p>
        </w:tc>
        <w:tc>
          <w:tcPr>
            <w:tcW w:w="1522" w:type="dxa"/>
          </w:tcPr>
          <w:p w14:paraId="20FB8BDC">
            <w:pPr>
              <w:spacing w:after="0" w:line="360" w:lineRule="auto"/>
              <w:jc w:val="both"/>
              <w:rPr>
                <w:rFonts w:ascii="Arial" w:hAnsi="Arial" w:cs="Arial"/>
                <w:sz w:val="24"/>
                <w:szCs w:val="24"/>
              </w:rPr>
            </w:pPr>
            <w:r>
              <w:rPr>
                <w:rFonts w:ascii="Arial" w:hAnsi="Arial" w:cs="Arial"/>
                <w:sz w:val="24"/>
                <w:szCs w:val="24"/>
              </w:rPr>
              <w:t>98.00%</w:t>
            </w:r>
          </w:p>
        </w:tc>
        <w:tc>
          <w:tcPr>
            <w:tcW w:w="2683" w:type="dxa"/>
          </w:tcPr>
          <w:p w14:paraId="171AA29A">
            <w:pPr>
              <w:spacing w:after="0" w:line="360" w:lineRule="auto"/>
              <w:jc w:val="both"/>
              <w:rPr>
                <w:rFonts w:ascii="Arial" w:hAnsi="Arial" w:cs="Arial"/>
                <w:sz w:val="24"/>
                <w:szCs w:val="24"/>
              </w:rPr>
            </w:pPr>
            <w:r>
              <w:rPr>
                <w:rFonts w:ascii="Arial" w:hAnsi="Arial" w:cs="Arial"/>
                <w:sz w:val="24"/>
                <w:szCs w:val="24"/>
              </w:rPr>
              <w:t>BASF and Hubei Yihua</w:t>
            </w:r>
          </w:p>
        </w:tc>
      </w:tr>
      <w:tr w14:paraId="06CD8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2773" w:type="dxa"/>
            <w:tcBorders>
              <w:bottom w:val="single" w:color="auto" w:sz="4" w:space="0"/>
            </w:tcBorders>
          </w:tcPr>
          <w:p w14:paraId="63A0C94F">
            <w:pPr>
              <w:spacing w:after="0" w:line="360" w:lineRule="auto"/>
              <w:jc w:val="both"/>
              <w:rPr>
                <w:rFonts w:ascii="Arial" w:hAnsi="Arial" w:cs="Arial"/>
                <w:sz w:val="24"/>
                <w:szCs w:val="24"/>
              </w:rPr>
            </w:pPr>
            <w:r>
              <w:rPr>
                <w:rFonts w:ascii="Arial" w:hAnsi="Arial" w:cs="Arial"/>
                <w:sz w:val="24"/>
                <w:szCs w:val="24"/>
              </w:rPr>
              <w:t xml:space="preserve"> Hydrochloric acid           </w:t>
            </w:r>
          </w:p>
        </w:tc>
        <w:tc>
          <w:tcPr>
            <w:tcW w:w="2330" w:type="dxa"/>
            <w:tcBorders>
              <w:bottom w:val="single" w:color="auto" w:sz="4" w:space="0"/>
            </w:tcBorders>
          </w:tcPr>
          <w:p w14:paraId="1F2D32BB">
            <w:pPr>
              <w:spacing w:after="0" w:line="360" w:lineRule="auto"/>
              <w:jc w:val="both"/>
              <w:rPr>
                <w:rFonts w:ascii="Arial" w:hAnsi="Arial" w:cs="Arial"/>
                <w:sz w:val="24"/>
                <w:szCs w:val="24"/>
              </w:rPr>
            </w:pPr>
            <w:r>
              <w:rPr>
                <w:rFonts w:ascii="Arial" w:hAnsi="Arial" w:cs="Arial"/>
                <w:sz w:val="24"/>
                <w:szCs w:val="24"/>
              </w:rPr>
              <w:t>HCl</w:t>
            </w:r>
          </w:p>
        </w:tc>
        <w:tc>
          <w:tcPr>
            <w:tcW w:w="1522" w:type="dxa"/>
            <w:tcBorders>
              <w:bottom w:val="single" w:color="auto" w:sz="4" w:space="0"/>
            </w:tcBorders>
          </w:tcPr>
          <w:p w14:paraId="4AB98879">
            <w:pPr>
              <w:spacing w:after="0" w:line="360" w:lineRule="auto"/>
              <w:jc w:val="both"/>
              <w:rPr>
                <w:rFonts w:ascii="Arial" w:hAnsi="Arial" w:cs="Arial"/>
                <w:sz w:val="24"/>
                <w:szCs w:val="24"/>
              </w:rPr>
            </w:pPr>
            <w:r>
              <w:rPr>
                <w:rFonts w:ascii="Arial" w:hAnsi="Arial" w:cs="Arial"/>
                <w:sz w:val="24"/>
                <w:szCs w:val="24"/>
              </w:rPr>
              <w:t>35.00%</w:t>
            </w:r>
          </w:p>
        </w:tc>
        <w:tc>
          <w:tcPr>
            <w:tcW w:w="2683" w:type="dxa"/>
            <w:tcBorders>
              <w:bottom w:val="single" w:color="auto" w:sz="4" w:space="0"/>
            </w:tcBorders>
          </w:tcPr>
          <w:p w14:paraId="17ADB07D">
            <w:pPr>
              <w:spacing w:after="0" w:line="360" w:lineRule="auto"/>
              <w:jc w:val="both"/>
              <w:rPr>
                <w:rFonts w:ascii="Arial" w:hAnsi="Arial" w:cs="Arial"/>
                <w:sz w:val="24"/>
                <w:szCs w:val="24"/>
              </w:rPr>
            </w:pPr>
            <w:r>
              <w:rPr>
                <w:rFonts w:ascii="Arial" w:hAnsi="Arial" w:cs="Arial"/>
                <w:sz w:val="24"/>
                <w:szCs w:val="24"/>
              </w:rPr>
              <w:t>BDH LTD, UK</w:t>
            </w:r>
          </w:p>
          <w:p w14:paraId="45865F07">
            <w:pPr>
              <w:spacing w:after="0" w:line="360" w:lineRule="auto"/>
              <w:jc w:val="both"/>
              <w:rPr>
                <w:rFonts w:ascii="Arial" w:hAnsi="Arial" w:cs="Arial"/>
                <w:sz w:val="24"/>
                <w:szCs w:val="24"/>
              </w:rPr>
            </w:pPr>
          </w:p>
        </w:tc>
      </w:tr>
    </w:tbl>
    <w:p w14:paraId="5DC1C336">
      <w:pPr>
        <w:spacing w:line="360" w:lineRule="auto"/>
        <w:jc w:val="both"/>
        <w:outlineLvl w:val="0"/>
        <w:rPr>
          <w:rFonts w:ascii="Arial" w:hAnsi="Arial" w:cs="Arial"/>
          <w:b/>
          <w:sz w:val="24"/>
          <w:szCs w:val="24"/>
        </w:rPr>
      </w:pPr>
    </w:p>
    <w:p w14:paraId="37DAA0D5">
      <w:pPr>
        <w:spacing w:line="360" w:lineRule="auto"/>
        <w:jc w:val="both"/>
        <w:outlineLvl w:val="0"/>
        <w:rPr>
          <w:rFonts w:ascii="Arial" w:hAnsi="Arial" w:cs="Arial"/>
          <w:b/>
          <w:sz w:val="24"/>
          <w:szCs w:val="24"/>
        </w:rPr>
      </w:pPr>
      <w:bookmarkStart w:id="30" w:name="_Toc213305000"/>
      <w:r>
        <w:rPr>
          <w:rFonts w:ascii="Arial" w:hAnsi="Arial" w:cs="Arial"/>
          <w:b/>
          <w:sz w:val="24"/>
          <w:szCs w:val="24"/>
        </w:rPr>
        <w:t>3.2 METHODS</w:t>
      </w:r>
      <w:bookmarkEnd w:id="30"/>
    </w:p>
    <w:p w14:paraId="67FC2A04">
      <w:pPr>
        <w:spacing w:line="360" w:lineRule="auto"/>
        <w:jc w:val="both"/>
        <w:outlineLvl w:val="0"/>
        <w:rPr>
          <w:rFonts w:ascii="Arial" w:hAnsi="Arial" w:cs="Arial"/>
          <w:b/>
          <w:sz w:val="24"/>
          <w:szCs w:val="24"/>
        </w:rPr>
      </w:pPr>
      <w:bookmarkStart w:id="31" w:name="_Toc213305001"/>
      <w:r>
        <w:rPr>
          <w:rFonts w:ascii="Arial" w:hAnsi="Arial" w:cs="Arial"/>
          <w:b/>
          <w:sz w:val="24"/>
          <w:szCs w:val="24"/>
        </w:rPr>
        <w:t>3.2.1 Sample collection</w:t>
      </w:r>
      <w:bookmarkEnd w:id="31"/>
      <w:r>
        <w:rPr>
          <w:rFonts w:ascii="Arial" w:hAnsi="Arial" w:cs="Arial"/>
          <w:b/>
          <w:sz w:val="24"/>
          <w:szCs w:val="24"/>
        </w:rPr>
        <w:t xml:space="preserve">  </w:t>
      </w:r>
    </w:p>
    <w:p w14:paraId="19799C19">
      <w:pPr>
        <w:spacing w:line="360" w:lineRule="auto"/>
        <w:jc w:val="both"/>
        <w:rPr>
          <w:rFonts w:ascii="Arial" w:hAnsi="Arial" w:cs="Arial"/>
          <w:sz w:val="24"/>
          <w:szCs w:val="24"/>
        </w:rPr>
      </w:pPr>
      <w:r>
        <w:rPr>
          <w:rFonts w:ascii="Arial" w:hAnsi="Arial" w:cs="Arial"/>
          <w:sz w:val="24"/>
          <w:szCs w:val="24"/>
        </w:rPr>
        <w:t>The sample of waste cooking oil (WCO) used for this research was collected from local food outlets.</w:t>
      </w:r>
    </w:p>
    <w:p w14:paraId="669BDEDB">
      <w:pPr>
        <w:spacing w:line="360" w:lineRule="auto"/>
        <w:jc w:val="both"/>
        <w:outlineLvl w:val="0"/>
        <w:rPr>
          <w:rFonts w:ascii="Arial" w:hAnsi="Arial" w:cs="Arial"/>
          <w:sz w:val="24"/>
          <w:szCs w:val="24"/>
        </w:rPr>
      </w:pPr>
      <w:bookmarkStart w:id="32" w:name="_Toc213305002"/>
      <w:r>
        <w:rPr>
          <w:rFonts w:ascii="Arial" w:hAnsi="Arial" w:cs="Arial"/>
          <w:b/>
          <w:sz w:val="24"/>
          <w:szCs w:val="24"/>
        </w:rPr>
        <w:t>3.2.2 Pre-treatment of waste cooking</w:t>
      </w:r>
      <w:r>
        <w:rPr>
          <w:rFonts w:ascii="Arial" w:hAnsi="Arial" w:cs="Arial"/>
          <w:sz w:val="24"/>
          <w:szCs w:val="24"/>
        </w:rPr>
        <w:t xml:space="preserve"> </w:t>
      </w:r>
      <w:r>
        <w:rPr>
          <w:rFonts w:ascii="Arial" w:hAnsi="Arial" w:cs="Arial"/>
          <w:b/>
          <w:sz w:val="24"/>
          <w:szCs w:val="24"/>
        </w:rPr>
        <w:t>oil</w:t>
      </w:r>
      <w:bookmarkEnd w:id="32"/>
      <w:r>
        <w:rPr>
          <w:rFonts w:ascii="Arial" w:hAnsi="Arial" w:cs="Arial"/>
          <w:sz w:val="24"/>
          <w:szCs w:val="24"/>
        </w:rPr>
        <w:t xml:space="preserve"> </w:t>
      </w:r>
    </w:p>
    <w:p w14:paraId="101AB04F">
      <w:pPr>
        <w:spacing w:line="360" w:lineRule="auto"/>
        <w:jc w:val="both"/>
        <w:rPr>
          <w:rFonts w:ascii="Arial" w:hAnsi="Arial" w:cs="Arial"/>
          <w:sz w:val="24"/>
          <w:szCs w:val="24"/>
        </w:rPr>
      </w:pPr>
      <w:r>
        <w:rPr>
          <w:rFonts w:ascii="Arial" w:hAnsi="Arial" w:cs="Arial"/>
          <w:sz w:val="24"/>
          <w:szCs w:val="24"/>
        </w:rPr>
        <w:t>The oil was pre-treated by filtering with filter paper to remove suspended food particles and solid impurities. Heat the filtered oil to 110˚c for 15-20 minutes on a hotplate stirrer to evaporate any residual water. Allow it to cool to room temperature.</w:t>
      </w:r>
    </w:p>
    <w:p w14:paraId="389202DF">
      <w:pPr>
        <w:spacing w:line="360" w:lineRule="auto"/>
        <w:jc w:val="both"/>
        <w:outlineLvl w:val="0"/>
        <w:rPr>
          <w:rFonts w:ascii="Arial" w:hAnsi="Arial" w:cs="Arial"/>
          <w:b/>
          <w:sz w:val="24"/>
          <w:szCs w:val="24"/>
        </w:rPr>
      </w:pPr>
      <w:bookmarkStart w:id="33" w:name="_Toc213305003"/>
    </w:p>
    <w:p w14:paraId="6593B4FF">
      <w:pPr>
        <w:spacing w:line="360" w:lineRule="auto"/>
        <w:jc w:val="both"/>
        <w:outlineLvl w:val="0"/>
        <w:rPr>
          <w:rFonts w:ascii="Arial" w:hAnsi="Arial" w:cs="Arial"/>
          <w:b/>
          <w:sz w:val="24"/>
          <w:szCs w:val="24"/>
        </w:rPr>
      </w:pPr>
    </w:p>
    <w:p w14:paraId="255107EA">
      <w:pPr>
        <w:spacing w:line="360" w:lineRule="auto"/>
        <w:jc w:val="both"/>
        <w:outlineLvl w:val="0"/>
        <w:rPr>
          <w:rFonts w:ascii="Arial" w:hAnsi="Arial" w:cs="Arial"/>
          <w:b/>
          <w:sz w:val="24"/>
          <w:szCs w:val="24"/>
        </w:rPr>
      </w:pPr>
      <w:r>
        <w:rPr>
          <w:rFonts w:ascii="Arial" w:hAnsi="Arial" w:cs="Arial"/>
          <w:b/>
          <w:sz w:val="24"/>
          <w:szCs w:val="24"/>
        </w:rPr>
        <w:t>3.2.3 Preparation of Reagents</w:t>
      </w:r>
      <w:bookmarkEnd w:id="33"/>
    </w:p>
    <w:p w14:paraId="0FC9BB77">
      <w:pPr>
        <w:spacing w:line="360" w:lineRule="auto"/>
        <w:jc w:val="both"/>
        <w:outlineLvl w:val="0"/>
        <w:rPr>
          <w:rFonts w:ascii="Arial" w:hAnsi="Arial" w:cs="Arial"/>
          <w:b/>
          <w:sz w:val="24"/>
          <w:szCs w:val="24"/>
        </w:rPr>
      </w:pPr>
      <w:bookmarkStart w:id="34" w:name="_Toc213305004"/>
      <w:r>
        <w:rPr>
          <w:rFonts w:ascii="Arial" w:hAnsi="Arial" w:cs="Arial"/>
          <w:b/>
          <w:sz w:val="24"/>
          <w:szCs w:val="24"/>
        </w:rPr>
        <w:t>3.2.3.1 Potassium hydroxide(KOH)</w:t>
      </w:r>
      <w:bookmarkEnd w:id="34"/>
    </w:p>
    <w:p w14:paraId="2AF02B9F">
      <w:pPr>
        <w:spacing w:line="360" w:lineRule="auto"/>
        <w:jc w:val="both"/>
        <w:rPr>
          <w:rFonts w:ascii="Arial" w:hAnsi="Arial" w:cs="Arial"/>
          <w:sz w:val="24"/>
          <w:szCs w:val="24"/>
        </w:rPr>
      </w:pPr>
      <w:r>
        <w:rPr>
          <w:rFonts w:ascii="Arial" w:hAnsi="Arial" w:cs="Arial"/>
          <w:sz w:val="24"/>
          <w:szCs w:val="24"/>
        </w:rPr>
        <w:t>A measurable amount of 5g KOH was weighed and dissolved in 50cmᶟ distilled water, the volume was then brought to the mark in a 250cmᶟ volumetric flask using distilled water.</w:t>
      </w:r>
    </w:p>
    <w:p w14:paraId="33D74AA9">
      <w:pPr>
        <w:spacing w:line="360" w:lineRule="auto"/>
        <w:jc w:val="both"/>
        <w:outlineLvl w:val="0"/>
        <w:rPr>
          <w:rFonts w:ascii="Arial" w:hAnsi="Arial" w:cs="Arial"/>
          <w:b/>
          <w:sz w:val="24"/>
          <w:szCs w:val="24"/>
        </w:rPr>
      </w:pPr>
      <w:bookmarkStart w:id="35" w:name="_Toc213305005"/>
      <w:r>
        <w:rPr>
          <w:rFonts w:ascii="Arial" w:hAnsi="Arial" w:cs="Arial"/>
          <w:b/>
          <w:sz w:val="24"/>
          <w:szCs w:val="24"/>
        </w:rPr>
        <w:t>3.2.3.2 Phenolphthalein indicator</w:t>
      </w:r>
      <w:bookmarkEnd w:id="35"/>
    </w:p>
    <w:p w14:paraId="0C5C06D7">
      <w:pPr>
        <w:spacing w:line="360" w:lineRule="auto"/>
        <w:jc w:val="both"/>
        <w:rPr>
          <w:rFonts w:ascii="Arial" w:hAnsi="Arial" w:cs="Arial"/>
          <w:sz w:val="24"/>
          <w:szCs w:val="24"/>
        </w:rPr>
      </w:pPr>
      <w:r>
        <w:rPr>
          <w:rFonts w:ascii="Arial" w:hAnsi="Arial" w:cs="Arial"/>
          <w:sz w:val="24"/>
          <w:szCs w:val="24"/>
        </w:rPr>
        <w:t>A calculated amount of 2g phenolphthalein powder was accurately weighed and dissolved in 25cmᶟ of absolute ethanol.</w:t>
      </w:r>
    </w:p>
    <w:p w14:paraId="7862A222">
      <w:pPr>
        <w:spacing w:line="360" w:lineRule="auto"/>
        <w:jc w:val="both"/>
        <w:outlineLvl w:val="0"/>
        <w:rPr>
          <w:rFonts w:ascii="Arial" w:hAnsi="Arial" w:cs="Arial"/>
          <w:b/>
          <w:sz w:val="24"/>
          <w:szCs w:val="24"/>
        </w:rPr>
      </w:pPr>
      <w:bookmarkStart w:id="36" w:name="_Toc213305006"/>
      <w:r>
        <w:rPr>
          <w:rFonts w:ascii="Arial" w:hAnsi="Arial" w:cs="Arial"/>
          <w:b/>
          <w:sz w:val="24"/>
          <w:szCs w:val="24"/>
        </w:rPr>
        <w:t>3.2.3.3 Transesterification process</w:t>
      </w:r>
      <w:bookmarkEnd w:id="36"/>
    </w:p>
    <w:p w14:paraId="3134C32A">
      <w:pPr>
        <w:spacing w:line="360" w:lineRule="auto"/>
        <w:jc w:val="both"/>
        <w:rPr>
          <w:rFonts w:ascii="Arial" w:hAnsi="Arial" w:cs="Arial"/>
          <w:sz w:val="24"/>
          <w:szCs w:val="24"/>
        </w:rPr>
      </w:pPr>
      <w:r>
        <w:rPr>
          <w:rFonts w:ascii="Arial" w:hAnsi="Arial" w:cs="Arial"/>
          <w:sz w:val="24"/>
          <w:szCs w:val="24"/>
        </w:rPr>
        <w:t xml:space="preserve">The bio lubricant was formulated using waste cooking oil (WCO) as feedstock in accordance with ISO5509 method described by (Bilal </w:t>
      </w:r>
      <w:r>
        <w:rPr>
          <w:rFonts w:ascii="Arial" w:hAnsi="Arial" w:cs="Arial"/>
          <w:i/>
          <w:sz w:val="24"/>
          <w:szCs w:val="24"/>
        </w:rPr>
        <w:t>et al</w:t>
      </w:r>
      <w:r>
        <w:rPr>
          <w:rFonts w:ascii="Arial" w:hAnsi="Arial" w:cs="Arial"/>
          <w:sz w:val="24"/>
          <w:szCs w:val="24"/>
        </w:rPr>
        <w:t xml:space="preserve">., 2013). The formulation involves a double transesterification, an intermediate   product, methyl ester of the oil was produced by mixing the oil sample with methanol using potassium hydroxide (KOH) as catalyst in the ratio 3:1. Potassium hydroxide of 0.5 wt% of the oil was used as a catalyst. Bio lubricant synthesis was achieved during the second transesterification by adding trimethylolpropane (TMP) to the waste cooking oil methyl ester in the ratio 3.5:1 to produce the desired product, a polyol ester (bio lubricant) in accordance with (Zulkifli </w:t>
      </w:r>
      <w:r>
        <w:rPr>
          <w:rFonts w:ascii="Arial" w:hAnsi="Arial" w:cs="Arial"/>
          <w:i/>
          <w:sz w:val="24"/>
          <w:szCs w:val="24"/>
        </w:rPr>
        <w:t>et al</w:t>
      </w:r>
      <w:r>
        <w:rPr>
          <w:rFonts w:ascii="Arial" w:hAnsi="Arial" w:cs="Arial"/>
          <w:sz w:val="24"/>
          <w:szCs w:val="24"/>
        </w:rPr>
        <w:t>., 2013). The reaction was conducted at a temperature of 120˚C for two and half hours (2</w:t>
      </w:r>
      <m:oMath>
        <m:f>
          <m:fPr>
            <m:ctrlPr>
              <w:rPr>
                <w:rFonts w:ascii="Cambria Math" w:hAnsi="Cambria Math" w:cs="Arial"/>
                <w:i/>
                <w:sz w:val="24"/>
                <w:szCs w:val="24"/>
              </w:rPr>
            </m:ctrlPr>
          </m:fPr>
          <m:num>
            <m:r>
              <m:rPr/>
              <w:rPr>
                <w:rFonts w:ascii="Cambria Math" w:hAnsi="Cambria Math" w:cs="Arial"/>
                <w:sz w:val="24"/>
                <w:szCs w:val="24"/>
              </w:rPr>
              <m:t>1</m:t>
            </m:r>
            <m:ctrlPr>
              <w:rPr>
                <w:rFonts w:ascii="Cambria Math" w:hAnsi="Cambria Math" w:cs="Arial"/>
                <w:i/>
                <w:sz w:val="24"/>
                <w:szCs w:val="24"/>
              </w:rPr>
            </m:ctrlPr>
          </m:num>
          <m:den>
            <m:r>
              <m:rPr/>
              <w:rPr>
                <w:rFonts w:ascii="Cambria Math" w:hAnsi="Cambria Math" w:cs="Arial"/>
                <w:sz w:val="24"/>
                <w:szCs w:val="24"/>
              </w:rPr>
              <m:t>2</m:t>
            </m:r>
            <m:ctrlPr>
              <w:rPr>
                <w:rFonts w:ascii="Cambria Math" w:hAnsi="Cambria Math" w:cs="Arial"/>
                <w:i/>
                <w:sz w:val="24"/>
                <w:szCs w:val="24"/>
              </w:rPr>
            </m:ctrlPr>
          </m:den>
        </m:f>
      </m:oMath>
      <w:r>
        <w:rPr>
          <w:rFonts w:ascii="Arial" w:hAnsi="Arial" w:cs="Arial"/>
          <w:sz w:val="24"/>
          <w:szCs w:val="24"/>
        </w:rPr>
        <w:t xml:space="preserve"> ) as prescribed by (Jatti </w:t>
      </w:r>
      <w:r>
        <w:rPr>
          <w:rFonts w:ascii="Arial" w:hAnsi="Arial" w:cs="Arial"/>
          <w:i/>
          <w:sz w:val="24"/>
          <w:szCs w:val="24"/>
        </w:rPr>
        <w:t>et al</w:t>
      </w:r>
      <w:r>
        <w:rPr>
          <w:rFonts w:ascii="Arial" w:hAnsi="Arial" w:cs="Arial"/>
          <w:sz w:val="24"/>
          <w:szCs w:val="24"/>
        </w:rPr>
        <w:t>., 2015). After the reaction was completed, vacuum filtration was used to separate potassium hydroxide from the product mixture.  Thereafter un reacted methyl esters were removed from the final product by vacuum distillation.</w:t>
      </w:r>
    </w:p>
    <w:p w14:paraId="6E939473">
      <w:pPr>
        <w:spacing w:line="360" w:lineRule="auto"/>
        <w:jc w:val="both"/>
        <w:outlineLvl w:val="0"/>
        <w:rPr>
          <w:rFonts w:ascii="Arial" w:hAnsi="Arial" w:cs="Arial"/>
          <w:b/>
          <w:sz w:val="24"/>
          <w:szCs w:val="24"/>
        </w:rPr>
      </w:pPr>
      <w:bookmarkStart w:id="37" w:name="_Toc213305007"/>
      <w:r>
        <w:rPr>
          <w:rFonts w:ascii="Arial" w:hAnsi="Arial" w:cs="Arial"/>
          <w:b/>
          <w:sz w:val="24"/>
          <w:szCs w:val="24"/>
        </w:rPr>
        <w:t>3.2.3.4 Characterization tests</w:t>
      </w:r>
      <w:bookmarkEnd w:id="37"/>
    </w:p>
    <w:p w14:paraId="64019D99">
      <w:pPr>
        <w:spacing w:line="360" w:lineRule="auto"/>
        <w:jc w:val="both"/>
        <w:outlineLvl w:val="0"/>
        <w:rPr>
          <w:rFonts w:ascii="Arial" w:hAnsi="Arial" w:cs="Arial"/>
          <w:b/>
          <w:sz w:val="24"/>
          <w:szCs w:val="24"/>
        </w:rPr>
      </w:pPr>
      <w:bookmarkStart w:id="38" w:name="_Toc213305008"/>
      <w:r>
        <w:rPr>
          <w:rFonts w:ascii="Arial" w:hAnsi="Arial" w:cs="Arial"/>
          <w:b/>
          <w:sz w:val="24"/>
          <w:szCs w:val="24"/>
        </w:rPr>
        <w:t>3.2.3.5 Determination of acid value</w:t>
      </w:r>
      <w:bookmarkEnd w:id="38"/>
    </w:p>
    <w:p w14:paraId="0A68E0CE">
      <w:pPr>
        <w:spacing w:line="360" w:lineRule="auto"/>
        <w:jc w:val="both"/>
        <w:rPr>
          <w:rFonts w:ascii="Arial" w:hAnsi="Arial" w:cs="Arial"/>
          <w:sz w:val="24"/>
          <w:szCs w:val="24"/>
        </w:rPr>
      </w:pPr>
      <w:r>
        <w:rPr>
          <w:rFonts w:ascii="Arial" w:hAnsi="Arial" w:cs="Arial"/>
          <w:sz w:val="24"/>
          <w:szCs w:val="24"/>
        </w:rPr>
        <w:t xml:space="preserve">Acid value was determined in accordance with ASTM D664-18 method. Bio lubricant of 2g was weighed and transferred into a conical flask. 10cmᶟ of ethanol   and 2-3 drops of the (phenolphthalein) indicator was added. And the solution was titrated against 0.1M potassium hydroxide (KOH) solution with constant stirring until a faint, pink end-point appears (Bilal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.,2013). The endpoint value was then recorded, and the acid value was calculated using equation (2).</w:t>
      </w:r>
    </w:p>
    <w:p w14:paraId="794B1243">
      <w:pPr>
        <w:spacing w:line="360" w:lineRule="auto"/>
        <w:jc w:val="both"/>
        <w:rPr>
          <w:rFonts w:ascii="Arial" w:hAnsi="Arial" w:cs="Arial"/>
          <w:sz w:val="24"/>
          <w:szCs w:val="24"/>
        </w:rPr>
      </w:pPr>
      <w:r>
        <w:rPr>
          <w:rFonts w:ascii="Arial" w:hAnsi="Arial" w:cs="Arial"/>
          <w:sz w:val="24"/>
          <w:szCs w:val="24"/>
        </w:rPr>
        <w:t xml:space="preserve"> Acid Value </w:t>
      </w:r>
      <m:oMath>
        <m:r>
          <m:rPr/>
          <w:rPr>
            <w:rFonts w:ascii="Cambria Math" w:hAnsi="Cambria Math" w:cs="Arial"/>
            <w:sz w:val="24"/>
            <w:szCs w:val="24"/>
          </w:rPr>
          <m:t>=</m:t>
        </m:r>
        <m:f>
          <m:fPr>
            <m:ctrlPr>
              <w:rPr>
                <w:rFonts w:ascii="Cambria Math" w:hAnsi="Cambria Math" w:cs="Arial"/>
                <w:i/>
                <w:sz w:val="24"/>
                <w:szCs w:val="24"/>
              </w:rPr>
            </m:ctrlPr>
          </m:fPr>
          <m:num>
            <m:r>
              <m:rPr/>
              <w:rPr>
                <w:rFonts w:ascii="Cambria Math" w:hAnsi="Cambria Math" w:cs="Arial"/>
                <w:sz w:val="24"/>
                <w:szCs w:val="24"/>
              </w:rPr>
              <m:t>(Titre value)(Molarity of KOH)(56.1)</m:t>
            </m:r>
            <m:ctrlPr>
              <w:rPr>
                <w:rFonts w:ascii="Cambria Math" w:hAnsi="Cambria Math" w:cs="Arial"/>
                <w:i/>
                <w:sz w:val="24"/>
                <w:szCs w:val="24"/>
              </w:rPr>
            </m:ctrlPr>
          </m:num>
          <m:den>
            <m:r>
              <m:rPr/>
              <w:rPr>
                <w:rFonts w:ascii="Cambria Math" w:hAnsi="Cambria Math" w:cs="Arial"/>
                <w:sz w:val="24"/>
                <w:szCs w:val="24"/>
              </w:rPr>
              <m:t>(Weight of sample)</m:t>
            </m:r>
            <m:ctrlPr>
              <w:rPr>
                <w:rFonts w:ascii="Cambria Math" w:hAnsi="Cambria Math" w:cs="Arial"/>
                <w:i/>
                <w:sz w:val="24"/>
                <w:szCs w:val="24"/>
              </w:rPr>
            </m:ctrlPr>
          </m:den>
        </m:f>
      </m:oMath>
      <w:r>
        <w:rPr>
          <w:rFonts w:ascii="Arial" w:hAnsi="Arial" w:cs="Arial" w:eastAsiaTheme="minorEastAsia"/>
          <w:sz w:val="24"/>
          <w:szCs w:val="24"/>
        </w:rPr>
        <w:t>……………………….. equation(2)</w:t>
      </w:r>
    </w:p>
    <w:p w14:paraId="2A18C75A">
      <w:pPr>
        <w:spacing w:line="360" w:lineRule="auto"/>
        <w:jc w:val="both"/>
        <w:outlineLvl w:val="0"/>
        <w:rPr>
          <w:rFonts w:ascii="Arial" w:hAnsi="Arial" w:cs="Arial"/>
          <w:b/>
          <w:sz w:val="24"/>
          <w:szCs w:val="24"/>
        </w:rPr>
      </w:pPr>
      <w:bookmarkStart w:id="39" w:name="_Toc213305009"/>
      <w:r>
        <w:rPr>
          <w:rFonts w:ascii="Arial" w:hAnsi="Arial" w:cs="Arial"/>
          <w:b/>
          <w:sz w:val="24"/>
          <w:szCs w:val="24"/>
        </w:rPr>
        <w:t>3.2.3.6 Determination of Viscosity (ASTM D445)</w:t>
      </w:r>
      <w:bookmarkEnd w:id="39"/>
    </w:p>
    <w:p w14:paraId="49F5837D">
      <w:pPr>
        <w:spacing w:line="360" w:lineRule="auto"/>
        <w:jc w:val="both"/>
        <w:rPr>
          <w:rFonts w:ascii="Arial" w:hAnsi="Arial" w:cs="Arial"/>
          <w:sz w:val="24"/>
          <w:szCs w:val="24"/>
        </w:rPr>
      </w:pPr>
      <w:r>
        <w:rPr>
          <w:rFonts w:ascii="Arial" w:hAnsi="Arial" w:cs="Arial"/>
          <w:sz w:val="24"/>
          <w:szCs w:val="24"/>
        </w:rPr>
        <w:t>The viscosity of the bio lubricant was determined at temperature of 40˚C, as follows the sample was transferred to a 250cmᶟ beaker, and the temperature of the bio lubricant was raised to a desired value by heating on a heating mantle with constant stirring. The viscometer was then turned on and allowed to run until a constant reading was attained.</w:t>
      </w:r>
    </w:p>
    <w:p w14:paraId="59A4955E">
      <w:pPr>
        <w:spacing w:line="360" w:lineRule="auto"/>
        <w:jc w:val="both"/>
        <w:outlineLvl w:val="0"/>
        <w:rPr>
          <w:rFonts w:ascii="Arial" w:hAnsi="Arial" w:cs="Arial"/>
          <w:b/>
          <w:sz w:val="24"/>
          <w:szCs w:val="24"/>
        </w:rPr>
      </w:pPr>
      <w:bookmarkStart w:id="40" w:name="_Toc213305010"/>
      <w:r>
        <w:rPr>
          <w:rFonts w:ascii="Arial" w:hAnsi="Arial" w:cs="Arial"/>
          <w:b/>
          <w:sz w:val="24"/>
          <w:szCs w:val="24"/>
        </w:rPr>
        <w:t>3.2.3.7 Determination of flash point (ASTM D92)</w:t>
      </w:r>
      <w:bookmarkEnd w:id="40"/>
    </w:p>
    <w:p w14:paraId="4700DFB6">
      <w:pPr>
        <w:spacing w:line="360" w:lineRule="auto"/>
        <w:jc w:val="both"/>
        <w:rPr>
          <w:rFonts w:ascii="Arial" w:hAnsi="Arial" w:cs="Arial"/>
          <w:sz w:val="24"/>
          <w:szCs w:val="24"/>
        </w:rPr>
      </w:pPr>
      <w:r>
        <w:rPr>
          <w:rFonts w:ascii="Arial" w:hAnsi="Arial" w:cs="Arial"/>
          <w:sz w:val="24"/>
          <w:szCs w:val="24"/>
        </w:rPr>
        <w:t xml:space="preserve">Flash point, as defined by ASTM D 92, is a measure of the temperature to which a fuel must be heated such that a mixture of the vapour and air above the fuel can be ignited. The flash point was determined according to ASTM D92 method. The sample was placed in the test cup to the prescribed mark in the interior of the cup. The cup was mounted on to its position on the tester. Bunsen burner was used to supply heat to the apparatus at rate of 10˚C per minute with constant stirring. A small test flame was directed into the cup intermittently. The flash point was taken as the temperature when the test flame caused the vapour above the sample to ignite (Indhumathi </w:t>
      </w:r>
      <w:r>
        <w:rPr>
          <w:rFonts w:ascii="Arial" w:hAnsi="Arial" w:cs="Arial"/>
          <w:i/>
          <w:sz w:val="24"/>
          <w:szCs w:val="24"/>
        </w:rPr>
        <w:t>et al</w:t>
      </w:r>
      <w:r>
        <w:rPr>
          <w:rFonts w:ascii="Arial" w:hAnsi="Arial" w:cs="Arial"/>
          <w:sz w:val="24"/>
          <w:szCs w:val="24"/>
        </w:rPr>
        <w:t>., 2014).</w:t>
      </w:r>
    </w:p>
    <w:p w14:paraId="624D21BF">
      <w:pPr>
        <w:spacing w:line="480" w:lineRule="auto"/>
        <w:jc w:val="both"/>
        <w:outlineLvl w:val="0"/>
        <w:rPr>
          <w:rFonts w:ascii="Arial" w:hAnsi="Arial" w:cs="Arial"/>
          <w:b/>
          <w:sz w:val="24"/>
        </w:rPr>
      </w:pPr>
      <w:bookmarkStart w:id="41" w:name="_Toc213305011"/>
      <w:r>
        <w:rPr>
          <w:rFonts w:ascii="Arial" w:hAnsi="Arial" w:cs="Arial"/>
          <w:b/>
          <w:sz w:val="24"/>
        </w:rPr>
        <w:t>3.2.3.8 Determination of saponification value</w:t>
      </w:r>
      <w:bookmarkEnd w:id="41"/>
    </w:p>
    <w:p w14:paraId="5D7692FF">
      <w:pPr>
        <w:spacing w:line="480" w:lineRule="auto"/>
        <w:jc w:val="both"/>
        <w:rPr>
          <w:rFonts w:ascii="Arial" w:hAnsi="Arial" w:cs="Arial"/>
          <w:sz w:val="24"/>
        </w:rPr>
      </w:pPr>
      <w:r>
        <w:rPr>
          <w:rFonts w:ascii="Arial" w:hAnsi="Arial" w:cs="Arial"/>
          <w:sz w:val="24"/>
        </w:rPr>
        <w:t xml:space="preserve">The AOCS method cd 3-25 was employed. 2g of bio lubricant was weighed and transferred into a conical flask and 50cmᶟ of 0.5M KOH was added to the sample. The mixture was then heated to saponify the oil. The unreacted KOH was back titrated with 0.5M of hydrochloric acid using 2 to 3 drops of phenolphthalein indicator (Bilal </w:t>
      </w:r>
      <w:r>
        <w:rPr>
          <w:rFonts w:ascii="Arial" w:hAnsi="Arial" w:cs="Arial"/>
          <w:i/>
          <w:sz w:val="24"/>
        </w:rPr>
        <w:t>et al.,</w:t>
      </w:r>
      <w:r>
        <w:rPr>
          <w:rFonts w:ascii="Arial" w:hAnsi="Arial" w:cs="Arial"/>
          <w:sz w:val="24"/>
        </w:rPr>
        <w:t xml:space="preserve"> 2013). The saponification value of the samples was analysed and calculated using equation (3).</w:t>
      </w:r>
    </w:p>
    <w:p w14:paraId="7AA74AC0">
      <w:pPr>
        <w:spacing w:line="360" w:lineRule="auto"/>
        <w:jc w:val="both"/>
        <w:rPr>
          <w:rFonts w:ascii="Arial" w:hAnsi="Arial" w:cs="Arial" w:eastAsiaTheme="minorEastAsia"/>
          <w:sz w:val="24"/>
          <w:szCs w:val="24"/>
        </w:rPr>
      </w:pPr>
      <w:r>
        <w:rPr>
          <w:rFonts w:ascii="Arial" w:hAnsi="Arial" w:cs="Arial"/>
          <w:sz w:val="24"/>
          <w:szCs w:val="24"/>
        </w:rPr>
        <w:t xml:space="preserve">Saponification Value </w:t>
      </w:r>
      <m:oMath>
        <m:r>
          <m:rPr/>
          <w:rPr>
            <w:rFonts w:ascii="Cambria Math" w:hAnsi="Cambria Math" w:cs="Arial"/>
            <w:sz w:val="24"/>
            <w:szCs w:val="24"/>
          </w:rPr>
          <m:t>=</m:t>
        </m:r>
        <m:f>
          <m:fPr>
            <m:ctrlPr>
              <w:rPr>
                <w:rFonts w:ascii="Cambria Math" w:hAnsi="Cambria Math" w:cs="Arial"/>
                <w:i/>
                <w:sz w:val="24"/>
                <w:szCs w:val="24"/>
              </w:rPr>
            </m:ctrlPr>
          </m:fPr>
          <m:num>
            <m:d>
              <m:dPr>
                <m:ctrlPr>
                  <w:rPr>
                    <w:rFonts w:ascii="Cambria Math" w:hAnsi="Cambria Math" w:cs="Arial"/>
                    <w:i/>
                    <w:sz w:val="24"/>
                    <w:szCs w:val="24"/>
                  </w:rPr>
                </m:ctrlPr>
              </m:dPr>
              <m:e>
                <m:r>
                  <m:rPr/>
                  <w:rPr>
                    <w:rFonts w:ascii="Cambria Math" w:hAnsi="Cambria Math" w:cs="Arial"/>
                    <w:sz w:val="24"/>
                    <w:szCs w:val="24"/>
                  </w:rPr>
                  <m:t>Titre value</m:t>
                </m:r>
                <m:ctrlPr>
                  <w:rPr>
                    <w:rFonts w:ascii="Cambria Math" w:hAnsi="Cambria Math" w:cs="Arial"/>
                    <w:i/>
                    <w:sz w:val="24"/>
                    <w:szCs w:val="24"/>
                  </w:rPr>
                </m:ctrlPr>
              </m:e>
            </m:d>
            <m:d>
              <m:dPr>
                <m:ctrlPr>
                  <w:rPr>
                    <w:rFonts w:ascii="Cambria Math" w:hAnsi="Cambria Math" w:cs="Arial"/>
                    <w:i/>
                    <w:sz w:val="24"/>
                    <w:szCs w:val="24"/>
                  </w:rPr>
                </m:ctrlPr>
              </m:dPr>
              <m:e>
                <m:r>
                  <m:rPr/>
                  <w:rPr>
                    <w:rFonts w:ascii="Cambria Math" w:hAnsi="Cambria Math" w:cs="Arial"/>
                    <w:sz w:val="24"/>
                    <w:szCs w:val="24"/>
                  </w:rPr>
                  <m:t>Molarity of HCl</m:t>
                </m:r>
                <m:ctrlPr>
                  <w:rPr>
                    <w:rFonts w:ascii="Cambria Math" w:hAnsi="Cambria Math" w:cs="Arial"/>
                    <w:i/>
                    <w:sz w:val="24"/>
                    <w:szCs w:val="24"/>
                  </w:rPr>
                </m:ctrlPr>
              </m:e>
            </m:d>
            <m:d>
              <m:dPr>
                <m:ctrlPr>
                  <w:rPr>
                    <w:rFonts w:ascii="Cambria Math" w:hAnsi="Cambria Math" w:cs="Arial"/>
                    <w:i/>
                    <w:sz w:val="24"/>
                    <w:szCs w:val="24"/>
                  </w:rPr>
                </m:ctrlPr>
              </m:dPr>
              <m:e>
                <m:r>
                  <m:rPr/>
                  <w:rPr>
                    <w:rFonts w:ascii="Cambria Math" w:hAnsi="Cambria Math" w:cs="Arial"/>
                    <w:sz w:val="24"/>
                    <w:szCs w:val="24"/>
                  </w:rPr>
                  <m:t>56.1</m:t>
                </m:r>
                <m:ctrlPr>
                  <w:rPr>
                    <w:rFonts w:ascii="Cambria Math" w:hAnsi="Cambria Math" w:cs="Arial"/>
                    <w:i/>
                    <w:sz w:val="24"/>
                    <w:szCs w:val="24"/>
                  </w:rPr>
                </m:ctrlPr>
              </m:e>
            </m:d>
            <m:ctrlPr>
              <w:rPr>
                <w:rFonts w:ascii="Cambria Math" w:hAnsi="Cambria Math" w:cs="Arial"/>
                <w:i/>
                <w:sz w:val="24"/>
                <w:szCs w:val="24"/>
              </w:rPr>
            </m:ctrlPr>
          </m:num>
          <m:den>
            <m:d>
              <m:dPr>
                <m:ctrlPr>
                  <w:rPr>
                    <w:rFonts w:ascii="Cambria Math" w:hAnsi="Cambria Math" w:cs="Arial"/>
                    <w:i/>
                    <w:sz w:val="24"/>
                    <w:szCs w:val="24"/>
                  </w:rPr>
                </m:ctrlPr>
              </m:dPr>
              <m:e>
                <m:r>
                  <m:rPr/>
                  <w:rPr>
                    <w:rFonts w:ascii="Cambria Math" w:hAnsi="Cambria Math" w:cs="Arial"/>
                    <w:sz w:val="24"/>
                    <w:szCs w:val="24"/>
                  </w:rPr>
                  <m:t>Weight of sample</m:t>
                </m:r>
                <m:ctrlPr>
                  <w:rPr>
                    <w:rFonts w:ascii="Cambria Math" w:hAnsi="Cambria Math" w:cs="Arial"/>
                    <w:i/>
                    <w:sz w:val="24"/>
                    <w:szCs w:val="24"/>
                  </w:rPr>
                </m:ctrlPr>
              </m:e>
            </m:d>
            <m:ctrlPr>
              <w:rPr>
                <w:rFonts w:ascii="Cambria Math" w:hAnsi="Cambria Math" w:cs="Arial"/>
                <w:i/>
                <w:sz w:val="24"/>
                <w:szCs w:val="24"/>
              </w:rPr>
            </m:ctrlPr>
          </m:den>
        </m:f>
        <m:r>
          <m:rPr/>
          <w:rPr>
            <w:rFonts w:ascii="Cambria Math" w:hAnsi="Cambria Math" w:cs="Arial"/>
            <w:sz w:val="24"/>
            <w:szCs w:val="24"/>
          </w:rPr>
          <m:t>………………….. equation (</m:t>
        </m:r>
      </m:oMath>
    </w:p>
    <w:p w14:paraId="5EA20D7D">
      <w:pPr>
        <w:spacing w:line="360" w:lineRule="auto"/>
        <w:jc w:val="center"/>
        <w:rPr>
          <w:rFonts w:ascii="Arial" w:hAnsi="Arial" w:cs="Arial"/>
          <w:b/>
          <w:sz w:val="24"/>
          <w:szCs w:val="24"/>
        </w:rPr>
      </w:pPr>
      <w:r>
        <w:rPr>
          <w:rFonts w:ascii="Arial" w:hAnsi="Arial" w:cs="Arial"/>
          <w:b/>
          <w:sz w:val="24"/>
          <w:szCs w:val="24"/>
        </w:rPr>
        <w:t>CHAPTER FOUR</w:t>
      </w:r>
    </w:p>
    <w:p w14:paraId="101B8E3F">
      <w:pPr>
        <w:spacing w:line="360" w:lineRule="auto"/>
        <w:outlineLvl w:val="0"/>
        <w:rPr>
          <w:rFonts w:ascii="Arial" w:hAnsi="Arial" w:cs="Arial"/>
          <w:b/>
          <w:sz w:val="24"/>
          <w:szCs w:val="24"/>
        </w:rPr>
      </w:pPr>
      <w:r>
        <w:rPr>
          <w:rFonts w:ascii="Arial" w:hAnsi="Arial" w:cs="Arial"/>
          <w:b/>
          <w:sz w:val="24"/>
          <w:szCs w:val="24"/>
        </w:rPr>
        <w:t xml:space="preserve">                                               </w:t>
      </w:r>
      <w:bookmarkStart w:id="42" w:name="_Toc213305012"/>
      <w:r>
        <w:rPr>
          <w:rFonts w:ascii="Arial" w:hAnsi="Arial" w:cs="Arial"/>
          <w:b/>
          <w:sz w:val="24"/>
          <w:szCs w:val="24"/>
        </w:rPr>
        <w:t>RESULTS AND DISCUSSION</w:t>
      </w:r>
      <w:bookmarkEnd w:id="42"/>
    </w:p>
    <w:p w14:paraId="0792AE1B">
      <w:pPr>
        <w:spacing w:line="360" w:lineRule="auto"/>
        <w:outlineLvl w:val="0"/>
        <w:rPr>
          <w:rFonts w:ascii="Arial" w:hAnsi="Arial" w:cs="Arial"/>
          <w:b/>
          <w:sz w:val="24"/>
          <w:szCs w:val="24"/>
        </w:rPr>
      </w:pPr>
      <w:bookmarkStart w:id="43" w:name="_Toc213305013"/>
      <w:r>
        <w:rPr>
          <w:rFonts w:ascii="Arial" w:hAnsi="Arial" w:cs="Arial"/>
          <w:b/>
          <w:sz w:val="24"/>
          <w:szCs w:val="24"/>
        </w:rPr>
        <w:t>4.1 Result</w:t>
      </w:r>
      <w:bookmarkEnd w:id="43"/>
    </w:p>
    <w:p w14:paraId="100C0D30">
      <w:pPr>
        <w:spacing w:line="360" w:lineRule="auto"/>
        <w:rPr>
          <w:rFonts w:ascii="Arial" w:hAnsi="Arial" w:cs="Arial"/>
          <w:sz w:val="24"/>
          <w:szCs w:val="24"/>
        </w:rPr>
      </w:pPr>
      <w:r>
        <w:rPr>
          <w:rFonts w:ascii="Arial" w:hAnsi="Arial" w:cs="Arial"/>
          <w:b/>
          <w:sz w:val="24"/>
          <w:szCs w:val="24"/>
        </w:rPr>
        <w:t xml:space="preserve">Table 3: </w:t>
      </w:r>
      <w:r>
        <w:rPr>
          <w:rFonts w:ascii="Arial" w:hAnsi="Arial" w:cs="Arial"/>
          <w:sz w:val="24"/>
          <w:szCs w:val="24"/>
        </w:rPr>
        <w:t>Physiochemical parameter of biolubriccant from waste cooking oil</w:t>
      </w:r>
    </w:p>
    <w:tbl>
      <w:tblPr>
        <w:tblStyle w:val="12"/>
        <w:tblW w:w="9602"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400"/>
        <w:gridCol w:w="2400"/>
        <w:gridCol w:w="2760"/>
        <w:gridCol w:w="2042"/>
      </w:tblGrid>
      <w:tr w14:paraId="4EC30D0D">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trPr>
        <w:tc>
          <w:tcPr>
            <w:tcW w:w="2400" w:type="dxa"/>
            <w:tcBorders>
              <w:top w:val="single" w:color="auto" w:sz="4" w:space="0"/>
              <w:bottom w:val="single" w:color="auto" w:sz="4" w:space="0"/>
            </w:tcBorders>
          </w:tcPr>
          <w:p w14:paraId="71209FA9">
            <w:pPr>
              <w:spacing w:after="0" w:line="360" w:lineRule="auto"/>
              <w:rPr>
                <w:rFonts w:ascii="Arial" w:hAnsi="Arial" w:cs="Arial"/>
                <w:b/>
                <w:sz w:val="24"/>
                <w:szCs w:val="24"/>
              </w:rPr>
            </w:pPr>
            <w:r>
              <w:rPr>
                <w:rFonts w:ascii="Arial" w:hAnsi="Arial" w:cs="Arial"/>
                <w:b/>
                <w:sz w:val="24"/>
                <w:szCs w:val="24"/>
              </w:rPr>
              <w:t>Properties</w:t>
            </w:r>
          </w:p>
        </w:tc>
        <w:tc>
          <w:tcPr>
            <w:tcW w:w="2400" w:type="dxa"/>
            <w:tcBorders>
              <w:top w:val="single" w:color="auto" w:sz="4" w:space="0"/>
              <w:bottom w:val="single" w:color="auto" w:sz="4" w:space="0"/>
            </w:tcBorders>
          </w:tcPr>
          <w:p w14:paraId="3219F6B4">
            <w:pPr>
              <w:spacing w:after="0" w:line="360" w:lineRule="auto"/>
              <w:rPr>
                <w:rFonts w:ascii="Arial" w:hAnsi="Arial" w:cs="Arial"/>
                <w:b/>
                <w:sz w:val="24"/>
                <w:szCs w:val="24"/>
              </w:rPr>
            </w:pPr>
            <w:r>
              <w:rPr>
                <w:rFonts w:ascii="Arial" w:hAnsi="Arial" w:cs="Arial"/>
                <w:b/>
                <w:sz w:val="24"/>
                <w:szCs w:val="24"/>
              </w:rPr>
              <w:t>Unit</w:t>
            </w:r>
          </w:p>
        </w:tc>
        <w:tc>
          <w:tcPr>
            <w:tcW w:w="2760" w:type="dxa"/>
            <w:tcBorders>
              <w:top w:val="single" w:color="auto" w:sz="4" w:space="0"/>
              <w:bottom w:val="single" w:color="auto" w:sz="4" w:space="0"/>
            </w:tcBorders>
          </w:tcPr>
          <w:p w14:paraId="29AFA1BB">
            <w:pPr>
              <w:spacing w:after="0" w:line="360" w:lineRule="auto"/>
              <w:rPr>
                <w:rFonts w:ascii="Arial" w:hAnsi="Arial" w:cs="Arial"/>
                <w:b/>
                <w:sz w:val="24"/>
                <w:szCs w:val="24"/>
              </w:rPr>
            </w:pPr>
            <w:r>
              <w:rPr>
                <w:rFonts w:ascii="Arial" w:hAnsi="Arial" w:cs="Arial"/>
                <w:b/>
                <w:sz w:val="24"/>
                <w:szCs w:val="24"/>
              </w:rPr>
              <w:t>Biolubricant</w:t>
            </w:r>
          </w:p>
        </w:tc>
        <w:tc>
          <w:tcPr>
            <w:tcW w:w="2042" w:type="dxa"/>
            <w:tcBorders>
              <w:top w:val="single" w:color="auto" w:sz="4" w:space="0"/>
              <w:bottom w:val="single" w:color="auto" w:sz="4" w:space="0"/>
            </w:tcBorders>
          </w:tcPr>
          <w:p w14:paraId="3654BCFD">
            <w:pPr>
              <w:spacing w:after="0" w:line="360" w:lineRule="auto"/>
              <w:rPr>
                <w:rFonts w:ascii="Arial" w:hAnsi="Arial" w:cs="Arial"/>
                <w:b/>
                <w:sz w:val="24"/>
                <w:szCs w:val="24"/>
              </w:rPr>
            </w:pPr>
            <w:r>
              <w:rPr>
                <w:rFonts w:ascii="Arial" w:hAnsi="Arial" w:cs="Arial"/>
                <w:b/>
                <w:sz w:val="24"/>
                <w:szCs w:val="24"/>
              </w:rPr>
              <w:t>ASTM-Standard</w:t>
            </w:r>
          </w:p>
        </w:tc>
      </w:tr>
      <w:tr w14:paraId="30EF6A2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trPr>
        <w:tc>
          <w:tcPr>
            <w:tcW w:w="2400" w:type="dxa"/>
            <w:tcBorders>
              <w:top w:val="single" w:color="auto" w:sz="4" w:space="0"/>
            </w:tcBorders>
          </w:tcPr>
          <w:p w14:paraId="2553A0F1">
            <w:pPr>
              <w:spacing w:after="0" w:line="360" w:lineRule="auto"/>
              <w:rPr>
                <w:rFonts w:ascii="Arial" w:hAnsi="Arial" w:cs="Arial"/>
                <w:sz w:val="24"/>
                <w:szCs w:val="24"/>
              </w:rPr>
            </w:pPr>
            <w:r>
              <w:rPr>
                <w:rFonts w:ascii="Arial" w:hAnsi="Arial" w:cs="Arial"/>
                <w:sz w:val="24"/>
                <w:szCs w:val="24"/>
              </w:rPr>
              <w:t>Yield of bio lubricant</w:t>
            </w:r>
          </w:p>
        </w:tc>
        <w:tc>
          <w:tcPr>
            <w:tcW w:w="2400" w:type="dxa"/>
            <w:tcBorders>
              <w:top w:val="single" w:color="auto" w:sz="4" w:space="0"/>
            </w:tcBorders>
          </w:tcPr>
          <w:p w14:paraId="2FA43B67">
            <w:pPr>
              <w:spacing w:after="0" w:line="360" w:lineRule="auto"/>
              <w:rPr>
                <w:rFonts w:ascii="Arial" w:hAnsi="Arial" w:cs="Arial"/>
                <w:b/>
                <w:sz w:val="24"/>
                <w:szCs w:val="24"/>
              </w:rPr>
            </w:pPr>
            <w:r>
              <w:rPr>
                <w:rFonts w:ascii="Arial" w:hAnsi="Arial" w:cs="Arial"/>
                <w:b/>
                <w:sz w:val="24"/>
                <w:szCs w:val="24"/>
              </w:rPr>
              <w:t>%</w:t>
            </w:r>
          </w:p>
        </w:tc>
        <w:tc>
          <w:tcPr>
            <w:tcW w:w="2760" w:type="dxa"/>
            <w:tcBorders>
              <w:top w:val="single" w:color="auto" w:sz="4" w:space="0"/>
            </w:tcBorders>
          </w:tcPr>
          <w:p w14:paraId="6FE3AB06">
            <w:pPr>
              <w:spacing w:after="0" w:line="360" w:lineRule="auto"/>
              <w:rPr>
                <w:rFonts w:ascii="Arial" w:hAnsi="Arial" w:cs="Arial"/>
                <w:b/>
                <w:sz w:val="24"/>
                <w:szCs w:val="24"/>
              </w:rPr>
            </w:pPr>
            <w:r>
              <w:rPr>
                <w:rFonts w:ascii="Arial" w:hAnsi="Arial" w:cs="Arial"/>
                <w:b/>
                <w:sz w:val="24"/>
                <w:szCs w:val="24"/>
              </w:rPr>
              <w:t>90.05%</w:t>
            </w:r>
          </w:p>
        </w:tc>
        <w:tc>
          <w:tcPr>
            <w:tcW w:w="2042" w:type="dxa"/>
            <w:tcBorders>
              <w:top w:val="single" w:color="auto" w:sz="4" w:space="0"/>
            </w:tcBorders>
          </w:tcPr>
          <w:p w14:paraId="1F87AF4C">
            <w:pPr>
              <w:spacing w:after="0" w:line="360" w:lineRule="auto"/>
              <w:rPr>
                <w:rFonts w:ascii="Arial" w:hAnsi="Arial" w:cs="Arial"/>
                <w:b/>
                <w:sz w:val="24"/>
                <w:szCs w:val="24"/>
              </w:rPr>
            </w:pPr>
            <w:r>
              <w:rPr>
                <w:rFonts w:ascii="Arial" w:hAnsi="Arial" w:cs="Arial"/>
                <w:b/>
                <w:sz w:val="24"/>
                <w:szCs w:val="24"/>
              </w:rPr>
              <w:t>_</w:t>
            </w:r>
          </w:p>
        </w:tc>
      </w:tr>
      <w:tr w14:paraId="7210BB65">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2400" w:type="dxa"/>
          </w:tcPr>
          <w:p w14:paraId="5A817673">
            <w:pPr>
              <w:spacing w:after="0" w:line="360" w:lineRule="auto"/>
              <w:rPr>
                <w:rFonts w:ascii="Arial" w:hAnsi="Arial" w:cs="Arial"/>
                <w:b/>
                <w:sz w:val="24"/>
                <w:szCs w:val="24"/>
              </w:rPr>
            </w:pPr>
            <w:r>
              <w:rPr>
                <w:rFonts w:ascii="Arial" w:hAnsi="Arial" w:cs="Arial"/>
                <w:b/>
                <w:sz w:val="24"/>
                <w:szCs w:val="24"/>
              </w:rPr>
              <w:t>Acid value</w:t>
            </w:r>
          </w:p>
        </w:tc>
        <w:tc>
          <w:tcPr>
            <w:tcW w:w="2400" w:type="dxa"/>
          </w:tcPr>
          <w:p w14:paraId="6C7F623B">
            <w:pPr>
              <w:spacing w:after="0" w:line="360" w:lineRule="auto"/>
              <w:rPr>
                <w:rFonts w:ascii="Arial" w:hAnsi="Arial" w:cs="Arial"/>
                <w:b/>
                <w:sz w:val="24"/>
                <w:szCs w:val="24"/>
              </w:rPr>
            </w:pPr>
            <w:r>
              <w:rPr>
                <w:rFonts w:ascii="Arial" w:hAnsi="Arial" w:cs="Arial"/>
                <w:b/>
                <w:sz w:val="24"/>
                <w:szCs w:val="24"/>
              </w:rPr>
              <w:t>MgKOH\g</w:t>
            </w:r>
          </w:p>
        </w:tc>
        <w:tc>
          <w:tcPr>
            <w:tcW w:w="2760" w:type="dxa"/>
          </w:tcPr>
          <w:p w14:paraId="6F022863">
            <w:pPr>
              <w:spacing w:after="0" w:line="360" w:lineRule="auto"/>
              <w:rPr>
                <w:rFonts w:ascii="Arial" w:hAnsi="Arial" w:cs="Arial"/>
                <w:b/>
                <w:sz w:val="24"/>
                <w:szCs w:val="24"/>
              </w:rPr>
            </w:pPr>
            <w:r>
              <w:rPr>
                <w:rFonts w:ascii="Arial" w:hAnsi="Arial" w:cs="Arial"/>
                <w:b/>
                <w:sz w:val="24"/>
                <w:szCs w:val="24"/>
              </w:rPr>
              <w:t>2.24</w:t>
            </w:r>
          </w:p>
        </w:tc>
        <w:tc>
          <w:tcPr>
            <w:tcW w:w="2042" w:type="dxa"/>
          </w:tcPr>
          <w:p w14:paraId="18939C2D">
            <w:pPr>
              <w:spacing w:after="0" w:line="360" w:lineRule="auto"/>
              <w:rPr>
                <w:rFonts w:ascii="Arial" w:hAnsi="Arial" w:cs="Arial"/>
                <w:b/>
                <w:sz w:val="24"/>
                <w:szCs w:val="24"/>
              </w:rPr>
            </w:pPr>
            <w:r>
              <w:rPr>
                <w:rFonts w:ascii="Arial" w:hAnsi="Arial" w:cs="Arial"/>
                <w:b/>
                <w:sz w:val="24"/>
                <w:szCs w:val="24"/>
              </w:rPr>
              <w:t>_</w:t>
            </w:r>
          </w:p>
        </w:tc>
      </w:tr>
      <w:tr w14:paraId="01A6645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2400" w:type="dxa"/>
          </w:tcPr>
          <w:p w14:paraId="1CB0B582">
            <w:pPr>
              <w:spacing w:after="0" w:line="360" w:lineRule="auto"/>
              <w:rPr>
                <w:rFonts w:ascii="Arial" w:hAnsi="Arial" w:cs="Arial"/>
                <w:b/>
                <w:sz w:val="24"/>
                <w:szCs w:val="24"/>
              </w:rPr>
            </w:pPr>
            <w:r>
              <w:rPr>
                <w:rFonts w:ascii="Arial" w:hAnsi="Arial" w:cs="Arial"/>
                <w:b/>
                <w:sz w:val="24"/>
                <w:szCs w:val="24"/>
              </w:rPr>
              <w:t>Viscosity</w:t>
            </w:r>
          </w:p>
        </w:tc>
        <w:tc>
          <w:tcPr>
            <w:tcW w:w="2400" w:type="dxa"/>
          </w:tcPr>
          <w:p w14:paraId="717F0A1D">
            <w:pPr>
              <w:spacing w:after="0" w:line="360" w:lineRule="auto"/>
              <w:rPr>
                <w:rFonts w:ascii="Arial" w:hAnsi="Arial" w:cs="Arial"/>
                <w:b/>
                <w:sz w:val="24"/>
                <w:szCs w:val="24"/>
              </w:rPr>
            </w:pPr>
            <w:r>
              <w:rPr>
                <w:rFonts w:ascii="Arial" w:hAnsi="Arial" w:cs="Arial"/>
                <w:b/>
                <w:sz w:val="24"/>
                <w:szCs w:val="24"/>
              </w:rPr>
              <w:t>Mm²\s</w:t>
            </w:r>
          </w:p>
        </w:tc>
        <w:tc>
          <w:tcPr>
            <w:tcW w:w="2760" w:type="dxa"/>
          </w:tcPr>
          <w:p w14:paraId="51A5E22A">
            <w:pPr>
              <w:spacing w:after="0" w:line="360" w:lineRule="auto"/>
              <w:rPr>
                <w:rFonts w:ascii="Arial" w:hAnsi="Arial" w:cs="Arial"/>
                <w:b/>
                <w:sz w:val="24"/>
                <w:szCs w:val="24"/>
              </w:rPr>
            </w:pPr>
            <w:r>
              <w:rPr>
                <w:rFonts w:ascii="Arial" w:hAnsi="Arial" w:cs="Arial"/>
                <w:b/>
                <w:sz w:val="24"/>
                <w:szCs w:val="24"/>
              </w:rPr>
              <w:t>58 at 40 ˚C</w:t>
            </w:r>
          </w:p>
        </w:tc>
        <w:tc>
          <w:tcPr>
            <w:tcW w:w="2042" w:type="dxa"/>
          </w:tcPr>
          <w:p w14:paraId="4949AD15">
            <w:pPr>
              <w:spacing w:after="0" w:line="360" w:lineRule="auto"/>
              <w:rPr>
                <w:rFonts w:ascii="Arial" w:hAnsi="Arial" w:cs="Arial"/>
                <w:b/>
                <w:sz w:val="24"/>
                <w:szCs w:val="24"/>
              </w:rPr>
            </w:pPr>
            <w:r>
              <w:rPr>
                <w:rFonts w:ascii="Arial" w:hAnsi="Arial" w:cs="Arial"/>
                <w:b/>
                <w:sz w:val="24"/>
                <w:szCs w:val="24"/>
              </w:rPr>
              <w:t>61.2-74.8</w:t>
            </w:r>
          </w:p>
        </w:tc>
      </w:tr>
      <w:tr w14:paraId="7AB1C95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 w:hRule="atLeast"/>
        </w:trPr>
        <w:tc>
          <w:tcPr>
            <w:tcW w:w="2400" w:type="dxa"/>
          </w:tcPr>
          <w:p w14:paraId="46D86776">
            <w:pPr>
              <w:spacing w:after="0" w:line="360" w:lineRule="auto"/>
              <w:rPr>
                <w:rFonts w:ascii="Arial" w:hAnsi="Arial" w:cs="Arial"/>
                <w:b/>
                <w:sz w:val="24"/>
                <w:szCs w:val="24"/>
              </w:rPr>
            </w:pPr>
            <w:r>
              <w:rPr>
                <w:rFonts w:ascii="Arial" w:hAnsi="Arial" w:cs="Arial"/>
                <w:b/>
                <w:sz w:val="24"/>
                <w:szCs w:val="24"/>
              </w:rPr>
              <w:t>Flash point</w:t>
            </w:r>
          </w:p>
        </w:tc>
        <w:tc>
          <w:tcPr>
            <w:tcW w:w="2400" w:type="dxa"/>
          </w:tcPr>
          <w:p w14:paraId="22EA76A7">
            <w:pPr>
              <w:spacing w:after="0" w:line="360" w:lineRule="auto"/>
              <w:rPr>
                <w:rFonts w:ascii="Arial" w:hAnsi="Arial" w:cs="Arial"/>
                <w:b/>
                <w:sz w:val="24"/>
                <w:szCs w:val="24"/>
              </w:rPr>
            </w:pPr>
            <w:r>
              <w:rPr>
                <w:rFonts w:ascii="Arial" w:hAnsi="Arial" w:cs="Arial"/>
                <w:b/>
                <w:sz w:val="24"/>
                <w:szCs w:val="24"/>
              </w:rPr>
              <w:t>˚C</w:t>
            </w:r>
          </w:p>
        </w:tc>
        <w:tc>
          <w:tcPr>
            <w:tcW w:w="2760" w:type="dxa"/>
          </w:tcPr>
          <w:p w14:paraId="43DA849D">
            <w:pPr>
              <w:spacing w:after="0" w:line="360" w:lineRule="auto"/>
              <w:rPr>
                <w:rFonts w:ascii="Arial" w:hAnsi="Arial" w:cs="Arial"/>
                <w:b/>
                <w:sz w:val="24"/>
                <w:szCs w:val="24"/>
              </w:rPr>
            </w:pPr>
            <w:r>
              <w:rPr>
                <w:rFonts w:ascii="Arial" w:hAnsi="Arial" w:cs="Arial"/>
                <w:b/>
                <w:sz w:val="24"/>
                <w:szCs w:val="24"/>
              </w:rPr>
              <w:t>132</w:t>
            </w:r>
          </w:p>
        </w:tc>
        <w:tc>
          <w:tcPr>
            <w:tcW w:w="2042" w:type="dxa"/>
          </w:tcPr>
          <w:p w14:paraId="03AEFEB4">
            <w:pPr>
              <w:spacing w:after="0" w:line="360" w:lineRule="auto"/>
              <w:rPr>
                <w:rFonts w:ascii="Arial" w:hAnsi="Arial" w:cs="Arial"/>
                <w:b/>
                <w:sz w:val="24"/>
                <w:szCs w:val="24"/>
              </w:rPr>
            </w:pPr>
            <w:r>
              <w:rPr>
                <w:rFonts w:ascii="Arial" w:hAnsi="Arial" w:cs="Arial"/>
                <w:b/>
                <w:sz w:val="24"/>
                <w:szCs w:val="24"/>
              </w:rPr>
              <w:t>130-170</w:t>
            </w:r>
          </w:p>
        </w:tc>
      </w:tr>
      <w:tr w14:paraId="7A4F612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 w:hRule="atLeast"/>
        </w:trPr>
        <w:tc>
          <w:tcPr>
            <w:tcW w:w="2400" w:type="dxa"/>
          </w:tcPr>
          <w:p w14:paraId="411499B1">
            <w:pPr>
              <w:spacing w:after="0" w:line="360" w:lineRule="auto"/>
              <w:rPr>
                <w:rFonts w:ascii="Arial" w:hAnsi="Arial" w:cs="Arial"/>
                <w:b/>
                <w:sz w:val="24"/>
                <w:szCs w:val="24"/>
              </w:rPr>
            </w:pPr>
            <w:r>
              <w:rPr>
                <w:rFonts w:ascii="Arial" w:hAnsi="Arial" w:cs="Arial"/>
                <w:b/>
                <w:sz w:val="24"/>
                <w:szCs w:val="24"/>
              </w:rPr>
              <w:t>Saponification</w:t>
            </w:r>
          </w:p>
        </w:tc>
        <w:tc>
          <w:tcPr>
            <w:tcW w:w="2400" w:type="dxa"/>
          </w:tcPr>
          <w:p w14:paraId="22A659A8">
            <w:pPr>
              <w:spacing w:after="0" w:line="360" w:lineRule="auto"/>
              <w:rPr>
                <w:rFonts w:ascii="Arial" w:hAnsi="Arial" w:cs="Arial"/>
                <w:b/>
                <w:sz w:val="24"/>
                <w:szCs w:val="24"/>
              </w:rPr>
            </w:pPr>
            <w:r>
              <w:rPr>
                <w:rFonts w:ascii="Arial" w:hAnsi="Arial" w:cs="Arial"/>
                <w:b/>
                <w:sz w:val="24"/>
                <w:szCs w:val="24"/>
              </w:rPr>
              <w:t>MgKOH\g</w:t>
            </w:r>
          </w:p>
        </w:tc>
        <w:tc>
          <w:tcPr>
            <w:tcW w:w="2760" w:type="dxa"/>
          </w:tcPr>
          <w:p w14:paraId="7F43B7E9">
            <w:pPr>
              <w:spacing w:after="0" w:line="360" w:lineRule="auto"/>
              <w:rPr>
                <w:rFonts w:ascii="Arial" w:hAnsi="Arial" w:cs="Arial"/>
                <w:b/>
                <w:sz w:val="24"/>
                <w:szCs w:val="24"/>
              </w:rPr>
            </w:pPr>
            <w:r>
              <w:rPr>
                <w:rFonts w:ascii="Arial" w:hAnsi="Arial" w:cs="Arial"/>
                <w:b/>
                <w:sz w:val="24"/>
                <w:szCs w:val="24"/>
              </w:rPr>
              <w:t>45.6</w:t>
            </w:r>
          </w:p>
        </w:tc>
        <w:tc>
          <w:tcPr>
            <w:tcW w:w="2042" w:type="dxa"/>
          </w:tcPr>
          <w:p w14:paraId="5C9AE201">
            <w:pPr>
              <w:spacing w:after="0" w:line="360" w:lineRule="auto"/>
              <w:rPr>
                <w:rFonts w:ascii="Arial" w:hAnsi="Arial" w:cs="Arial"/>
                <w:b/>
                <w:sz w:val="24"/>
                <w:szCs w:val="24"/>
              </w:rPr>
            </w:pPr>
            <w:r>
              <w:rPr>
                <w:rFonts w:ascii="Arial" w:hAnsi="Arial" w:cs="Arial"/>
                <w:b/>
                <w:sz w:val="24"/>
                <w:szCs w:val="24"/>
              </w:rPr>
              <w:t>_</w:t>
            </w:r>
          </w:p>
        </w:tc>
      </w:tr>
    </w:tbl>
    <w:p w14:paraId="3671728A">
      <w:pPr>
        <w:spacing w:line="360" w:lineRule="auto"/>
        <w:outlineLvl w:val="0"/>
        <w:rPr>
          <w:rFonts w:ascii="Arial" w:hAnsi="Arial" w:cs="Arial"/>
          <w:b/>
          <w:sz w:val="24"/>
          <w:szCs w:val="24"/>
        </w:rPr>
      </w:pPr>
    </w:p>
    <w:p w14:paraId="5FE758D5">
      <w:pPr>
        <w:spacing w:line="360" w:lineRule="auto"/>
        <w:outlineLvl w:val="0"/>
        <w:rPr>
          <w:rFonts w:ascii="Arial" w:hAnsi="Arial" w:cs="Arial"/>
          <w:b/>
          <w:sz w:val="24"/>
          <w:szCs w:val="24"/>
        </w:rPr>
      </w:pPr>
      <w:bookmarkStart w:id="44" w:name="_Toc213305014"/>
      <w:r>
        <w:rPr>
          <w:rFonts w:ascii="Arial" w:hAnsi="Arial" w:cs="Arial"/>
          <w:b/>
          <w:sz w:val="24"/>
          <w:szCs w:val="24"/>
        </w:rPr>
        <w:t>4.2 Discussion</w:t>
      </w:r>
      <w:bookmarkEnd w:id="44"/>
    </w:p>
    <w:p w14:paraId="0EFB4DE4">
      <w:pPr>
        <w:spacing w:line="360" w:lineRule="auto"/>
        <w:jc w:val="both"/>
        <w:rPr>
          <w:rFonts w:ascii="Arial" w:hAnsi="Arial" w:cs="Arial" w:eastAsiaTheme="minorEastAsia"/>
          <w:sz w:val="24"/>
          <w:szCs w:val="24"/>
        </w:rPr>
      </w:pPr>
      <w:r>
        <w:rPr>
          <w:rFonts w:ascii="Arial" w:hAnsi="Arial" w:cs="Arial" w:eastAsiaTheme="minorEastAsia"/>
          <w:sz w:val="24"/>
          <w:szCs w:val="24"/>
        </w:rPr>
        <w:t xml:space="preserve">From the result obtained in Table 3, the yield of bio lubricant from waste cooking oil was found to be 90.05% which is lower than the 93% yield of the produced biodiesel reported by Zhu </w:t>
      </w:r>
      <w:r>
        <w:rPr>
          <w:rFonts w:ascii="Arial" w:hAnsi="Arial" w:cs="Arial" w:eastAsiaTheme="minorEastAsia"/>
          <w:i/>
          <w:sz w:val="24"/>
          <w:szCs w:val="24"/>
        </w:rPr>
        <w:t>et</w:t>
      </w:r>
      <w:r>
        <w:rPr>
          <w:rFonts w:ascii="Arial" w:hAnsi="Arial" w:cs="Arial" w:eastAsiaTheme="minorEastAsia"/>
          <w:sz w:val="24"/>
          <w:szCs w:val="24"/>
        </w:rPr>
        <w:t xml:space="preserve"> </w:t>
      </w:r>
      <w:r>
        <w:rPr>
          <w:rFonts w:ascii="Arial" w:hAnsi="Arial" w:cs="Arial" w:eastAsiaTheme="minorEastAsia"/>
          <w:i/>
          <w:sz w:val="24"/>
          <w:szCs w:val="24"/>
        </w:rPr>
        <w:t>al</w:t>
      </w:r>
      <w:r>
        <w:rPr>
          <w:rFonts w:ascii="Arial" w:hAnsi="Arial" w:cs="Arial" w:eastAsiaTheme="minorEastAsia"/>
          <w:sz w:val="24"/>
          <w:szCs w:val="24"/>
        </w:rPr>
        <w:t xml:space="preserve">., (2014). The acid value obtained was 2.24mgKOH\g, this value is slightly higher than 0.8mgKOH\g specified by ASTM but less than 3.66mgKOH\g reported by Bello and Agge,(2012) using groundnut oil biodiesel. Viscosity which is one of the critical characteristics of a bio lubricant is usually determined at 40˚C. the viscosity of the bio lubricant at 40˚C was 58 which is higher than 42.85 reported by Hassan </w:t>
      </w:r>
      <w:r>
        <w:rPr>
          <w:rFonts w:ascii="Arial" w:hAnsi="Arial" w:cs="Arial" w:eastAsiaTheme="minorEastAsia"/>
          <w:i/>
          <w:sz w:val="24"/>
          <w:szCs w:val="24"/>
        </w:rPr>
        <w:t>et al</w:t>
      </w:r>
      <w:r>
        <w:rPr>
          <w:rFonts w:ascii="Arial" w:hAnsi="Arial" w:cs="Arial" w:eastAsiaTheme="minorEastAsia"/>
          <w:sz w:val="24"/>
          <w:szCs w:val="24"/>
        </w:rPr>
        <w:t xml:space="preserve">. 2016. The flash point of the bio lubricant obtained was 132˚C. The 132˚C value obtained is within the range specified by ASTM standard. The results obtained is lower than 178˚C reported by Ogunsuyi (2012) and 186˚C reported by (Orhevba </w:t>
      </w:r>
      <w:r>
        <w:rPr>
          <w:rFonts w:ascii="Arial" w:hAnsi="Arial" w:cs="Arial" w:eastAsiaTheme="minorEastAsia"/>
          <w:i/>
          <w:sz w:val="24"/>
          <w:szCs w:val="24"/>
        </w:rPr>
        <w:t>et</w:t>
      </w:r>
      <w:r>
        <w:rPr>
          <w:rFonts w:ascii="Arial" w:hAnsi="Arial" w:cs="Arial" w:eastAsiaTheme="minorEastAsia"/>
          <w:sz w:val="24"/>
          <w:szCs w:val="24"/>
        </w:rPr>
        <w:t xml:space="preserve"> </w:t>
      </w:r>
      <w:r>
        <w:rPr>
          <w:rFonts w:ascii="Arial" w:hAnsi="Arial" w:cs="Arial" w:eastAsiaTheme="minorEastAsia"/>
          <w:i/>
          <w:sz w:val="24"/>
          <w:szCs w:val="24"/>
        </w:rPr>
        <w:t>al</w:t>
      </w:r>
      <w:r>
        <w:rPr>
          <w:rFonts w:ascii="Arial" w:hAnsi="Arial" w:cs="Arial" w:eastAsiaTheme="minorEastAsia"/>
          <w:sz w:val="24"/>
          <w:szCs w:val="24"/>
        </w:rPr>
        <w:t>.,2016) for coconut biodiesel but higher than 55˚C reported for gourd biodiesel (Hassan and Sani, 2010). Flash point is controlled to meet safety requirements for fuel handling, storage and transportation (Mukhtar et al., 2014).</w:t>
      </w:r>
    </w:p>
    <w:p w14:paraId="11CB47E9">
      <w:pPr>
        <w:spacing w:line="360" w:lineRule="auto"/>
        <w:jc w:val="both"/>
        <w:rPr>
          <w:rFonts w:ascii="Arial" w:hAnsi="Arial" w:cs="Arial" w:eastAsiaTheme="minorEastAsia"/>
          <w:sz w:val="24"/>
          <w:szCs w:val="24"/>
        </w:rPr>
      </w:pPr>
      <w:r>
        <w:rPr>
          <w:rFonts w:ascii="Arial" w:hAnsi="Arial" w:cs="Arial" w:eastAsiaTheme="minorEastAsia"/>
          <w:sz w:val="24"/>
          <w:szCs w:val="24"/>
        </w:rPr>
        <w:t xml:space="preserve">The saponification value of the bio lubricant was found to be 45.6 mgKOH\g, The value is lower than 182.4mgKOH\g reported by (Orhevbra </w:t>
      </w:r>
      <w:r>
        <w:rPr>
          <w:rFonts w:ascii="Arial" w:hAnsi="Arial" w:cs="Arial" w:eastAsiaTheme="minorEastAsia"/>
          <w:i/>
          <w:sz w:val="24"/>
          <w:szCs w:val="24"/>
        </w:rPr>
        <w:t>et</w:t>
      </w:r>
      <w:r>
        <w:rPr>
          <w:rFonts w:ascii="Arial" w:hAnsi="Arial" w:cs="Arial" w:eastAsiaTheme="minorEastAsia"/>
          <w:sz w:val="24"/>
          <w:szCs w:val="24"/>
        </w:rPr>
        <w:t xml:space="preserve"> </w:t>
      </w:r>
      <w:r>
        <w:rPr>
          <w:rFonts w:ascii="Arial" w:hAnsi="Arial" w:cs="Arial" w:eastAsiaTheme="minorEastAsia"/>
          <w:i/>
          <w:sz w:val="24"/>
          <w:szCs w:val="24"/>
        </w:rPr>
        <w:t>al</w:t>
      </w:r>
      <w:r>
        <w:rPr>
          <w:rFonts w:ascii="Arial" w:hAnsi="Arial" w:cs="Arial" w:eastAsiaTheme="minorEastAsia"/>
          <w:sz w:val="24"/>
          <w:szCs w:val="24"/>
        </w:rPr>
        <w:t xml:space="preserve">., 2016) . Pearson (2019) reported that oil with higher saponification values contain higher proportion of lower fatty acids. High saponification value is a measure of molecular weight of fatty acid in oil and it indicate the  amount of saponifiable matter present in oil (Muhammad </w:t>
      </w:r>
      <w:r>
        <w:rPr>
          <w:rFonts w:ascii="Arial" w:hAnsi="Arial" w:cs="Arial" w:eastAsiaTheme="minorEastAsia"/>
          <w:i/>
          <w:sz w:val="24"/>
          <w:szCs w:val="24"/>
        </w:rPr>
        <w:t>et</w:t>
      </w:r>
      <w:r>
        <w:rPr>
          <w:rFonts w:ascii="Arial" w:hAnsi="Arial" w:cs="Arial" w:eastAsiaTheme="minorEastAsia"/>
          <w:sz w:val="24"/>
          <w:szCs w:val="24"/>
        </w:rPr>
        <w:t xml:space="preserve"> </w:t>
      </w:r>
      <w:r>
        <w:rPr>
          <w:rFonts w:ascii="Arial" w:hAnsi="Arial" w:cs="Arial" w:eastAsiaTheme="minorEastAsia"/>
          <w:i/>
          <w:sz w:val="24"/>
          <w:szCs w:val="24"/>
        </w:rPr>
        <w:t>al</w:t>
      </w:r>
      <w:r>
        <w:rPr>
          <w:rFonts w:ascii="Arial" w:hAnsi="Arial" w:cs="Arial" w:eastAsiaTheme="minorEastAsia"/>
          <w:sz w:val="24"/>
          <w:szCs w:val="24"/>
        </w:rPr>
        <w:t xml:space="preserve">., 2006) .The saponification value is good enough since high saponification value implies the possible tendency to soap formation and difficulties in separation of products if utilized for bio lubricant or biodiesel production(Ofoefule </w:t>
      </w:r>
      <w:r>
        <w:rPr>
          <w:rFonts w:ascii="Arial" w:hAnsi="Arial" w:cs="Arial" w:eastAsiaTheme="minorEastAsia"/>
          <w:i/>
          <w:sz w:val="24"/>
          <w:szCs w:val="24"/>
        </w:rPr>
        <w:t>et</w:t>
      </w:r>
      <w:r>
        <w:rPr>
          <w:rFonts w:ascii="Arial" w:hAnsi="Arial" w:cs="Arial" w:eastAsiaTheme="minorEastAsia"/>
          <w:sz w:val="24"/>
          <w:szCs w:val="24"/>
        </w:rPr>
        <w:t xml:space="preserve"> </w:t>
      </w:r>
      <w:r>
        <w:rPr>
          <w:rFonts w:ascii="Arial" w:hAnsi="Arial" w:cs="Arial" w:eastAsiaTheme="minorEastAsia"/>
          <w:i/>
          <w:sz w:val="24"/>
          <w:szCs w:val="24"/>
        </w:rPr>
        <w:t>al</w:t>
      </w:r>
      <w:r>
        <w:rPr>
          <w:rFonts w:ascii="Arial" w:hAnsi="Arial" w:cs="Arial" w:eastAsiaTheme="minorEastAsia"/>
          <w:sz w:val="24"/>
          <w:szCs w:val="24"/>
        </w:rPr>
        <w:t>., 2013).</w:t>
      </w:r>
    </w:p>
    <w:p w14:paraId="71F38705">
      <w:pPr>
        <w:spacing w:line="360" w:lineRule="auto"/>
        <w:jc w:val="center"/>
        <w:rPr>
          <w:rFonts w:ascii="Arial" w:hAnsi="Arial" w:cs="Arial"/>
          <w:b/>
          <w:sz w:val="24"/>
          <w:szCs w:val="24"/>
        </w:rPr>
      </w:pPr>
    </w:p>
    <w:p w14:paraId="47729F0F">
      <w:pPr>
        <w:spacing w:line="360" w:lineRule="auto"/>
        <w:rPr>
          <w:rFonts w:ascii="Arial" w:hAnsi="Arial" w:cs="Arial"/>
          <w:b/>
          <w:sz w:val="24"/>
          <w:szCs w:val="24"/>
        </w:rPr>
      </w:pPr>
    </w:p>
    <w:p w14:paraId="071B45CB">
      <w:pPr>
        <w:spacing w:line="360" w:lineRule="auto"/>
        <w:jc w:val="center"/>
        <w:rPr>
          <w:rFonts w:ascii="Arial" w:hAnsi="Arial" w:cs="Arial"/>
          <w:b/>
          <w:sz w:val="24"/>
          <w:szCs w:val="24"/>
        </w:rPr>
      </w:pPr>
    </w:p>
    <w:p w14:paraId="0F866DEA">
      <w:pPr>
        <w:spacing w:line="360" w:lineRule="auto"/>
        <w:jc w:val="center"/>
        <w:rPr>
          <w:rFonts w:ascii="Arial" w:hAnsi="Arial" w:cs="Arial"/>
          <w:b/>
          <w:sz w:val="24"/>
          <w:szCs w:val="24"/>
        </w:rPr>
      </w:pPr>
    </w:p>
    <w:p w14:paraId="203F718C">
      <w:pPr>
        <w:spacing w:line="360" w:lineRule="auto"/>
        <w:outlineLvl w:val="0"/>
        <w:rPr>
          <w:rFonts w:ascii="Arial" w:hAnsi="Arial" w:cs="Arial"/>
          <w:b/>
          <w:sz w:val="24"/>
          <w:szCs w:val="24"/>
        </w:rPr>
      </w:pPr>
    </w:p>
    <w:p w14:paraId="22D5DD13">
      <w:pPr>
        <w:spacing w:line="360" w:lineRule="auto"/>
        <w:outlineLvl w:val="0"/>
        <w:rPr>
          <w:rFonts w:ascii="Arial" w:hAnsi="Arial" w:cs="Arial"/>
          <w:b/>
          <w:sz w:val="24"/>
          <w:szCs w:val="24"/>
        </w:rPr>
      </w:pPr>
    </w:p>
    <w:p w14:paraId="5EAE82A2">
      <w:pPr>
        <w:spacing w:line="360" w:lineRule="auto"/>
        <w:outlineLvl w:val="0"/>
        <w:rPr>
          <w:rFonts w:ascii="Arial" w:hAnsi="Arial" w:cs="Arial"/>
          <w:b/>
          <w:sz w:val="24"/>
          <w:szCs w:val="24"/>
        </w:rPr>
      </w:pPr>
    </w:p>
    <w:p w14:paraId="605D1FDD">
      <w:pPr>
        <w:spacing w:line="360" w:lineRule="auto"/>
        <w:outlineLvl w:val="0"/>
        <w:rPr>
          <w:rFonts w:ascii="Arial" w:hAnsi="Arial" w:cs="Arial"/>
          <w:b/>
          <w:sz w:val="24"/>
          <w:szCs w:val="24"/>
        </w:rPr>
      </w:pPr>
    </w:p>
    <w:p w14:paraId="513BE009">
      <w:pPr>
        <w:spacing w:line="360" w:lineRule="auto"/>
        <w:outlineLvl w:val="0"/>
        <w:rPr>
          <w:rFonts w:ascii="Arial" w:hAnsi="Arial" w:cs="Arial"/>
          <w:b/>
          <w:sz w:val="24"/>
          <w:szCs w:val="24"/>
        </w:rPr>
      </w:pPr>
    </w:p>
    <w:p w14:paraId="06222066">
      <w:pPr>
        <w:spacing w:line="360" w:lineRule="auto"/>
        <w:jc w:val="center"/>
        <w:outlineLvl w:val="0"/>
        <w:rPr>
          <w:rFonts w:ascii="Arial" w:hAnsi="Arial" w:cs="Arial"/>
          <w:b/>
          <w:sz w:val="24"/>
          <w:szCs w:val="24"/>
        </w:rPr>
      </w:pPr>
    </w:p>
    <w:p w14:paraId="72F51570">
      <w:pPr>
        <w:spacing w:line="360" w:lineRule="auto"/>
        <w:jc w:val="center"/>
        <w:outlineLvl w:val="0"/>
        <w:rPr>
          <w:rFonts w:ascii="Arial" w:hAnsi="Arial" w:cs="Arial"/>
          <w:b/>
          <w:sz w:val="24"/>
          <w:szCs w:val="24"/>
        </w:rPr>
      </w:pPr>
      <w:bookmarkStart w:id="45" w:name="_Toc213305015"/>
    </w:p>
    <w:p w14:paraId="0837FF4B">
      <w:pPr>
        <w:spacing w:line="360" w:lineRule="auto"/>
        <w:jc w:val="center"/>
        <w:outlineLvl w:val="0"/>
        <w:rPr>
          <w:rFonts w:ascii="Arial" w:hAnsi="Arial" w:cs="Arial"/>
          <w:b/>
          <w:sz w:val="24"/>
          <w:szCs w:val="24"/>
        </w:rPr>
      </w:pPr>
    </w:p>
    <w:p w14:paraId="581AC5AC">
      <w:pPr>
        <w:spacing w:line="360" w:lineRule="auto"/>
        <w:jc w:val="center"/>
        <w:outlineLvl w:val="0"/>
        <w:rPr>
          <w:rFonts w:ascii="Arial" w:hAnsi="Arial" w:cs="Arial"/>
          <w:b/>
          <w:sz w:val="24"/>
          <w:szCs w:val="24"/>
        </w:rPr>
      </w:pPr>
    </w:p>
    <w:p w14:paraId="11D2553A">
      <w:pPr>
        <w:spacing w:line="360" w:lineRule="auto"/>
        <w:jc w:val="center"/>
        <w:outlineLvl w:val="0"/>
        <w:rPr>
          <w:rFonts w:ascii="Arial" w:hAnsi="Arial" w:cs="Arial"/>
          <w:b/>
          <w:sz w:val="24"/>
          <w:szCs w:val="24"/>
        </w:rPr>
      </w:pPr>
    </w:p>
    <w:p w14:paraId="32FDC6B4">
      <w:pPr>
        <w:spacing w:line="360" w:lineRule="auto"/>
        <w:jc w:val="center"/>
        <w:outlineLvl w:val="0"/>
        <w:rPr>
          <w:rFonts w:ascii="Arial" w:hAnsi="Arial" w:cs="Arial"/>
          <w:b/>
          <w:sz w:val="24"/>
          <w:szCs w:val="24"/>
        </w:rPr>
      </w:pPr>
    </w:p>
    <w:p w14:paraId="00320D56">
      <w:pPr>
        <w:spacing w:line="360" w:lineRule="auto"/>
        <w:jc w:val="center"/>
        <w:outlineLvl w:val="0"/>
        <w:rPr>
          <w:rFonts w:ascii="Arial" w:hAnsi="Arial" w:cs="Arial"/>
          <w:b/>
          <w:sz w:val="24"/>
          <w:szCs w:val="24"/>
        </w:rPr>
      </w:pPr>
    </w:p>
    <w:p w14:paraId="24FF3E5E">
      <w:pPr>
        <w:spacing w:line="360" w:lineRule="auto"/>
        <w:jc w:val="center"/>
        <w:outlineLvl w:val="0"/>
        <w:rPr>
          <w:rFonts w:ascii="Arial" w:hAnsi="Arial" w:cs="Arial"/>
          <w:b/>
          <w:sz w:val="24"/>
          <w:szCs w:val="24"/>
        </w:rPr>
      </w:pPr>
    </w:p>
    <w:p w14:paraId="217500B2">
      <w:pPr>
        <w:spacing w:line="360" w:lineRule="auto"/>
        <w:jc w:val="center"/>
        <w:outlineLvl w:val="0"/>
        <w:rPr>
          <w:rFonts w:ascii="Arial" w:hAnsi="Arial" w:cs="Arial"/>
          <w:b/>
          <w:sz w:val="24"/>
          <w:szCs w:val="24"/>
        </w:rPr>
      </w:pPr>
      <w:r>
        <w:rPr>
          <w:rFonts w:ascii="Arial" w:hAnsi="Arial" w:cs="Arial"/>
          <w:b/>
          <w:sz w:val="24"/>
          <w:szCs w:val="24"/>
        </w:rPr>
        <w:t>CHAPTER FIVE</w:t>
      </w:r>
      <w:bookmarkEnd w:id="45"/>
    </w:p>
    <w:p w14:paraId="3F3F9C6B">
      <w:pPr>
        <w:spacing w:line="360" w:lineRule="auto"/>
        <w:jc w:val="center"/>
        <w:rPr>
          <w:rFonts w:ascii="Arial" w:hAnsi="Arial" w:cs="Arial"/>
          <w:b/>
          <w:sz w:val="24"/>
          <w:szCs w:val="24"/>
        </w:rPr>
      </w:pPr>
      <w:r>
        <w:rPr>
          <w:rFonts w:ascii="Arial" w:hAnsi="Arial" w:cs="Arial"/>
          <w:b/>
          <w:sz w:val="24"/>
          <w:szCs w:val="24"/>
        </w:rPr>
        <w:t>SUMMARY, CONCULUSION AND RECOMMENDATIONS</w:t>
      </w:r>
    </w:p>
    <w:p w14:paraId="7C59ABDB">
      <w:pPr>
        <w:spacing w:line="360" w:lineRule="auto"/>
        <w:outlineLvl w:val="0"/>
        <w:rPr>
          <w:rFonts w:ascii="Arial" w:hAnsi="Arial" w:cs="Arial"/>
          <w:b/>
          <w:sz w:val="24"/>
          <w:szCs w:val="24"/>
        </w:rPr>
      </w:pPr>
      <w:bookmarkStart w:id="46" w:name="_Toc213305016"/>
      <w:r>
        <w:rPr>
          <w:rFonts w:ascii="Arial" w:hAnsi="Arial" w:cs="Arial"/>
          <w:b/>
          <w:sz w:val="24"/>
          <w:szCs w:val="24"/>
        </w:rPr>
        <w:t>5.1 Summary</w:t>
      </w:r>
      <w:bookmarkEnd w:id="46"/>
    </w:p>
    <w:p w14:paraId="00883814">
      <w:pPr>
        <w:spacing w:line="360" w:lineRule="auto"/>
        <w:jc w:val="both"/>
        <w:rPr>
          <w:rFonts w:ascii="Arial" w:hAnsi="Arial" w:cs="Arial"/>
          <w:sz w:val="24"/>
          <w:szCs w:val="24"/>
        </w:rPr>
      </w:pPr>
      <w:r>
        <w:rPr>
          <w:rFonts w:ascii="Arial" w:hAnsi="Arial" w:cs="Arial"/>
          <w:sz w:val="24"/>
          <w:szCs w:val="24"/>
        </w:rPr>
        <w:t>This research was conducted to explore the conversion of waste cooking oil into bio lubricants as a sustainable substitute for mineral-based lubricants. Waste cooking oil was selected due to its abundance and environmental disposal challenges. The study adopted the transesterification process, where methanol and potassium hydroxide acted as catalysts in the initial reaction to form methyl esters. A second transesterification step using trimethylolpropane (TMP) produced the final bio lubricant. The physicochemical analyses revealed that the bio lubricant had suitable viscosity, flash point, and acid and saponification values that met international standards. These findings confirm that WCO can serve as a potential raw material for bio lubricant production. Additionally, utilizing WCO for this purpose contributes to waste management, reduces pollution, and offers an eco-friendly alternative to non-renewable mineral oils. The work demonstrates the feasibility of producing high-quality bio lubricants from a low-cost and sustainable feedstock.</w:t>
      </w:r>
    </w:p>
    <w:p w14:paraId="2A09BE8E">
      <w:pPr>
        <w:spacing w:line="360" w:lineRule="auto"/>
      </w:pPr>
    </w:p>
    <w:p w14:paraId="36D7D220">
      <w:pPr>
        <w:spacing w:line="360" w:lineRule="auto"/>
        <w:jc w:val="both"/>
        <w:outlineLvl w:val="0"/>
        <w:rPr>
          <w:rFonts w:ascii="Arial" w:hAnsi="Arial" w:cs="Arial"/>
          <w:b/>
          <w:sz w:val="24"/>
          <w:szCs w:val="24"/>
        </w:rPr>
      </w:pPr>
      <w:bookmarkStart w:id="47" w:name="_Toc213305017"/>
      <w:r>
        <w:rPr>
          <w:rFonts w:ascii="Arial" w:hAnsi="Arial" w:cs="Arial"/>
          <w:b/>
          <w:sz w:val="24"/>
          <w:szCs w:val="24"/>
        </w:rPr>
        <w:t>5.2 Conclusion</w:t>
      </w:r>
      <w:bookmarkEnd w:id="47"/>
      <w:r>
        <w:rPr>
          <w:rFonts w:ascii="Arial" w:hAnsi="Arial" w:cs="Arial"/>
          <w:b/>
          <w:sz w:val="24"/>
          <w:szCs w:val="24"/>
        </w:rPr>
        <w:t xml:space="preserve"> </w:t>
      </w:r>
    </w:p>
    <w:p w14:paraId="470DDB77">
      <w:pPr>
        <w:spacing w:line="360" w:lineRule="auto"/>
        <w:jc w:val="both"/>
        <w:rPr>
          <w:rFonts w:ascii="Arial" w:hAnsi="Arial" w:cs="Arial"/>
          <w:sz w:val="24"/>
          <w:szCs w:val="24"/>
        </w:rPr>
      </w:pPr>
      <w:r>
        <w:rPr>
          <w:rFonts w:ascii="Arial" w:hAnsi="Arial" w:cs="Arial"/>
          <w:sz w:val="24"/>
          <w:szCs w:val="24"/>
        </w:rPr>
        <w:t xml:space="preserve">The research successfully demonstrated that waste cooking oil can be effectively utilized to produce bio lubricants through the transesterification process. The produced bio lubricant showed favorable physicochemical characteristics, aligning with ASTM standards. The yield of 90.05% indicates that the process is efficient, while properties such as viscosity, flash point, and acid value confirm its suitability for lubricating applications. The study establishes that bio lubricants derived from WCO are biodegradable, renewable, and environmentally benign compared to petroleum-based lubricants. Furthermore, this approach offers a dual advantage of waste recycling and reducing dependency on fossil resources, aligning with global sustainability goals. </w:t>
      </w:r>
    </w:p>
    <w:p w14:paraId="5A74AB17">
      <w:pPr>
        <w:spacing w:line="360" w:lineRule="auto"/>
        <w:jc w:val="both"/>
        <w:outlineLvl w:val="0"/>
        <w:rPr>
          <w:rFonts w:ascii="Arial" w:hAnsi="Arial" w:cs="Arial"/>
          <w:b/>
          <w:sz w:val="24"/>
          <w:szCs w:val="24"/>
        </w:rPr>
      </w:pPr>
    </w:p>
    <w:p w14:paraId="68F3E0A3">
      <w:pPr>
        <w:spacing w:line="360" w:lineRule="auto"/>
        <w:jc w:val="both"/>
        <w:outlineLvl w:val="0"/>
        <w:rPr>
          <w:rFonts w:ascii="Arial" w:hAnsi="Arial" w:cs="Arial"/>
          <w:b/>
          <w:sz w:val="24"/>
          <w:szCs w:val="24"/>
        </w:rPr>
      </w:pPr>
      <w:bookmarkStart w:id="48" w:name="_Toc213305018"/>
      <w:r>
        <w:rPr>
          <w:rFonts w:ascii="Arial" w:hAnsi="Arial" w:cs="Arial"/>
          <w:b/>
          <w:sz w:val="24"/>
          <w:szCs w:val="24"/>
        </w:rPr>
        <w:t>5.3 Recommendations</w:t>
      </w:r>
      <w:bookmarkEnd w:id="48"/>
    </w:p>
    <w:p w14:paraId="318AB8C8">
      <w:pPr>
        <w:spacing w:line="360" w:lineRule="auto"/>
        <w:jc w:val="both"/>
        <w:outlineLvl w:val="0"/>
        <w:rPr>
          <w:rFonts w:hint="default" w:ascii="Arial" w:hAnsi="Arial" w:cs="Arial"/>
          <w:sz w:val="24"/>
          <w:szCs w:val="24"/>
          <w:lang w:val="en-US"/>
        </w:rPr>
      </w:pPr>
      <w:bookmarkStart w:id="49" w:name="_Toc213305019"/>
      <w:bookmarkStart w:id="50" w:name="_Toc213301670"/>
      <w:bookmarkStart w:id="51" w:name="_Toc213304761"/>
      <w:bookmarkStart w:id="52" w:name="_Toc213301447"/>
      <w:r>
        <w:rPr>
          <w:rFonts w:ascii="Arial" w:hAnsi="Arial" w:cs="Arial"/>
          <w:sz w:val="24"/>
          <w:szCs w:val="24"/>
        </w:rPr>
        <w:t xml:space="preserve">1. </w:t>
      </w:r>
      <w:bookmarkEnd w:id="49"/>
      <w:bookmarkEnd w:id="50"/>
      <w:bookmarkEnd w:id="51"/>
      <w:bookmarkEnd w:id="52"/>
      <w:r>
        <w:rPr>
          <w:rFonts w:hint="default" w:ascii="Arial" w:hAnsi="Arial" w:cs="Arial"/>
          <w:sz w:val="24"/>
          <w:szCs w:val="24"/>
          <w:lang w:val="en-US"/>
        </w:rPr>
        <w:t>Further large-scale production and testing should be conducted to assess the performance of WCO-based biolubricants in different industrial and automotive applications.</w:t>
      </w:r>
    </w:p>
    <w:p w14:paraId="0B96D3B0">
      <w:pPr>
        <w:spacing w:line="360" w:lineRule="auto"/>
        <w:jc w:val="both"/>
        <w:rPr>
          <w:rFonts w:ascii="Arial" w:hAnsi="Arial" w:cs="Arial"/>
          <w:sz w:val="24"/>
          <w:szCs w:val="24"/>
        </w:rPr>
      </w:pPr>
      <w:r>
        <w:rPr>
          <w:rFonts w:ascii="Arial" w:hAnsi="Arial" w:cs="Arial"/>
          <w:sz w:val="24"/>
          <w:szCs w:val="24"/>
        </w:rPr>
        <w:t>2.</w:t>
      </w:r>
      <w:r>
        <w:rPr>
          <w:rFonts w:hint="default" w:ascii="Arial" w:hAnsi="Arial" w:cs="Arial"/>
          <w:sz w:val="24"/>
          <w:szCs w:val="24"/>
          <w:lang w:val="en-US"/>
        </w:rPr>
        <w:t xml:space="preserve"> </w:t>
      </w:r>
      <w:r>
        <w:rPr>
          <w:rFonts w:ascii="Arial" w:hAnsi="Arial" w:cs="Arial"/>
          <w:sz w:val="24"/>
          <w:szCs w:val="24"/>
        </w:rPr>
        <w:t xml:space="preserve">Future studies should investigate the use of other solid catalysts to improve reusability and minimize post-reaction purification challenges. </w:t>
      </w:r>
    </w:p>
    <w:p w14:paraId="7373F877">
      <w:pPr>
        <w:spacing w:line="360" w:lineRule="auto"/>
        <w:jc w:val="both"/>
        <w:rPr>
          <w:rFonts w:ascii="Arial" w:hAnsi="Arial" w:cs="Arial"/>
          <w:sz w:val="24"/>
          <w:szCs w:val="24"/>
        </w:rPr>
      </w:pPr>
      <w:r>
        <w:rPr>
          <w:rFonts w:ascii="Arial" w:hAnsi="Arial" w:cs="Arial"/>
          <w:sz w:val="24"/>
          <w:szCs w:val="24"/>
        </w:rPr>
        <w:t xml:space="preserve"> </w:t>
      </w:r>
      <w:r>
        <w:rPr>
          <w:rFonts w:hint="default" w:ascii="Arial" w:hAnsi="Arial" w:cs="Arial"/>
          <w:sz w:val="24"/>
          <w:szCs w:val="24"/>
          <w:lang w:val="en-US"/>
        </w:rPr>
        <w:t xml:space="preserve">3. </w:t>
      </w:r>
      <w:r>
        <w:rPr>
          <w:rFonts w:ascii="Arial" w:hAnsi="Arial" w:cs="Arial"/>
          <w:sz w:val="24"/>
          <w:szCs w:val="24"/>
        </w:rPr>
        <w:t>A cost-benefit analysis should be performed to compare the economic viability of WCO-based bio lubricants with conventional lubricants.</w:t>
      </w:r>
    </w:p>
    <w:p w14:paraId="75A8A83F">
      <w:pPr>
        <w:spacing w:line="360" w:lineRule="auto"/>
        <w:jc w:val="both"/>
        <w:rPr>
          <w:rFonts w:hint="default" w:ascii="Arial" w:hAnsi="Arial" w:cs="Arial"/>
          <w:sz w:val="24"/>
          <w:szCs w:val="24"/>
          <w:lang w:val="en-US"/>
        </w:rPr>
      </w:pPr>
      <w:r>
        <w:rPr>
          <w:rFonts w:hint="default" w:ascii="Arial" w:hAnsi="Arial" w:cs="Arial"/>
          <w:sz w:val="24"/>
          <w:szCs w:val="24"/>
          <w:lang w:val="en-US"/>
        </w:rPr>
        <w:t xml:space="preserve">4. A comprehensive life-cycle analysis should be undertaken to quantify the environmental benefits, including carbon footprint reduction. </w:t>
      </w:r>
    </w:p>
    <w:p w14:paraId="56A80F36">
      <w:pPr>
        <w:spacing w:line="360" w:lineRule="auto"/>
        <w:jc w:val="both"/>
        <w:rPr>
          <w:rFonts w:ascii="Arial" w:hAnsi="Arial" w:cs="Arial"/>
          <w:b/>
          <w:sz w:val="24"/>
          <w:szCs w:val="24"/>
        </w:rPr>
      </w:pPr>
      <w:r>
        <w:rPr>
          <w:rFonts w:ascii="Arial" w:hAnsi="Arial" w:cs="Arial"/>
          <w:sz w:val="24"/>
          <w:szCs w:val="24"/>
        </w:rPr>
        <w:t xml:space="preserve"> </w:t>
      </w:r>
    </w:p>
    <w:p w14:paraId="6BD015E8">
      <w:pPr>
        <w:spacing w:line="360" w:lineRule="auto"/>
        <w:jc w:val="both"/>
        <w:rPr>
          <w:rFonts w:ascii="Arial" w:hAnsi="Arial" w:cs="Arial"/>
          <w:sz w:val="24"/>
          <w:szCs w:val="24"/>
        </w:rPr>
      </w:pPr>
    </w:p>
    <w:p w14:paraId="5DC745EC">
      <w:pPr>
        <w:spacing w:line="360" w:lineRule="auto"/>
        <w:jc w:val="both"/>
        <w:rPr>
          <w:rFonts w:ascii="Arial" w:hAnsi="Arial" w:cs="Arial"/>
          <w:sz w:val="24"/>
          <w:szCs w:val="24"/>
        </w:rPr>
      </w:pPr>
    </w:p>
    <w:p w14:paraId="7FC7C8B5">
      <w:pPr>
        <w:spacing w:line="360" w:lineRule="auto"/>
        <w:jc w:val="both"/>
        <w:rPr>
          <w:rFonts w:ascii="Arial" w:hAnsi="Arial" w:cs="Arial"/>
          <w:sz w:val="24"/>
          <w:szCs w:val="24"/>
        </w:rPr>
      </w:pPr>
    </w:p>
    <w:p w14:paraId="4EDF0270">
      <w:pPr>
        <w:spacing w:line="360" w:lineRule="auto"/>
        <w:jc w:val="center"/>
        <w:rPr>
          <w:rFonts w:ascii="Arial" w:hAnsi="Arial" w:cs="Arial"/>
          <w:b/>
          <w:sz w:val="24"/>
          <w:szCs w:val="24"/>
        </w:rPr>
      </w:pPr>
    </w:p>
    <w:p w14:paraId="56E2CFAF">
      <w:pPr>
        <w:spacing w:line="360" w:lineRule="auto"/>
        <w:jc w:val="center"/>
        <w:rPr>
          <w:rFonts w:ascii="Arial" w:hAnsi="Arial" w:cs="Arial"/>
          <w:b/>
          <w:sz w:val="24"/>
          <w:szCs w:val="24"/>
        </w:rPr>
      </w:pPr>
    </w:p>
    <w:p w14:paraId="5F772EA3">
      <w:pPr>
        <w:spacing w:line="360" w:lineRule="auto"/>
        <w:jc w:val="center"/>
        <w:rPr>
          <w:rFonts w:ascii="Arial" w:hAnsi="Arial" w:cs="Arial"/>
          <w:b/>
          <w:sz w:val="24"/>
          <w:szCs w:val="24"/>
        </w:rPr>
      </w:pPr>
    </w:p>
    <w:p w14:paraId="7FBEE5BD">
      <w:pPr>
        <w:spacing w:line="360" w:lineRule="auto"/>
        <w:jc w:val="center"/>
        <w:rPr>
          <w:rFonts w:ascii="Arial" w:hAnsi="Arial" w:cs="Arial"/>
          <w:b/>
          <w:sz w:val="24"/>
          <w:szCs w:val="24"/>
        </w:rPr>
      </w:pPr>
    </w:p>
    <w:p w14:paraId="13F88870">
      <w:pPr>
        <w:spacing w:line="360" w:lineRule="auto"/>
        <w:jc w:val="center"/>
        <w:rPr>
          <w:rFonts w:ascii="Arial" w:hAnsi="Arial" w:cs="Arial"/>
          <w:b/>
          <w:sz w:val="24"/>
          <w:szCs w:val="24"/>
        </w:rPr>
      </w:pPr>
    </w:p>
    <w:p w14:paraId="156D6025">
      <w:pPr>
        <w:spacing w:line="360" w:lineRule="auto"/>
        <w:jc w:val="center"/>
        <w:rPr>
          <w:rFonts w:ascii="Arial" w:hAnsi="Arial" w:cs="Arial"/>
          <w:b/>
          <w:sz w:val="24"/>
          <w:szCs w:val="24"/>
        </w:rPr>
      </w:pPr>
    </w:p>
    <w:p w14:paraId="32622CED">
      <w:pPr>
        <w:spacing w:line="360" w:lineRule="auto"/>
        <w:jc w:val="center"/>
        <w:rPr>
          <w:rFonts w:ascii="Arial" w:hAnsi="Arial" w:cs="Arial"/>
          <w:b/>
          <w:sz w:val="24"/>
          <w:szCs w:val="24"/>
        </w:rPr>
      </w:pPr>
    </w:p>
    <w:p w14:paraId="776A6365">
      <w:pPr>
        <w:spacing w:line="360" w:lineRule="auto"/>
        <w:jc w:val="center"/>
        <w:rPr>
          <w:rFonts w:ascii="Arial" w:hAnsi="Arial" w:cs="Arial"/>
          <w:b/>
          <w:sz w:val="24"/>
          <w:szCs w:val="24"/>
        </w:rPr>
      </w:pPr>
    </w:p>
    <w:p w14:paraId="4EE4A102">
      <w:pPr>
        <w:spacing w:line="360" w:lineRule="auto"/>
        <w:jc w:val="center"/>
        <w:outlineLvl w:val="0"/>
        <w:rPr>
          <w:rFonts w:ascii="Arial" w:hAnsi="Arial" w:cs="Arial"/>
          <w:b/>
          <w:sz w:val="24"/>
          <w:szCs w:val="24"/>
        </w:rPr>
      </w:pPr>
    </w:p>
    <w:p w14:paraId="3F90B8BD">
      <w:pPr>
        <w:spacing w:line="360" w:lineRule="auto"/>
        <w:jc w:val="both"/>
        <w:outlineLvl w:val="0"/>
        <w:rPr>
          <w:rFonts w:ascii="Arial" w:hAnsi="Arial" w:cs="Arial"/>
          <w:b/>
          <w:sz w:val="24"/>
          <w:szCs w:val="24"/>
        </w:rPr>
      </w:pPr>
    </w:p>
    <w:p w14:paraId="65BADAB2">
      <w:pPr>
        <w:spacing w:line="360" w:lineRule="auto"/>
        <w:jc w:val="center"/>
        <w:outlineLvl w:val="0"/>
        <w:rPr>
          <w:rFonts w:ascii="Arial" w:hAnsi="Arial" w:cs="Arial"/>
          <w:b/>
          <w:sz w:val="24"/>
          <w:szCs w:val="24"/>
        </w:rPr>
      </w:pPr>
      <w:bookmarkStart w:id="53" w:name="_Toc213305020"/>
      <w:r>
        <w:rPr>
          <w:rFonts w:ascii="Arial" w:hAnsi="Arial" w:cs="Arial"/>
          <w:b/>
          <w:sz w:val="24"/>
          <w:szCs w:val="24"/>
        </w:rPr>
        <w:t>REFERENCES</w:t>
      </w:r>
      <w:bookmarkEnd w:id="53"/>
    </w:p>
    <w:p w14:paraId="7CE3D4BD">
      <w:pPr>
        <w:spacing w:line="360" w:lineRule="auto"/>
        <w:jc w:val="both"/>
        <w:rPr>
          <w:rFonts w:ascii="Arial" w:hAnsi="Arial" w:cs="Arial"/>
          <w:sz w:val="24"/>
          <w:szCs w:val="24"/>
        </w:rPr>
      </w:pPr>
      <w:r>
        <w:rPr>
          <w:rFonts w:ascii="Arial" w:hAnsi="Arial" w:cs="Arial"/>
          <w:sz w:val="24"/>
          <w:szCs w:val="24"/>
        </w:rPr>
        <w:t xml:space="preserve">Abdullah, B.M Zubairu, S.I. Huri, H.Z. Hairunisa, N. Yousif, E. Basu, R.C.(2016) Polyesters Based on Linoleic Acid for Biolubricant Basestocks: Low- Temperature, Tribological and Rheological Properties, Plos ONE 11,1-15. </w:t>
      </w:r>
    </w:p>
    <w:p w14:paraId="77F6205A">
      <w:pPr>
        <w:spacing w:before="240" w:line="360" w:lineRule="auto"/>
        <w:ind w:left="1440" w:hanging="1440"/>
        <w:jc w:val="both"/>
        <w:rPr>
          <w:rFonts w:ascii="Arial" w:hAnsi="Arial" w:cs="Arial"/>
          <w:sz w:val="24"/>
          <w:szCs w:val="24"/>
        </w:rPr>
      </w:pPr>
      <w:r>
        <w:rPr>
          <w:rFonts w:ascii="Arial" w:hAnsi="Arial" w:cs="Arial"/>
          <w:sz w:val="24"/>
          <w:szCs w:val="24"/>
        </w:rPr>
        <w:t xml:space="preserve">Adewuyi, A; Awolade, P. O. and Oderinde, R.A. (2014). Hura crepitans seed oil: An alternative feedstock for biodiesel production, </w:t>
      </w:r>
      <w:r>
        <w:rPr>
          <w:rFonts w:ascii="Arial" w:hAnsi="Arial" w:cs="Arial"/>
          <w:i/>
          <w:sz w:val="24"/>
          <w:szCs w:val="24"/>
        </w:rPr>
        <w:t>Journal of Fuels</w:t>
      </w:r>
      <w:r>
        <w:rPr>
          <w:rFonts w:ascii="Arial" w:hAnsi="Arial" w:cs="Arial"/>
          <w:sz w:val="24"/>
          <w:szCs w:val="24"/>
        </w:rPr>
        <w:t>,1-9.</w:t>
      </w:r>
    </w:p>
    <w:p w14:paraId="02B8B2FE">
      <w:pPr>
        <w:spacing w:before="240" w:line="360" w:lineRule="auto"/>
        <w:ind w:left="1440" w:hanging="1440"/>
        <w:jc w:val="both"/>
        <w:rPr>
          <w:rFonts w:ascii="Arial" w:hAnsi="Arial" w:cs="Arial"/>
          <w:sz w:val="24"/>
          <w:szCs w:val="24"/>
        </w:rPr>
      </w:pPr>
      <w:r>
        <w:rPr>
          <w:rFonts w:ascii="Arial" w:hAnsi="Arial" w:cs="Arial"/>
          <w:sz w:val="24"/>
          <w:szCs w:val="24"/>
        </w:rPr>
        <w:t xml:space="preserve">Agrawal, A.J., Karadbhajne, V.Y., Agrawal, P.S., Arekar, P.S., Chakole, N.P. (2017). Synthesis of biolubricants from nonedible oils. International Research </w:t>
      </w:r>
      <w:r>
        <w:rPr>
          <w:rFonts w:ascii="Arial" w:hAnsi="Arial" w:cs="Arial"/>
          <w:i/>
          <w:sz w:val="24"/>
          <w:szCs w:val="24"/>
        </w:rPr>
        <w:t>Journal of Engineering and Technology</w:t>
      </w:r>
      <w:r>
        <w:rPr>
          <w:rFonts w:ascii="Arial" w:hAnsi="Arial" w:cs="Arial"/>
          <w:sz w:val="24"/>
          <w:szCs w:val="24"/>
        </w:rPr>
        <w:t xml:space="preserve">, </w:t>
      </w:r>
      <w:r>
        <w:rPr>
          <w:rFonts w:ascii="Arial" w:hAnsi="Arial" w:cs="Arial"/>
          <w:b/>
          <w:sz w:val="24"/>
          <w:szCs w:val="24"/>
        </w:rPr>
        <w:t>4</w:t>
      </w:r>
      <w:r>
        <w:rPr>
          <w:rFonts w:ascii="Arial" w:hAnsi="Arial" w:cs="Arial"/>
          <w:sz w:val="24"/>
          <w:szCs w:val="24"/>
        </w:rPr>
        <w:t>, 1753-1757.</w:t>
      </w:r>
    </w:p>
    <w:p w14:paraId="0545B4BE">
      <w:pPr>
        <w:spacing w:line="360" w:lineRule="auto"/>
        <w:ind w:left="720" w:hanging="720"/>
        <w:jc w:val="both"/>
        <w:rPr>
          <w:rFonts w:ascii="Arial" w:hAnsi="Arial" w:cs="Arial"/>
          <w:sz w:val="24"/>
          <w:szCs w:val="24"/>
        </w:rPr>
      </w:pPr>
      <w:r>
        <w:rPr>
          <w:rFonts w:ascii="Arial" w:hAnsi="Arial" w:cs="Arial"/>
          <w:sz w:val="24"/>
          <w:szCs w:val="24"/>
        </w:rPr>
        <w:t>Ahmed,D-T ; Kasolang, S; Dwyer-Joyce, R-S; Sainan, K.J; and Nik Roselina, N-R. 2014.Formulation and physicochemical characteristics of biolubricant. Journal Tribologi. 3:1-10.</w:t>
      </w:r>
    </w:p>
    <w:p w14:paraId="5E7B6BD0">
      <w:pPr>
        <w:spacing w:line="360" w:lineRule="auto"/>
        <w:ind w:left="720" w:hanging="720"/>
        <w:jc w:val="both"/>
        <w:rPr>
          <w:rFonts w:ascii="Arial" w:hAnsi="Arial" w:cs="Arial"/>
          <w:sz w:val="24"/>
          <w:szCs w:val="24"/>
        </w:rPr>
      </w:pPr>
      <w:r>
        <w:rPr>
          <w:rFonts w:ascii="Arial" w:hAnsi="Arial" w:cs="Arial"/>
          <w:sz w:val="24"/>
          <w:szCs w:val="24"/>
        </w:rPr>
        <w:t>Aji,M-M; Kyari,S-A; and zoaka, G.20115.Comparative studies between biolubricants from jatropha oil, neem oil, and mineral lubricant (Engen Super 20W\50). Applied research Journal.1(4):252-257.</w:t>
      </w:r>
    </w:p>
    <w:p w14:paraId="326DC15B">
      <w:pPr>
        <w:spacing w:line="360" w:lineRule="auto"/>
        <w:ind w:left="720" w:hanging="720"/>
        <w:jc w:val="both"/>
        <w:rPr>
          <w:rFonts w:ascii="Arial" w:hAnsi="Arial" w:cs="Arial"/>
          <w:sz w:val="24"/>
          <w:szCs w:val="24"/>
        </w:rPr>
      </w:pPr>
      <w:r>
        <w:rPr>
          <w:rFonts w:ascii="Arial" w:hAnsi="Arial" w:cs="Arial"/>
          <w:sz w:val="24"/>
          <w:szCs w:val="24"/>
        </w:rPr>
        <w:t>Aluyor, E.O.; Obahiagbon, K.O.; Ori-jesu, M(2009). Biodegradable of vegetable oils: A   review. Sci. Res. Essays 4,543-548.</w:t>
      </w:r>
    </w:p>
    <w:p w14:paraId="1B38C929">
      <w:pPr>
        <w:spacing w:before="240" w:line="360" w:lineRule="auto"/>
        <w:ind w:left="1440" w:hanging="1440"/>
        <w:jc w:val="both"/>
        <w:rPr>
          <w:rFonts w:ascii="Arial" w:hAnsi="Arial" w:cs="Arial"/>
          <w:sz w:val="24"/>
          <w:szCs w:val="24"/>
        </w:rPr>
      </w:pPr>
      <w:r>
        <w:rPr>
          <w:rFonts w:ascii="Arial" w:hAnsi="Arial" w:cs="Arial"/>
          <w:sz w:val="24"/>
          <w:szCs w:val="24"/>
        </w:rPr>
        <w:t xml:space="preserve">Amit, K.J. and Amit, S. (2012). Research Approach and Prospects of Non-Edible Vegetable Oil as a Potential Resource for Biolubricant- A Review, Adv. Eng. </w:t>
      </w:r>
      <w:r>
        <w:rPr>
          <w:rFonts w:ascii="Arial" w:hAnsi="Arial" w:cs="Arial"/>
          <w:i/>
          <w:sz w:val="24"/>
          <w:szCs w:val="24"/>
        </w:rPr>
        <w:t>Appl. Sci. Int. J</w:t>
      </w:r>
      <w:r>
        <w:rPr>
          <w:rFonts w:ascii="Arial" w:hAnsi="Arial" w:cs="Arial"/>
          <w:sz w:val="24"/>
          <w:szCs w:val="24"/>
        </w:rPr>
        <w:t xml:space="preserve">. </w:t>
      </w:r>
      <w:r>
        <w:rPr>
          <w:rFonts w:ascii="Arial" w:hAnsi="Arial" w:cs="Arial"/>
          <w:b/>
          <w:sz w:val="24"/>
          <w:szCs w:val="24"/>
        </w:rPr>
        <w:t>1</w:t>
      </w:r>
      <w:r>
        <w:rPr>
          <w:rFonts w:ascii="Arial" w:hAnsi="Arial" w:cs="Arial"/>
          <w:sz w:val="24"/>
          <w:szCs w:val="24"/>
        </w:rPr>
        <w:t xml:space="preserve"> 23–32. </w:t>
      </w:r>
    </w:p>
    <w:p w14:paraId="36C25B5B">
      <w:pPr>
        <w:spacing w:before="240" w:line="360" w:lineRule="auto"/>
        <w:ind w:left="1440" w:hanging="1440"/>
        <w:jc w:val="both"/>
        <w:rPr>
          <w:rFonts w:ascii="Arial" w:hAnsi="Arial" w:cs="Arial"/>
          <w:sz w:val="24"/>
          <w:szCs w:val="24"/>
        </w:rPr>
      </w:pPr>
      <w:r>
        <w:rPr>
          <w:rFonts w:ascii="Arial" w:hAnsi="Arial" w:cs="Arial"/>
          <w:sz w:val="24"/>
          <w:szCs w:val="24"/>
        </w:rPr>
        <w:t xml:space="preserve">Annisa, A. N. and Wadiyat, W. A. (2018). Review of Biolubricant production from vegetable oils using esterification process. MATEE Web Conf. 156, 1-7 </w:t>
      </w:r>
    </w:p>
    <w:p w14:paraId="7D96A8BD">
      <w:pPr>
        <w:spacing w:before="240" w:line="360" w:lineRule="auto"/>
        <w:ind w:left="1440" w:hanging="1440"/>
        <w:jc w:val="both"/>
        <w:rPr>
          <w:rFonts w:ascii="Arial" w:hAnsi="Arial" w:cs="Arial"/>
          <w:sz w:val="24"/>
          <w:szCs w:val="24"/>
        </w:rPr>
      </w:pPr>
      <w:r>
        <w:rPr>
          <w:rFonts w:ascii="Arial" w:hAnsi="Arial" w:cs="Arial"/>
          <w:sz w:val="24"/>
          <w:szCs w:val="24"/>
        </w:rPr>
        <w:t xml:space="preserve">Anusi, M. O., Umenweke, G. C., Nkuzinna, O. and Igboko, N. (2018). Kinetics of Alkali Catalysed Transesterification Reaction of palm Kernel Oil and physicochemical Characterization of the Biodiesel Product. American </w:t>
      </w:r>
      <w:r>
        <w:rPr>
          <w:rFonts w:ascii="Arial" w:hAnsi="Arial" w:cs="Arial"/>
          <w:i/>
          <w:sz w:val="24"/>
          <w:szCs w:val="24"/>
        </w:rPr>
        <w:t>Journal of Engineering Research</w:t>
      </w:r>
      <w:r>
        <w:rPr>
          <w:rFonts w:ascii="Arial" w:hAnsi="Arial" w:cs="Arial"/>
          <w:sz w:val="24"/>
          <w:szCs w:val="24"/>
        </w:rPr>
        <w:t>,</w:t>
      </w:r>
      <w:r>
        <w:rPr>
          <w:rFonts w:ascii="Arial" w:hAnsi="Arial" w:cs="Arial"/>
          <w:b/>
          <w:sz w:val="24"/>
          <w:szCs w:val="24"/>
        </w:rPr>
        <w:t>2</w:t>
      </w:r>
      <w:r>
        <w:rPr>
          <w:rFonts w:ascii="Arial" w:hAnsi="Arial" w:cs="Arial"/>
          <w:sz w:val="24"/>
          <w:szCs w:val="24"/>
        </w:rPr>
        <w:t>, 73-82.</w:t>
      </w:r>
    </w:p>
    <w:p w14:paraId="44021CEE">
      <w:pPr>
        <w:spacing w:before="240" w:line="360" w:lineRule="auto"/>
        <w:ind w:left="1440" w:hanging="1440"/>
        <w:jc w:val="both"/>
        <w:rPr>
          <w:rFonts w:ascii="Arial" w:hAnsi="Arial" w:cs="Arial"/>
          <w:sz w:val="24"/>
          <w:szCs w:val="24"/>
        </w:rPr>
      </w:pPr>
      <w:r>
        <w:rPr>
          <w:rFonts w:ascii="Arial" w:hAnsi="Arial" w:cs="Arial"/>
          <w:sz w:val="24"/>
          <w:szCs w:val="24"/>
        </w:rPr>
        <w:t xml:space="preserve">Backe, W. (1993). The present and future of fluid power. Proc. Inst. Mech. Eng. Part </w:t>
      </w:r>
      <w:r>
        <w:rPr>
          <w:rFonts w:ascii="Arial" w:hAnsi="Arial" w:cs="Arial"/>
          <w:b/>
          <w:sz w:val="24"/>
          <w:szCs w:val="24"/>
        </w:rPr>
        <w:t>1</w:t>
      </w:r>
      <w:r>
        <w:rPr>
          <w:rFonts w:ascii="Arial" w:hAnsi="Arial" w:cs="Arial"/>
          <w:sz w:val="24"/>
          <w:szCs w:val="24"/>
        </w:rPr>
        <w:t>(207):193- 212.</w:t>
      </w:r>
    </w:p>
    <w:p w14:paraId="50CB076E">
      <w:pPr>
        <w:spacing w:before="240" w:line="360" w:lineRule="auto"/>
        <w:ind w:left="1440" w:hanging="1440"/>
        <w:jc w:val="both"/>
        <w:rPr>
          <w:rFonts w:ascii="Arial" w:hAnsi="Arial" w:cs="Arial"/>
          <w:sz w:val="24"/>
          <w:szCs w:val="24"/>
        </w:rPr>
      </w:pPr>
      <w:r>
        <w:rPr>
          <w:rFonts w:ascii="Arial" w:hAnsi="Arial" w:cs="Arial"/>
          <w:sz w:val="24"/>
          <w:szCs w:val="24"/>
        </w:rPr>
        <w:t>Balasubramaniam B. et al., (2012). Comparative analysis for the production of fatty acid alkyl esterase using whole cell biocatalyyst and purified enzyme from Rhizopus oryzae on waste cooking oil (sunflower oil).</w:t>
      </w:r>
    </w:p>
    <w:p w14:paraId="7F0D6D63">
      <w:pPr>
        <w:spacing w:line="360" w:lineRule="auto"/>
        <w:ind w:left="720" w:hanging="720"/>
        <w:jc w:val="both"/>
        <w:rPr>
          <w:rFonts w:ascii="Arial" w:hAnsi="Arial" w:cs="Arial"/>
          <w:sz w:val="24"/>
          <w:szCs w:val="24"/>
        </w:rPr>
      </w:pPr>
      <w:r>
        <w:rPr>
          <w:rFonts w:ascii="Arial" w:hAnsi="Arial" w:cs="Arial"/>
          <w:sz w:val="24"/>
          <w:szCs w:val="24"/>
        </w:rPr>
        <w:t xml:space="preserve">Bilal, S., Mohammed Dabo, I.A., Nuhu, M., Kasim, S. A., Almustapha, I.H. and Yamusa, Y.A. (2013). Production of bio lubricant from jatropha curcas seed oil. </w:t>
      </w:r>
      <w:r>
        <w:rPr>
          <w:rFonts w:ascii="Arial" w:hAnsi="Arial" w:cs="Arial"/>
          <w:i/>
          <w:sz w:val="24"/>
          <w:szCs w:val="24"/>
        </w:rPr>
        <w:t xml:space="preserve">Journal of Chemical Engineering and Materials Science, </w:t>
      </w:r>
      <w:r>
        <w:rPr>
          <w:rFonts w:ascii="Arial" w:hAnsi="Arial" w:cs="Arial"/>
          <w:b/>
          <w:sz w:val="24"/>
          <w:szCs w:val="24"/>
        </w:rPr>
        <w:t>4</w:t>
      </w:r>
      <w:r>
        <w:rPr>
          <w:rFonts w:ascii="Arial" w:hAnsi="Arial" w:cs="Arial"/>
          <w:sz w:val="24"/>
          <w:szCs w:val="24"/>
        </w:rPr>
        <w:t>(6):72-79</w:t>
      </w:r>
    </w:p>
    <w:p w14:paraId="053311F8">
      <w:pPr>
        <w:spacing w:line="360" w:lineRule="auto"/>
        <w:ind w:left="720" w:hanging="720"/>
        <w:jc w:val="both"/>
        <w:rPr>
          <w:rFonts w:ascii="Arial" w:hAnsi="Arial" w:cs="Arial"/>
          <w:sz w:val="24"/>
          <w:szCs w:val="24"/>
        </w:rPr>
      </w:pPr>
      <w:r>
        <w:rPr>
          <w:rFonts w:ascii="Arial" w:hAnsi="Arial" w:cs="Arial"/>
          <w:sz w:val="24"/>
          <w:szCs w:val="24"/>
        </w:rPr>
        <w:t>Betton, C.I.(2010). Lubricants and Their Environmental Impact, In chemistry and Technology of Lubricants; Mortier RM, Fox MF, Orszulik ST, Ed.; Springer: The Netherands.</w:t>
      </w:r>
    </w:p>
    <w:p w14:paraId="40C51558">
      <w:pPr>
        <w:spacing w:line="360" w:lineRule="auto"/>
        <w:ind w:left="720" w:hanging="720"/>
        <w:jc w:val="both"/>
        <w:rPr>
          <w:rFonts w:ascii="Arial" w:hAnsi="Arial" w:cs="Arial"/>
          <w:sz w:val="24"/>
          <w:szCs w:val="24"/>
        </w:rPr>
      </w:pPr>
      <w:r>
        <w:rPr>
          <w:rFonts w:ascii="Arial" w:hAnsi="Arial" w:cs="Arial"/>
          <w:sz w:val="24"/>
          <w:szCs w:val="24"/>
        </w:rPr>
        <w:t>Bello, E. and Agge, M. (2012). Biodiesel Production from groundnut oil. Journal of Emerging Trends in Engineering and Applied Science, 3: 276-280</w:t>
      </w:r>
    </w:p>
    <w:p w14:paraId="0AC72381">
      <w:pPr>
        <w:spacing w:line="360" w:lineRule="auto"/>
        <w:ind w:left="720" w:hanging="720"/>
        <w:jc w:val="both"/>
        <w:rPr>
          <w:rFonts w:ascii="Arial" w:hAnsi="Arial" w:cs="Arial"/>
          <w:sz w:val="24"/>
          <w:szCs w:val="24"/>
        </w:rPr>
      </w:pPr>
      <w:r>
        <w:rPr>
          <w:rFonts w:ascii="Arial" w:hAnsi="Arial" w:cs="Arial"/>
          <w:sz w:val="24"/>
          <w:szCs w:val="24"/>
        </w:rPr>
        <w:t xml:space="preserve">Cecilia, J.A., Plata, D.B., Saboya, R.M.AA., de Luna, F.M.T., Cavalcante, C.L., Rodriguez- Castellon, E. (2020). An Overview of the Bio lubricant Production Process: Challenges and Future Perspectives. </w:t>
      </w:r>
      <w:r>
        <w:rPr>
          <w:rFonts w:ascii="Arial" w:hAnsi="Arial" w:cs="Arial"/>
          <w:i/>
          <w:sz w:val="24"/>
          <w:szCs w:val="24"/>
        </w:rPr>
        <w:t>Processes</w:t>
      </w:r>
      <w:r>
        <w:rPr>
          <w:rFonts w:ascii="Arial" w:hAnsi="Arial" w:cs="Arial"/>
          <w:sz w:val="24"/>
          <w:szCs w:val="24"/>
        </w:rPr>
        <w:t>,</w:t>
      </w:r>
      <w:r>
        <w:rPr>
          <w:rFonts w:ascii="Arial" w:hAnsi="Arial" w:cs="Arial"/>
          <w:b/>
          <w:sz w:val="24"/>
          <w:szCs w:val="24"/>
        </w:rPr>
        <w:t>8</w:t>
      </w:r>
      <w:r>
        <w:rPr>
          <w:rFonts w:ascii="Arial" w:hAnsi="Arial" w:cs="Arial"/>
          <w:sz w:val="24"/>
          <w:szCs w:val="24"/>
        </w:rPr>
        <w:t>, 257.</w:t>
      </w:r>
    </w:p>
    <w:p w14:paraId="115A1F45">
      <w:pPr>
        <w:spacing w:line="360" w:lineRule="auto"/>
        <w:ind w:left="720" w:hanging="720"/>
        <w:jc w:val="both"/>
        <w:rPr>
          <w:rFonts w:ascii="Arial" w:hAnsi="Arial" w:cs="Arial"/>
          <w:sz w:val="24"/>
          <w:szCs w:val="24"/>
        </w:rPr>
      </w:pPr>
      <w:r>
        <w:rPr>
          <w:rFonts w:ascii="Arial" w:hAnsi="Arial" w:cs="Arial"/>
          <w:sz w:val="24"/>
          <w:szCs w:val="24"/>
        </w:rPr>
        <w:t>Chang, C.H.; Tang, S.W.; Mohd, N.K; Limx, W.H; Yeong, S.K; Idris, Z.(2018) Tribological behaviour of biolubricant base stocks and additives. Renew. Sustain. Energy Rev. 93,143-157.(Google Scholar)</w:t>
      </w:r>
    </w:p>
    <w:p w14:paraId="7687384A">
      <w:pPr>
        <w:spacing w:before="240" w:line="360" w:lineRule="auto"/>
        <w:ind w:left="1440" w:hanging="1440"/>
        <w:jc w:val="both"/>
        <w:rPr>
          <w:rFonts w:ascii="Arial" w:hAnsi="Arial" w:cs="Arial"/>
          <w:sz w:val="24"/>
          <w:szCs w:val="24"/>
        </w:rPr>
      </w:pPr>
      <w:r>
        <w:rPr>
          <w:rFonts w:ascii="Arial" w:hAnsi="Arial" w:cs="Arial"/>
          <w:sz w:val="24"/>
          <w:szCs w:val="24"/>
        </w:rPr>
        <w:t xml:space="preserve">Dabai, M. U., Owunax, F.J., Sokoto, M.A. and Abubakar, A. L.  (2018) Assessment of Quality Parameters of Eco-friendly Bio lubricant From Waste Cooking Palm Oil, </w:t>
      </w:r>
      <w:r>
        <w:rPr>
          <w:rFonts w:ascii="Arial" w:hAnsi="Arial" w:cs="Arial"/>
          <w:i/>
          <w:sz w:val="24"/>
          <w:szCs w:val="24"/>
        </w:rPr>
        <w:t>Asian Journal of Applied Chemistry Research</w:t>
      </w:r>
      <w:r>
        <w:rPr>
          <w:rFonts w:ascii="Arial" w:hAnsi="Arial" w:cs="Arial"/>
          <w:sz w:val="24"/>
          <w:szCs w:val="24"/>
        </w:rPr>
        <w:t xml:space="preserve"> </w:t>
      </w:r>
      <w:r>
        <w:rPr>
          <w:rFonts w:ascii="Arial" w:hAnsi="Arial" w:cs="Arial"/>
          <w:b/>
          <w:sz w:val="24"/>
          <w:szCs w:val="24"/>
        </w:rPr>
        <w:t>1:</w:t>
      </w:r>
      <w:r>
        <w:rPr>
          <w:rFonts w:ascii="Arial" w:hAnsi="Arial" w:cs="Arial"/>
          <w:sz w:val="24"/>
          <w:szCs w:val="24"/>
        </w:rPr>
        <w:t>1-11.</w:t>
      </w:r>
    </w:p>
    <w:p w14:paraId="4E33E45A">
      <w:pPr>
        <w:ind w:left="720" w:hanging="720"/>
        <w:rPr>
          <w:rFonts w:ascii="Arial" w:hAnsi="Arial" w:cs="Arial"/>
          <w:sz w:val="24"/>
          <w:szCs w:val="24"/>
        </w:rPr>
      </w:pPr>
      <w:r>
        <w:rPr>
          <w:rFonts w:ascii="Arial" w:hAnsi="Arial" w:cs="Arial"/>
          <w:sz w:val="24"/>
          <w:szCs w:val="24"/>
        </w:rPr>
        <w:t xml:space="preserve">Demirbas A. (2008). Studies on cottonseed oil biodiesel prepared in non-catalytic SCF conditions. </w:t>
      </w:r>
      <w:r>
        <w:rPr>
          <w:rFonts w:ascii="Arial" w:hAnsi="Arial" w:cs="Arial"/>
          <w:i/>
          <w:sz w:val="24"/>
          <w:szCs w:val="24"/>
        </w:rPr>
        <w:t>Bioresour Technol</w:t>
      </w:r>
      <w:r>
        <w:rPr>
          <w:rFonts w:ascii="Arial" w:hAnsi="Arial" w:cs="Arial"/>
          <w:sz w:val="24"/>
          <w:szCs w:val="24"/>
        </w:rPr>
        <w:t>.</w:t>
      </w:r>
      <w:r>
        <w:rPr>
          <w:rFonts w:ascii="Arial" w:hAnsi="Arial" w:cs="Arial"/>
          <w:b/>
          <w:sz w:val="24"/>
          <w:szCs w:val="24"/>
        </w:rPr>
        <w:t>99</w:t>
      </w:r>
      <w:r>
        <w:rPr>
          <w:rFonts w:ascii="Arial" w:hAnsi="Arial" w:cs="Arial"/>
          <w:sz w:val="24"/>
          <w:szCs w:val="24"/>
        </w:rPr>
        <w:t>:1125-</w:t>
      </w:r>
    </w:p>
    <w:p w14:paraId="146075D8">
      <w:pPr>
        <w:spacing w:before="240" w:line="360" w:lineRule="auto"/>
        <w:ind w:left="1440" w:hanging="1440"/>
        <w:jc w:val="both"/>
        <w:rPr>
          <w:rFonts w:ascii="Arial" w:hAnsi="Arial" w:cs="Arial"/>
          <w:sz w:val="24"/>
          <w:szCs w:val="24"/>
        </w:rPr>
      </w:pPr>
      <w:r>
        <w:rPr>
          <w:rFonts w:ascii="Arial" w:hAnsi="Arial" w:cs="Arial"/>
          <w:sz w:val="24"/>
          <w:szCs w:val="24"/>
        </w:rPr>
        <w:t xml:space="preserve">Duzcukoglu, H.; and Sahin, O. (2011). Investigation of wear performance of canola oil containing boris acid under boundary friction condition. </w:t>
      </w:r>
      <w:r>
        <w:rPr>
          <w:rFonts w:ascii="Arial" w:hAnsi="Arial" w:cs="Arial"/>
          <w:i/>
          <w:sz w:val="24"/>
          <w:szCs w:val="24"/>
        </w:rPr>
        <w:t>Tribol. Trans</w:t>
      </w:r>
      <w:r>
        <w:rPr>
          <w:rFonts w:ascii="Arial" w:hAnsi="Arial" w:cs="Arial"/>
          <w:sz w:val="24"/>
          <w:szCs w:val="24"/>
        </w:rPr>
        <w:t>., 54, 57-61.</w:t>
      </w:r>
    </w:p>
    <w:p w14:paraId="62129331">
      <w:pPr>
        <w:spacing w:before="240" w:line="360" w:lineRule="auto"/>
        <w:ind w:left="1440" w:hanging="1440"/>
        <w:jc w:val="both"/>
        <w:rPr>
          <w:rFonts w:ascii="Arial" w:hAnsi="Arial" w:cs="Arial"/>
          <w:sz w:val="24"/>
          <w:szCs w:val="24"/>
        </w:rPr>
      </w:pPr>
      <w:r>
        <w:rPr>
          <w:rFonts w:ascii="Arial" w:hAnsi="Arial" w:cs="Arial"/>
          <w:sz w:val="24"/>
          <w:szCs w:val="24"/>
        </w:rPr>
        <w:t>Durango-Giraldo G., et al.(2021) Palm oil as a biolubricant literature review of processing parameters and tribological performance. J. Ind. Eng. Chem.(Google Scholar).</w:t>
      </w:r>
    </w:p>
    <w:p w14:paraId="4247E4E0">
      <w:pPr>
        <w:spacing w:before="240" w:line="360" w:lineRule="auto"/>
        <w:ind w:left="1440" w:hanging="1440"/>
        <w:jc w:val="both"/>
        <w:rPr>
          <w:rFonts w:ascii="Arial" w:hAnsi="Arial" w:cs="Arial"/>
          <w:sz w:val="24"/>
          <w:szCs w:val="24"/>
        </w:rPr>
      </w:pPr>
      <w:r>
        <w:rPr>
          <w:rFonts w:ascii="Arial" w:hAnsi="Arial" w:cs="Arial"/>
          <w:sz w:val="24"/>
          <w:szCs w:val="24"/>
        </w:rPr>
        <w:t xml:space="preserve">Encinar, J. M., Nogales, S. and Gonzalez, J. F. (2020). Biodiesel and Biolubricant production from different vegetables oils through transesterification. </w:t>
      </w:r>
      <w:r>
        <w:rPr>
          <w:rFonts w:ascii="Arial" w:hAnsi="Arial" w:cs="Arial"/>
          <w:i/>
          <w:sz w:val="24"/>
          <w:szCs w:val="24"/>
        </w:rPr>
        <w:t>Eng. Reports</w:t>
      </w:r>
      <w:r>
        <w:rPr>
          <w:rFonts w:ascii="Arial" w:hAnsi="Arial" w:cs="Arial"/>
          <w:sz w:val="24"/>
          <w:szCs w:val="24"/>
        </w:rPr>
        <w:t xml:space="preserve"> 1-10 doi: 10. 1002\ eng 2.1290</w:t>
      </w:r>
    </w:p>
    <w:p w14:paraId="4AF6DBDA">
      <w:pPr>
        <w:spacing w:before="240" w:line="360" w:lineRule="auto"/>
        <w:ind w:left="1440" w:hanging="1440"/>
        <w:jc w:val="both"/>
        <w:rPr>
          <w:rFonts w:ascii="Arial" w:hAnsi="Arial" w:cs="Arial"/>
          <w:sz w:val="24"/>
          <w:szCs w:val="24"/>
        </w:rPr>
      </w:pPr>
      <w:r>
        <w:rPr>
          <w:rFonts w:ascii="Arial" w:hAnsi="Arial" w:cs="Arial"/>
          <w:sz w:val="24"/>
          <w:szCs w:val="24"/>
        </w:rPr>
        <w:t xml:space="preserve"> Encinar, J.M., Nogales- Delgado, S.and Pinilla, A. (2021). Biolubricant Production through Double Transesterification: Reactor Design for the Implementation of a biorefinery Based on Rapeseed. </w:t>
      </w:r>
      <w:r>
        <w:rPr>
          <w:rFonts w:ascii="Arial" w:hAnsi="Arial" w:cs="Arial"/>
          <w:i/>
          <w:sz w:val="24"/>
          <w:szCs w:val="24"/>
        </w:rPr>
        <w:t>Processes</w:t>
      </w:r>
      <w:r>
        <w:rPr>
          <w:rFonts w:ascii="Arial" w:hAnsi="Arial" w:cs="Arial"/>
          <w:sz w:val="24"/>
          <w:szCs w:val="24"/>
        </w:rPr>
        <w:t>,</w:t>
      </w:r>
      <w:r>
        <w:rPr>
          <w:rFonts w:ascii="Arial" w:hAnsi="Arial" w:cs="Arial"/>
          <w:b/>
          <w:sz w:val="24"/>
          <w:szCs w:val="24"/>
        </w:rPr>
        <w:t>9</w:t>
      </w:r>
      <w:r>
        <w:rPr>
          <w:rFonts w:ascii="Arial" w:hAnsi="Arial" w:cs="Arial"/>
          <w:sz w:val="24"/>
          <w:szCs w:val="24"/>
        </w:rPr>
        <w:t>, 1224.</w:t>
      </w:r>
    </w:p>
    <w:p w14:paraId="68C16ADF">
      <w:pPr>
        <w:spacing w:before="240" w:line="360" w:lineRule="auto"/>
        <w:ind w:left="1440" w:hanging="1440"/>
        <w:jc w:val="both"/>
        <w:rPr>
          <w:rFonts w:ascii="Arial" w:hAnsi="Arial" w:cs="Arial"/>
          <w:sz w:val="24"/>
          <w:szCs w:val="24"/>
        </w:rPr>
      </w:pPr>
      <w:r>
        <w:rPr>
          <w:rFonts w:ascii="Arial" w:hAnsi="Arial" w:cs="Arial"/>
          <w:sz w:val="24"/>
          <w:szCs w:val="24"/>
        </w:rPr>
        <w:t xml:space="preserve">  Endalew A.K, Kiros Y., Zanzi R, (2011) Inorganic Heterogeneous Catalysts for Biodiesel Production from Vegetable Oils. </w:t>
      </w:r>
      <w:r>
        <w:rPr>
          <w:rFonts w:ascii="Arial" w:hAnsi="Arial" w:cs="Arial"/>
          <w:i/>
          <w:sz w:val="24"/>
          <w:szCs w:val="24"/>
        </w:rPr>
        <w:t>Biomass Bioenergy,</w:t>
      </w:r>
      <w:r>
        <w:rPr>
          <w:rFonts w:ascii="Arial" w:hAnsi="Arial" w:cs="Arial"/>
          <w:sz w:val="24"/>
          <w:szCs w:val="24"/>
        </w:rPr>
        <w:t xml:space="preserve"> </w:t>
      </w:r>
      <w:r>
        <w:rPr>
          <w:rFonts w:ascii="Arial" w:hAnsi="Arial" w:cs="Arial"/>
          <w:b/>
          <w:sz w:val="24"/>
          <w:szCs w:val="24"/>
        </w:rPr>
        <w:t>35</w:t>
      </w:r>
      <w:r>
        <w:rPr>
          <w:rFonts w:ascii="Arial" w:hAnsi="Arial" w:cs="Arial"/>
          <w:sz w:val="24"/>
          <w:szCs w:val="24"/>
        </w:rPr>
        <w:t>, 3787–3809.</w:t>
      </w:r>
    </w:p>
    <w:p w14:paraId="4EC1116E">
      <w:pPr>
        <w:spacing w:before="240" w:line="360" w:lineRule="auto"/>
        <w:ind w:left="1440" w:hanging="1440"/>
        <w:jc w:val="both"/>
        <w:rPr>
          <w:rFonts w:ascii="Arial" w:hAnsi="Arial" w:cs="Arial"/>
          <w:sz w:val="24"/>
          <w:szCs w:val="24"/>
        </w:rPr>
      </w:pPr>
      <w:r>
        <w:rPr>
          <w:rFonts w:ascii="Arial" w:hAnsi="Arial" w:cs="Arial"/>
          <w:sz w:val="24"/>
          <w:szCs w:val="24"/>
        </w:rPr>
        <w:t>Engineering, M. (2015). Review of the production of biodiesel from waste cooking oil. 8, 1302- 1311</w:t>
      </w:r>
    </w:p>
    <w:p w14:paraId="53FACEC4">
      <w:pPr>
        <w:spacing w:line="360" w:lineRule="auto"/>
        <w:ind w:left="720" w:hanging="720"/>
        <w:jc w:val="both"/>
        <w:rPr>
          <w:rFonts w:ascii="Arial" w:hAnsi="Arial" w:cs="Arial"/>
          <w:sz w:val="24"/>
          <w:szCs w:val="24"/>
        </w:rPr>
      </w:pPr>
      <w:r>
        <w:rPr>
          <w:rFonts w:ascii="Arial" w:hAnsi="Arial" w:cs="Arial"/>
          <w:sz w:val="24"/>
          <w:szCs w:val="24"/>
        </w:rPr>
        <w:t xml:space="preserve">Ettefaghi, E; Ahmadi, H; Rashidi, A; Mohtasebi, S; and Alaei, M.2013. Experimental  evaluation of engine oil properties containing copper oxide nanoparticles as nanoadditive, </w:t>
      </w:r>
      <w:r>
        <w:rPr>
          <w:rFonts w:ascii="Arial" w:hAnsi="Arial" w:cs="Arial"/>
          <w:i/>
          <w:sz w:val="24"/>
          <w:szCs w:val="24"/>
        </w:rPr>
        <w:t>international journal of industrial chemistry</w:t>
      </w:r>
      <w:r>
        <w:rPr>
          <w:rFonts w:ascii="Arial" w:hAnsi="Arial" w:cs="Arial"/>
          <w:sz w:val="24"/>
          <w:szCs w:val="24"/>
        </w:rPr>
        <w:t>.</w:t>
      </w:r>
      <w:r>
        <w:rPr>
          <w:rFonts w:ascii="Arial" w:hAnsi="Arial" w:cs="Arial"/>
          <w:b/>
          <w:sz w:val="24"/>
          <w:szCs w:val="24"/>
        </w:rPr>
        <w:t>4</w:t>
      </w:r>
      <w:r>
        <w:rPr>
          <w:rFonts w:ascii="Arial" w:hAnsi="Arial" w:cs="Arial"/>
          <w:sz w:val="24"/>
          <w:szCs w:val="24"/>
        </w:rPr>
        <w:t>(28): 1-6</w:t>
      </w:r>
    </w:p>
    <w:p w14:paraId="0A815EA6">
      <w:pPr>
        <w:spacing w:line="360" w:lineRule="auto"/>
        <w:ind w:left="720" w:hanging="720"/>
        <w:jc w:val="both"/>
        <w:rPr>
          <w:rFonts w:ascii="Arial" w:hAnsi="Arial" w:cs="Arial"/>
          <w:sz w:val="24"/>
          <w:szCs w:val="24"/>
        </w:rPr>
      </w:pPr>
      <w:r>
        <w:rPr>
          <w:rFonts w:ascii="Arial" w:hAnsi="Arial" w:cs="Arial"/>
          <w:sz w:val="24"/>
          <w:szCs w:val="24"/>
        </w:rPr>
        <w:t xml:space="preserve">Fukuda, H., Kondo, A., &amp; Noda, H.(2001) Biodiesel fuel production by transesterification of oils. Journal of Bioscience and Bioengineering, 92(5), 405-416. </w:t>
      </w:r>
    </w:p>
    <w:p w14:paraId="5C9CB26C">
      <w:pPr>
        <w:spacing w:line="360" w:lineRule="auto"/>
        <w:ind w:left="720" w:hanging="720"/>
        <w:jc w:val="both"/>
        <w:rPr>
          <w:rFonts w:ascii="Arial" w:hAnsi="Arial" w:cs="Arial"/>
          <w:sz w:val="24"/>
          <w:szCs w:val="24"/>
        </w:rPr>
      </w:pPr>
      <w:r>
        <w:rPr>
          <w:rFonts w:ascii="Arial" w:hAnsi="Arial" w:cs="Arial"/>
          <w:sz w:val="24"/>
          <w:szCs w:val="24"/>
        </w:rPr>
        <w:t xml:space="preserve">Gandure, J., Ketlogetwe, C. and Temu, A. (2013). Fuel Properties of jatropha Methyl Ester and its Blends with Petroleum Diesel. </w:t>
      </w:r>
      <w:r>
        <w:rPr>
          <w:rFonts w:ascii="Arial" w:hAnsi="Arial" w:cs="Arial"/>
          <w:i/>
          <w:sz w:val="24"/>
          <w:szCs w:val="24"/>
        </w:rPr>
        <w:t>Journal of Engineering and Applied Science</w:t>
      </w:r>
      <w:r>
        <w:rPr>
          <w:rFonts w:ascii="Arial" w:hAnsi="Arial" w:cs="Arial"/>
          <w:sz w:val="24"/>
          <w:szCs w:val="24"/>
        </w:rPr>
        <w:t xml:space="preserve">, </w:t>
      </w:r>
      <w:r>
        <w:rPr>
          <w:rFonts w:ascii="Arial" w:hAnsi="Arial" w:cs="Arial"/>
          <w:b/>
          <w:sz w:val="24"/>
          <w:szCs w:val="24"/>
        </w:rPr>
        <w:t>8</w:t>
      </w:r>
      <w:r>
        <w:rPr>
          <w:rFonts w:ascii="Arial" w:hAnsi="Arial" w:cs="Arial"/>
          <w:sz w:val="24"/>
          <w:szCs w:val="24"/>
        </w:rPr>
        <w:t xml:space="preserve"> (11):900-903.</w:t>
      </w:r>
    </w:p>
    <w:p w14:paraId="35073C73">
      <w:pPr>
        <w:spacing w:before="240" w:line="360" w:lineRule="auto"/>
        <w:ind w:left="1440" w:hanging="1440"/>
        <w:jc w:val="both"/>
        <w:rPr>
          <w:rFonts w:ascii="Arial" w:hAnsi="Arial" w:cs="Arial"/>
          <w:sz w:val="24"/>
          <w:szCs w:val="24"/>
        </w:rPr>
      </w:pPr>
      <w:r>
        <w:rPr>
          <w:rFonts w:ascii="Arial" w:hAnsi="Arial" w:cs="Arial"/>
          <w:sz w:val="24"/>
          <w:szCs w:val="24"/>
        </w:rPr>
        <w:t>Gnanasekaran, D. and Chavidi, V. P. (2018).  Vegetable oil: An Eco-Friendly Liquid Insulator. Doi;10.1007\978-981-10-4870-8-6</w:t>
      </w:r>
    </w:p>
    <w:p w14:paraId="323C4AF2">
      <w:pPr>
        <w:spacing w:before="240" w:line="360" w:lineRule="auto"/>
        <w:ind w:left="1440" w:hanging="1440"/>
        <w:jc w:val="both"/>
        <w:rPr>
          <w:rFonts w:ascii="Arial" w:hAnsi="Arial" w:cs="Arial"/>
          <w:sz w:val="24"/>
          <w:szCs w:val="24"/>
        </w:rPr>
      </w:pPr>
      <w:r>
        <w:rPr>
          <w:rFonts w:ascii="Arial" w:hAnsi="Arial" w:cs="Arial"/>
          <w:sz w:val="24"/>
          <w:szCs w:val="24"/>
        </w:rPr>
        <w:t>Gobinda, K. Pranab, G. Bragendra, K.S.(2017). Chemically Modified Vegetable Oils to prepare Green Lubricants, Lubricants 44,1-17.</w:t>
      </w:r>
    </w:p>
    <w:p w14:paraId="6CFA806B">
      <w:pPr>
        <w:spacing w:before="240" w:line="360" w:lineRule="auto"/>
        <w:ind w:left="1440" w:hanging="1440"/>
        <w:jc w:val="both"/>
        <w:rPr>
          <w:rFonts w:ascii="Arial" w:hAnsi="Arial" w:cs="Arial"/>
          <w:sz w:val="24"/>
          <w:szCs w:val="24"/>
        </w:rPr>
      </w:pPr>
      <w:r>
        <w:rPr>
          <w:rFonts w:ascii="Arial" w:hAnsi="Arial" w:cs="Arial"/>
          <w:sz w:val="24"/>
          <w:szCs w:val="24"/>
        </w:rPr>
        <w:t>Gunstone, F.D. (2009). Vegetable Oils in Food Technology: Composition, Properties and uses; Blackwell Publishing: Oxford, UK,(Google Scholar).</w:t>
      </w:r>
    </w:p>
    <w:p w14:paraId="16FDA764">
      <w:pPr>
        <w:spacing w:line="360" w:lineRule="auto"/>
        <w:ind w:left="720" w:hanging="720"/>
        <w:jc w:val="both"/>
        <w:rPr>
          <w:rFonts w:ascii="Arial" w:hAnsi="Arial" w:cs="Arial"/>
          <w:sz w:val="24"/>
          <w:szCs w:val="24"/>
        </w:rPr>
      </w:pPr>
      <w:r>
        <w:rPr>
          <w:rFonts w:ascii="Arial" w:hAnsi="Arial" w:cs="Arial"/>
          <w:sz w:val="24"/>
          <w:szCs w:val="24"/>
        </w:rPr>
        <w:t xml:space="preserve">Hassan, M, Ani, F-N; and Syahrullail, S. 2016. Tribological performance of refined, bleached and deodorised palm oil blends biolubricants, </w:t>
      </w:r>
      <w:r>
        <w:rPr>
          <w:rFonts w:ascii="Arial" w:hAnsi="Arial" w:cs="Arial"/>
          <w:i/>
          <w:sz w:val="24"/>
          <w:szCs w:val="24"/>
        </w:rPr>
        <w:t>journal of oil palm Research.</w:t>
      </w:r>
      <w:r>
        <w:rPr>
          <w:rFonts w:ascii="Arial" w:hAnsi="Arial" w:cs="Arial"/>
          <w:b/>
          <w:sz w:val="24"/>
          <w:szCs w:val="24"/>
        </w:rPr>
        <w:t>28</w:t>
      </w:r>
      <w:r>
        <w:rPr>
          <w:rFonts w:ascii="Arial" w:hAnsi="Arial" w:cs="Arial"/>
          <w:sz w:val="24"/>
          <w:szCs w:val="24"/>
        </w:rPr>
        <w:t>(4): 510-519.</w:t>
      </w:r>
    </w:p>
    <w:p w14:paraId="58B0F850">
      <w:pPr>
        <w:spacing w:before="240" w:line="360" w:lineRule="auto"/>
        <w:ind w:left="1440" w:hanging="1440"/>
        <w:jc w:val="both"/>
        <w:rPr>
          <w:rFonts w:ascii="Arial" w:hAnsi="Arial" w:cs="Arial"/>
          <w:sz w:val="24"/>
          <w:szCs w:val="24"/>
        </w:rPr>
      </w:pPr>
      <w:r>
        <w:rPr>
          <w:rFonts w:ascii="Arial" w:hAnsi="Arial" w:cs="Arial"/>
          <w:sz w:val="24"/>
          <w:szCs w:val="24"/>
        </w:rPr>
        <w:t xml:space="preserve"> Hassani M., Amini G, Najafpour, G.D., M. Rabiee (2013), A Two-step Catalytic Production of Biodiesel from Waste Cooking Oil, </w:t>
      </w:r>
      <w:r>
        <w:rPr>
          <w:rFonts w:ascii="Arial" w:hAnsi="Arial" w:cs="Arial"/>
          <w:i/>
          <w:sz w:val="24"/>
          <w:szCs w:val="24"/>
        </w:rPr>
        <w:t>Int. J. Eng</w:t>
      </w:r>
      <w:r>
        <w:rPr>
          <w:rFonts w:ascii="Arial" w:hAnsi="Arial" w:cs="Arial"/>
          <w:sz w:val="24"/>
          <w:szCs w:val="24"/>
        </w:rPr>
        <w:t xml:space="preserve">. </w:t>
      </w:r>
      <w:r>
        <w:rPr>
          <w:rFonts w:ascii="Arial" w:hAnsi="Arial" w:cs="Arial"/>
          <w:b/>
          <w:sz w:val="24"/>
          <w:szCs w:val="24"/>
        </w:rPr>
        <w:t>26</w:t>
      </w:r>
      <w:r>
        <w:rPr>
          <w:rFonts w:ascii="Arial" w:hAnsi="Arial" w:cs="Arial"/>
          <w:sz w:val="24"/>
          <w:szCs w:val="24"/>
        </w:rPr>
        <w:t xml:space="preserve">, 563–570. </w:t>
      </w:r>
    </w:p>
    <w:p w14:paraId="38833007">
      <w:pPr>
        <w:spacing w:before="240" w:line="360" w:lineRule="auto"/>
        <w:ind w:left="1440" w:hanging="1440"/>
        <w:jc w:val="both"/>
        <w:rPr>
          <w:rFonts w:ascii="Arial" w:hAnsi="Arial" w:cs="Arial"/>
          <w:sz w:val="24"/>
          <w:szCs w:val="24"/>
        </w:rPr>
      </w:pPr>
      <w:r>
        <w:rPr>
          <w:rFonts w:ascii="Arial" w:hAnsi="Arial" w:cs="Arial"/>
          <w:sz w:val="24"/>
          <w:szCs w:val="24"/>
        </w:rPr>
        <w:t xml:space="preserve">Hussein, R.Z.K., Attia, N.K., Fouad, M.K., and Elshettawy, S.T. (2021). Experimental investigation and process stimulation of biolubricant from waste cooking oil. </w:t>
      </w:r>
      <w:r>
        <w:rPr>
          <w:rFonts w:ascii="Arial" w:hAnsi="Arial" w:cs="Arial"/>
          <w:i/>
          <w:sz w:val="24"/>
          <w:szCs w:val="24"/>
        </w:rPr>
        <w:t>Biomass Bioenergy</w:t>
      </w:r>
      <w:r>
        <w:rPr>
          <w:rFonts w:ascii="Arial" w:hAnsi="Arial" w:cs="Arial"/>
          <w:sz w:val="24"/>
          <w:szCs w:val="24"/>
        </w:rPr>
        <w:t xml:space="preserve">, 144,105850 </w:t>
      </w:r>
    </w:p>
    <w:p w14:paraId="1AC561F7">
      <w:pPr>
        <w:spacing w:before="240" w:line="360" w:lineRule="auto"/>
        <w:ind w:left="1440" w:hanging="1440"/>
        <w:jc w:val="both"/>
        <w:rPr>
          <w:rFonts w:ascii="Arial" w:hAnsi="Arial" w:cs="Arial"/>
          <w:sz w:val="24"/>
          <w:szCs w:val="24"/>
        </w:rPr>
      </w:pPr>
      <w:r>
        <w:rPr>
          <w:rFonts w:ascii="Arial" w:hAnsi="Arial" w:cs="Arial"/>
          <w:sz w:val="24"/>
          <w:szCs w:val="24"/>
        </w:rPr>
        <w:t xml:space="preserve">Jamat, S. Nadia, S. and Emad, Y. (2010) Biolubricants: Raw Materials, Chemical Modifications and Environmental Benefits, </w:t>
      </w:r>
      <w:r>
        <w:rPr>
          <w:rFonts w:ascii="Arial" w:hAnsi="Arial" w:cs="Arial"/>
          <w:i/>
          <w:sz w:val="24"/>
          <w:szCs w:val="24"/>
        </w:rPr>
        <w:t>Eur. J. Lipid Sci. Technol</w:t>
      </w:r>
      <w:r>
        <w:rPr>
          <w:rFonts w:ascii="Arial" w:hAnsi="Arial" w:cs="Arial"/>
          <w:sz w:val="24"/>
          <w:szCs w:val="24"/>
        </w:rPr>
        <w:t xml:space="preserve">. </w:t>
      </w:r>
      <w:r>
        <w:rPr>
          <w:rFonts w:ascii="Arial" w:hAnsi="Arial" w:cs="Arial"/>
          <w:b/>
          <w:sz w:val="24"/>
          <w:szCs w:val="24"/>
        </w:rPr>
        <w:t>112</w:t>
      </w:r>
      <w:r>
        <w:rPr>
          <w:rFonts w:ascii="Arial" w:hAnsi="Arial" w:cs="Arial"/>
          <w:sz w:val="24"/>
          <w:szCs w:val="24"/>
        </w:rPr>
        <w:t xml:space="preserve">, 519 </w:t>
      </w:r>
    </w:p>
    <w:p w14:paraId="07AE5A4D">
      <w:pPr>
        <w:spacing w:line="360" w:lineRule="auto"/>
        <w:ind w:left="720" w:hanging="720"/>
        <w:jc w:val="both"/>
        <w:rPr>
          <w:rFonts w:ascii="Arial" w:hAnsi="Arial" w:cs="Arial"/>
          <w:sz w:val="24"/>
          <w:szCs w:val="24"/>
        </w:rPr>
      </w:pPr>
      <w:r>
        <w:rPr>
          <w:rFonts w:ascii="Arial" w:hAnsi="Arial" w:cs="Arial"/>
          <w:sz w:val="24"/>
          <w:szCs w:val="24"/>
        </w:rPr>
        <w:t xml:space="preserve">Jatti, V.S. and Singh, T.P. (2015). Copper   oxide as friction reduction and anti-wear additives in lubricating oil. </w:t>
      </w:r>
      <w:r>
        <w:rPr>
          <w:rFonts w:ascii="Arial" w:hAnsi="Arial" w:cs="Arial"/>
          <w:i/>
          <w:sz w:val="24"/>
          <w:szCs w:val="24"/>
        </w:rPr>
        <w:t>Journal of Mechanical Science and Technology</w:t>
      </w:r>
      <w:r>
        <w:rPr>
          <w:rFonts w:ascii="Arial" w:hAnsi="Arial" w:cs="Arial"/>
          <w:sz w:val="24"/>
          <w:szCs w:val="24"/>
        </w:rPr>
        <w:t xml:space="preserve">, </w:t>
      </w:r>
      <w:r>
        <w:rPr>
          <w:rFonts w:ascii="Arial" w:hAnsi="Arial" w:cs="Arial"/>
          <w:b/>
          <w:sz w:val="24"/>
          <w:szCs w:val="24"/>
        </w:rPr>
        <w:t>29</w:t>
      </w:r>
      <w:r>
        <w:rPr>
          <w:rFonts w:ascii="Arial" w:hAnsi="Arial" w:cs="Arial"/>
          <w:sz w:val="24"/>
          <w:szCs w:val="24"/>
        </w:rPr>
        <w:t>(2):793-798.</w:t>
      </w:r>
    </w:p>
    <w:p w14:paraId="23D9BAEC">
      <w:pPr>
        <w:spacing w:line="360" w:lineRule="auto"/>
        <w:ind w:left="720" w:hanging="720"/>
        <w:jc w:val="both"/>
        <w:rPr>
          <w:rFonts w:ascii="Arial" w:hAnsi="Arial" w:cs="Arial"/>
          <w:sz w:val="24"/>
          <w:szCs w:val="24"/>
        </w:rPr>
      </w:pPr>
      <w:r>
        <w:rPr>
          <w:rFonts w:ascii="Arial" w:hAnsi="Arial" w:cs="Arial"/>
          <w:sz w:val="24"/>
          <w:szCs w:val="24"/>
        </w:rPr>
        <w:t>Jagadeesh, K.M. Satish, V.K Venakatesh, K. Kathyayini, N. (2018) Environmentally Friendly Functional Fluids From Renewable and Sustainable Sources. A review, Renew. Sustain. Energy Rev. 18, 1787-1801.</w:t>
      </w:r>
    </w:p>
    <w:p w14:paraId="04B534C9">
      <w:pPr>
        <w:spacing w:line="360" w:lineRule="auto"/>
        <w:ind w:left="720" w:hanging="720"/>
        <w:jc w:val="both"/>
        <w:rPr>
          <w:rFonts w:ascii="Arial" w:hAnsi="Arial" w:cs="Arial"/>
          <w:sz w:val="24"/>
          <w:szCs w:val="24"/>
        </w:rPr>
      </w:pPr>
      <w:r>
        <w:rPr>
          <w:rFonts w:ascii="Arial" w:hAnsi="Arial" w:cs="Arial"/>
          <w:sz w:val="24"/>
          <w:szCs w:val="24"/>
        </w:rPr>
        <w:t>Jaun, A. C., Daniel, B.P., Rosana, M.A., (2020) An overview of the Biolubricant Production Process: Challenges and Future Perspectives MDPI Journal 8(3):257</w:t>
      </w:r>
    </w:p>
    <w:p w14:paraId="2EEBAA35">
      <w:pPr>
        <w:spacing w:line="360" w:lineRule="auto"/>
        <w:ind w:left="720" w:hanging="720"/>
        <w:jc w:val="both"/>
        <w:rPr>
          <w:rFonts w:ascii="Arial" w:hAnsi="Arial" w:cs="Arial"/>
          <w:sz w:val="24"/>
          <w:szCs w:val="24"/>
        </w:rPr>
      </w:pPr>
      <w:r>
        <w:rPr>
          <w:rFonts w:ascii="Arial" w:hAnsi="Arial" w:cs="Arial"/>
          <w:sz w:val="24"/>
          <w:szCs w:val="24"/>
        </w:rPr>
        <w:t xml:space="preserve">Jahromi, H.,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(2025). ANN-ACO opteimized biolubricant production from sewage sludge and waste cooking oil: Dual waste valorisation for high performance sustainable lubricants. Biomass and Bioenergy.</w:t>
      </w:r>
    </w:p>
    <w:p w14:paraId="00958744">
      <w:pPr>
        <w:spacing w:before="240" w:line="360" w:lineRule="auto"/>
        <w:ind w:left="720" w:hanging="720"/>
        <w:jc w:val="both"/>
        <w:rPr>
          <w:rFonts w:ascii="Arial" w:hAnsi="Arial" w:cs="Arial"/>
          <w:sz w:val="24"/>
          <w:szCs w:val="24"/>
        </w:rPr>
      </w:pPr>
      <w:r>
        <w:rPr>
          <w:rFonts w:ascii="Arial" w:hAnsi="Arial" w:cs="Arial"/>
          <w:sz w:val="24"/>
          <w:szCs w:val="24"/>
        </w:rPr>
        <w:t xml:space="preserve"> Jeevan T.P. and Jayaram S.R, (2018) Performance Evaluation of Jatropha and Pongamia Oil Based Enviromentally Friendly Cutting Fluids for Turning AA 6061, </w:t>
      </w:r>
      <w:r>
        <w:rPr>
          <w:rFonts w:ascii="Arial" w:hAnsi="Arial" w:cs="Arial"/>
          <w:i/>
          <w:sz w:val="24"/>
          <w:szCs w:val="24"/>
        </w:rPr>
        <w:t>Adv. Tribol.</w:t>
      </w:r>
      <w:r>
        <w:rPr>
          <w:rFonts w:ascii="Arial" w:hAnsi="Arial" w:cs="Arial"/>
          <w:sz w:val="24"/>
          <w:szCs w:val="24"/>
        </w:rPr>
        <w:t xml:space="preserve">  1–9. </w:t>
      </w:r>
    </w:p>
    <w:p w14:paraId="73641F7B">
      <w:pPr>
        <w:tabs>
          <w:tab w:val="left" w:pos="3150"/>
        </w:tabs>
        <w:spacing w:before="240" w:line="360" w:lineRule="auto"/>
        <w:ind w:left="1440" w:hanging="1440"/>
        <w:jc w:val="both"/>
        <w:rPr>
          <w:rFonts w:ascii="Arial" w:hAnsi="Arial" w:cs="Arial"/>
          <w:sz w:val="24"/>
          <w:szCs w:val="24"/>
        </w:rPr>
      </w:pPr>
      <w:r>
        <w:rPr>
          <w:rFonts w:ascii="Arial" w:hAnsi="Arial" w:cs="Arial"/>
          <w:sz w:val="24"/>
          <w:szCs w:val="24"/>
        </w:rPr>
        <w:t>Jeevan, T.P. Jayaram, S.R. (2018) Experimental Investigation on the Performance of Vegetable Oil Based Cutting Fluids in Drilling AISI 304L Using Taguchi Technique</w:t>
      </w:r>
      <w:r>
        <w:rPr>
          <w:rFonts w:ascii="Arial" w:hAnsi="Arial" w:cs="Arial"/>
          <w:i/>
          <w:sz w:val="24"/>
          <w:szCs w:val="24"/>
        </w:rPr>
        <w:t>, Tribol. Online</w:t>
      </w:r>
      <w:r>
        <w:rPr>
          <w:rFonts w:ascii="Arial" w:hAnsi="Arial" w:cs="Arial"/>
          <w:sz w:val="24"/>
          <w:szCs w:val="24"/>
        </w:rPr>
        <w:t xml:space="preserve"> </w:t>
      </w:r>
      <w:r>
        <w:rPr>
          <w:rFonts w:ascii="Arial" w:hAnsi="Arial" w:cs="Arial"/>
          <w:b/>
          <w:sz w:val="24"/>
          <w:szCs w:val="24"/>
        </w:rPr>
        <w:t>13</w:t>
      </w:r>
      <w:r>
        <w:rPr>
          <w:rFonts w:ascii="Arial" w:hAnsi="Arial" w:cs="Arial"/>
          <w:sz w:val="24"/>
          <w:szCs w:val="24"/>
        </w:rPr>
        <w:t xml:space="preserve"> 50–56.</w:t>
      </w:r>
    </w:p>
    <w:p w14:paraId="5D7269C0">
      <w:pPr>
        <w:tabs>
          <w:tab w:val="left" w:pos="3150"/>
        </w:tabs>
        <w:spacing w:before="240" w:line="360" w:lineRule="auto"/>
        <w:ind w:left="1440" w:hanging="1440"/>
        <w:jc w:val="both"/>
        <w:rPr>
          <w:rFonts w:ascii="Arial" w:hAnsi="Arial" w:cs="Arial"/>
          <w:sz w:val="24"/>
          <w:szCs w:val="24"/>
        </w:rPr>
      </w:pPr>
      <w:r>
        <w:rPr>
          <w:rFonts w:ascii="Arial" w:hAnsi="Arial" w:cs="Arial"/>
          <w:sz w:val="24"/>
          <w:szCs w:val="24"/>
        </w:rPr>
        <w:t xml:space="preserve">Karmakar, G.; Menezes, P.L.; Sharma, B.K.(2017) Chemically modifying vegetable oils to prepare green lubricants. Lubricants 5,44.(Google Scholar)  </w:t>
      </w:r>
    </w:p>
    <w:p w14:paraId="09EC69D7">
      <w:pPr>
        <w:spacing w:before="240" w:line="360" w:lineRule="auto"/>
        <w:ind w:left="1440" w:hanging="1440"/>
        <w:jc w:val="both"/>
        <w:rPr>
          <w:rFonts w:ascii="Arial" w:hAnsi="Arial" w:cs="Arial"/>
          <w:sz w:val="24"/>
          <w:szCs w:val="24"/>
        </w:rPr>
      </w:pPr>
      <w:r>
        <w:rPr>
          <w:rFonts w:ascii="Arial" w:hAnsi="Arial" w:cs="Arial"/>
          <w:sz w:val="24"/>
          <w:szCs w:val="24"/>
        </w:rPr>
        <w:t>Kumar, A. and Sharma, S. (2008) An evaluation of multipurpose oil seed crop for industrial uses (</w:t>
      </w:r>
      <w:r>
        <w:rPr>
          <w:rFonts w:ascii="Arial" w:hAnsi="Arial" w:cs="Arial"/>
          <w:i/>
          <w:sz w:val="24"/>
          <w:szCs w:val="24"/>
        </w:rPr>
        <w:t>Jatropha curcas</w:t>
      </w:r>
      <w:r>
        <w:rPr>
          <w:rFonts w:ascii="Arial" w:hAnsi="Arial" w:cs="Arial"/>
          <w:sz w:val="24"/>
          <w:szCs w:val="24"/>
        </w:rPr>
        <w:t>): A review</w:t>
      </w:r>
      <w:r>
        <w:rPr>
          <w:rFonts w:ascii="Arial" w:hAnsi="Arial" w:cs="Arial"/>
          <w:i/>
          <w:sz w:val="24"/>
          <w:szCs w:val="24"/>
        </w:rPr>
        <w:t>. Ind. Crops Prod</w:t>
      </w:r>
      <w:r>
        <w:rPr>
          <w:rFonts w:ascii="Arial" w:hAnsi="Arial" w:cs="Arial"/>
          <w:sz w:val="24"/>
          <w:szCs w:val="24"/>
        </w:rPr>
        <w:t xml:space="preserve">, </w:t>
      </w:r>
      <w:r>
        <w:rPr>
          <w:rFonts w:ascii="Arial" w:hAnsi="Arial" w:cs="Arial"/>
          <w:b/>
          <w:sz w:val="24"/>
          <w:szCs w:val="24"/>
        </w:rPr>
        <w:t>28</w:t>
      </w:r>
      <w:r>
        <w:rPr>
          <w:rFonts w:ascii="Arial" w:hAnsi="Arial" w:cs="Arial"/>
          <w:sz w:val="24"/>
          <w:szCs w:val="24"/>
        </w:rPr>
        <w:t>, 1-10.</w:t>
      </w:r>
    </w:p>
    <w:p w14:paraId="416B3918">
      <w:pPr>
        <w:spacing w:before="240" w:line="360" w:lineRule="auto"/>
        <w:ind w:left="1440" w:hanging="1440"/>
        <w:jc w:val="both"/>
        <w:rPr>
          <w:rFonts w:ascii="Arial" w:hAnsi="Arial" w:cs="Arial"/>
          <w:sz w:val="24"/>
          <w:szCs w:val="24"/>
        </w:rPr>
      </w:pPr>
      <w:r>
        <w:rPr>
          <w:rFonts w:ascii="Arial" w:hAnsi="Arial" w:cs="Arial"/>
          <w:sz w:val="24"/>
          <w:szCs w:val="24"/>
        </w:rPr>
        <w:t>Lam, M.K., Lee, K.T., &amp; Mohamed, A.R.(2010). Homogenous, heterogenous and enzymatic catalysis for transesterification of high free fatty acid oil(waste cooking oil)to biodiesel: A review. Biotechnology Advances, 28(4),500-518.</w:t>
      </w:r>
    </w:p>
    <w:p w14:paraId="5DA0CC9B">
      <w:pPr>
        <w:spacing w:before="240" w:line="360" w:lineRule="auto"/>
        <w:ind w:left="1440" w:hanging="1440"/>
        <w:jc w:val="both"/>
        <w:rPr>
          <w:rFonts w:ascii="Arial" w:hAnsi="Arial" w:cs="Arial"/>
          <w:sz w:val="24"/>
          <w:szCs w:val="24"/>
        </w:rPr>
      </w:pPr>
      <w:r>
        <w:rPr>
          <w:rFonts w:ascii="Arial" w:hAnsi="Arial" w:cs="Arial"/>
          <w:sz w:val="24"/>
          <w:szCs w:val="24"/>
        </w:rPr>
        <w:t xml:space="preserve">Lovell, M., Higgs, C.F., Deshmukh, P.and Mobley, A. (2006). Increasing formability in sheet metal stamping operations using environmentally friendly lubricants. </w:t>
      </w:r>
      <w:r>
        <w:rPr>
          <w:rFonts w:ascii="Arial" w:hAnsi="Arial" w:cs="Arial"/>
          <w:i/>
          <w:sz w:val="24"/>
          <w:szCs w:val="24"/>
        </w:rPr>
        <w:t>J. Mater. Process Technol.</w:t>
      </w:r>
      <w:r>
        <w:rPr>
          <w:rFonts w:ascii="Arial" w:hAnsi="Arial" w:cs="Arial"/>
          <w:sz w:val="24"/>
          <w:szCs w:val="24"/>
        </w:rPr>
        <w:t xml:space="preserve"> </w:t>
      </w:r>
      <w:r>
        <w:rPr>
          <w:rFonts w:ascii="Arial" w:hAnsi="Arial" w:cs="Arial"/>
          <w:b/>
          <w:i/>
          <w:sz w:val="24"/>
          <w:szCs w:val="24"/>
        </w:rPr>
        <w:t>177</w:t>
      </w:r>
      <w:r>
        <w:rPr>
          <w:rFonts w:ascii="Arial" w:hAnsi="Arial" w:cs="Arial"/>
          <w:sz w:val="24"/>
          <w:szCs w:val="24"/>
        </w:rPr>
        <w:t>, 87-90.</w:t>
      </w:r>
    </w:p>
    <w:p w14:paraId="657C5A78">
      <w:pPr>
        <w:spacing w:before="240" w:line="360" w:lineRule="auto"/>
        <w:ind w:left="1440" w:hanging="1440"/>
        <w:jc w:val="both"/>
        <w:rPr>
          <w:rFonts w:ascii="Arial" w:hAnsi="Arial" w:cs="Arial"/>
          <w:sz w:val="24"/>
          <w:szCs w:val="24"/>
        </w:rPr>
      </w:pPr>
      <w:r>
        <w:rPr>
          <w:rFonts w:ascii="Arial" w:hAnsi="Arial" w:cs="Arial"/>
          <w:sz w:val="24"/>
          <w:szCs w:val="24"/>
        </w:rPr>
        <w:t xml:space="preserve">Ma F, Hanna M A. (1999). Biodiesel production: a review journal serries#12109, agricultural research division, Institute of Agriculture and Natural Resources, University of Nebraska- Lin- coln.1. </w:t>
      </w:r>
      <w:r>
        <w:rPr>
          <w:rFonts w:ascii="Arial" w:hAnsi="Arial" w:cs="Arial"/>
          <w:i/>
          <w:sz w:val="24"/>
          <w:szCs w:val="24"/>
        </w:rPr>
        <w:t>Bioresour Technol</w:t>
      </w:r>
      <w:r>
        <w:rPr>
          <w:rFonts w:ascii="Arial" w:hAnsi="Arial" w:cs="Arial"/>
          <w:sz w:val="24"/>
          <w:szCs w:val="24"/>
        </w:rPr>
        <w:t>.</w:t>
      </w:r>
      <w:r>
        <w:rPr>
          <w:rFonts w:ascii="Arial" w:hAnsi="Arial" w:cs="Arial"/>
          <w:b/>
          <w:sz w:val="24"/>
          <w:szCs w:val="24"/>
        </w:rPr>
        <w:t>70</w:t>
      </w:r>
      <w:r>
        <w:rPr>
          <w:rFonts w:ascii="Arial" w:hAnsi="Arial" w:cs="Arial"/>
          <w:sz w:val="24"/>
          <w:szCs w:val="24"/>
        </w:rPr>
        <w:t>:1-15.144.</w:t>
      </w:r>
    </w:p>
    <w:p w14:paraId="7A81952E">
      <w:pPr>
        <w:spacing w:before="240" w:line="360" w:lineRule="auto"/>
        <w:ind w:left="1440" w:hanging="1440"/>
        <w:jc w:val="both"/>
        <w:rPr>
          <w:rFonts w:ascii="Arial" w:hAnsi="Arial" w:cs="Arial"/>
          <w:sz w:val="24"/>
          <w:szCs w:val="24"/>
        </w:rPr>
      </w:pPr>
      <w:r>
        <w:rPr>
          <w:rFonts w:ascii="Arial" w:hAnsi="Arial" w:cs="Arial"/>
          <w:sz w:val="24"/>
          <w:szCs w:val="24"/>
        </w:rPr>
        <w:t xml:space="preserve">Macario, A., Giordanno, G., Onida, B., Cocina, D., Tagarelli, A., and Giuffre, A. M. (2010). Biodiesel production process by homogenous\ heterogenous catalytic system using an acid- base catalyst. </w:t>
      </w:r>
      <w:r>
        <w:rPr>
          <w:rFonts w:ascii="Arial" w:hAnsi="Arial" w:cs="Arial"/>
          <w:b/>
          <w:sz w:val="24"/>
          <w:szCs w:val="24"/>
        </w:rPr>
        <w:t>378</w:t>
      </w:r>
      <w:r>
        <w:rPr>
          <w:rFonts w:ascii="Arial" w:hAnsi="Arial" w:cs="Arial"/>
          <w:sz w:val="24"/>
          <w:szCs w:val="24"/>
        </w:rPr>
        <w:t>, 160-168.</w:t>
      </w:r>
    </w:p>
    <w:p w14:paraId="17751C2E">
      <w:pPr>
        <w:spacing w:before="240" w:line="360" w:lineRule="auto"/>
        <w:ind w:left="1440" w:hanging="1440"/>
        <w:jc w:val="both"/>
        <w:rPr>
          <w:rFonts w:ascii="Arial" w:hAnsi="Arial" w:cs="Arial"/>
          <w:sz w:val="24"/>
          <w:szCs w:val="24"/>
        </w:rPr>
      </w:pPr>
      <w:r>
        <w:rPr>
          <w:rFonts w:ascii="Arial" w:hAnsi="Arial" w:cs="Arial"/>
          <w:sz w:val="24"/>
          <w:szCs w:val="24"/>
        </w:rPr>
        <w:t xml:space="preserve">Mannu, A., Garroni, S., Porras, J. I.  and mele, A. (2020). Cooking oil Recycling. </w:t>
      </w:r>
      <w:r>
        <w:rPr>
          <w:rFonts w:ascii="Arial" w:hAnsi="Arial" w:cs="Arial"/>
          <w:b/>
          <w:sz w:val="24"/>
          <w:szCs w:val="24"/>
        </w:rPr>
        <w:t>366</w:t>
      </w:r>
      <w:r>
        <w:rPr>
          <w:rFonts w:ascii="Arial" w:hAnsi="Arial" w:cs="Arial"/>
          <w:sz w:val="24"/>
          <w:szCs w:val="24"/>
        </w:rPr>
        <w:t>, 1-13.</w:t>
      </w:r>
    </w:p>
    <w:p w14:paraId="18C389C6">
      <w:pPr>
        <w:spacing w:before="240" w:line="360" w:lineRule="auto"/>
        <w:ind w:left="1440" w:hanging="1440"/>
        <w:jc w:val="both"/>
        <w:rPr>
          <w:rFonts w:ascii="Arial" w:hAnsi="Arial" w:cs="Arial"/>
          <w:sz w:val="24"/>
          <w:szCs w:val="24"/>
        </w:rPr>
      </w:pPr>
      <w:r>
        <w:rPr>
          <w:rFonts w:ascii="Arial" w:hAnsi="Arial" w:cs="Arial"/>
          <w:sz w:val="24"/>
          <w:szCs w:val="24"/>
        </w:rPr>
        <w:t>Mannu, A.,  et al.(2025). Waste cooking oil into high value products</w:t>
      </w:r>
    </w:p>
    <w:p w14:paraId="118D7147">
      <w:pPr>
        <w:spacing w:before="240" w:line="360" w:lineRule="auto"/>
        <w:ind w:left="1440" w:hanging="1440"/>
        <w:jc w:val="both"/>
        <w:rPr>
          <w:rFonts w:ascii="Arial" w:hAnsi="Arial" w:cs="Arial"/>
          <w:sz w:val="24"/>
          <w:szCs w:val="24"/>
        </w:rPr>
      </w:pPr>
      <w:r>
        <w:rPr>
          <w:rFonts w:ascii="Arial" w:hAnsi="Arial" w:cs="Arial"/>
          <w:sz w:val="24"/>
          <w:szCs w:val="24"/>
        </w:rPr>
        <w:t>Masood, H.  Yunus, R. Choong, T.S.Y. Reshid, U. Yap, Y.H.T.(2012). Synthesis and Characterization of Calcium Methoxide as Heterogenous Catalyst for Trimethylolpropane Ester Conversion Reaction, Appl. Catal. A 425,184-190</w:t>
      </w:r>
    </w:p>
    <w:p w14:paraId="067A9EC1">
      <w:pPr>
        <w:spacing w:before="240" w:line="360" w:lineRule="auto"/>
        <w:ind w:left="1440" w:hanging="1440"/>
        <w:jc w:val="both"/>
        <w:rPr>
          <w:rFonts w:ascii="Arial" w:hAnsi="Arial" w:cs="Arial"/>
          <w:sz w:val="24"/>
          <w:szCs w:val="24"/>
        </w:rPr>
      </w:pPr>
      <w:r>
        <w:rPr>
          <w:rFonts w:ascii="Arial" w:hAnsi="Arial" w:cs="Arial"/>
          <w:sz w:val="24"/>
          <w:szCs w:val="24"/>
        </w:rPr>
        <w:t xml:space="preserve">Marion, P. et al. (2017). Sustainable chemistry: How to produce better and more from less? </w:t>
      </w:r>
      <w:r>
        <w:rPr>
          <w:rFonts w:ascii="Arial" w:hAnsi="Arial" w:cs="Arial"/>
          <w:i/>
          <w:sz w:val="24"/>
          <w:szCs w:val="24"/>
        </w:rPr>
        <w:t>Green Chem</w:t>
      </w:r>
      <w:r>
        <w:rPr>
          <w:rFonts w:ascii="Arial" w:hAnsi="Arial" w:cs="Arial"/>
          <w:sz w:val="24"/>
          <w:szCs w:val="24"/>
        </w:rPr>
        <w:t xml:space="preserve">. </w:t>
      </w:r>
      <w:r>
        <w:rPr>
          <w:rFonts w:ascii="Arial" w:hAnsi="Arial" w:cs="Arial"/>
          <w:b/>
          <w:sz w:val="24"/>
          <w:szCs w:val="24"/>
        </w:rPr>
        <w:t>19</w:t>
      </w:r>
      <w:r>
        <w:rPr>
          <w:rFonts w:ascii="Arial" w:hAnsi="Arial" w:cs="Arial"/>
          <w:sz w:val="24"/>
          <w:szCs w:val="24"/>
        </w:rPr>
        <w:t>, 4973-4989</w:t>
      </w:r>
    </w:p>
    <w:p w14:paraId="6B3EEB47">
      <w:pPr>
        <w:spacing w:before="240" w:line="360" w:lineRule="auto"/>
        <w:ind w:left="1440" w:hanging="1440"/>
        <w:jc w:val="both"/>
        <w:rPr>
          <w:rFonts w:ascii="Arial" w:hAnsi="Arial" w:cs="Arial"/>
          <w:sz w:val="24"/>
          <w:szCs w:val="24"/>
        </w:rPr>
      </w:pPr>
      <w:r>
        <w:rPr>
          <w:rFonts w:ascii="Arial" w:hAnsi="Arial" w:cs="Arial"/>
          <w:sz w:val="24"/>
          <w:szCs w:val="24"/>
        </w:rPr>
        <w:t xml:space="preserve">McNutt, J. and He, Q. S. (2016). Development of bio lubricant from vegetable oils via chemical modification. </w:t>
      </w:r>
      <w:r>
        <w:rPr>
          <w:rFonts w:ascii="Arial" w:hAnsi="Arial" w:cs="Arial"/>
          <w:i/>
          <w:sz w:val="24"/>
          <w:szCs w:val="24"/>
        </w:rPr>
        <w:t>J. Ind. Eng. Chem</w:t>
      </w:r>
      <w:r>
        <w:rPr>
          <w:rFonts w:ascii="Arial" w:hAnsi="Arial" w:cs="Arial"/>
          <w:sz w:val="24"/>
          <w:szCs w:val="24"/>
        </w:rPr>
        <w:t xml:space="preserve">. </w:t>
      </w:r>
      <w:r>
        <w:rPr>
          <w:rFonts w:ascii="Arial" w:hAnsi="Arial" w:cs="Arial"/>
          <w:b/>
          <w:sz w:val="24"/>
          <w:szCs w:val="24"/>
        </w:rPr>
        <w:t>36</w:t>
      </w:r>
      <w:r>
        <w:rPr>
          <w:rFonts w:ascii="Arial" w:hAnsi="Arial" w:cs="Arial"/>
          <w:sz w:val="24"/>
          <w:szCs w:val="24"/>
        </w:rPr>
        <w:t>:1-12.</w:t>
      </w:r>
    </w:p>
    <w:p w14:paraId="7F8DBCE8">
      <w:pPr>
        <w:spacing w:line="360" w:lineRule="auto"/>
        <w:ind w:left="720" w:hanging="720"/>
        <w:jc w:val="both"/>
        <w:rPr>
          <w:rFonts w:ascii="Arial" w:hAnsi="Arial" w:cs="Arial"/>
          <w:sz w:val="24"/>
          <w:szCs w:val="24"/>
        </w:rPr>
      </w:pPr>
      <w:r>
        <w:rPr>
          <w:rFonts w:ascii="Arial" w:hAnsi="Arial" w:cs="Arial"/>
          <w:sz w:val="24"/>
          <w:szCs w:val="24"/>
        </w:rPr>
        <w:t>Mohammed, N. 2015. Synthesis of biolubricant from vegetable oils.Unpublished Msc,.Thesis,Department of chemical Engineering, Ahmadu Bello University Zaria.</w:t>
      </w:r>
    </w:p>
    <w:p w14:paraId="7C31EFA8">
      <w:pPr>
        <w:spacing w:before="240" w:line="360" w:lineRule="auto"/>
        <w:ind w:left="1440" w:hanging="1440"/>
        <w:jc w:val="both"/>
        <w:rPr>
          <w:rFonts w:ascii="Arial" w:hAnsi="Arial" w:cs="Arial"/>
          <w:sz w:val="24"/>
          <w:szCs w:val="24"/>
        </w:rPr>
      </w:pPr>
      <w:r>
        <w:rPr>
          <w:rFonts w:ascii="Arial" w:hAnsi="Arial" w:cs="Arial"/>
          <w:sz w:val="24"/>
          <w:szCs w:val="24"/>
        </w:rPr>
        <w:t xml:space="preserve">Nagendramma, P. and Kaul, S. (2012). Development of eco-friendly\ biodegradable lubricants: An overview. </w:t>
      </w:r>
      <w:r>
        <w:rPr>
          <w:rFonts w:ascii="Arial" w:hAnsi="Arial" w:cs="Arial"/>
          <w:i/>
          <w:sz w:val="24"/>
          <w:szCs w:val="24"/>
        </w:rPr>
        <w:t>Renew. Sustain. Energy Rev</w:t>
      </w:r>
      <w:r>
        <w:rPr>
          <w:rFonts w:ascii="Arial" w:hAnsi="Arial" w:cs="Arial"/>
          <w:sz w:val="24"/>
          <w:szCs w:val="24"/>
        </w:rPr>
        <w:t xml:space="preserve">, </w:t>
      </w:r>
      <w:r>
        <w:rPr>
          <w:rFonts w:ascii="Arial" w:hAnsi="Arial" w:cs="Arial"/>
          <w:b/>
          <w:sz w:val="24"/>
          <w:szCs w:val="24"/>
        </w:rPr>
        <w:t>16</w:t>
      </w:r>
      <w:r>
        <w:rPr>
          <w:rFonts w:ascii="Arial" w:hAnsi="Arial" w:cs="Arial"/>
          <w:sz w:val="24"/>
          <w:szCs w:val="24"/>
        </w:rPr>
        <w:t>: 764- 774. (Google Scholar) (Cross Ref).</w:t>
      </w:r>
    </w:p>
    <w:p w14:paraId="103529BA">
      <w:pPr>
        <w:spacing w:before="240" w:line="360" w:lineRule="auto"/>
        <w:ind w:left="1440" w:hanging="1440"/>
        <w:jc w:val="both"/>
        <w:rPr>
          <w:rFonts w:ascii="Arial" w:hAnsi="Arial" w:cs="Arial"/>
          <w:sz w:val="24"/>
          <w:szCs w:val="24"/>
        </w:rPr>
      </w:pPr>
      <w:r>
        <w:rPr>
          <w:rFonts w:ascii="Arial" w:hAnsi="Arial" w:cs="Arial"/>
          <w:sz w:val="24"/>
          <w:szCs w:val="24"/>
        </w:rPr>
        <w:t xml:space="preserve">Negi, P., Singh, Y. and Tiwari, K. (2021). A review on the production and characterization methods of bio- based lubricants. Materials Today: </w:t>
      </w:r>
      <w:r>
        <w:rPr>
          <w:rFonts w:ascii="Arial" w:hAnsi="Arial" w:cs="Arial"/>
          <w:i/>
          <w:sz w:val="24"/>
          <w:szCs w:val="24"/>
        </w:rPr>
        <w:t>Proceedings,</w:t>
      </w:r>
      <w:r>
        <w:rPr>
          <w:rFonts w:ascii="Arial" w:hAnsi="Arial" w:cs="Arial"/>
          <w:sz w:val="24"/>
          <w:szCs w:val="24"/>
        </w:rPr>
        <w:t xml:space="preserve"> </w:t>
      </w:r>
      <w:r>
        <w:rPr>
          <w:rFonts w:ascii="Arial" w:hAnsi="Arial" w:cs="Arial"/>
          <w:b/>
          <w:sz w:val="24"/>
          <w:szCs w:val="24"/>
        </w:rPr>
        <w:t>47</w:t>
      </w:r>
      <w:r>
        <w:rPr>
          <w:rFonts w:ascii="Arial" w:hAnsi="Arial" w:cs="Arial"/>
          <w:sz w:val="24"/>
          <w:szCs w:val="24"/>
        </w:rPr>
        <w:t xml:space="preserve">,101-106. </w:t>
      </w:r>
    </w:p>
    <w:p w14:paraId="2A3D8066">
      <w:pPr>
        <w:spacing w:before="240" w:line="360" w:lineRule="auto"/>
        <w:ind w:left="1440" w:hanging="1440"/>
        <w:jc w:val="both"/>
        <w:rPr>
          <w:rFonts w:ascii="Arial" w:hAnsi="Arial" w:cs="Arial"/>
          <w:sz w:val="24"/>
          <w:szCs w:val="24"/>
        </w:rPr>
      </w:pPr>
      <w:r>
        <w:rPr>
          <w:rFonts w:ascii="Arial" w:hAnsi="Arial" w:cs="Arial"/>
          <w:sz w:val="24"/>
          <w:szCs w:val="24"/>
        </w:rPr>
        <w:t xml:space="preserve">Oniya, O.O., Akande, A.A, Adedeji, A.A., and Olukayode, O.L. (2014). Transesterification of Hura crepitans oil for biodiesel production. </w:t>
      </w:r>
      <w:r>
        <w:rPr>
          <w:rFonts w:ascii="Arial" w:hAnsi="Arial" w:cs="Arial"/>
          <w:i/>
          <w:sz w:val="24"/>
          <w:szCs w:val="24"/>
        </w:rPr>
        <w:t>Journal of Engineering and Applied Scientific Research</w:t>
      </w:r>
      <w:r>
        <w:rPr>
          <w:rFonts w:ascii="Arial" w:hAnsi="Arial" w:cs="Arial"/>
          <w:sz w:val="24"/>
          <w:szCs w:val="24"/>
        </w:rPr>
        <w:t xml:space="preserve">, </w:t>
      </w:r>
      <w:r>
        <w:rPr>
          <w:rFonts w:ascii="Arial" w:hAnsi="Arial" w:cs="Arial"/>
          <w:b/>
          <w:sz w:val="24"/>
          <w:szCs w:val="24"/>
        </w:rPr>
        <w:t>6</w:t>
      </w:r>
      <w:r>
        <w:rPr>
          <w:rFonts w:ascii="Arial" w:hAnsi="Arial" w:cs="Arial"/>
          <w:sz w:val="24"/>
          <w:szCs w:val="24"/>
        </w:rPr>
        <w:t>(1):  91-97</w:t>
      </w:r>
    </w:p>
    <w:p w14:paraId="170B7D35">
      <w:pPr>
        <w:spacing w:before="240" w:line="360" w:lineRule="auto"/>
        <w:ind w:left="1440" w:hanging="1440"/>
        <w:jc w:val="both"/>
        <w:rPr>
          <w:rFonts w:ascii="Arial" w:hAnsi="Arial" w:cs="Arial"/>
          <w:sz w:val="24"/>
          <w:szCs w:val="24"/>
        </w:rPr>
      </w:pPr>
      <w:r>
        <w:rPr>
          <w:rFonts w:ascii="Arial" w:hAnsi="Arial" w:cs="Arial"/>
          <w:sz w:val="24"/>
          <w:szCs w:val="24"/>
        </w:rPr>
        <w:t xml:space="preserve">Orjuela, A.and Clark, J. (2020). Green chemicals from used cooking oils: Trends, challenges, and oppurtunities. Curr. Opin. </w:t>
      </w:r>
      <w:r>
        <w:rPr>
          <w:rFonts w:ascii="Arial" w:hAnsi="Arial" w:cs="Arial"/>
          <w:i/>
          <w:sz w:val="24"/>
          <w:szCs w:val="24"/>
        </w:rPr>
        <w:t>Green Sustain. Chem</w:t>
      </w:r>
      <w:r>
        <w:rPr>
          <w:rFonts w:ascii="Arial" w:hAnsi="Arial" w:cs="Arial"/>
          <w:sz w:val="24"/>
          <w:szCs w:val="24"/>
        </w:rPr>
        <w:t xml:space="preserve">. 26. </w:t>
      </w:r>
    </w:p>
    <w:p w14:paraId="0AAB49B5">
      <w:pPr>
        <w:spacing w:before="240" w:line="360" w:lineRule="auto"/>
        <w:ind w:left="1440" w:hanging="1440"/>
        <w:jc w:val="both"/>
        <w:rPr>
          <w:rFonts w:ascii="Arial" w:hAnsi="Arial" w:cs="Arial"/>
          <w:sz w:val="24"/>
          <w:szCs w:val="24"/>
        </w:rPr>
      </w:pPr>
      <w:r>
        <w:rPr>
          <w:rFonts w:ascii="Arial" w:hAnsi="Arial" w:cs="Arial"/>
          <w:sz w:val="24"/>
          <w:szCs w:val="24"/>
        </w:rPr>
        <w:t>Orhevba, B.A., Adebayo, S.E. and Salihu, A.O. (2016). Synthesis of Biodiesel From Tropical Almond (Terminalia Catappa) Seed oil. Current Research in Agricultural Sciences, 3(4): 57-63</w:t>
      </w:r>
    </w:p>
    <w:p w14:paraId="27148720">
      <w:pPr>
        <w:spacing w:before="240" w:line="360" w:lineRule="auto"/>
        <w:ind w:left="1440" w:hanging="1440"/>
        <w:jc w:val="both"/>
        <w:rPr>
          <w:rFonts w:ascii="Arial" w:hAnsi="Arial" w:cs="Arial"/>
          <w:sz w:val="24"/>
          <w:szCs w:val="24"/>
        </w:rPr>
      </w:pPr>
      <w:r>
        <w:rPr>
          <w:rFonts w:ascii="Arial" w:hAnsi="Arial" w:cs="Arial"/>
          <w:sz w:val="24"/>
          <w:szCs w:val="24"/>
        </w:rPr>
        <w:t xml:space="preserve">Owuna, F. J.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 (2020). Chemical modification of vegetable oils for the production of bio lubricants using trimethylolpropane: A review. </w:t>
      </w:r>
      <w:r>
        <w:rPr>
          <w:rFonts w:ascii="Arial" w:hAnsi="Arial" w:cs="Arial"/>
          <w:i/>
          <w:sz w:val="24"/>
          <w:szCs w:val="24"/>
        </w:rPr>
        <w:t>Egypt J. pet</w:t>
      </w:r>
      <w:r>
        <w:rPr>
          <w:rFonts w:ascii="Arial" w:hAnsi="Arial" w:cs="Arial"/>
          <w:sz w:val="24"/>
          <w:szCs w:val="24"/>
        </w:rPr>
        <w:t xml:space="preserve">. </w:t>
      </w:r>
      <w:r>
        <w:rPr>
          <w:rFonts w:ascii="Arial" w:hAnsi="Arial" w:cs="Arial"/>
          <w:b/>
          <w:sz w:val="24"/>
          <w:szCs w:val="24"/>
        </w:rPr>
        <w:t>29</w:t>
      </w:r>
      <w:r>
        <w:rPr>
          <w:rFonts w:ascii="Arial" w:hAnsi="Arial" w:cs="Arial"/>
          <w:sz w:val="24"/>
          <w:szCs w:val="24"/>
        </w:rPr>
        <w:t xml:space="preserve">, 75-82 </w:t>
      </w:r>
    </w:p>
    <w:p w14:paraId="668CEC97">
      <w:pPr>
        <w:spacing w:before="240" w:line="360" w:lineRule="auto"/>
        <w:ind w:left="1440" w:hanging="1440"/>
        <w:jc w:val="both"/>
        <w:rPr>
          <w:rFonts w:ascii="Arial" w:hAnsi="Arial" w:cs="Arial"/>
          <w:sz w:val="24"/>
          <w:szCs w:val="24"/>
        </w:rPr>
      </w:pPr>
      <w:r>
        <w:rPr>
          <w:rFonts w:ascii="Arial" w:hAnsi="Arial" w:cs="Arial"/>
          <w:sz w:val="24"/>
          <w:szCs w:val="24"/>
        </w:rPr>
        <w:t xml:space="preserve">Panadare, D.C. and Rathod,V.K. (2015) Applications of Waste Cooking Oil Other than Biodiesel: A Review, </w:t>
      </w:r>
      <w:r>
        <w:rPr>
          <w:rFonts w:ascii="Arial" w:hAnsi="Arial" w:cs="Arial"/>
          <w:i/>
          <w:sz w:val="24"/>
          <w:szCs w:val="24"/>
        </w:rPr>
        <w:t>Iran. J. Chem. Eng</w:t>
      </w:r>
      <w:r>
        <w:rPr>
          <w:rFonts w:ascii="Arial" w:hAnsi="Arial" w:cs="Arial"/>
          <w:sz w:val="24"/>
          <w:szCs w:val="24"/>
        </w:rPr>
        <w:t xml:space="preserve">. </w:t>
      </w:r>
      <w:r>
        <w:rPr>
          <w:rFonts w:ascii="Arial" w:hAnsi="Arial" w:cs="Arial"/>
          <w:b/>
          <w:sz w:val="24"/>
          <w:szCs w:val="24"/>
        </w:rPr>
        <w:t>12,</w:t>
      </w:r>
      <w:r>
        <w:rPr>
          <w:rFonts w:ascii="Arial" w:hAnsi="Arial" w:cs="Arial"/>
          <w:sz w:val="24"/>
          <w:szCs w:val="24"/>
        </w:rPr>
        <w:t xml:space="preserve"> 55–76. </w:t>
      </w:r>
    </w:p>
    <w:p w14:paraId="2540B09A">
      <w:pPr>
        <w:spacing w:before="240" w:line="360" w:lineRule="auto"/>
        <w:ind w:left="1440" w:hanging="1440"/>
        <w:jc w:val="both"/>
        <w:rPr>
          <w:rFonts w:ascii="Arial" w:hAnsi="Arial" w:cs="Arial"/>
          <w:sz w:val="24"/>
          <w:szCs w:val="24"/>
        </w:rPr>
      </w:pPr>
      <w:r>
        <w:rPr>
          <w:rFonts w:ascii="Arial" w:hAnsi="Arial" w:cs="Arial"/>
          <w:sz w:val="24"/>
          <w:szCs w:val="24"/>
        </w:rPr>
        <w:t>Panchal, T.; Chauhan, D.; Thomas.; Patel, J.(2013) Synthesis and Characterization of biolubricants from tobacco seed oil. Res. J. Agric. Environ. Manag. 3, 97-105(Google Scholar)</w:t>
      </w:r>
    </w:p>
    <w:p w14:paraId="74845525">
      <w:pPr>
        <w:spacing w:before="240" w:line="360" w:lineRule="auto"/>
        <w:ind w:left="1440" w:hanging="1440"/>
        <w:jc w:val="both"/>
        <w:rPr>
          <w:rFonts w:ascii="Arial" w:hAnsi="Arial" w:cs="Arial"/>
          <w:sz w:val="24"/>
          <w:szCs w:val="24"/>
        </w:rPr>
      </w:pPr>
      <w:r>
        <w:rPr>
          <w:rFonts w:ascii="Arial" w:hAnsi="Arial" w:cs="Arial"/>
          <w:sz w:val="24"/>
          <w:szCs w:val="24"/>
        </w:rPr>
        <w:t>Permadani, R. L., Ibadurrohman, M.and lamet, S. (2018). Utilization of waste cooking oil as raw material for synthesis of Methyl ester sulfonates (MES) surfactant. IOP Conf. Ser</w:t>
      </w:r>
      <w:r>
        <w:rPr>
          <w:rFonts w:ascii="Arial" w:hAnsi="Arial" w:cs="Arial"/>
          <w:i/>
          <w:sz w:val="24"/>
          <w:szCs w:val="24"/>
        </w:rPr>
        <w:t>. Earth Environ. Sci</w:t>
      </w:r>
      <w:r>
        <w:rPr>
          <w:rFonts w:ascii="Arial" w:hAnsi="Arial" w:cs="Arial"/>
          <w:sz w:val="24"/>
          <w:szCs w:val="24"/>
        </w:rPr>
        <w:t>, 105.</w:t>
      </w:r>
    </w:p>
    <w:p w14:paraId="082A96B4">
      <w:pPr>
        <w:spacing w:before="240" w:line="360" w:lineRule="auto"/>
        <w:ind w:left="1440" w:hanging="1440"/>
        <w:jc w:val="both"/>
        <w:rPr>
          <w:rFonts w:ascii="Arial" w:hAnsi="Arial" w:cs="Arial"/>
          <w:sz w:val="24"/>
          <w:szCs w:val="24"/>
        </w:rPr>
      </w:pPr>
      <w:r>
        <w:rPr>
          <w:rFonts w:ascii="Arial" w:hAnsi="Arial" w:cs="Arial"/>
          <w:sz w:val="24"/>
          <w:szCs w:val="24"/>
        </w:rPr>
        <w:t>Pearson, D. (2019). The physicochemical Analysis of biodiesel. 7</w:t>
      </w:r>
      <w:r>
        <w:rPr>
          <w:rFonts w:ascii="Arial" w:hAnsi="Arial" w:cs="Arial"/>
          <w:sz w:val="24"/>
          <w:szCs w:val="24"/>
          <w:vertAlign w:val="superscript"/>
        </w:rPr>
        <w:t>th</w:t>
      </w:r>
      <w:r>
        <w:rPr>
          <w:rFonts w:ascii="Arial" w:hAnsi="Arial" w:cs="Arial"/>
          <w:sz w:val="24"/>
          <w:szCs w:val="24"/>
        </w:rPr>
        <w:t xml:space="preserve"> Edn. Churchill Livingtone Edinburgh, U.K., pp 488-496.</w:t>
      </w:r>
    </w:p>
    <w:p w14:paraId="3DCA56E9">
      <w:pPr>
        <w:spacing w:before="240" w:line="360" w:lineRule="auto"/>
        <w:ind w:left="1440" w:hanging="1440"/>
        <w:jc w:val="both"/>
        <w:rPr>
          <w:rFonts w:ascii="Arial" w:hAnsi="Arial" w:cs="Arial"/>
          <w:sz w:val="24"/>
          <w:szCs w:val="24"/>
        </w:rPr>
      </w:pPr>
      <w:r>
        <w:rPr>
          <w:rFonts w:ascii="Arial" w:hAnsi="Arial" w:cs="Arial"/>
          <w:sz w:val="24"/>
          <w:szCs w:val="24"/>
        </w:rPr>
        <w:t xml:space="preserve">PMC.(2020). Natural Antioxidant Extracted Wastew Cooking Oil as National Center for Biotechnology Information. </w:t>
      </w:r>
    </w:p>
    <w:p w14:paraId="21040418">
      <w:pPr>
        <w:spacing w:before="240" w:line="360" w:lineRule="auto"/>
        <w:ind w:left="1440" w:hanging="1440"/>
        <w:jc w:val="both"/>
        <w:rPr>
          <w:rFonts w:ascii="Arial" w:hAnsi="Arial" w:cs="Arial"/>
          <w:sz w:val="24"/>
          <w:szCs w:val="24"/>
        </w:rPr>
      </w:pPr>
      <w:r>
        <w:rPr>
          <w:rFonts w:ascii="Arial" w:hAnsi="Arial" w:cs="Arial"/>
          <w:sz w:val="24"/>
          <w:szCs w:val="24"/>
        </w:rPr>
        <w:t xml:space="preserve">Rybicka, J., Tiwwari, A., &amp; Leeke, G. (2016). Technology readiness level assessment of composites recycling technologies. </w:t>
      </w:r>
      <w:r>
        <w:rPr>
          <w:rFonts w:ascii="Arial" w:hAnsi="Arial" w:cs="Arial"/>
          <w:i/>
          <w:sz w:val="24"/>
          <w:szCs w:val="24"/>
        </w:rPr>
        <w:t>Journal of cleaner production</w:t>
      </w:r>
      <w:r>
        <w:rPr>
          <w:rFonts w:ascii="Arial" w:hAnsi="Arial" w:cs="Arial"/>
          <w:sz w:val="24"/>
          <w:szCs w:val="24"/>
        </w:rPr>
        <w:t xml:space="preserve">, </w:t>
      </w:r>
      <w:r>
        <w:rPr>
          <w:rFonts w:ascii="Arial" w:hAnsi="Arial" w:cs="Arial"/>
          <w:b/>
          <w:sz w:val="24"/>
          <w:szCs w:val="24"/>
        </w:rPr>
        <w:t>112</w:t>
      </w:r>
      <w:r>
        <w:rPr>
          <w:rFonts w:ascii="Arial" w:hAnsi="Arial" w:cs="Arial"/>
          <w:sz w:val="24"/>
          <w:szCs w:val="24"/>
        </w:rPr>
        <w:t>, 1001-1012.</w:t>
      </w:r>
    </w:p>
    <w:p w14:paraId="5B565618">
      <w:pPr>
        <w:spacing w:before="240" w:line="360" w:lineRule="auto"/>
        <w:ind w:left="1440" w:hanging="1440"/>
        <w:jc w:val="both"/>
        <w:rPr>
          <w:rFonts w:ascii="Arial" w:hAnsi="Arial" w:cs="Arial"/>
          <w:sz w:val="24"/>
          <w:szCs w:val="24"/>
        </w:rPr>
      </w:pPr>
      <w:r>
        <w:rPr>
          <w:rFonts w:ascii="Arial" w:hAnsi="Arial" w:cs="Arial"/>
          <w:sz w:val="24"/>
          <w:szCs w:val="24"/>
        </w:rPr>
        <w:t>Saidurx, R.; Abdelaziz, E.A.; Demirbas, A.; Hossain,  M.S.; Mekhilef, S.(2011). A review on biomass as a fuel for boilers. Renew. Sustain. Energy Rev.15,2262-2289.</w:t>
      </w:r>
    </w:p>
    <w:p w14:paraId="78E2A6F1">
      <w:pPr>
        <w:spacing w:before="240" w:line="360" w:lineRule="auto"/>
        <w:ind w:left="1440" w:hanging="1440"/>
        <w:jc w:val="both"/>
        <w:rPr>
          <w:rFonts w:ascii="Arial" w:hAnsi="Arial" w:cs="Arial"/>
          <w:sz w:val="24"/>
          <w:szCs w:val="24"/>
        </w:rPr>
      </w:pPr>
      <w:r>
        <w:rPr>
          <w:rFonts w:ascii="Arial" w:hAnsi="Arial" w:cs="Arial"/>
          <w:sz w:val="24"/>
          <w:szCs w:val="24"/>
        </w:rPr>
        <w:t xml:space="preserve">Sarma, R. N. and Vinu, R. (2020). Current Status and Future Prospects of Bio lubricants: Properties and Applications. </w:t>
      </w:r>
      <w:r>
        <w:rPr>
          <w:rFonts w:ascii="Arial" w:hAnsi="Arial" w:cs="Arial"/>
          <w:i/>
          <w:sz w:val="24"/>
          <w:szCs w:val="24"/>
        </w:rPr>
        <w:t>In lubricants</w:t>
      </w:r>
      <w:r>
        <w:rPr>
          <w:rFonts w:ascii="Arial" w:hAnsi="Arial" w:cs="Arial"/>
          <w:sz w:val="24"/>
          <w:szCs w:val="24"/>
        </w:rPr>
        <w:t xml:space="preserve">, </w:t>
      </w:r>
      <w:r>
        <w:rPr>
          <w:rFonts w:ascii="Arial" w:hAnsi="Arial" w:cs="Arial"/>
          <w:b/>
          <w:sz w:val="24"/>
          <w:szCs w:val="24"/>
        </w:rPr>
        <w:t>10</w:t>
      </w:r>
      <w:r>
        <w:rPr>
          <w:rFonts w:ascii="Arial" w:hAnsi="Arial" w:cs="Arial"/>
          <w:sz w:val="24"/>
          <w:szCs w:val="24"/>
        </w:rPr>
        <w:t xml:space="preserve">,4. MDPI. https: \\ doi.org\10.3390\ lubricants 10040070  </w:t>
      </w:r>
    </w:p>
    <w:p w14:paraId="49567589">
      <w:pPr>
        <w:spacing w:before="240" w:line="360" w:lineRule="auto"/>
        <w:ind w:left="1440" w:hanging="1440"/>
        <w:jc w:val="both"/>
        <w:rPr>
          <w:rFonts w:ascii="Arial" w:hAnsi="Arial" w:cs="Arial"/>
          <w:sz w:val="24"/>
          <w:szCs w:val="24"/>
        </w:rPr>
      </w:pPr>
      <w:r>
        <w:rPr>
          <w:rFonts w:ascii="Arial" w:hAnsi="Arial" w:cs="Arial"/>
          <w:sz w:val="24"/>
          <w:szCs w:val="24"/>
        </w:rPr>
        <w:t xml:space="preserve">Sarno, M., luliano, M. and cirillo, C. (2019). Optimized procedure for the preparation of an enzymatic nano catalyst to produce biolubricant from waste cooking oil. </w:t>
      </w:r>
      <w:r>
        <w:rPr>
          <w:rFonts w:ascii="Arial" w:hAnsi="Arial" w:cs="Arial"/>
          <w:i/>
          <w:sz w:val="24"/>
          <w:szCs w:val="24"/>
        </w:rPr>
        <w:t>Chem Eng. J.v b</w:t>
      </w:r>
      <w:r>
        <w:rPr>
          <w:rFonts w:ascii="Arial" w:hAnsi="Arial" w:cs="Arial"/>
          <w:sz w:val="24"/>
          <w:szCs w:val="24"/>
        </w:rPr>
        <w:t xml:space="preserve"> v 377, 0-1</w:t>
      </w:r>
    </w:p>
    <w:p w14:paraId="65DB1923">
      <w:pPr>
        <w:spacing w:before="240" w:line="360" w:lineRule="auto"/>
        <w:ind w:left="1440" w:hanging="1440"/>
        <w:jc w:val="both"/>
        <w:rPr>
          <w:rFonts w:ascii="Arial" w:hAnsi="Arial" w:cs="Arial"/>
          <w:sz w:val="24"/>
          <w:szCs w:val="24"/>
        </w:rPr>
      </w:pPr>
      <w:r>
        <w:rPr>
          <w:rFonts w:ascii="Arial" w:hAnsi="Arial" w:cs="Arial"/>
          <w:sz w:val="24"/>
          <w:szCs w:val="24"/>
        </w:rPr>
        <w:t xml:space="preserve">Shaldar S. P., Athith, D. and Abhishek, H. A. (2019). Biodiesel production optimization and fuel properties characterization of waste fish oil. International Resolution </w:t>
      </w:r>
      <w:r>
        <w:rPr>
          <w:rFonts w:ascii="Arial" w:hAnsi="Arial" w:cs="Arial"/>
          <w:i/>
          <w:sz w:val="24"/>
          <w:szCs w:val="24"/>
        </w:rPr>
        <w:t>Journal of Engineering Technology</w:t>
      </w:r>
      <w:r>
        <w:rPr>
          <w:rFonts w:ascii="Arial" w:hAnsi="Arial" w:cs="Arial"/>
          <w:sz w:val="24"/>
          <w:szCs w:val="24"/>
        </w:rPr>
        <w:t xml:space="preserve">, </w:t>
      </w:r>
      <w:r>
        <w:rPr>
          <w:rFonts w:ascii="Arial" w:hAnsi="Arial" w:cs="Arial"/>
          <w:b/>
          <w:sz w:val="24"/>
          <w:szCs w:val="24"/>
        </w:rPr>
        <w:t>6</w:t>
      </w:r>
      <w:r>
        <w:rPr>
          <w:rFonts w:ascii="Arial" w:hAnsi="Arial" w:cs="Arial"/>
          <w:sz w:val="24"/>
          <w:szCs w:val="24"/>
        </w:rPr>
        <w:t>: 947- 952</w:t>
      </w:r>
    </w:p>
    <w:p w14:paraId="4A835F04">
      <w:pPr>
        <w:spacing w:before="240" w:line="360" w:lineRule="auto"/>
        <w:ind w:left="1440" w:hanging="1440"/>
        <w:jc w:val="both"/>
        <w:rPr>
          <w:rFonts w:ascii="Arial" w:hAnsi="Arial" w:cs="Arial"/>
          <w:sz w:val="24"/>
          <w:szCs w:val="24"/>
        </w:rPr>
      </w:pPr>
      <w:r>
        <w:rPr>
          <w:rFonts w:ascii="Arial" w:hAnsi="Arial" w:cs="Arial"/>
          <w:sz w:val="24"/>
          <w:szCs w:val="24"/>
        </w:rPr>
        <w:t xml:space="preserve">Sharma, S., </w:t>
      </w:r>
      <w:r>
        <w:rPr>
          <w:rFonts w:ascii="Arial" w:hAnsi="Arial" w:cs="Arial"/>
          <w:i/>
          <w:sz w:val="24"/>
          <w:szCs w:val="24"/>
        </w:rPr>
        <w:t>et</w:t>
      </w:r>
      <w:r>
        <w:rPr>
          <w:rFonts w:ascii="Arial" w:hAnsi="Arial" w:cs="Arial"/>
          <w:sz w:val="24"/>
          <w:szCs w:val="24"/>
        </w:rPr>
        <w:t xml:space="preserve"> </w:t>
      </w:r>
      <w:r>
        <w:rPr>
          <w:rFonts w:ascii="Arial" w:hAnsi="Arial" w:cs="Arial"/>
          <w:i/>
          <w:sz w:val="24"/>
          <w:szCs w:val="24"/>
        </w:rPr>
        <w:t>al</w:t>
      </w:r>
      <w:r>
        <w:rPr>
          <w:rFonts w:ascii="Arial" w:hAnsi="Arial" w:cs="Arial"/>
          <w:sz w:val="24"/>
          <w:szCs w:val="24"/>
        </w:rPr>
        <w:t xml:space="preserve"> (2025). Volarization of  used cooking oil: challenges, current developments, life cycle assessment and future prospects. SpringeerOpen.</w:t>
      </w:r>
    </w:p>
    <w:p w14:paraId="11E1AB45">
      <w:pPr>
        <w:spacing w:before="240" w:line="360" w:lineRule="auto"/>
        <w:ind w:left="1440" w:hanging="1440"/>
        <w:jc w:val="both"/>
        <w:rPr>
          <w:rFonts w:ascii="Arial" w:hAnsi="Arial" w:cs="Arial"/>
          <w:sz w:val="24"/>
          <w:szCs w:val="24"/>
        </w:rPr>
      </w:pPr>
      <w:r>
        <w:rPr>
          <w:rFonts w:ascii="Arial" w:hAnsi="Arial" w:cs="Arial"/>
          <w:sz w:val="24"/>
          <w:szCs w:val="24"/>
        </w:rPr>
        <w:t xml:space="preserve">Sunny, S. Madhu, A.(2014) Lubricants From Renewable Energy Sourcess- A Review Green Chem. Lett. Rev. 7, 359-382.  </w:t>
      </w:r>
    </w:p>
    <w:p w14:paraId="45182E5C">
      <w:pPr>
        <w:spacing w:before="240" w:line="360" w:lineRule="auto"/>
        <w:ind w:left="2160" w:hanging="2160"/>
        <w:jc w:val="both"/>
        <w:rPr>
          <w:rFonts w:ascii="Arial" w:hAnsi="Arial" w:cs="Arial"/>
          <w:sz w:val="24"/>
          <w:szCs w:val="24"/>
        </w:rPr>
      </w:pPr>
      <w:r>
        <w:rPr>
          <w:rFonts w:ascii="Arial" w:hAnsi="Arial" w:cs="Arial"/>
          <w:sz w:val="24"/>
          <w:szCs w:val="24"/>
        </w:rPr>
        <w:t xml:space="preserve"> Tahira F, S. Hussain, S.D. Ali, Z. Iqbal, W.  and Ahmad T. (2012), Homogeneous Catalysis of High Free Fatty Acid of Waste Cooking Oil to Fatty Acid Methyl Esters (Biodiesel), </w:t>
      </w:r>
      <w:r>
        <w:rPr>
          <w:rFonts w:ascii="Arial" w:hAnsi="Arial" w:cs="Arial"/>
          <w:i/>
          <w:sz w:val="24"/>
          <w:szCs w:val="24"/>
        </w:rPr>
        <w:t>Int. J. Energy Power</w:t>
      </w:r>
      <w:r>
        <w:rPr>
          <w:rFonts w:ascii="Arial" w:hAnsi="Arial" w:cs="Arial"/>
          <w:sz w:val="24"/>
          <w:szCs w:val="24"/>
        </w:rPr>
        <w:t xml:space="preserve"> </w:t>
      </w:r>
      <w:r>
        <w:rPr>
          <w:rFonts w:ascii="Arial" w:hAnsi="Arial" w:cs="Arial"/>
          <w:b/>
          <w:sz w:val="24"/>
          <w:szCs w:val="24"/>
        </w:rPr>
        <w:t>1</w:t>
      </w:r>
      <w:r>
        <w:rPr>
          <w:rFonts w:ascii="Arial" w:hAnsi="Arial" w:cs="Arial"/>
          <w:sz w:val="24"/>
          <w:szCs w:val="24"/>
        </w:rPr>
        <w:t xml:space="preserve">, 31–36. </w:t>
      </w:r>
    </w:p>
    <w:p w14:paraId="0F817131">
      <w:pPr>
        <w:spacing w:before="240" w:line="360" w:lineRule="auto"/>
        <w:ind w:left="1440" w:hanging="1440"/>
        <w:jc w:val="both"/>
        <w:rPr>
          <w:rFonts w:ascii="Arial" w:hAnsi="Arial" w:cs="Arial"/>
          <w:sz w:val="24"/>
          <w:szCs w:val="24"/>
        </w:rPr>
      </w:pPr>
      <w:r>
        <w:rPr>
          <w:rFonts w:ascii="Arial" w:hAnsi="Arial" w:cs="Arial"/>
          <w:sz w:val="24"/>
          <w:szCs w:val="24"/>
        </w:rPr>
        <w:t>Teh, C.Y.,</w:t>
      </w:r>
      <w:r>
        <w:rPr>
          <w:rFonts w:ascii="Arial" w:hAnsi="Arial" w:cs="Arial"/>
          <w:i/>
          <w:sz w:val="24"/>
          <w:szCs w:val="24"/>
        </w:rPr>
        <w:t xml:space="preserve"> </w:t>
      </w:r>
      <w:r>
        <w:rPr>
          <w:rFonts w:ascii="Arial" w:hAnsi="Arial" w:cs="Arial"/>
          <w:sz w:val="24"/>
          <w:szCs w:val="24"/>
        </w:rPr>
        <w:t xml:space="preserve">Budiman, S.W., Muhammad, N., Lau, S.Y., Chong, K.F. and Goh, P.S. (2025). Recent advances in membrane technology for waste water treatment: A review. </w:t>
      </w:r>
      <w:r>
        <w:rPr>
          <w:rFonts w:ascii="Arial" w:hAnsi="Arial" w:cs="Arial"/>
          <w:i/>
          <w:sz w:val="24"/>
          <w:szCs w:val="24"/>
        </w:rPr>
        <w:t>Journal of Cleaner Production</w:t>
      </w:r>
      <w:r>
        <w:rPr>
          <w:rFonts w:ascii="Arial" w:hAnsi="Arial" w:cs="Arial"/>
          <w:sz w:val="24"/>
          <w:szCs w:val="24"/>
        </w:rPr>
        <w:t>, 432,131-234</w:t>
      </w:r>
    </w:p>
    <w:p w14:paraId="220DDAE0">
      <w:pPr>
        <w:spacing w:before="240" w:line="360" w:lineRule="auto"/>
        <w:ind w:left="1440" w:hanging="1440"/>
        <w:jc w:val="both"/>
        <w:rPr>
          <w:rFonts w:ascii="Arial" w:hAnsi="Arial" w:cs="Arial"/>
          <w:sz w:val="24"/>
          <w:szCs w:val="24"/>
        </w:rPr>
      </w:pPr>
      <w:r>
        <w:rPr>
          <w:rFonts w:ascii="Arial" w:hAnsi="Arial" w:cs="Arial"/>
          <w:sz w:val="24"/>
          <w:szCs w:val="24"/>
        </w:rPr>
        <w:t xml:space="preserve">Teh, J. L., Walvekar, R., Ho, K. C. and Khalid, M. (2025). Bio lubricants from waste cooking oil: A review of extraction technologies, conversion techniques, and performance enhancement using natural antioxidants. </w:t>
      </w:r>
      <w:r>
        <w:rPr>
          <w:rFonts w:ascii="Arial" w:hAnsi="Arial" w:cs="Arial"/>
          <w:i/>
          <w:sz w:val="24"/>
          <w:szCs w:val="24"/>
        </w:rPr>
        <w:t>Journal of Environmental Managemen</w:t>
      </w:r>
      <w:r>
        <w:rPr>
          <w:rFonts w:ascii="Arial" w:hAnsi="Arial" w:cs="Arial"/>
          <w:sz w:val="24"/>
          <w:szCs w:val="24"/>
        </w:rPr>
        <w:t xml:space="preserve">t, </w:t>
      </w:r>
      <w:r>
        <w:rPr>
          <w:rFonts w:ascii="Arial" w:hAnsi="Arial" w:cs="Arial"/>
          <w:b/>
          <w:sz w:val="24"/>
          <w:szCs w:val="24"/>
        </w:rPr>
        <w:t>363</w:t>
      </w:r>
      <w:r>
        <w:rPr>
          <w:rFonts w:ascii="Arial" w:hAnsi="Arial" w:cs="Arial"/>
          <w:sz w:val="24"/>
          <w:szCs w:val="24"/>
        </w:rPr>
        <w:t>,121456.</w:t>
      </w:r>
    </w:p>
    <w:p w14:paraId="4A849347">
      <w:pPr>
        <w:spacing w:before="240" w:line="360" w:lineRule="auto"/>
        <w:ind w:left="1440" w:hanging="1440"/>
        <w:jc w:val="both"/>
        <w:rPr>
          <w:rFonts w:ascii="Arial" w:hAnsi="Arial" w:cs="Arial"/>
          <w:sz w:val="24"/>
          <w:szCs w:val="24"/>
        </w:rPr>
      </w:pPr>
      <w:r>
        <w:rPr>
          <w:rFonts w:ascii="Arial" w:hAnsi="Arial" w:cs="Arial"/>
          <w:sz w:val="24"/>
          <w:szCs w:val="24"/>
        </w:rPr>
        <w:t>Thangaraj, B., Solomon, P.R., Muniyandi, B., Ranganathan, S., and Lin, L. (2019). Catalysis in biodiesel production: A review.</w:t>
      </w:r>
      <w:r>
        <w:rPr>
          <w:rFonts w:ascii="Arial" w:hAnsi="Arial" w:cs="Arial"/>
          <w:b/>
          <w:sz w:val="24"/>
          <w:szCs w:val="24"/>
        </w:rPr>
        <w:t>3</w:t>
      </w:r>
      <w:r>
        <w:rPr>
          <w:rFonts w:ascii="Arial" w:hAnsi="Arial" w:cs="Arial"/>
          <w:sz w:val="24"/>
          <w:szCs w:val="24"/>
        </w:rPr>
        <w:t xml:space="preserve"> (1),2-23.</w:t>
      </w:r>
    </w:p>
    <w:p w14:paraId="3F46C010">
      <w:pPr>
        <w:spacing w:before="240" w:line="360" w:lineRule="auto"/>
        <w:ind w:left="1440" w:hanging="1440"/>
        <w:jc w:val="both"/>
        <w:rPr>
          <w:rFonts w:ascii="Arial" w:hAnsi="Arial" w:cs="Arial"/>
          <w:sz w:val="24"/>
          <w:szCs w:val="24"/>
        </w:rPr>
      </w:pPr>
      <w:r>
        <w:rPr>
          <w:rFonts w:ascii="Arial" w:hAnsi="Arial" w:cs="Arial"/>
          <w:sz w:val="24"/>
          <w:szCs w:val="24"/>
        </w:rPr>
        <w:t xml:space="preserve">Tirth, M., Panchal, A.P., Chauhan, D.D., Merlin, T. and Jigar, V.P. (2017). A Methodological Review of Bio-lubricants from Vegetable Oil Based Resources, Renew. </w:t>
      </w:r>
      <w:r>
        <w:rPr>
          <w:rFonts w:ascii="Arial" w:hAnsi="Arial" w:cs="Arial"/>
          <w:i/>
          <w:sz w:val="24"/>
          <w:szCs w:val="24"/>
        </w:rPr>
        <w:t>Sustain. Energy Rev</w:t>
      </w:r>
      <w:r>
        <w:rPr>
          <w:rFonts w:ascii="Arial" w:hAnsi="Arial" w:cs="Arial"/>
          <w:sz w:val="24"/>
          <w:szCs w:val="24"/>
        </w:rPr>
        <w:t xml:space="preserve">. </w:t>
      </w:r>
      <w:r>
        <w:rPr>
          <w:rFonts w:ascii="Arial" w:hAnsi="Arial" w:cs="Arial"/>
          <w:b/>
          <w:sz w:val="24"/>
          <w:szCs w:val="24"/>
        </w:rPr>
        <w:t>70</w:t>
      </w:r>
      <w:r>
        <w:rPr>
          <w:rFonts w:ascii="Arial" w:hAnsi="Arial" w:cs="Arial"/>
          <w:sz w:val="24"/>
          <w:szCs w:val="24"/>
        </w:rPr>
        <w:t xml:space="preserve">,65–70. </w:t>
      </w:r>
    </w:p>
    <w:p w14:paraId="68F51244">
      <w:pPr>
        <w:spacing w:before="240" w:line="360" w:lineRule="auto"/>
        <w:ind w:left="1440" w:hanging="1440"/>
        <w:jc w:val="both"/>
        <w:rPr>
          <w:rFonts w:ascii="Arial" w:hAnsi="Arial" w:cs="Arial"/>
          <w:sz w:val="24"/>
          <w:szCs w:val="24"/>
        </w:rPr>
      </w:pPr>
      <w:r>
        <w:rPr>
          <w:rFonts w:ascii="Arial" w:hAnsi="Arial" w:cs="Arial"/>
          <w:sz w:val="24"/>
          <w:szCs w:val="24"/>
        </w:rPr>
        <w:t xml:space="preserve">Zhang W. et al., (2020) Green Preparation of branched biolubricant by chemically modifying waste cooking oil with lipase and ionic liquid. </w:t>
      </w:r>
      <w:r>
        <w:rPr>
          <w:rFonts w:ascii="Arial" w:hAnsi="Arial" w:cs="Arial"/>
          <w:i/>
          <w:sz w:val="24"/>
          <w:szCs w:val="24"/>
        </w:rPr>
        <w:t>J. Clean. Prod</w:t>
      </w:r>
      <w:r>
        <w:rPr>
          <w:rFonts w:ascii="Arial" w:hAnsi="Arial" w:cs="Arial"/>
          <w:sz w:val="24"/>
          <w:szCs w:val="24"/>
        </w:rPr>
        <w:t>.</w:t>
      </w:r>
    </w:p>
    <w:p w14:paraId="7C9FEB52">
      <w:pPr>
        <w:spacing w:line="360" w:lineRule="auto"/>
        <w:ind w:left="720" w:hanging="720"/>
        <w:jc w:val="both"/>
        <w:rPr>
          <w:rFonts w:ascii="Arial" w:hAnsi="Arial" w:cs="Arial"/>
          <w:sz w:val="24"/>
          <w:szCs w:val="24"/>
        </w:rPr>
      </w:pPr>
      <w:r>
        <w:rPr>
          <w:rFonts w:ascii="Arial" w:hAnsi="Arial" w:cs="Arial"/>
          <w:sz w:val="24"/>
          <w:szCs w:val="24"/>
        </w:rPr>
        <w:t xml:space="preserve">Zulkifli, N.W.M., Kalam, M.A., Masjuki, H.H. and Yunus, R. (2013). Experimental analysis of tribological properties of bio lubricant with nanoparticle additive. </w:t>
      </w:r>
      <w:r>
        <w:rPr>
          <w:rFonts w:ascii="Arial" w:hAnsi="Arial" w:cs="Arial"/>
          <w:i/>
          <w:sz w:val="24"/>
          <w:szCs w:val="24"/>
        </w:rPr>
        <w:t>Procedia Engineering</w:t>
      </w:r>
      <w:r>
        <w:rPr>
          <w:rFonts w:ascii="Arial" w:hAnsi="Arial" w:cs="Arial"/>
          <w:sz w:val="24"/>
          <w:szCs w:val="24"/>
        </w:rPr>
        <w:t xml:space="preserve">, </w:t>
      </w:r>
      <w:r>
        <w:rPr>
          <w:rFonts w:ascii="Arial" w:hAnsi="Arial" w:cs="Arial"/>
          <w:b/>
          <w:sz w:val="24"/>
          <w:szCs w:val="24"/>
        </w:rPr>
        <w:t>68</w:t>
      </w:r>
      <w:r>
        <w:rPr>
          <w:rFonts w:ascii="Arial" w:hAnsi="Arial" w:cs="Arial"/>
          <w:sz w:val="24"/>
          <w:szCs w:val="24"/>
        </w:rPr>
        <w:t>,152-15.</w:t>
      </w:r>
    </w:p>
    <w:p w14:paraId="5A663D42">
      <w:pPr>
        <w:spacing w:line="360" w:lineRule="auto"/>
        <w:ind w:left="720" w:hanging="720"/>
        <w:jc w:val="both"/>
        <w:rPr>
          <w:rFonts w:ascii="Arial" w:hAnsi="Arial" w:cs="Arial"/>
          <w:sz w:val="24"/>
          <w:szCs w:val="24"/>
        </w:rPr>
      </w:pPr>
      <w:r>
        <w:rPr>
          <w:rFonts w:ascii="Arial" w:hAnsi="Arial" w:cs="Arial"/>
          <w:sz w:val="24"/>
          <w:szCs w:val="24"/>
        </w:rPr>
        <w:t xml:space="preserve">                                            </w:t>
      </w:r>
    </w:p>
    <w:p w14:paraId="052141AA">
      <w:pPr>
        <w:spacing w:line="360" w:lineRule="auto"/>
        <w:ind w:left="720" w:hanging="720"/>
        <w:jc w:val="both"/>
        <w:rPr>
          <w:rFonts w:ascii="Arial" w:hAnsi="Arial" w:cs="Arial"/>
          <w:sz w:val="24"/>
          <w:szCs w:val="24"/>
        </w:rPr>
      </w:pPr>
    </w:p>
    <w:p w14:paraId="37A25C92">
      <w:pPr>
        <w:spacing w:line="360" w:lineRule="auto"/>
        <w:ind w:left="720" w:hanging="720"/>
        <w:jc w:val="center"/>
        <w:outlineLvl w:val="0"/>
        <w:rPr>
          <w:rFonts w:ascii="Arial" w:hAnsi="Arial" w:cs="Arial"/>
          <w:b/>
          <w:sz w:val="24"/>
          <w:szCs w:val="24"/>
        </w:rPr>
      </w:pPr>
      <w:bookmarkStart w:id="54" w:name="_Toc213305021"/>
      <w:r>
        <w:rPr>
          <w:rFonts w:ascii="Arial" w:hAnsi="Arial" w:cs="Arial"/>
          <w:b/>
          <w:sz w:val="24"/>
          <w:szCs w:val="24"/>
        </w:rPr>
        <w:t>APPENDICES</w:t>
      </w:r>
      <w:bookmarkEnd w:id="54"/>
    </w:p>
    <w:p w14:paraId="7C2C4AA9">
      <w:pPr>
        <w:spacing w:line="360" w:lineRule="auto"/>
        <w:ind w:left="720" w:hanging="720"/>
        <w:jc w:val="both"/>
        <w:rPr>
          <w:rFonts w:ascii="Arial" w:hAnsi="Arial" w:cs="Arial"/>
          <w:sz w:val="24"/>
          <w:szCs w:val="24"/>
        </w:rPr>
      </w:pPr>
      <w:r>
        <w:rPr>
          <w:rFonts w:ascii="Arial" w:hAnsi="Arial" w:cs="Arial"/>
          <w:sz w:val="24"/>
          <w:szCs w:val="24"/>
        </w:rPr>
        <w:t>Calculations of production yield and characterization tests</w:t>
      </w:r>
    </w:p>
    <w:p w14:paraId="1E58E655">
      <w:pPr>
        <w:spacing w:line="360" w:lineRule="auto"/>
        <w:ind w:left="720" w:hanging="720"/>
        <w:jc w:val="both"/>
        <w:rPr>
          <w:rFonts w:ascii="Arial" w:hAnsi="Arial" w:cs="Arial"/>
          <w:sz w:val="24"/>
          <w:szCs w:val="24"/>
        </w:rPr>
      </w:pPr>
      <w:r>
        <w:rPr>
          <w:rFonts w:ascii="Arial" w:hAnsi="Arial" w:cs="Arial"/>
          <w:sz w:val="24"/>
          <w:szCs w:val="24"/>
        </w:rPr>
        <w:t>% Yield of bio lubricant</w:t>
      </w:r>
    </w:p>
    <w:p w14:paraId="7FD7E1B3">
      <w:pPr>
        <w:spacing w:line="360" w:lineRule="auto"/>
        <w:jc w:val="both"/>
        <w:rPr>
          <w:rFonts w:ascii="Arial" w:hAnsi="Arial" w:cs="Arial" w:eastAsiaTheme="minorEastAsia"/>
          <w:sz w:val="24"/>
          <w:szCs w:val="24"/>
        </w:rPr>
      </w:pPr>
      <w:r>
        <w:rPr>
          <w:rFonts w:ascii="Arial" w:hAnsi="Arial" w:cs="Arial"/>
          <w:sz w:val="24"/>
          <w:szCs w:val="24"/>
        </w:rPr>
        <w:t xml:space="preserve">% Yield </w:t>
      </w:r>
      <m:oMath>
        <m:r>
          <m:rPr/>
          <w:rPr>
            <w:rFonts w:ascii="Cambria Math" w:hAnsi="Cambria Math" w:cs="Arial"/>
            <w:sz w:val="24"/>
            <w:szCs w:val="24"/>
          </w:rPr>
          <m:t>=</m:t>
        </m:r>
        <m:f>
          <m:fPr>
            <m:ctrlPr>
              <w:rPr>
                <w:rFonts w:ascii="Cambria Math" w:hAnsi="Cambria Math" w:cs="Arial"/>
                <w:i/>
                <w:sz w:val="24"/>
                <w:szCs w:val="24"/>
              </w:rPr>
            </m:ctrlPr>
          </m:fPr>
          <m:num>
            <m:r>
              <m:rPr/>
              <w:rPr>
                <w:rFonts w:ascii="Cambria Math" w:hAnsi="Cambria Math" w:cs="Arial"/>
                <w:sz w:val="24"/>
                <w:szCs w:val="24"/>
              </w:rPr>
              <m:t>Weight of biolubricant</m:t>
            </m:r>
            <m:ctrlPr>
              <w:rPr>
                <w:rFonts w:ascii="Cambria Math" w:hAnsi="Cambria Math" w:cs="Arial"/>
                <w:i/>
                <w:sz w:val="24"/>
                <w:szCs w:val="24"/>
              </w:rPr>
            </m:ctrlPr>
          </m:num>
          <m:den>
            <m:r>
              <m:rPr/>
              <w:rPr>
                <w:rFonts w:ascii="Cambria Math" w:hAnsi="Cambria Math" w:cs="Arial"/>
                <w:sz w:val="24"/>
                <w:szCs w:val="24"/>
              </w:rPr>
              <m:t>weight of oil sample</m:t>
            </m:r>
            <m:ctrlPr>
              <w:rPr>
                <w:rFonts w:ascii="Cambria Math" w:hAnsi="Cambria Math" w:cs="Arial"/>
                <w:i/>
                <w:sz w:val="24"/>
                <w:szCs w:val="24"/>
              </w:rPr>
            </m:ctrlPr>
          </m:den>
        </m:f>
        <m:r>
          <m:rPr/>
          <w:rPr>
            <w:rFonts w:ascii="Cambria Math" w:hAnsi="Cambria Math" w:cs="Arial"/>
            <w:sz w:val="24"/>
            <w:szCs w:val="24"/>
          </w:rPr>
          <m:t>x100</m:t>
        </m:r>
      </m:oMath>
    </w:p>
    <w:p w14:paraId="6CDE7185">
      <w:pPr>
        <w:spacing w:line="360" w:lineRule="auto"/>
        <w:jc w:val="both"/>
        <w:rPr>
          <w:rFonts w:ascii="Arial" w:hAnsi="Arial" w:cs="Arial" w:eastAsiaTheme="minorEastAsia"/>
          <w:sz w:val="24"/>
          <w:szCs w:val="24"/>
        </w:rPr>
      </w:pPr>
      <w:r>
        <w:rPr>
          <w:rFonts w:ascii="Arial" w:hAnsi="Arial" w:cs="Arial" w:eastAsiaTheme="minorEastAsia"/>
          <w:sz w:val="24"/>
          <w:szCs w:val="24"/>
        </w:rPr>
        <w:t xml:space="preserve">             = </w:t>
      </w:r>
      <m:oMath>
        <m:f>
          <m:fPr>
            <m:ctrlPr>
              <w:rPr>
                <w:rFonts w:ascii="Cambria Math" w:hAnsi="Cambria Math" w:cs="Arial"/>
                <w:i/>
                <w:sz w:val="24"/>
                <w:szCs w:val="24"/>
              </w:rPr>
            </m:ctrlPr>
          </m:fPr>
          <m:num>
            <m:r>
              <m:rPr/>
              <w:rPr>
                <w:rFonts w:ascii="Cambria Math" w:hAnsi="Cambria Math" w:cs="Arial"/>
                <w:sz w:val="24"/>
                <w:szCs w:val="24"/>
              </w:rPr>
              <m:t>11.256</m:t>
            </m:r>
            <m:ctrlPr>
              <w:rPr>
                <w:rFonts w:ascii="Cambria Math" w:hAnsi="Cambria Math" w:cs="Arial"/>
                <w:i/>
                <w:sz w:val="24"/>
                <w:szCs w:val="24"/>
              </w:rPr>
            </m:ctrlPr>
          </m:num>
          <m:den>
            <m:r>
              <m:rPr/>
              <w:rPr>
                <w:rFonts w:ascii="Cambria Math" w:hAnsi="Cambria Math" w:cs="Arial"/>
                <w:sz w:val="24"/>
                <w:szCs w:val="24"/>
              </w:rPr>
              <m:t>12.5</m:t>
            </m:r>
            <m:ctrlPr>
              <w:rPr>
                <w:rFonts w:ascii="Cambria Math" w:hAnsi="Cambria Math" w:cs="Arial"/>
                <w:i/>
                <w:sz w:val="24"/>
                <w:szCs w:val="24"/>
              </w:rPr>
            </m:ctrlPr>
          </m:den>
        </m:f>
        <m:r>
          <m:rPr/>
          <w:rPr>
            <w:rFonts w:ascii="Cambria Math" w:hAnsi="Cambria Math" w:cs="Arial"/>
            <w:sz w:val="24"/>
            <w:szCs w:val="24"/>
          </w:rPr>
          <m:t>x100</m:t>
        </m:r>
      </m:oMath>
      <w:r>
        <w:rPr>
          <w:rFonts w:ascii="Arial" w:hAnsi="Arial" w:cs="Arial" w:eastAsiaTheme="minorEastAsia"/>
          <w:sz w:val="24"/>
          <w:szCs w:val="24"/>
        </w:rPr>
        <w:t xml:space="preserve"> =90.05%</w:t>
      </w:r>
    </w:p>
    <w:p w14:paraId="115ADBA7">
      <w:pPr>
        <w:spacing w:line="360" w:lineRule="auto"/>
        <w:jc w:val="both"/>
        <w:rPr>
          <w:rFonts w:ascii="Arial" w:hAnsi="Arial" w:cs="Arial" w:eastAsiaTheme="minorEastAsia"/>
          <w:sz w:val="24"/>
          <w:szCs w:val="24"/>
        </w:rPr>
      </w:pPr>
    </w:p>
    <w:p w14:paraId="299C14A5">
      <w:pPr>
        <w:spacing w:line="360" w:lineRule="auto"/>
        <w:jc w:val="both"/>
        <w:rPr>
          <w:rFonts w:ascii="Arial" w:hAnsi="Arial" w:cs="Arial"/>
          <w:sz w:val="24"/>
          <w:szCs w:val="24"/>
        </w:rPr>
      </w:pPr>
      <w:r>
        <w:rPr>
          <w:rFonts w:ascii="Arial" w:hAnsi="Arial" w:cs="Arial"/>
          <w:sz w:val="24"/>
          <w:szCs w:val="24"/>
        </w:rPr>
        <w:t xml:space="preserve">Acid Value </w:t>
      </w:r>
      <m:oMath>
        <m:r>
          <m:rPr/>
          <w:rPr>
            <w:rFonts w:ascii="Cambria Math" w:hAnsi="Cambria Math" w:cs="Arial"/>
            <w:sz w:val="24"/>
            <w:szCs w:val="24"/>
          </w:rPr>
          <m:t>=</m:t>
        </m:r>
        <m:f>
          <m:fPr>
            <m:ctrlPr>
              <w:rPr>
                <w:rFonts w:ascii="Cambria Math" w:hAnsi="Cambria Math" w:cs="Arial"/>
                <w:i/>
                <w:sz w:val="24"/>
                <w:szCs w:val="24"/>
              </w:rPr>
            </m:ctrlPr>
          </m:fPr>
          <m:num>
            <m:r>
              <m:rPr/>
              <w:rPr>
                <w:rFonts w:ascii="Cambria Math" w:hAnsi="Cambria Math" w:cs="Arial"/>
                <w:sz w:val="24"/>
                <w:szCs w:val="24"/>
              </w:rPr>
              <m:t>(Titre value)(Molarity of KOH)(56.1)</m:t>
            </m:r>
            <m:ctrlPr>
              <w:rPr>
                <w:rFonts w:ascii="Cambria Math" w:hAnsi="Cambria Math" w:cs="Arial"/>
                <w:i/>
                <w:sz w:val="24"/>
                <w:szCs w:val="24"/>
              </w:rPr>
            </m:ctrlPr>
          </m:num>
          <m:den>
            <m:r>
              <m:rPr/>
              <w:rPr>
                <w:rFonts w:ascii="Cambria Math" w:hAnsi="Cambria Math" w:cs="Arial"/>
                <w:sz w:val="24"/>
                <w:szCs w:val="24"/>
              </w:rPr>
              <m:t>(Weight of sample)</m:t>
            </m:r>
            <m:ctrlPr>
              <w:rPr>
                <w:rFonts w:ascii="Cambria Math" w:hAnsi="Cambria Math" w:cs="Arial"/>
                <w:i/>
                <w:sz w:val="24"/>
                <w:szCs w:val="24"/>
              </w:rPr>
            </m:ctrlPr>
          </m:den>
        </m:f>
      </m:oMath>
    </w:p>
    <w:p w14:paraId="0941CC5E">
      <w:pPr>
        <w:spacing w:line="360" w:lineRule="auto"/>
        <w:jc w:val="both"/>
        <w:rPr>
          <w:rFonts w:ascii="Arial" w:hAnsi="Arial" w:cs="Arial" w:eastAsiaTheme="minorEastAsia"/>
          <w:sz w:val="24"/>
          <w:szCs w:val="24"/>
        </w:rPr>
      </w:pPr>
    </w:p>
    <w:p w14:paraId="33C3DD9E">
      <w:pPr>
        <w:spacing w:line="360" w:lineRule="auto"/>
        <w:jc w:val="both"/>
        <w:rPr>
          <w:rFonts w:ascii="Arial" w:hAnsi="Arial" w:cs="Arial" w:eastAsiaTheme="minorEastAsia"/>
          <w:sz w:val="24"/>
          <w:szCs w:val="24"/>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16"/>
        <w:gridCol w:w="3117"/>
        <w:gridCol w:w="3117"/>
      </w:tblGrid>
      <w:tr w14:paraId="02F10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4F18FEA2">
            <w:pPr>
              <w:spacing w:after="0" w:line="360" w:lineRule="auto"/>
              <w:jc w:val="both"/>
              <w:rPr>
                <w:rFonts w:ascii="Arial" w:hAnsi="Arial" w:cs="Arial" w:eastAsiaTheme="minorEastAsia"/>
                <w:sz w:val="24"/>
                <w:szCs w:val="24"/>
              </w:rPr>
            </w:pPr>
          </w:p>
        </w:tc>
        <w:tc>
          <w:tcPr>
            <w:tcW w:w="3117" w:type="dxa"/>
          </w:tcPr>
          <w:p w14:paraId="69D0E6EA">
            <w:pPr>
              <w:spacing w:after="0" w:line="360" w:lineRule="auto"/>
              <w:jc w:val="both"/>
              <w:rPr>
                <w:rFonts w:ascii="Arial" w:hAnsi="Arial" w:cs="Arial" w:eastAsiaTheme="minorEastAsia"/>
                <w:sz w:val="24"/>
                <w:szCs w:val="24"/>
              </w:rPr>
            </w:pPr>
            <w:r>
              <w:rPr>
                <w:rFonts w:ascii="Arial" w:hAnsi="Arial" w:cs="Arial" w:eastAsiaTheme="minorEastAsia"/>
                <w:sz w:val="24"/>
                <w:szCs w:val="24"/>
              </w:rPr>
              <w:t>1</w:t>
            </w:r>
            <w:r>
              <w:rPr>
                <w:rFonts w:ascii="Arial" w:hAnsi="Arial" w:cs="Arial" w:eastAsiaTheme="minorEastAsia"/>
                <w:sz w:val="24"/>
                <w:szCs w:val="24"/>
                <w:vertAlign w:val="superscript"/>
              </w:rPr>
              <w:t>st</w:t>
            </w:r>
          </w:p>
        </w:tc>
        <w:tc>
          <w:tcPr>
            <w:tcW w:w="3117" w:type="dxa"/>
          </w:tcPr>
          <w:p w14:paraId="090A4B65">
            <w:pPr>
              <w:spacing w:after="0" w:line="360" w:lineRule="auto"/>
              <w:jc w:val="both"/>
              <w:rPr>
                <w:rFonts w:ascii="Arial" w:hAnsi="Arial" w:cs="Arial" w:eastAsiaTheme="minorEastAsia"/>
                <w:sz w:val="24"/>
                <w:szCs w:val="24"/>
              </w:rPr>
            </w:pPr>
            <w:r>
              <w:rPr>
                <w:rFonts w:ascii="Arial" w:hAnsi="Arial" w:cs="Arial" w:eastAsiaTheme="minorEastAsia"/>
                <w:sz w:val="24"/>
                <w:szCs w:val="24"/>
              </w:rPr>
              <w:t>2</w:t>
            </w:r>
            <w:r>
              <w:rPr>
                <w:rFonts w:ascii="Arial" w:hAnsi="Arial" w:cs="Arial" w:eastAsiaTheme="minorEastAsia"/>
                <w:sz w:val="24"/>
                <w:szCs w:val="24"/>
                <w:vertAlign w:val="superscript"/>
              </w:rPr>
              <w:t>nd</w:t>
            </w:r>
          </w:p>
        </w:tc>
      </w:tr>
      <w:tr w14:paraId="05762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292F8AEA">
            <w:pPr>
              <w:spacing w:after="0" w:line="360" w:lineRule="auto"/>
              <w:jc w:val="both"/>
              <w:rPr>
                <w:rFonts w:ascii="Arial" w:hAnsi="Arial" w:cs="Arial" w:eastAsiaTheme="minorEastAsia"/>
                <w:sz w:val="24"/>
                <w:szCs w:val="24"/>
              </w:rPr>
            </w:pPr>
            <w:r>
              <w:rPr>
                <w:rFonts w:ascii="Arial" w:hAnsi="Arial" w:cs="Arial" w:eastAsiaTheme="minorEastAsia"/>
                <w:sz w:val="24"/>
                <w:szCs w:val="24"/>
              </w:rPr>
              <w:t>Initial reading(cmᶟ)</w:t>
            </w:r>
          </w:p>
        </w:tc>
        <w:tc>
          <w:tcPr>
            <w:tcW w:w="3117" w:type="dxa"/>
          </w:tcPr>
          <w:p w14:paraId="7DAAD69B">
            <w:pPr>
              <w:spacing w:after="0" w:line="360" w:lineRule="auto"/>
              <w:jc w:val="both"/>
              <w:rPr>
                <w:rFonts w:ascii="Arial" w:hAnsi="Arial" w:cs="Arial" w:eastAsiaTheme="minorEastAsia"/>
                <w:sz w:val="24"/>
                <w:szCs w:val="24"/>
              </w:rPr>
            </w:pPr>
            <w:r>
              <w:rPr>
                <w:rFonts w:ascii="Arial" w:hAnsi="Arial" w:cs="Arial" w:eastAsiaTheme="minorEastAsia"/>
                <w:sz w:val="24"/>
                <w:szCs w:val="24"/>
              </w:rPr>
              <w:t>0.00</w:t>
            </w:r>
          </w:p>
        </w:tc>
        <w:tc>
          <w:tcPr>
            <w:tcW w:w="3117" w:type="dxa"/>
          </w:tcPr>
          <w:p w14:paraId="000C372C">
            <w:pPr>
              <w:spacing w:after="0" w:line="360" w:lineRule="auto"/>
              <w:jc w:val="both"/>
              <w:rPr>
                <w:rFonts w:ascii="Arial" w:hAnsi="Arial" w:cs="Arial" w:eastAsiaTheme="minorEastAsia"/>
                <w:sz w:val="24"/>
                <w:szCs w:val="24"/>
              </w:rPr>
            </w:pPr>
            <w:r>
              <w:rPr>
                <w:rFonts w:ascii="Arial" w:hAnsi="Arial" w:cs="Arial" w:eastAsiaTheme="minorEastAsia"/>
                <w:sz w:val="24"/>
                <w:szCs w:val="24"/>
              </w:rPr>
              <w:t>0.50</w:t>
            </w:r>
          </w:p>
        </w:tc>
      </w:tr>
      <w:tr w14:paraId="2FA6C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32A38BA6">
            <w:pPr>
              <w:spacing w:after="0" w:line="360" w:lineRule="auto"/>
              <w:jc w:val="both"/>
              <w:rPr>
                <w:rFonts w:ascii="Arial" w:hAnsi="Arial" w:cs="Arial" w:eastAsiaTheme="minorEastAsia"/>
                <w:sz w:val="24"/>
                <w:szCs w:val="24"/>
              </w:rPr>
            </w:pPr>
            <w:r>
              <w:rPr>
                <w:rFonts w:ascii="Arial" w:hAnsi="Arial" w:cs="Arial" w:eastAsiaTheme="minorEastAsia"/>
                <w:sz w:val="24"/>
                <w:szCs w:val="24"/>
              </w:rPr>
              <w:t>Final reading (cmᶟ)</w:t>
            </w:r>
          </w:p>
        </w:tc>
        <w:tc>
          <w:tcPr>
            <w:tcW w:w="3117" w:type="dxa"/>
          </w:tcPr>
          <w:p w14:paraId="3F05B521">
            <w:pPr>
              <w:spacing w:after="0" w:line="360" w:lineRule="auto"/>
              <w:jc w:val="both"/>
              <w:rPr>
                <w:rFonts w:ascii="Arial" w:hAnsi="Arial" w:cs="Arial" w:eastAsiaTheme="minorEastAsia"/>
                <w:sz w:val="24"/>
                <w:szCs w:val="24"/>
              </w:rPr>
            </w:pPr>
            <w:r>
              <w:rPr>
                <w:rFonts w:ascii="Arial" w:hAnsi="Arial" w:cs="Arial" w:eastAsiaTheme="minorEastAsia"/>
                <w:sz w:val="24"/>
                <w:szCs w:val="24"/>
              </w:rPr>
              <w:t>0.50</w:t>
            </w:r>
          </w:p>
        </w:tc>
        <w:tc>
          <w:tcPr>
            <w:tcW w:w="3117" w:type="dxa"/>
          </w:tcPr>
          <w:p w14:paraId="19B7EF1E">
            <w:pPr>
              <w:spacing w:after="0" w:line="360" w:lineRule="auto"/>
              <w:jc w:val="both"/>
              <w:rPr>
                <w:rFonts w:ascii="Arial" w:hAnsi="Arial" w:cs="Arial" w:eastAsiaTheme="minorEastAsia"/>
                <w:sz w:val="24"/>
                <w:szCs w:val="24"/>
              </w:rPr>
            </w:pPr>
            <w:r>
              <w:rPr>
                <w:rFonts w:ascii="Arial" w:hAnsi="Arial" w:cs="Arial" w:eastAsiaTheme="minorEastAsia"/>
                <w:sz w:val="24"/>
                <w:szCs w:val="24"/>
              </w:rPr>
              <w:t>1.01</w:t>
            </w:r>
          </w:p>
        </w:tc>
      </w:tr>
      <w:tr w14:paraId="4940A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6AFBC7A1">
            <w:pPr>
              <w:spacing w:after="0" w:line="360" w:lineRule="auto"/>
              <w:jc w:val="both"/>
              <w:rPr>
                <w:rFonts w:ascii="Arial" w:hAnsi="Arial" w:cs="Arial" w:eastAsiaTheme="minorEastAsia"/>
                <w:sz w:val="24"/>
                <w:szCs w:val="24"/>
              </w:rPr>
            </w:pPr>
            <w:r>
              <w:rPr>
                <w:rFonts w:ascii="Arial" w:hAnsi="Arial" w:cs="Arial" w:eastAsiaTheme="minorEastAsia"/>
                <w:sz w:val="24"/>
                <w:szCs w:val="24"/>
              </w:rPr>
              <w:t>Vol. of acid used</w:t>
            </w:r>
          </w:p>
        </w:tc>
        <w:tc>
          <w:tcPr>
            <w:tcW w:w="3117" w:type="dxa"/>
          </w:tcPr>
          <w:p w14:paraId="0E87152F">
            <w:pPr>
              <w:spacing w:after="0" w:line="360" w:lineRule="auto"/>
              <w:jc w:val="both"/>
              <w:rPr>
                <w:rFonts w:ascii="Arial" w:hAnsi="Arial" w:cs="Arial" w:eastAsiaTheme="minorEastAsia"/>
                <w:sz w:val="24"/>
                <w:szCs w:val="24"/>
              </w:rPr>
            </w:pPr>
            <w:r>
              <w:rPr>
                <w:rFonts w:ascii="Arial" w:hAnsi="Arial" w:cs="Arial" w:eastAsiaTheme="minorEastAsia"/>
                <w:sz w:val="24"/>
                <w:szCs w:val="24"/>
              </w:rPr>
              <w:t>0.50</w:t>
            </w:r>
          </w:p>
        </w:tc>
        <w:tc>
          <w:tcPr>
            <w:tcW w:w="3117" w:type="dxa"/>
          </w:tcPr>
          <w:p w14:paraId="63E56896">
            <w:pPr>
              <w:spacing w:after="0" w:line="360" w:lineRule="auto"/>
              <w:jc w:val="both"/>
              <w:rPr>
                <w:rFonts w:ascii="Arial" w:hAnsi="Arial" w:cs="Arial" w:eastAsiaTheme="minorEastAsia"/>
                <w:sz w:val="24"/>
                <w:szCs w:val="24"/>
              </w:rPr>
            </w:pPr>
            <w:r>
              <w:rPr>
                <w:rFonts w:ascii="Arial" w:hAnsi="Arial" w:cs="Arial" w:eastAsiaTheme="minorEastAsia"/>
                <w:sz w:val="24"/>
                <w:szCs w:val="24"/>
              </w:rPr>
              <w:t>0.60</w:t>
            </w:r>
          </w:p>
        </w:tc>
      </w:tr>
    </w:tbl>
    <w:p w14:paraId="136BB43D">
      <w:pPr>
        <w:spacing w:line="360" w:lineRule="auto"/>
        <w:jc w:val="both"/>
        <w:rPr>
          <w:rFonts w:ascii="Arial" w:hAnsi="Arial" w:cs="Arial" w:eastAsiaTheme="minorEastAsia"/>
          <w:sz w:val="24"/>
          <w:szCs w:val="24"/>
        </w:rPr>
      </w:pPr>
    </w:p>
    <w:p w14:paraId="25A0B085">
      <w:pPr>
        <w:spacing w:line="360" w:lineRule="auto"/>
        <w:jc w:val="both"/>
        <w:rPr>
          <w:rFonts w:ascii="Arial" w:hAnsi="Arial" w:cs="Arial"/>
          <w:sz w:val="24"/>
          <w:szCs w:val="24"/>
        </w:rPr>
      </w:pPr>
      <w:r>
        <w:rPr>
          <w:rFonts w:ascii="Arial" w:hAnsi="Arial" w:cs="Arial" w:eastAsiaTheme="minorEastAsia"/>
          <w:sz w:val="24"/>
          <w:szCs w:val="24"/>
        </w:rPr>
        <w:t xml:space="preserve"> Average Titre value</w:t>
      </w:r>
      <w:r>
        <w:rPr>
          <w:rFonts w:ascii="Cambria Math" w:hAnsi="Cambria Math" w:cs="Cambria Math" w:eastAsiaTheme="minorEastAsia"/>
          <w:sz w:val="24"/>
          <w:szCs w:val="24"/>
        </w:rPr>
        <w:t>=</w:t>
      </w:r>
      <w:r>
        <w:rPr>
          <w:rFonts w:ascii="Arial" w:hAnsi="Arial" w:cs="Arial" w:eastAsiaTheme="minorEastAsia"/>
          <w:sz w:val="24"/>
          <w:szCs w:val="24"/>
        </w:rPr>
        <w:t>0.8</w:t>
      </w:r>
      <w:r>
        <w:rPr>
          <w:rFonts w:ascii="Arial" w:hAnsi="Arial" w:cs="Arial"/>
          <w:sz w:val="24"/>
          <w:szCs w:val="24"/>
        </w:rPr>
        <w:t xml:space="preserve"> Acid Value </w:t>
      </w:r>
      <m:oMath>
        <m:r>
          <m:rPr/>
          <w:rPr>
            <w:rFonts w:ascii="Cambria Math" w:hAnsi="Cambria Math" w:cs="Arial"/>
            <w:sz w:val="24"/>
            <w:szCs w:val="24"/>
          </w:rPr>
          <m:t>=</m:t>
        </m:r>
        <m:f>
          <m:fPr>
            <m:ctrlPr>
              <w:rPr>
                <w:rFonts w:ascii="Cambria Math" w:hAnsi="Cambria Math" w:cs="Arial"/>
                <w:i/>
                <w:sz w:val="24"/>
                <w:szCs w:val="24"/>
              </w:rPr>
            </m:ctrlPr>
          </m:fPr>
          <m:num>
            <m:r>
              <m:rPr/>
              <w:rPr>
                <w:rFonts w:ascii="Cambria Math" w:hAnsi="Cambria Math" w:cs="Arial"/>
                <w:sz w:val="24"/>
                <w:szCs w:val="24"/>
              </w:rPr>
              <m:t>(Titre value)(Molarity of KOH)(56.1)</m:t>
            </m:r>
            <m:ctrlPr>
              <w:rPr>
                <w:rFonts w:ascii="Cambria Math" w:hAnsi="Cambria Math" w:cs="Arial"/>
                <w:i/>
                <w:sz w:val="24"/>
                <w:szCs w:val="24"/>
              </w:rPr>
            </m:ctrlPr>
          </m:num>
          <m:den>
            <m:r>
              <m:rPr/>
              <w:rPr>
                <w:rFonts w:ascii="Cambria Math" w:hAnsi="Cambria Math" w:cs="Arial"/>
                <w:sz w:val="24"/>
                <w:szCs w:val="24"/>
              </w:rPr>
              <m:t>(Weight of sample)</m:t>
            </m:r>
            <m:ctrlPr>
              <w:rPr>
                <w:rFonts w:ascii="Cambria Math" w:hAnsi="Cambria Math" w:cs="Arial"/>
                <w:i/>
                <w:sz w:val="24"/>
                <w:szCs w:val="24"/>
              </w:rPr>
            </m:ctrlPr>
          </m:den>
        </m:f>
      </m:oMath>
    </w:p>
    <w:p w14:paraId="4DC6108D">
      <w:pPr>
        <w:spacing w:line="360" w:lineRule="auto"/>
        <w:jc w:val="both"/>
        <w:rPr>
          <w:rFonts w:ascii="Arial" w:hAnsi="Arial" w:cs="Arial" w:eastAsiaTheme="minorEastAsia"/>
          <w:sz w:val="24"/>
          <w:szCs w:val="24"/>
        </w:rPr>
      </w:pPr>
      <w:r>
        <w:rPr>
          <w:rFonts w:ascii="Arial" w:hAnsi="Arial" w:cs="Arial" w:eastAsiaTheme="minorEastAsia"/>
          <w:sz w:val="24"/>
          <w:szCs w:val="24"/>
        </w:rPr>
        <w:t>Molarity of KOH</w:t>
      </w:r>
      <w:r>
        <w:rPr>
          <w:rFonts w:ascii="Cambria Math" w:hAnsi="Cambria Math" w:cs="Cambria Math" w:eastAsiaTheme="minorEastAsia"/>
          <w:sz w:val="24"/>
          <w:szCs w:val="24"/>
        </w:rPr>
        <w:t>=</w:t>
      </w:r>
      <w:r>
        <w:rPr>
          <w:rFonts w:ascii="Arial" w:hAnsi="Arial" w:cs="Arial" w:eastAsiaTheme="minorEastAsia"/>
          <w:sz w:val="24"/>
          <w:szCs w:val="24"/>
        </w:rPr>
        <w:t xml:space="preserve"> 0.1</w:t>
      </w:r>
    </w:p>
    <w:p w14:paraId="06466C08">
      <w:pPr>
        <w:spacing w:line="360" w:lineRule="auto"/>
        <w:jc w:val="both"/>
        <w:rPr>
          <w:rFonts w:ascii="Arial" w:hAnsi="Arial" w:cs="Arial" w:eastAsiaTheme="minorEastAsia"/>
          <w:sz w:val="24"/>
          <w:szCs w:val="24"/>
        </w:rPr>
      </w:pPr>
      <w:r>
        <w:rPr>
          <w:rFonts w:ascii="Arial" w:hAnsi="Arial" w:cs="Arial" w:eastAsiaTheme="minorEastAsia"/>
          <w:sz w:val="24"/>
          <w:szCs w:val="24"/>
        </w:rPr>
        <w:t>Weight of the sample</w:t>
      </w:r>
      <w:r>
        <w:rPr>
          <w:rFonts w:ascii="Cambria Math" w:hAnsi="Cambria Math" w:cs="Cambria Math" w:eastAsiaTheme="minorEastAsia"/>
          <w:sz w:val="24"/>
          <w:szCs w:val="24"/>
        </w:rPr>
        <w:t>=</w:t>
      </w:r>
      <w:r>
        <w:rPr>
          <w:rFonts w:ascii="Arial" w:hAnsi="Arial" w:cs="Arial" w:eastAsiaTheme="minorEastAsia"/>
          <w:sz w:val="24"/>
          <w:szCs w:val="24"/>
        </w:rPr>
        <w:t xml:space="preserve"> </w:t>
      </w:r>
    </w:p>
    <w:p w14:paraId="1233C4BF">
      <w:pPr>
        <w:spacing w:line="360" w:lineRule="auto"/>
        <w:jc w:val="both"/>
        <w:rPr>
          <w:rFonts w:ascii="Arial" w:hAnsi="Arial" w:cs="Arial"/>
          <w:sz w:val="24"/>
          <w:szCs w:val="24"/>
        </w:rPr>
      </w:pPr>
      <w:r>
        <w:rPr>
          <w:rFonts w:ascii="Arial" w:hAnsi="Arial" w:cs="Arial" w:eastAsiaTheme="minorEastAsia"/>
          <w:sz w:val="24"/>
          <w:szCs w:val="24"/>
        </w:rPr>
        <w:t>Acid value of the produce bio lubricant</w:t>
      </w:r>
      <w:r>
        <w:rPr>
          <w:rFonts w:ascii="Arial" w:hAnsi="Arial" w:cs="Arial"/>
          <w:sz w:val="24"/>
          <w:szCs w:val="24"/>
        </w:rPr>
        <w:t xml:space="preserve"> Acid Value </w:t>
      </w:r>
      <m:oMath>
        <m:r>
          <m:rPr/>
          <w:rPr>
            <w:rFonts w:ascii="Cambria Math" w:hAnsi="Cambria Math" w:cs="Arial"/>
            <w:sz w:val="24"/>
            <w:szCs w:val="24"/>
          </w:rPr>
          <m:t>=2.24mgKOH\mg</m:t>
        </m:r>
      </m:oMath>
    </w:p>
    <w:p w14:paraId="22E8B9F2">
      <w:pPr>
        <w:spacing w:line="360" w:lineRule="auto"/>
        <w:jc w:val="both"/>
        <w:rPr>
          <w:rFonts w:ascii="Arial" w:hAnsi="Arial" w:cs="Arial" w:eastAsiaTheme="minorEastAsia"/>
          <w:sz w:val="24"/>
          <w:szCs w:val="24"/>
        </w:rPr>
      </w:pPr>
    </w:p>
    <w:p w14:paraId="3DA3D7AA">
      <w:pPr>
        <w:spacing w:line="360" w:lineRule="auto"/>
        <w:jc w:val="both"/>
        <w:rPr>
          <w:rFonts w:ascii="Arial" w:hAnsi="Arial" w:cs="Arial" w:eastAsiaTheme="minorEastAsia"/>
          <w:sz w:val="24"/>
          <w:szCs w:val="24"/>
        </w:rPr>
      </w:pPr>
      <w:r>
        <w:rPr>
          <w:rFonts w:ascii="Arial" w:hAnsi="Arial" w:cs="Arial"/>
          <w:sz w:val="24"/>
          <w:szCs w:val="24"/>
        </w:rPr>
        <w:t xml:space="preserve">Saponification Value </w:t>
      </w:r>
      <m:oMath>
        <m:r>
          <m:rPr/>
          <w:rPr>
            <w:rFonts w:ascii="Cambria Math" w:hAnsi="Cambria Math" w:cs="Arial"/>
            <w:sz w:val="24"/>
            <w:szCs w:val="24"/>
          </w:rPr>
          <m:t>=</m:t>
        </m:r>
        <m:f>
          <m:fPr>
            <m:ctrlPr>
              <w:rPr>
                <w:rFonts w:ascii="Cambria Math" w:hAnsi="Cambria Math" w:cs="Arial"/>
                <w:i/>
                <w:sz w:val="24"/>
                <w:szCs w:val="24"/>
              </w:rPr>
            </m:ctrlPr>
          </m:fPr>
          <m:num>
            <m:d>
              <m:dPr>
                <m:ctrlPr>
                  <w:rPr>
                    <w:rFonts w:ascii="Cambria Math" w:hAnsi="Cambria Math" w:cs="Arial"/>
                    <w:i/>
                    <w:sz w:val="24"/>
                    <w:szCs w:val="24"/>
                  </w:rPr>
                </m:ctrlPr>
              </m:dPr>
              <m:e>
                <m:r>
                  <m:rPr/>
                  <w:rPr>
                    <w:rFonts w:ascii="Cambria Math" w:hAnsi="Cambria Math" w:cs="Arial"/>
                    <w:sz w:val="24"/>
                    <w:szCs w:val="24"/>
                  </w:rPr>
                  <m:t>Titre value</m:t>
                </m:r>
                <m:ctrlPr>
                  <w:rPr>
                    <w:rFonts w:ascii="Cambria Math" w:hAnsi="Cambria Math" w:cs="Arial"/>
                    <w:i/>
                    <w:sz w:val="24"/>
                    <w:szCs w:val="24"/>
                  </w:rPr>
                </m:ctrlPr>
              </m:e>
            </m:d>
            <m:d>
              <m:dPr>
                <m:ctrlPr>
                  <w:rPr>
                    <w:rFonts w:ascii="Cambria Math" w:hAnsi="Cambria Math" w:cs="Arial"/>
                    <w:i/>
                    <w:sz w:val="24"/>
                    <w:szCs w:val="24"/>
                  </w:rPr>
                </m:ctrlPr>
              </m:dPr>
              <m:e>
                <m:r>
                  <m:rPr/>
                  <w:rPr>
                    <w:rFonts w:ascii="Cambria Math" w:hAnsi="Cambria Math" w:cs="Arial"/>
                    <w:sz w:val="24"/>
                    <w:szCs w:val="24"/>
                  </w:rPr>
                  <m:t>Molarity of HCl</m:t>
                </m:r>
                <m:ctrlPr>
                  <w:rPr>
                    <w:rFonts w:ascii="Cambria Math" w:hAnsi="Cambria Math" w:cs="Arial"/>
                    <w:i/>
                    <w:sz w:val="24"/>
                    <w:szCs w:val="24"/>
                  </w:rPr>
                </m:ctrlPr>
              </m:e>
            </m:d>
            <m:d>
              <m:dPr>
                <m:ctrlPr>
                  <w:rPr>
                    <w:rFonts w:ascii="Cambria Math" w:hAnsi="Cambria Math" w:cs="Arial"/>
                    <w:i/>
                    <w:sz w:val="24"/>
                    <w:szCs w:val="24"/>
                  </w:rPr>
                </m:ctrlPr>
              </m:dPr>
              <m:e>
                <m:r>
                  <m:rPr/>
                  <w:rPr>
                    <w:rFonts w:ascii="Cambria Math" w:hAnsi="Cambria Math" w:cs="Arial"/>
                    <w:sz w:val="24"/>
                    <w:szCs w:val="24"/>
                  </w:rPr>
                  <m:t>56.1</m:t>
                </m:r>
                <m:ctrlPr>
                  <w:rPr>
                    <w:rFonts w:ascii="Cambria Math" w:hAnsi="Cambria Math" w:cs="Arial"/>
                    <w:i/>
                    <w:sz w:val="24"/>
                    <w:szCs w:val="24"/>
                  </w:rPr>
                </m:ctrlPr>
              </m:e>
            </m:d>
            <m:ctrlPr>
              <w:rPr>
                <w:rFonts w:ascii="Cambria Math" w:hAnsi="Cambria Math" w:cs="Arial"/>
                <w:i/>
                <w:sz w:val="24"/>
                <w:szCs w:val="24"/>
              </w:rPr>
            </m:ctrlPr>
          </m:num>
          <m:den>
            <m:d>
              <m:dPr>
                <m:ctrlPr>
                  <w:rPr>
                    <w:rFonts w:ascii="Cambria Math" w:hAnsi="Cambria Math" w:cs="Arial"/>
                    <w:i/>
                    <w:sz w:val="24"/>
                    <w:szCs w:val="24"/>
                  </w:rPr>
                </m:ctrlPr>
              </m:dPr>
              <m:e>
                <m:r>
                  <m:rPr/>
                  <w:rPr>
                    <w:rFonts w:ascii="Cambria Math" w:hAnsi="Cambria Math" w:cs="Arial"/>
                    <w:sz w:val="24"/>
                    <w:szCs w:val="24"/>
                  </w:rPr>
                  <m:t>Weight of sample</m:t>
                </m:r>
                <m:ctrlPr>
                  <w:rPr>
                    <w:rFonts w:ascii="Cambria Math" w:hAnsi="Cambria Math" w:cs="Arial"/>
                    <w:i/>
                    <w:sz w:val="24"/>
                    <w:szCs w:val="24"/>
                  </w:rPr>
                </m:ctrlPr>
              </m:e>
            </m:d>
            <m:ctrlPr>
              <w:rPr>
                <w:rFonts w:ascii="Cambria Math" w:hAnsi="Cambria Math" w:cs="Arial"/>
                <w:i/>
                <w:sz w:val="24"/>
                <w:szCs w:val="24"/>
              </w:rPr>
            </m:ctrlPr>
          </m:den>
        </m:f>
      </m:oMath>
    </w:p>
    <w:p w14:paraId="74C0433C">
      <w:pPr>
        <w:spacing w:line="360" w:lineRule="auto"/>
        <w:jc w:val="both"/>
        <w:rPr>
          <w:rFonts w:ascii="Arial" w:hAnsi="Arial" w:cs="Arial"/>
          <w:sz w:val="24"/>
          <w:szCs w:val="24"/>
        </w:rPr>
      </w:pPr>
      <w:r>
        <w:rPr>
          <w:rFonts w:ascii="Arial" w:hAnsi="Arial" w:cs="Arial" w:eastAsiaTheme="minorEastAsia"/>
          <w:sz w:val="24"/>
          <w:szCs w:val="24"/>
        </w:rPr>
        <w:t xml:space="preserve">                         </w:t>
      </w:r>
      <w:r>
        <w:rPr>
          <w:rFonts w:ascii="Arial" w:hAnsi="Arial" w:cs="Arial"/>
          <w:sz w:val="24"/>
          <w:szCs w:val="24"/>
        </w:rPr>
        <w:t xml:space="preserve">        </w:t>
      </w:r>
      <m:oMath>
        <m:r>
          <m:rPr/>
          <w:rPr>
            <w:rFonts w:ascii="Cambria Math" w:hAnsi="Cambria Math" w:cs="Arial"/>
            <w:sz w:val="24"/>
            <w:szCs w:val="24"/>
          </w:rPr>
          <m:t>=</m:t>
        </m:r>
        <m:f>
          <m:fPr>
            <m:ctrlPr>
              <w:rPr>
                <w:rFonts w:ascii="Cambria Math" w:hAnsi="Cambria Math" w:cs="Arial"/>
                <w:i/>
                <w:sz w:val="24"/>
                <w:szCs w:val="24"/>
              </w:rPr>
            </m:ctrlPr>
          </m:fPr>
          <m:num>
            <m:r>
              <m:rPr/>
              <w:rPr>
                <w:rFonts w:ascii="Cambria Math" w:hAnsi="Cambria Math" w:cs="Arial"/>
                <w:sz w:val="24"/>
                <w:szCs w:val="24"/>
              </w:rPr>
              <m:t>3.25X0.5X56.1</m:t>
            </m:r>
            <m:ctrlPr>
              <w:rPr>
                <w:rFonts w:ascii="Cambria Math" w:hAnsi="Cambria Math" w:cs="Arial"/>
                <w:i/>
                <w:sz w:val="24"/>
                <w:szCs w:val="24"/>
              </w:rPr>
            </m:ctrlPr>
          </m:num>
          <m:den>
            <m:r>
              <m:rPr/>
              <w:rPr>
                <w:rFonts w:ascii="Cambria Math" w:hAnsi="Cambria Math" w:cs="Arial"/>
                <w:sz w:val="24"/>
                <w:szCs w:val="24"/>
              </w:rPr>
              <m:t>2</m:t>
            </m:r>
            <m:ctrlPr>
              <w:rPr>
                <w:rFonts w:ascii="Cambria Math" w:hAnsi="Cambria Math" w:cs="Arial"/>
                <w:i/>
                <w:sz w:val="24"/>
                <w:szCs w:val="24"/>
              </w:rPr>
            </m:ctrlPr>
          </m:den>
        </m:f>
      </m:oMath>
      <w:r>
        <w:rPr>
          <w:rFonts w:ascii="Arial" w:hAnsi="Arial" w:cs="Arial" w:eastAsiaTheme="minorEastAsia"/>
          <w:sz w:val="24"/>
          <w:szCs w:val="24"/>
        </w:rPr>
        <w:t>=45.6mgKOH\mg</w:t>
      </w:r>
    </w:p>
    <w:p w14:paraId="55DCF2A8">
      <w:pPr>
        <w:spacing w:line="360" w:lineRule="auto"/>
        <w:jc w:val="both"/>
        <w:rPr>
          <w:rFonts w:ascii="Arial" w:hAnsi="Arial" w:cs="Arial" w:eastAsiaTheme="minorEastAsia"/>
          <w:sz w:val="24"/>
          <w:szCs w:val="24"/>
        </w:rPr>
      </w:pPr>
      <w:r>
        <w:rPr>
          <w:rFonts w:ascii="Arial" w:hAnsi="Arial" w:cs="Arial" w:eastAsiaTheme="minorEastAsia"/>
          <w:sz w:val="24"/>
          <w:szCs w:val="24"/>
        </w:rPr>
        <w:t xml:space="preserve">            </w:t>
      </w:r>
    </w:p>
    <w:p w14:paraId="06297E41">
      <w:pPr>
        <w:spacing w:line="360" w:lineRule="auto"/>
        <w:jc w:val="both"/>
        <w:rPr>
          <w:rFonts w:ascii="Arial" w:hAnsi="Arial" w:cs="Arial" w:eastAsiaTheme="minorEastAsia"/>
          <w:sz w:val="24"/>
          <w:szCs w:val="24"/>
        </w:rPr>
      </w:pPr>
    </w:p>
    <w:p w14:paraId="76310485">
      <w:pPr>
        <w:spacing w:line="360" w:lineRule="auto"/>
        <w:jc w:val="both"/>
        <w:rPr>
          <w:rFonts w:ascii="Arial" w:hAnsi="Arial" w:cs="Arial" w:eastAsiaTheme="minorEastAsia"/>
          <w:sz w:val="24"/>
          <w:szCs w:val="24"/>
        </w:rPr>
      </w:pPr>
    </w:p>
    <w:p w14:paraId="47FEB3DA">
      <w:pPr>
        <w:spacing w:line="360" w:lineRule="auto"/>
        <w:ind w:left="720" w:hanging="720"/>
        <w:jc w:val="both"/>
        <w:rPr>
          <w:rFonts w:ascii="Arial" w:hAnsi="Arial" w:cs="Arial"/>
          <w:sz w:val="24"/>
          <w:szCs w:val="24"/>
        </w:rPr>
      </w:pPr>
    </w:p>
    <w:p w14:paraId="6576A648">
      <w:pPr>
        <w:spacing w:line="360" w:lineRule="auto"/>
        <w:ind w:left="720" w:hanging="720"/>
        <w:jc w:val="both"/>
        <w:rPr>
          <w:rFonts w:ascii="Arial" w:hAnsi="Arial" w:cs="Arial"/>
          <w:sz w:val="24"/>
          <w:szCs w:val="24"/>
        </w:rPr>
      </w:pPr>
    </w:p>
    <w:p w14:paraId="268B2657">
      <w:pPr>
        <w:spacing w:line="360" w:lineRule="auto"/>
        <w:ind w:left="720" w:hanging="720"/>
        <w:jc w:val="both"/>
        <w:rPr>
          <w:rFonts w:ascii="Arial" w:hAnsi="Arial" w:cs="Arial"/>
          <w:sz w:val="24"/>
          <w:szCs w:val="24"/>
        </w:rPr>
      </w:pPr>
    </w:p>
    <w:p w14:paraId="0450E8F4">
      <w:pPr>
        <w:spacing w:line="360" w:lineRule="auto"/>
        <w:ind w:left="720" w:hanging="720"/>
        <w:jc w:val="both"/>
        <w:rPr>
          <w:rFonts w:ascii="Arial" w:hAnsi="Arial" w:cs="Arial"/>
          <w:b/>
          <w:sz w:val="24"/>
          <w:szCs w:val="24"/>
        </w:rPr>
      </w:pPr>
    </w:p>
    <w:p w14:paraId="4C1BFDB2">
      <w:pPr>
        <w:spacing w:line="360" w:lineRule="auto"/>
        <w:ind w:left="720" w:hanging="720"/>
        <w:jc w:val="both"/>
        <w:rPr>
          <w:rFonts w:ascii="Arial" w:hAnsi="Arial" w:cs="Arial"/>
          <w:sz w:val="24"/>
          <w:szCs w:val="24"/>
        </w:rPr>
      </w:pPr>
    </w:p>
    <w:p w14:paraId="4DD69051">
      <w:pPr>
        <w:spacing w:line="360" w:lineRule="auto"/>
        <w:ind w:left="720" w:hanging="720"/>
        <w:jc w:val="both"/>
        <w:rPr>
          <w:rFonts w:ascii="Arial" w:hAnsi="Arial" w:cs="Arial"/>
          <w:sz w:val="24"/>
          <w:szCs w:val="24"/>
        </w:rPr>
      </w:pPr>
    </w:p>
    <w:p w14:paraId="2CECA863">
      <w:pPr>
        <w:spacing w:line="360" w:lineRule="auto"/>
        <w:ind w:firstLine="720"/>
        <w:jc w:val="both"/>
        <w:rPr>
          <w:rFonts w:ascii="Arial" w:hAnsi="Arial" w:cs="Arial"/>
          <w:sz w:val="24"/>
          <w:szCs w:val="24"/>
          <w:lang w:val="en-US"/>
        </w:rPr>
      </w:pPr>
    </w:p>
    <w:p w14:paraId="1348372B">
      <w:pPr>
        <w:rPr>
          <w:rFonts w:ascii="Arial" w:hAnsi="Arial" w:cs="Arial"/>
          <w:sz w:val="24"/>
          <w:szCs w:val="24"/>
        </w:rPr>
      </w:pPr>
    </w:p>
    <w:sectPr>
      <w:pgSz w:w="12240" w:h="15840"/>
      <w:pgMar w:top="1440" w:right="1440" w:bottom="1440" w:left="1440" w:header="576" w:footer="864"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egoe UI">
    <w:panose1 w:val="020B0502040204020203"/>
    <w:charset w:val="00"/>
    <w:family w:val="swiss"/>
    <w:pitch w:val="default"/>
    <w:sig w:usb0="E4002EFF" w:usb1="C000E47F" w:usb2="00000009" w:usb3="00000000" w:csb0="200001FF" w:csb1="00000000"/>
  </w:font>
  <w:font w:name="Cambria Math">
    <w:panose1 w:val="02040503050406030204"/>
    <w:charset w:val="00"/>
    <w:family w:val="roma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71075"/>
      <w:docPartObj>
        <w:docPartGallery w:val="autotext"/>
      </w:docPartObj>
    </w:sdtPr>
    <w:sdtContent>
      <w:p w14:paraId="003A947E">
        <w:pPr>
          <w:pStyle w:val="9"/>
          <w:jc w:val="center"/>
        </w:pPr>
        <w:r>
          <w:fldChar w:fldCharType="begin"/>
        </w:r>
        <w:r>
          <w:instrText xml:space="preserve"> PAGE   \* MERGEFORMAT </w:instrText>
        </w:r>
        <w:r>
          <w:fldChar w:fldCharType="separate"/>
        </w:r>
        <w:r>
          <w:t>2</w:t>
        </w:r>
        <w:r>
          <w:fldChar w:fldCharType="end"/>
        </w:r>
      </w:p>
    </w:sdtContent>
  </w:sdt>
  <w:p w14:paraId="18AAA6C6">
    <w:pPr>
      <w:pStyle w:val="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0B9C6">
    <w:pPr>
      <w:pStyle w:val="10"/>
      <w:outlineLvl w:val="0"/>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E87148"/>
    <w:multiLevelType w:val="multilevel"/>
    <w:tmpl w:val="04E87148"/>
    <w:lvl w:ilvl="0" w:tentative="0">
      <w:start w:val="1"/>
      <w:numFmt w:val="decimal"/>
      <w:lvlText w:val="%1"/>
      <w:lvlJc w:val="left"/>
      <w:pPr>
        <w:ind w:left="360" w:hanging="360"/>
      </w:pPr>
      <w:rPr>
        <w:rFonts w:hint="default"/>
      </w:rPr>
    </w:lvl>
    <w:lvl w:ilvl="1" w:tentative="0">
      <w:start w:val="1"/>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1800" w:hanging="1800"/>
      </w:pPr>
      <w:rPr>
        <w:rFonts w:hint="default"/>
      </w:rPr>
    </w:lvl>
  </w:abstractNum>
  <w:abstractNum w:abstractNumId="1">
    <w:nsid w:val="41F33B80"/>
    <w:multiLevelType w:val="multilevel"/>
    <w:tmpl w:val="41F33B80"/>
    <w:lvl w:ilvl="0" w:tentative="0">
      <w:start w:val="2"/>
      <w:numFmt w:val="decimal"/>
      <w:lvlText w:val="%1"/>
      <w:lvlJc w:val="left"/>
      <w:pPr>
        <w:ind w:left="360" w:hanging="360"/>
      </w:pPr>
      <w:rPr>
        <w:rFonts w:hint="default"/>
      </w:rPr>
    </w:lvl>
    <w:lvl w:ilvl="1" w:tentative="0">
      <w:start w:val="2"/>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B39"/>
    <w:rsid w:val="00003901"/>
    <w:rsid w:val="00027065"/>
    <w:rsid w:val="000925B3"/>
    <w:rsid w:val="000A653A"/>
    <w:rsid w:val="00110380"/>
    <w:rsid w:val="00111B32"/>
    <w:rsid w:val="00124E42"/>
    <w:rsid w:val="0013171D"/>
    <w:rsid w:val="00151D08"/>
    <w:rsid w:val="00170EE4"/>
    <w:rsid w:val="00195A54"/>
    <w:rsid w:val="001A510B"/>
    <w:rsid w:val="001B0B37"/>
    <w:rsid w:val="00201497"/>
    <w:rsid w:val="002359D0"/>
    <w:rsid w:val="00244824"/>
    <w:rsid w:val="002554B0"/>
    <w:rsid w:val="002564CD"/>
    <w:rsid w:val="002A5FB1"/>
    <w:rsid w:val="002B0427"/>
    <w:rsid w:val="002C2629"/>
    <w:rsid w:val="002C325D"/>
    <w:rsid w:val="002C6105"/>
    <w:rsid w:val="002E491A"/>
    <w:rsid w:val="003018D8"/>
    <w:rsid w:val="003229F2"/>
    <w:rsid w:val="003264B9"/>
    <w:rsid w:val="003477E7"/>
    <w:rsid w:val="00363906"/>
    <w:rsid w:val="00370B39"/>
    <w:rsid w:val="003841E2"/>
    <w:rsid w:val="003904A1"/>
    <w:rsid w:val="0039321F"/>
    <w:rsid w:val="003B66AA"/>
    <w:rsid w:val="003D604F"/>
    <w:rsid w:val="003E0EA7"/>
    <w:rsid w:val="00405F30"/>
    <w:rsid w:val="00434DCD"/>
    <w:rsid w:val="00441AEF"/>
    <w:rsid w:val="00480355"/>
    <w:rsid w:val="004823AC"/>
    <w:rsid w:val="0048581C"/>
    <w:rsid w:val="00497E6D"/>
    <w:rsid w:val="004B5980"/>
    <w:rsid w:val="004C62AB"/>
    <w:rsid w:val="004D63FA"/>
    <w:rsid w:val="004E63C8"/>
    <w:rsid w:val="00503B8C"/>
    <w:rsid w:val="005202CC"/>
    <w:rsid w:val="00531F5C"/>
    <w:rsid w:val="00542DC9"/>
    <w:rsid w:val="005446FE"/>
    <w:rsid w:val="00571B81"/>
    <w:rsid w:val="005A662E"/>
    <w:rsid w:val="005F3646"/>
    <w:rsid w:val="00600A51"/>
    <w:rsid w:val="00605EBB"/>
    <w:rsid w:val="00647C0F"/>
    <w:rsid w:val="0065096D"/>
    <w:rsid w:val="00684BE7"/>
    <w:rsid w:val="006A271B"/>
    <w:rsid w:val="006A6069"/>
    <w:rsid w:val="006B64D8"/>
    <w:rsid w:val="006C0E25"/>
    <w:rsid w:val="006D524A"/>
    <w:rsid w:val="006E3CFB"/>
    <w:rsid w:val="007131D2"/>
    <w:rsid w:val="00714322"/>
    <w:rsid w:val="00717896"/>
    <w:rsid w:val="00745304"/>
    <w:rsid w:val="007504D3"/>
    <w:rsid w:val="0075595A"/>
    <w:rsid w:val="007A0904"/>
    <w:rsid w:val="007B4592"/>
    <w:rsid w:val="007C29E7"/>
    <w:rsid w:val="007D24FC"/>
    <w:rsid w:val="007F7505"/>
    <w:rsid w:val="0080447F"/>
    <w:rsid w:val="00812401"/>
    <w:rsid w:val="00825E9A"/>
    <w:rsid w:val="00841A62"/>
    <w:rsid w:val="008557DB"/>
    <w:rsid w:val="00874108"/>
    <w:rsid w:val="00890395"/>
    <w:rsid w:val="008973D9"/>
    <w:rsid w:val="008A395D"/>
    <w:rsid w:val="008C0D37"/>
    <w:rsid w:val="008D4E72"/>
    <w:rsid w:val="0097576E"/>
    <w:rsid w:val="009A53E0"/>
    <w:rsid w:val="009C2913"/>
    <w:rsid w:val="009C7C90"/>
    <w:rsid w:val="009E15BF"/>
    <w:rsid w:val="00A05427"/>
    <w:rsid w:val="00A14401"/>
    <w:rsid w:val="00A27D03"/>
    <w:rsid w:val="00A436F3"/>
    <w:rsid w:val="00A94660"/>
    <w:rsid w:val="00AA6E58"/>
    <w:rsid w:val="00AA71C4"/>
    <w:rsid w:val="00AC0E28"/>
    <w:rsid w:val="00AC1C9A"/>
    <w:rsid w:val="00AC40D7"/>
    <w:rsid w:val="00AF054E"/>
    <w:rsid w:val="00AF5161"/>
    <w:rsid w:val="00B13E59"/>
    <w:rsid w:val="00B45321"/>
    <w:rsid w:val="00B45D05"/>
    <w:rsid w:val="00B55BB2"/>
    <w:rsid w:val="00B86E00"/>
    <w:rsid w:val="00C10D25"/>
    <w:rsid w:val="00C22BB4"/>
    <w:rsid w:val="00C36593"/>
    <w:rsid w:val="00C556A1"/>
    <w:rsid w:val="00C56F25"/>
    <w:rsid w:val="00C63FE4"/>
    <w:rsid w:val="00C675BE"/>
    <w:rsid w:val="00C91D92"/>
    <w:rsid w:val="00CA4507"/>
    <w:rsid w:val="00CE7DEB"/>
    <w:rsid w:val="00D01963"/>
    <w:rsid w:val="00D33A89"/>
    <w:rsid w:val="00D50E59"/>
    <w:rsid w:val="00D571B7"/>
    <w:rsid w:val="00DB2341"/>
    <w:rsid w:val="00DC59FA"/>
    <w:rsid w:val="00DD1AE1"/>
    <w:rsid w:val="00DF6B32"/>
    <w:rsid w:val="00E23E47"/>
    <w:rsid w:val="00E55E9A"/>
    <w:rsid w:val="00E83C39"/>
    <w:rsid w:val="00E92B88"/>
    <w:rsid w:val="00E92B93"/>
    <w:rsid w:val="00E92F8B"/>
    <w:rsid w:val="00EA1C90"/>
    <w:rsid w:val="00EF1BE4"/>
    <w:rsid w:val="00EF3231"/>
    <w:rsid w:val="00EF504A"/>
    <w:rsid w:val="00EF525C"/>
    <w:rsid w:val="00F0088A"/>
    <w:rsid w:val="00F13728"/>
    <w:rsid w:val="00F90A48"/>
    <w:rsid w:val="00FA420F"/>
    <w:rsid w:val="1CA00C6A"/>
    <w:rsid w:val="23203351"/>
    <w:rsid w:val="693F1024"/>
    <w:rsid w:val="6B4D55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GB" w:eastAsia="en-US" w:bidi="ar-SA"/>
    </w:rPr>
  </w:style>
  <w:style w:type="paragraph" w:styleId="2">
    <w:name w:val="heading 2"/>
    <w:basedOn w:val="1"/>
    <w:next w:val="1"/>
    <w:link w:val="19"/>
    <w:semiHidden/>
    <w:unhideWhenUsed/>
    <w:qFormat/>
    <w:uiPriority w:val="9"/>
    <w:pPr>
      <w:keepNext/>
      <w:keepLines/>
      <w:spacing w:before="40" w:after="0"/>
      <w:outlineLvl w:val="1"/>
    </w:pPr>
    <w:rPr>
      <w:rFonts w:asciiTheme="majorHAnsi" w:hAnsiTheme="majorHAnsi" w:eastAsiaTheme="majorEastAsia" w:cstheme="majorBidi"/>
      <w:color w:val="2F5597" w:themeColor="accent1" w:themeShade="BF"/>
      <w:sz w:val="26"/>
      <w:szCs w:val="26"/>
    </w:rPr>
  </w:style>
  <w:style w:type="paragraph" w:styleId="3">
    <w:name w:val="heading 3"/>
    <w:basedOn w:val="1"/>
    <w:next w:val="1"/>
    <w:link w:val="20"/>
    <w:semiHidden/>
    <w:unhideWhenUsed/>
    <w:qFormat/>
    <w:uiPriority w:val="9"/>
    <w:pPr>
      <w:keepNext/>
      <w:keepLines/>
      <w:spacing w:before="40" w:after="0"/>
      <w:outlineLvl w:val="2"/>
    </w:pPr>
    <w:rPr>
      <w:rFonts w:asciiTheme="majorHAnsi" w:hAnsiTheme="majorHAnsi" w:eastAsiaTheme="majorEastAsia" w:cstheme="majorBidi"/>
      <w:color w:val="203864" w:themeColor="accent1" w:themeShade="80"/>
      <w:sz w:val="24"/>
      <w:szCs w:val="24"/>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6"/>
    <w:semiHidden/>
    <w:unhideWhenUsed/>
    <w:qFormat/>
    <w:uiPriority w:val="99"/>
    <w:pPr>
      <w:spacing w:after="0" w:line="240" w:lineRule="auto"/>
    </w:pPr>
    <w:rPr>
      <w:rFonts w:ascii="Segoe UI" w:hAnsi="Segoe UI" w:cs="Segoe UI"/>
      <w:sz w:val="18"/>
      <w:szCs w:val="18"/>
    </w:rPr>
  </w:style>
  <w:style w:type="character" w:styleId="7">
    <w:name w:val="annotation reference"/>
    <w:basedOn w:val="4"/>
    <w:semiHidden/>
    <w:unhideWhenUsed/>
    <w:qFormat/>
    <w:uiPriority w:val="99"/>
    <w:rPr>
      <w:sz w:val="16"/>
      <w:szCs w:val="16"/>
    </w:rPr>
  </w:style>
  <w:style w:type="paragraph" w:styleId="8">
    <w:name w:val="annotation text"/>
    <w:basedOn w:val="1"/>
    <w:link w:val="15"/>
    <w:semiHidden/>
    <w:unhideWhenUsed/>
    <w:uiPriority w:val="99"/>
    <w:pPr>
      <w:spacing w:line="240" w:lineRule="auto"/>
    </w:pPr>
    <w:rPr>
      <w:sz w:val="20"/>
      <w:szCs w:val="20"/>
    </w:rPr>
  </w:style>
  <w:style w:type="paragraph" w:styleId="9">
    <w:name w:val="footer"/>
    <w:basedOn w:val="1"/>
    <w:link w:val="18"/>
    <w:unhideWhenUsed/>
    <w:qFormat/>
    <w:uiPriority w:val="99"/>
    <w:pPr>
      <w:tabs>
        <w:tab w:val="center" w:pos="4680"/>
        <w:tab w:val="right" w:pos="9360"/>
      </w:tabs>
      <w:spacing w:after="0" w:line="240" w:lineRule="auto"/>
    </w:pPr>
  </w:style>
  <w:style w:type="paragraph" w:styleId="10">
    <w:name w:val="header"/>
    <w:basedOn w:val="1"/>
    <w:link w:val="17"/>
    <w:unhideWhenUsed/>
    <w:qFormat/>
    <w:uiPriority w:val="99"/>
    <w:pPr>
      <w:tabs>
        <w:tab w:val="center" w:pos="4680"/>
        <w:tab w:val="right" w:pos="9360"/>
      </w:tabs>
      <w:spacing w:after="0" w:line="240" w:lineRule="auto"/>
    </w:pPr>
  </w:style>
  <w:style w:type="character" w:styleId="11">
    <w:name w:val="Hyperlink"/>
    <w:basedOn w:val="4"/>
    <w:unhideWhenUsed/>
    <w:qFormat/>
    <w:uiPriority w:val="99"/>
    <w:rPr>
      <w:color w:val="0563C1" w:themeColor="hyperlink"/>
      <w:u w:val="single"/>
      <w14:textFill>
        <w14:solidFill>
          <w14:schemeClr w14:val="hlink"/>
        </w14:solidFill>
      </w14:textFill>
    </w:rPr>
  </w:style>
  <w:style w:type="table" w:styleId="12">
    <w:name w:val="Table Grid"/>
    <w:basedOn w:val="5"/>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3">
    <w:name w:val="toc 1"/>
    <w:basedOn w:val="1"/>
    <w:next w:val="1"/>
    <w:autoRedefine/>
    <w:unhideWhenUsed/>
    <w:qFormat/>
    <w:uiPriority w:val="39"/>
    <w:pPr>
      <w:spacing w:after="100"/>
    </w:pPr>
  </w:style>
  <w:style w:type="paragraph" w:styleId="14">
    <w:name w:val="List Paragraph"/>
    <w:basedOn w:val="1"/>
    <w:qFormat/>
    <w:uiPriority w:val="34"/>
    <w:pPr>
      <w:ind w:left="720"/>
      <w:contextualSpacing/>
    </w:pPr>
  </w:style>
  <w:style w:type="character" w:customStyle="1" w:styleId="15">
    <w:name w:val="Comment Text Char"/>
    <w:basedOn w:val="4"/>
    <w:link w:val="8"/>
    <w:semiHidden/>
    <w:qFormat/>
    <w:uiPriority w:val="99"/>
    <w:rPr>
      <w:sz w:val="20"/>
      <w:szCs w:val="20"/>
      <w:lang w:val="en-GB"/>
    </w:rPr>
  </w:style>
  <w:style w:type="character" w:customStyle="1" w:styleId="16">
    <w:name w:val="Balloon Text Char"/>
    <w:basedOn w:val="4"/>
    <w:link w:val="6"/>
    <w:semiHidden/>
    <w:qFormat/>
    <w:uiPriority w:val="99"/>
    <w:rPr>
      <w:rFonts w:ascii="Segoe UI" w:hAnsi="Segoe UI" w:cs="Segoe UI"/>
      <w:sz w:val="18"/>
      <w:szCs w:val="18"/>
      <w:lang w:val="en-GB"/>
    </w:rPr>
  </w:style>
  <w:style w:type="character" w:customStyle="1" w:styleId="17">
    <w:name w:val="Header Char"/>
    <w:basedOn w:val="4"/>
    <w:link w:val="10"/>
    <w:qFormat/>
    <w:uiPriority w:val="99"/>
    <w:rPr>
      <w:lang w:val="en-GB"/>
    </w:rPr>
  </w:style>
  <w:style w:type="character" w:customStyle="1" w:styleId="18">
    <w:name w:val="Footer Char"/>
    <w:basedOn w:val="4"/>
    <w:link w:val="9"/>
    <w:qFormat/>
    <w:uiPriority w:val="99"/>
    <w:rPr>
      <w:lang w:val="en-GB"/>
    </w:rPr>
  </w:style>
  <w:style w:type="character" w:customStyle="1" w:styleId="19">
    <w:name w:val="Heading 2 Char"/>
    <w:basedOn w:val="4"/>
    <w:link w:val="2"/>
    <w:semiHidden/>
    <w:qFormat/>
    <w:uiPriority w:val="9"/>
    <w:rPr>
      <w:rFonts w:asciiTheme="majorHAnsi" w:hAnsiTheme="majorHAnsi" w:eastAsiaTheme="majorEastAsia" w:cstheme="majorBidi"/>
      <w:color w:val="2F5597" w:themeColor="accent1" w:themeShade="BF"/>
      <w:sz w:val="26"/>
      <w:szCs w:val="26"/>
      <w:lang w:val="en-GB"/>
    </w:rPr>
  </w:style>
  <w:style w:type="character" w:customStyle="1" w:styleId="20">
    <w:name w:val="Heading 3 Char"/>
    <w:basedOn w:val="4"/>
    <w:link w:val="3"/>
    <w:semiHidden/>
    <w:qFormat/>
    <w:uiPriority w:val="9"/>
    <w:rPr>
      <w:rFonts w:asciiTheme="majorHAnsi" w:hAnsiTheme="majorHAnsi" w:eastAsiaTheme="majorEastAsia" w:cstheme="majorBidi"/>
      <w:color w:val="203864" w:themeColor="accent1" w:themeShade="80"/>
      <w:sz w:val="24"/>
      <w:szCs w:val="24"/>
      <w:lang w:val="en-GB"/>
    </w:rPr>
  </w:style>
  <w:style w:type="paragraph" w:styleId="21">
    <w:name w:val="No Spacing"/>
    <w:qFormat/>
    <w:uiPriority w:val="1"/>
    <w:pPr>
      <w:spacing w:after="0" w:line="240" w:lineRule="auto"/>
    </w:pPr>
    <w:rPr>
      <w:rFonts w:asciiTheme="minorHAnsi" w:hAnsiTheme="minorHAnsi" w:eastAsiaTheme="minorHAnsi" w:cstheme="minorBidi"/>
      <w:sz w:val="22"/>
      <w:szCs w:val="22"/>
      <w:lang w:val="en-GB" w:eastAsia="en-US"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EF62267-8E14-433E-9F10-93DF1A658925}">
  <ds:schemaRefs/>
</ds:datastoreItem>
</file>

<file path=docProps/app.xml><?xml version="1.0" encoding="utf-8"?>
<Properties xmlns="http://schemas.openxmlformats.org/officeDocument/2006/extended-properties" xmlns:vt="http://schemas.openxmlformats.org/officeDocument/2006/docPropsVTypes">
  <Template>Normal</Template>
  <Pages>36</Pages>
  <Words>8194</Words>
  <Characters>46708</Characters>
  <Lines>389</Lines>
  <Paragraphs>109</Paragraphs>
  <TotalTime>0</TotalTime>
  <ScaleCrop>false</ScaleCrop>
  <LinksUpToDate>false</LinksUpToDate>
  <CharactersWithSpaces>54793</CharactersWithSpaces>
  <Application>WPS Office_12.2.0.23155_F1E327BC-269C-435d-A152-05C5408002CA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2025-10-26T17:46:00Z</dcterms:created>
  <dc:creator>Aisha Lema</dc:creator>
  <cp:lastModifiedBy>PC</cp:lastModifiedBy>
  <cp:lastPrinted>2025-11-06T15:33:00Z</cp:lastPrinted>
  <dcterms:modified xsi:type="dcterms:W3CDTF">2025-11-20T20:54:12Z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6FFD37F3FFEC403CB16DE5ED88F9E301_12</vt:lpwstr>
  </property>
</Properties>
</file>