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770B" w:rsidRDefault="00DF67D1">
      <w:pPr>
        <w:pStyle w:val="Heading1"/>
        <w:rPr>
          <w:rFonts w:eastAsia="Arial Unicode MS"/>
          <w:color w:val="000000"/>
        </w:rPr>
      </w:pPr>
      <w:bookmarkStart w:id="0" w:name="_Toc214452579"/>
      <w:bookmarkStart w:id="1" w:name="_Toc214099900"/>
      <w:bookmarkStart w:id="2" w:name="_Toc214449993"/>
      <w:r>
        <w:rPr>
          <w:rFonts w:eastAsia="Arial Unicode MS"/>
        </w:rPr>
        <w:t>PRODUCTION OF MOSQUITO REPELLENT (COIL) USING ORANGE (CITRUS SINENSIS) PEELS</w:t>
      </w:r>
    </w:p>
    <w:p w:rsidR="004B770B" w:rsidRDefault="004B770B">
      <w:pPr>
        <w:ind w:right="-1440"/>
        <w:jc w:val="both"/>
        <w:rPr>
          <w:rFonts w:eastAsia="Arial Unicode MS" w:cs="Times New Roman"/>
          <w:b/>
          <w:bCs/>
          <w:color w:val="000000"/>
          <w:szCs w:val="24"/>
        </w:rPr>
      </w:pPr>
    </w:p>
    <w:p w:rsidR="000F0187" w:rsidRDefault="000F0187">
      <w:pPr>
        <w:jc w:val="center"/>
        <w:rPr>
          <w:rFonts w:eastAsia="Arial Unicode MS" w:cs="Times New Roman"/>
          <w:b/>
          <w:bCs/>
          <w:color w:val="000000"/>
          <w:szCs w:val="24"/>
        </w:rPr>
      </w:pPr>
    </w:p>
    <w:p w:rsidR="004B770B" w:rsidRDefault="00DF67D1">
      <w:pPr>
        <w:jc w:val="center"/>
        <w:rPr>
          <w:rFonts w:eastAsia="Arial Unicode MS" w:cs="Times New Roman"/>
          <w:b/>
          <w:bCs/>
          <w:color w:val="000000"/>
          <w:szCs w:val="24"/>
        </w:rPr>
      </w:pPr>
      <w:r>
        <w:rPr>
          <w:rFonts w:eastAsia="Arial Unicode MS" w:cs="Times New Roman"/>
          <w:b/>
          <w:bCs/>
          <w:color w:val="000000"/>
          <w:szCs w:val="24"/>
        </w:rPr>
        <w:t>Project Report</w:t>
      </w:r>
    </w:p>
    <w:p w:rsidR="004B770B" w:rsidRDefault="004B770B">
      <w:pPr>
        <w:jc w:val="center"/>
        <w:rPr>
          <w:rFonts w:eastAsia="Arial Unicode MS" w:cs="Times New Roman"/>
          <w:b/>
          <w:bCs/>
          <w:color w:val="000000"/>
          <w:szCs w:val="24"/>
        </w:rPr>
      </w:pPr>
    </w:p>
    <w:p w:rsidR="004B770B" w:rsidRDefault="004B770B">
      <w:pPr>
        <w:jc w:val="center"/>
        <w:rPr>
          <w:rFonts w:eastAsia="Arial Unicode MS" w:cs="Times New Roman"/>
          <w:b/>
          <w:bCs/>
          <w:color w:val="000000"/>
          <w:szCs w:val="24"/>
        </w:rPr>
      </w:pPr>
    </w:p>
    <w:p w:rsidR="004B770B" w:rsidRDefault="00DF67D1">
      <w:pPr>
        <w:jc w:val="center"/>
        <w:rPr>
          <w:rFonts w:eastAsia="Arial Unicode MS" w:cs="Times New Roman"/>
          <w:b/>
          <w:bCs/>
          <w:color w:val="000000"/>
          <w:szCs w:val="24"/>
        </w:rPr>
      </w:pPr>
      <w:r>
        <w:rPr>
          <w:rFonts w:eastAsia="Arial Unicode MS" w:cs="Times New Roman"/>
          <w:b/>
          <w:bCs/>
          <w:color w:val="000000"/>
          <w:szCs w:val="24"/>
        </w:rPr>
        <w:t>Submitted to the</w:t>
      </w:r>
    </w:p>
    <w:p w:rsidR="004B770B" w:rsidRDefault="00DF67D1">
      <w:pPr>
        <w:spacing w:line="240" w:lineRule="auto"/>
        <w:jc w:val="center"/>
        <w:rPr>
          <w:rFonts w:eastAsia="Arial Unicode MS" w:cs="Times New Roman"/>
          <w:b/>
          <w:szCs w:val="24"/>
        </w:rPr>
      </w:pPr>
      <w:r>
        <w:rPr>
          <w:rFonts w:eastAsia="Arial Unicode MS" w:cs="Times New Roman"/>
          <w:b/>
          <w:szCs w:val="24"/>
        </w:rPr>
        <w:t>DEPARTMENT OF BIOCHEMISTRY AND MOLECULAR BIOLOGY,</w:t>
      </w:r>
    </w:p>
    <w:p w:rsidR="004B770B" w:rsidRDefault="00DF67D1">
      <w:pPr>
        <w:spacing w:line="240" w:lineRule="auto"/>
        <w:jc w:val="center"/>
        <w:rPr>
          <w:rFonts w:eastAsia="Arial Unicode MS" w:cs="Times New Roman"/>
          <w:b/>
          <w:szCs w:val="24"/>
        </w:rPr>
      </w:pPr>
      <w:r>
        <w:rPr>
          <w:rFonts w:eastAsia="Arial Unicode MS" w:cs="Times New Roman"/>
          <w:b/>
          <w:szCs w:val="24"/>
        </w:rPr>
        <w:t>USMANU DANFODIYO UNIVERSITY, SOKOTO, NIGERIA</w:t>
      </w: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DF67D1">
      <w:pPr>
        <w:pStyle w:val="NoSpacing"/>
        <w:spacing w:line="276" w:lineRule="auto"/>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In Partial Fulfillment of the Requirements for the Award</w:t>
      </w:r>
    </w:p>
    <w:p w:rsidR="004B770B" w:rsidRDefault="00D5441D">
      <w:pPr>
        <w:pStyle w:val="NoSpacing"/>
        <w:spacing w:line="276" w:lineRule="auto"/>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of</w:t>
      </w:r>
      <w:r w:rsidR="00DF67D1">
        <w:rPr>
          <w:rFonts w:ascii="Times New Roman" w:eastAsia="Arial Unicode MS" w:hAnsi="Times New Roman" w:cs="Times New Roman"/>
          <w:b/>
          <w:sz w:val="24"/>
          <w:szCs w:val="24"/>
        </w:rPr>
        <w:t xml:space="preserve"> B.Sc. (HONS) Degree in Biochemistry</w:t>
      </w: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0F0187" w:rsidRDefault="000F0187">
      <w:pPr>
        <w:pStyle w:val="NoSpacing"/>
        <w:spacing w:line="276" w:lineRule="auto"/>
        <w:jc w:val="center"/>
        <w:rPr>
          <w:rFonts w:ascii="Times New Roman" w:eastAsia="Arial Unicode MS" w:hAnsi="Times New Roman" w:cs="Times New Roman"/>
          <w:b/>
          <w:sz w:val="24"/>
          <w:szCs w:val="24"/>
        </w:rPr>
      </w:pPr>
    </w:p>
    <w:p w:rsidR="000F0187" w:rsidRDefault="000F0187">
      <w:pPr>
        <w:pStyle w:val="NoSpacing"/>
        <w:spacing w:line="276" w:lineRule="auto"/>
        <w:jc w:val="center"/>
        <w:rPr>
          <w:rFonts w:ascii="Times New Roman" w:eastAsia="Arial Unicode MS" w:hAnsi="Times New Roman" w:cs="Times New Roman"/>
          <w:b/>
          <w:sz w:val="24"/>
          <w:szCs w:val="24"/>
        </w:rPr>
      </w:pPr>
    </w:p>
    <w:p w:rsidR="004B770B" w:rsidRDefault="00DF67D1">
      <w:pPr>
        <w:pStyle w:val="NoSpacing"/>
        <w:spacing w:line="276" w:lineRule="auto"/>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BY</w:t>
      </w:r>
    </w:p>
    <w:p w:rsidR="004B770B" w:rsidRDefault="004B770B">
      <w:pPr>
        <w:pStyle w:val="NoSpacing"/>
        <w:spacing w:line="276" w:lineRule="auto"/>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0F0187" w:rsidRDefault="000F0187">
      <w:pPr>
        <w:pStyle w:val="NoSpacing"/>
        <w:spacing w:line="276" w:lineRule="auto"/>
        <w:jc w:val="center"/>
        <w:rPr>
          <w:rFonts w:ascii="Times New Roman" w:eastAsia="Arial Unicode MS" w:hAnsi="Times New Roman" w:cs="Times New Roman"/>
          <w:b/>
          <w:sz w:val="24"/>
          <w:szCs w:val="24"/>
        </w:rPr>
      </w:pPr>
    </w:p>
    <w:p w:rsidR="004B770B" w:rsidRDefault="00DF67D1">
      <w:pPr>
        <w:pStyle w:val="NoSpacing"/>
        <w:spacing w:line="276" w:lineRule="auto"/>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EM ENIKE, Precious Ezechimerem</w:t>
      </w:r>
    </w:p>
    <w:p w:rsidR="004B770B" w:rsidRDefault="00DF67D1">
      <w:pPr>
        <w:pStyle w:val="NoSpacing"/>
        <w:spacing w:line="276" w:lineRule="auto"/>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(ADM. NO: 2010304038)</w:t>
      </w: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DF67D1">
      <w:pPr>
        <w:pStyle w:val="NoSpacing"/>
        <w:spacing w:line="276" w:lineRule="auto"/>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 xml:space="preserve">Supervisor: </w:t>
      </w:r>
      <w:r w:rsidR="00512F37">
        <w:rPr>
          <w:rFonts w:ascii="Times New Roman" w:eastAsia="Arial Unicode MS" w:hAnsi="Times New Roman" w:cs="Times New Roman"/>
          <w:b/>
          <w:bCs/>
          <w:sz w:val="24"/>
          <w:szCs w:val="24"/>
          <w:lang w:val="en-GB"/>
        </w:rPr>
        <w:t>Dr.Shafa’atu Ibrahim Giwa</w:t>
      </w: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4B770B">
      <w:pPr>
        <w:pStyle w:val="NoSpacing"/>
        <w:spacing w:line="276" w:lineRule="auto"/>
        <w:jc w:val="center"/>
        <w:rPr>
          <w:rFonts w:ascii="Times New Roman" w:eastAsia="Arial Unicode MS" w:hAnsi="Times New Roman" w:cs="Times New Roman"/>
          <w:b/>
          <w:sz w:val="24"/>
          <w:szCs w:val="24"/>
        </w:rPr>
      </w:pPr>
    </w:p>
    <w:p w:rsidR="004B770B" w:rsidRDefault="00DF67D1">
      <w:pPr>
        <w:jc w:val="center"/>
        <w:rPr>
          <w:rFonts w:cs="Times New Roman"/>
          <w:b/>
          <w:szCs w:val="24"/>
        </w:rPr>
      </w:pPr>
      <w:r>
        <w:rPr>
          <w:rFonts w:eastAsia="Arial Unicode MS" w:cs="Times New Roman"/>
          <w:b/>
          <w:szCs w:val="24"/>
        </w:rPr>
        <w:t>DECEMBER, 2025</w:t>
      </w:r>
    </w:p>
    <w:p w:rsidR="00FA516B" w:rsidRDefault="00FA516B" w:rsidP="00746B17">
      <w:pPr>
        <w:jc w:val="center"/>
        <w:rPr>
          <w:rFonts w:cs="Times New Roman"/>
          <w:szCs w:val="24"/>
        </w:rPr>
      </w:pPr>
    </w:p>
    <w:p w:rsidR="004B770B" w:rsidRDefault="00746B17" w:rsidP="00746B17">
      <w:pPr>
        <w:jc w:val="center"/>
        <w:rPr>
          <w:rFonts w:cs="Times New Roman"/>
          <w:szCs w:val="24"/>
        </w:rPr>
      </w:pPr>
      <w:r>
        <w:rPr>
          <w:rFonts w:cs="Times New Roman"/>
          <w:szCs w:val="24"/>
        </w:rPr>
        <w:lastRenderedPageBreak/>
        <w:t>C</w:t>
      </w:r>
      <w:r w:rsidR="00DF67D1">
        <w:rPr>
          <w:rFonts w:cs="Times New Roman"/>
          <w:szCs w:val="24"/>
        </w:rPr>
        <w:t>ERTIFICATION</w:t>
      </w:r>
    </w:p>
    <w:p w:rsidR="004B770B" w:rsidRDefault="00DF67D1">
      <w:pPr>
        <w:jc w:val="both"/>
        <w:rPr>
          <w:rFonts w:cs="Times New Roman"/>
          <w:szCs w:val="24"/>
        </w:rPr>
      </w:pPr>
      <w:r>
        <w:rPr>
          <w:rFonts w:cs="Times New Roman"/>
          <w:szCs w:val="24"/>
        </w:rPr>
        <w:t>This is to certify that the research project reported here was conducted here was by EMENIKE, Precious Ezechimerem  (2010304038) and has been approved as meeting part of the requirements for the award of Bachelor of Science Degree in Biochemistry of the Usmanu Danfodiyo University, Sokoto.</w:t>
      </w:r>
    </w:p>
    <w:p w:rsidR="004B770B" w:rsidRDefault="004B770B">
      <w:pPr>
        <w:rPr>
          <w:rFonts w:cs="Times New Roman"/>
          <w:szCs w:val="24"/>
        </w:rPr>
      </w:pPr>
    </w:p>
    <w:p w:rsidR="004B770B" w:rsidRDefault="004B770B">
      <w:pPr>
        <w:rPr>
          <w:rFonts w:cs="Times New Roman"/>
          <w:szCs w:val="24"/>
        </w:rPr>
      </w:pPr>
    </w:p>
    <w:p w:rsidR="004B770B" w:rsidRDefault="004B770B">
      <w:pPr>
        <w:rPr>
          <w:rFonts w:cs="Times New Roman"/>
          <w:szCs w:val="24"/>
        </w:rPr>
      </w:pPr>
    </w:p>
    <w:p w:rsidR="004B770B" w:rsidRDefault="00DF67D1">
      <w:pPr>
        <w:rPr>
          <w:rFonts w:cs="Times New Roman"/>
          <w:szCs w:val="24"/>
        </w:rPr>
      </w:pPr>
      <w:r>
        <w:rPr>
          <w:rFonts w:cs="Times New Roman"/>
          <w:szCs w:val="24"/>
        </w:rPr>
        <w:t xml:space="preserve">_________________________                                                       </w:t>
      </w:r>
      <w:r w:rsidR="00B03603">
        <w:rPr>
          <w:rFonts w:cs="Times New Roman"/>
          <w:szCs w:val="24"/>
        </w:rPr>
        <w:t xml:space="preserve">                      </w:t>
      </w:r>
      <w:r>
        <w:rPr>
          <w:rFonts w:cs="Times New Roman"/>
          <w:szCs w:val="24"/>
        </w:rPr>
        <w:t>_________</w:t>
      </w:r>
      <w:r w:rsidR="00B03603">
        <w:rPr>
          <w:rFonts w:cs="Times New Roman"/>
          <w:szCs w:val="24"/>
        </w:rPr>
        <w:t>__</w:t>
      </w:r>
    </w:p>
    <w:p w:rsidR="004B770B" w:rsidRDefault="00DF67D1">
      <w:pPr>
        <w:rPr>
          <w:rFonts w:cs="Times New Roman"/>
          <w:szCs w:val="24"/>
        </w:rPr>
      </w:pPr>
      <w:r>
        <w:rPr>
          <w:rFonts w:cs="Times New Roman"/>
          <w:szCs w:val="24"/>
        </w:rPr>
        <w:t xml:space="preserve">Dr. Shafa’atu Ibrahim Giwa                                                                   </w:t>
      </w:r>
      <w:r w:rsidR="007B7E68">
        <w:rPr>
          <w:rFonts w:cs="Times New Roman"/>
          <w:szCs w:val="24"/>
        </w:rPr>
        <w:t xml:space="preserve">  </w:t>
      </w:r>
      <w:r w:rsidR="00B03603">
        <w:rPr>
          <w:rFonts w:cs="Times New Roman"/>
          <w:szCs w:val="24"/>
        </w:rPr>
        <w:t xml:space="preserve">                     </w:t>
      </w:r>
      <w:r>
        <w:rPr>
          <w:rFonts w:cs="Times New Roman"/>
          <w:szCs w:val="24"/>
        </w:rPr>
        <w:t>Date</w:t>
      </w:r>
    </w:p>
    <w:p w:rsidR="004B770B" w:rsidRDefault="00DF67D1">
      <w:pPr>
        <w:rPr>
          <w:rFonts w:cs="Times New Roman"/>
          <w:szCs w:val="24"/>
        </w:rPr>
      </w:pPr>
      <w:r>
        <w:rPr>
          <w:rFonts w:cs="Times New Roman"/>
          <w:szCs w:val="24"/>
        </w:rPr>
        <w:t>Project Supervisor</w:t>
      </w:r>
    </w:p>
    <w:p w:rsidR="004B770B" w:rsidRDefault="004B770B">
      <w:pPr>
        <w:rPr>
          <w:rFonts w:cs="Times New Roman"/>
          <w:szCs w:val="24"/>
        </w:rPr>
      </w:pPr>
    </w:p>
    <w:p w:rsidR="004B770B" w:rsidRDefault="004B770B">
      <w:pPr>
        <w:rPr>
          <w:rFonts w:cs="Times New Roman"/>
          <w:szCs w:val="24"/>
        </w:rPr>
      </w:pPr>
    </w:p>
    <w:p w:rsidR="004B770B" w:rsidRDefault="004B770B">
      <w:pPr>
        <w:rPr>
          <w:rFonts w:cs="Times New Roman"/>
          <w:szCs w:val="24"/>
        </w:rPr>
      </w:pPr>
    </w:p>
    <w:p w:rsidR="004B770B" w:rsidRDefault="00DF67D1">
      <w:pPr>
        <w:rPr>
          <w:rFonts w:cs="Times New Roman"/>
          <w:szCs w:val="24"/>
        </w:rPr>
      </w:pPr>
      <w:r>
        <w:rPr>
          <w:rFonts w:cs="Times New Roman"/>
          <w:szCs w:val="24"/>
        </w:rPr>
        <w:t xml:space="preserve">_________________________                                                       </w:t>
      </w:r>
      <w:r w:rsidR="00B03603">
        <w:rPr>
          <w:rFonts w:cs="Times New Roman"/>
          <w:szCs w:val="24"/>
        </w:rPr>
        <w:t xml:space="preserve">                       </w:t>
      </w:r>
      <w:r>
        <w:rPr>
          <w:rFonts w:cs="Times New Roman"/>
          <w:szCs w:val="24"/>
        </w:rPr>
        <w:t>_________</w:t>
      </w:r>
      <w:r w:rsidR="00B03603">
        <w:rPr>
          <w:rFonts w:cs="Times New Roman"/>
          <w:szCs w:val="24"/>
        </w:rPr>
        <w:t>__</w:t>
      </w:r>
    </w:p>
    <w:p w:rsidR="004B770B" w:rsidRDefault="00DF67D1">
      <w:pPr>
        <w:rPr>
          <w:rFonts w:cs="Times New Roman"/>
          <w:szCs w:val="24"/>
        </w:rPr>
      </w:pPr>
      <w:r>
        <w:rPr>
          <w:rFonts w:cs="Times New Roman"/>
          <w:szCs w:val="24"/>
        </w:rPr>
        <w:t xml:space="preserve">Dr. Almustapha Lawal                                                                            </w:t>
      </w:r>
      <w:r w:rsidR="00B03603">
        <w:rPr>
          <w:rFonts w:cs="Times New Roman"/>
          <w:szCs w:val="24"/>
        </w:rPr>
        <w:t xml:space="preserve">                       </w:t>
      </w:r>
      <w:r>
        <w:rPr>
          <w:rFonts w:cs="Times New Roman"/>
          <w:szCs w:val="24"/>
        </w:rPr>
        <w:t>Date</w:t>
      </w:r>
    </w:p>
    <w:p w:rsidR="004B770B" w:rsidRDefault="00DF67D1">
      <w:pPr>
        <w:rPr>
          <w:rFonts w:cs="Times New Roman"/>
          <w:szCs w:val="24"/>
        </w:rPr>
      </w:pPr>
      <w:r>
        <w:rPr>
          <w:rFonts w:cs="Times New Roman"/>
          <w:szCs w:val="24"/>
        </w:rPr>
        <w:t xml:space="preserve">           H.O.D</w:t>
      </w:r>
    </w:p>
    <w:p w:rsidR="004B770B" w:rsidRDefault="004B770B">
      <w:pPr>
        <w:rPr>
          <w:rFonts w:cs="Times New Roman"/>
          <w:szCs w:val="24"/>
        </w:rPr>
      </w:pPr>
    </w:p>
    <w:p w:rsidR="004B770B" w:rsidRDefault="004B770B">
      <w:pPr>
        <w:rPr>
          <w:rFonts w:cs="Times New Roman"/>
          <w:szCs w:val="24"/>
        </w:rPr>
      </w:pPr>
    </w:p>
    <w:p w:rsidR="004B770B" w:rsidRDefault="004B770B">
      <w:pPr>
        <w:rPr>
          <w:rFonts w:cs="Times New Roman"/>
          <w:szCs w:val="24"/>
        </w:rPr>
      </w:pPr>
    </w:p>
    <w:p w:rsidR="004B770B" w:rsidRDefault="00DF67D1">
      <w:pPr>
        <w:rPr>
          <w:rFonts w:cs="Times New Roman"/>
          <w:szCs w:val="24"/>
        </w:rPr>
      </w:pPr>
      <w:r>
        <w:rPr>
          <w:rFonts w:cs="Times New Roman"/>
          <w:szCs w:val="24"/>
        </w:rPr>
        <w:t xml:space="preserve">_________________________                                                         </w:t>
      </w:r>
      <w:r w:rsidR="00F45BAC">
        <w:rPr>
          <w:rFonts w:cs="Times New Roman"/>
          <w:szCs w:val="24"/>
        </w:rPr>
        <w:t xml:space="preserve">  </w:t>
      </w:r>
      <w:r w:rsidR="00B03603">
        <w:rPr>
          <w:rFonts w:cs="Times New Roman"/>
          <w:szCs w:val="24"/>
        </w:rPr>
        <w:t xml:space="preserve">                   </w:t>
      </w:r>
      <w:r>
        <w:rPr>
          <w:rFonts w:cs="Times New Roman"/>
          <w:szCs w:val="24"/>
        </w:rPr>
        <w:t>________</w:t>
      </w:r>
      <w:r w:rsidR="00B03603">
        <w:rPr>
          <w:rFonts w:cs="Times New Roman"/>
          <w:szCs w:val="24"/>
        </w:rPr>
        <w:t>___</w:t>
      </w:r>
    </w:p>
    <w:p w:rsidR="00B03603" w:rsidRDefault="00DF67D1" w:rsidP="00F45BAC">
      <w:pPr>
        <w:rPr>
          <w:rFonts w:cs="Times New Roman"/>
          <w:szCs w:val="24"/>
        </w:rPr>
      </w:pPr>
      <w:r>
        <w:rPr>
          <w:rFonts w:cs="Times New Roman"/>
          <w:szCs w:val="24"/>
        </w:rPr>
        <w:t xml:space="preserve">                                                                                                                                       </w:t>
      </w:r>
      <w:r w:rsidR="00F45BAC">
        <w:rPr>
          <w:rFonts w:cs="Times New Roman"/>
          <w:szCs w:val="24"/>
        </w:rPr>
        <w:t xml:space="preserve">  </w:t>
      </w:r>
      <w:r>
        <w:rPr>
          <w:rFonts w:cs="Times New Roman"/>
          <w:szCs w:val="24"/>
        </w:rPr>
        <w:t>Date</w:t>
      </w:r>
      <w:r w:rsidR="00F45BAC">
        <w:rPr>
          <w:rFonts w:cs="Times New Roman"/>
          <w:szCs w:val="24"/>
        </w:rPr>
        <w:t xml:space="preserve"> </w:t>
      </w:r>
      <w:r>
        <w:rPr>
          <w:rFonts w:cs="Times New Roman"/>
          <w:szCs w:val="24"/>
        </w:rPr>
        <w:t xml:space="preserve">External Examiner                                                                                                                                                             </w:t>
      </w:r>
    </w:p>
    <w:p w:rsidR="00B03603" w:rsidRDefault="00B03603" w:rsidP="00F45BAC">
      <w:pPr>
        <w:rPr>
          <w:rFonts w:cs="Times New Roman"/>
          <w:szCs w:val="24"/>
        </w:rPr>
      </w:pPr>
    </w:p>
    <w:p w:rsidR="00B03603" w:rsidRDefault="00B03603" w:rsidP="00F45BAC">
      <w:pPr>
        <w:rPr>
          <w:rFonts w:cs="Times New Roman"/>
          <w:szCs w:val="24"/>
        </w:rPr>
      </w:pPr>
    </w:p>
    <w:p w:rsidR="004B770B" w:rsidRDefault="00DF67D1" w:rsidP="00B03603">
      <w:pPr>
        <w:jc w:val="center"/>
        <w:rPr>
          <w:rFonts w:cs="Times New Roman"/>
          <w:szCs w:val="24"/>
        </w:rPr>
      </w:pPr>
      <w:r>
        <w:rPr>
          <w:rFonts w:cs="Times New Roman"/>
          <w:szCs w:val="24"/>
        </w:rPr>
        <w:lastRenderedPageBreak/>
        <w:t>DEDICATION</w:t>
      </w:r>
    </w:p>
    <w:p w:rsidR="004B770B" w:rsidRDefault="00DF67D1" w:rsidP="005E25FE">
      <w:pPr>
        <w:rPr>
          <w:rFonts w:eastAsia="SimSun" w:cs="Times New Roman"/>
          <w:szCs w:val="24"/>
        </w:rPr>
      </w:pPr>
      <w:r>
        <w:rPr>
          <w:rFonts w:eastAsia="SimSun" w:cs="Times New Roman"/>
          <w:szCs w:val="24"/>
        </w:rPr>
        <w:t>This work is formally dedicated to my esteemed parents, whose steadfast support, guidance, and unwavering commitment have been the foundation of my academic pursuit and success. Their sacrifices and encouragement have continually inspired me to strive for excellence</w:t>
      </w:r>
    </w:p>
    <w:p w:rsidR="004B770B" w:rsidRDefault="004B770B">
      <w:pPr>
        <w:rPr>
          <w:rFonts w:eastAsia="SimSun" w:cs="Times New Roman"/>
          <w:szCs w:val="24"/>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4B770B" w:rsidRDefault="004B770B">
      <w:pPr>
        <w:rPr>
          <w:rFonts w:eastAsia="SimSun"/>
        </w:rPr>
      </w:pPr>
    </w:p>
    <w:p w:rsidR="006C24A9" w:rsidRDefault="006C24A9">
      <w:pPr>
        <w:jc w:val="center"/>
        <w:rPr>
          <w:rFonts w:cs="Times New Roman"/>
          <w:szCs w:val="24"/>
        </w:rPr>
      </w:pPr>
    </w:p>
    <w:p w:rsidR="006C24A9" w:rsidRDefault="006C24A9">
      <w:pPr>
        <w:jc w:val="center"/>
        <w:rPr>
          <w:rFonts w:cs="Times New Roman"/>
          <w:szCs w:val="24"/>
        </w:rPr>
      </w:pPr>
    </w:p>
    <w:p w:rsidR="004B770B" w:rsidRDefault="00DF67D1">
      <w:pPr>
        <w:jc w:val="center"/>
        <w:rPr>
          <w:rFonts w:eastAsia="SimSun" w:cs="Times New Roman"/>
          <w:szCs w:val="24"/>
        </w:rPr>
      </w:pPr>
      <w:r>
        <w:rPr>
          <w:rFonts w:cs="Times New Roman"/>
          <w:szCs w:val="24"/>
        </w:rPr>
        <w:lastRenderedPageBreak/>
        <w:t>ACKNOWLEDGEMENT</w:t>
      </w:r>
    </w:p>
    <w:p w:rsidR="004B770B" w:rsidRDefault="00DF67D1">
      <w:pPr>
        <w:jc w:val="both"/>
        <w:rPr>
          <w:rFonts w:cs="Times New Roman"/>
          <w:szCs w:val="24"/>
        </w:rPr>
      </w:pPr>
      <w:r>
        <w:rPr>
          <w:rFonts w:cs="Times New Roman"/>
          <w:szCs w:val="24"/>
        </w:rPr>
        <w:t>All praise and gratitude are due to Almighty God, the Most Gracious and Merciful, for His boundless love, guidance, and strength throughout my academic journey and the successful completion of this research work. Without His divine blessings, none of this would have been possible.</w:t>
      </w:r>
    </w:p>
    <w:p w:rsidR="004B770B" w:rsidRDefault="00DF67D1">
      <w:pPr>
        <w:jc w:val="both"/>
        <w:rPr>
          <w:rFonts w:cs="Times New Roman"/>
          <w:szCs w:val="24"/>
        </w:rPr>
      </w:pPr>
      <w:r>
        <w:rPr>
          <w:rFonts w:cs="Times New Roman"/>
          <w:szCs w:val="24"/>
        </w:rPr>
        <w:t>I express my profound gratitude to my supervisor, Dr. Shafa'atu Ibrahim Giwa, a dedicated professional in Food Biochemistry and Food Technology, for her invaluable guidance, patience, and constructive criticism throughout this study. Her extensive knowledge, unwavering support, and commitment have been instrumental to the successful completion of this project.</w:t>
      </w:r>
    </w:p>
    <w:p w:rsidR="004B770B" w:rsidRDefault="00DF67D1">
      <w:pPr>
        <w:jc w:val="both"/>
        <w:rPr>
          <w:rFonts w:cs="Times New Roman"/>
          <w:szCs w:val="24"/>
        </w:rPr>
      </w:pPr>
      <w:r>
        <w:rPr>
          <w:rFonts w:cs="Times New Roman"/>
          <w:szCs w:val="24"/>
        </w:rPr>
        <w:t>I am also sincerely grateful to the Head of the Department of Biochemistry, Dr. Almustapha Lawal, a renowned researcher in Systems Biology and Plant Genomics, for fostering a supportive academic environment and providing the leadership and resources necessary for the smooth execution of this research.</w:t>
      </w:r>
    </w:p>
    <w:p w:rsidR="004B770B" w:rsidRDefault="00DF67D1">
      <w:pPr>
        <w:jc w:val="both"/>
        <w:rPr>
          <w:rFonts w:cs="Times New Roman"/>
          <w:szCs w:val="24"/>
        </w:rPr>
      </w:pPr>
      <w:r>
        <w:rPr>
          <w:rFonts w:cs="Times New Roman"/>
          <w:szCs w:val="24"/>
        </w:rPr>
        <w:t>Special appreciation goes to my friends and classmates, whose encouragement, support, and camaraderie have made this academic journey both memorable and rewarding.</w:t>
      </w:r>
    </w:p>
    <w:p w:rsidR="004B770B" w:rsidRDefault="00DF67D1">
      <w:pPr>
        <w:jc w:val="both"/>
        <w:rPr>
          <w:rFonts w:cs="Times New Roman"/>
          <w:szCs w:val="24"/>
        </w:rPr>
      </w:pPr>
      <w:r>
        <w:rPr>
          <w:rFonts w:cs="Times New Roman"/>
          <w:szCs w:val="24"/>
        </w:rPr>
        <w:t>My deepest gratitude is reserved for my parents, Mr. &amp; Mrs. Andrew Emenike Ugbonta, whose unwavering love, prayers, guidance, and sacrifices have been the cornerstone of my success. I am also grateful to my sibling: Laura, Marvelous, Jubilee, Cherilyn, and Philip for their constant encouragement, support, and belief in me. Your collective love and motivation have been a source of strength throughout my academic journey.</w:t>
      </w:r>
    </w:p>
    <w:p w:rsidR="004B770B" w:rsidRDefault="004B770B"/>
    <w:p w:rsidR="004B770B" w:rsidRDefault="004B770B">
      <w:pPr>
        <w:rPr>
          <w:rFonts w:cs="Times New Roman"/>
          <w:szCs w:val="24"/>
        </w:rPr>
      </w:pPr>
    </w:p>
    <w:p w:rsidR="004B770B" w:rsidRDefault="004B770B">
      <w:pPr>
        <w:rPr>
          <w:rFonts w:cs="Times New Roman"/>
          <w:szCs w:val="24"/>
        </w:rPr>
      </w:pPr>
    </w:p>
    <w:sdt>
      <w:sdtPr>
        <w:rPr>
          <w:rFonts w:ascii="Times New Roman" w:eastAsiaTheme="minorHAnsi" w:hAnsi="Times New Roman" w:cs="Times New Roman"/>
          <w:b w:val="0"/>
          <w:bCs w:val="0"/>
          <w:color w:val="auto"/>
          <w:sz w:val="24"/>
          <w:szCs w:val="24"/>
        </w:rPr>
        <w:id w:val="18951954"/>
        <w:docPartObj>
          <w:docPartGallery w:val="Table of Contents"/>
          <w:docPartUnique/>
        </w:docPartObj>
      </w:sdtPr>
      <w:sdtContent>
        <w:p w:rsidR="004B770B" w:rsidRDefault="00DF67D1" w:rsidP="003B6271">
          <w:pPr>
            <w:pStyle w:val="TOCHeading2"/>
            <w:jc w:val="center"/>
            <w:rPr>
              <w:rFonts w:ascii="Times New Roman" w:hAnsi="Times New Roman" w:cs="Times New Roman"/>
              <w:sz w:val="24"/>
              <w:szCs w:val="24"/>
            </w:rPr>
          </w:pPr>
          <w:r>
            <w:rPr>
              <w:rFonts w:ascii="Times New Roman" w:hAnsi="Times New Roman" w:cs="Times New Roman"/>
              <w:sz w:val="24"/>
              <w:szCs w:val="24"/>
            </w:rPr>
            <w:t>Table of Contents</w:t>
          </w:r>
        </w:p>
        <w:p w:rsidR="004B770B" w:rsidRDefault="00DF67D1">
          <w:pPr>
            <w:rPr>
              <w:rFonts w:cs="Times New Roman"/>
              <w:szCs w:val="24"/>
            </w:rPr>
          </w:pPr>
          <w:r>
            <w:rPr>
              <w:rFonts w:cs="Times New Roman"/>
              <w:szCs w:val="24"/>
            </w:rPr>
            <w:t>CONTENTS                                                                                                                    PAGES</w:t>
          </w:r>
        </w:p>
        <w:p w:rsidR="004B770B" w:rsidRDefault="00DF67D1">
          <w:pPr>
            <w:rPr>
              <w:rFonts w:cs="Times New Roman"/>
              <w:szCs w:val="24"/>
            </w:rPr>
          </w:pPr>
          <w:r>
            <w:rPr>
              <w:rFonts w:cs="Times New Roman"/>
              <w:szCs w:val="24"/>
            </w:rPr>
            <w:t>Certification……</w:t>
          </w:r>
          <w:r w:rsidR="00814E21">
            <w:rPr>
              <w:rFonts w:cs="Times New Roman"/>
              <w:szCs w:val="24"/>
            </w:rPr>
            <w:t>…………………………………………………………….……………….</w:t>
          </w:r>
          <w:r>
            <w:rPr>
              <w:rFonts w:cs="Times New Roman"/>
              <w:szCs w:val="24"/>
            </w:rPr>
            <w:t>.i</w:t>
          </w:r>
        </w:p>
        <w:p w:rsidR="004B770B" w:rsidRDefault="00DF67D1">
          <w:pPr>
            <w:rPr>
              <w:rFonts w:cs="Times New Roman"/>
              <w:szCs w:val="24"/>
            </w:rPr>
          </w:pPr>
          <w:r>
            <w:rPr>
              <w:rFonts w:cs="Times New Roman"/>
              <w:szCs w:val="24"/>
            </w:rPr>
            <w:t>Dedication</w:t>
          </w:r>
          <w:r w:rsidR="00814E21">
            <w:rPr>
              <w:rFonts w:cs="Times New Roman"/>
              <w:szCs w:val="24"/>
            </w:rPr>
            <w:t>…………………………………………………………………………………...</w:t>
          </w:r>
          <w:r>
            <w:rPr>
              <w:rFonts w:cs="Times New Roman"/>
              <w:szCs w:val="24"/>
            </w:rPr>
            <w:t>. ii</w:t>
          </w:r>
        </w:p>
        <w:p w:rsidR="004B770B" w:rsidRDefault="00DF67D1">
          <w:pPr>
            <w:rPr>
              <w:rFonts w:cs="Times New Roman"/>
              <w:szCs w:val="24"/>
            </w:rPr>
          </w:pPr>
          <w:r>
            <w:rPr>
              <w:rFonts w:cs="Times New Roman"/>
              <w:szCs w:val="24"/>
            </w:rPr>
            <w:t>Acknowledgme</w:t>
          </w:r>
          <w:r w:rsidR="00814E21">
            <w:rPr>
              <w:rFonts w:cs="Times New Roman"/>
              <w:szCs w:val="24"/>
            </w:rPr>
            <w:t>nt……………………………………………………………………………</w:t>
          </w:r>
          <w:r>
            <w:rPr>
              <w:rFonts w:cs="Times New Roman"/>
              <w:szCs w:val="24"/>
            </w:rPr>
            <w:t xml:space="preserve"> iii</w:t>
          </w:r>
        </w:p>
        <w:p w:rsidR="004B770B" w:rsidRDefault="00DF67D1">
          <w:pPr>
            <w:rPr>
              <w:rFonts w:cs="Times New Roman"/>
              <w:szCs w:val="24"/>
            </w:rPr>
          </w:pPr>
          <w:r>
            <w:rPr>
              <w:rFonts w:cs="Times New Roman"/>
              <w:szCs w:val="24"/>
            </w:rPr>
            <w:t>Table of Conte</w:t>
          </w:r>
          <w:r w:rsidR="00814E21">
            <w:rPr>
              <w:rFonts w:cs="Times New Roman"/>
              <w:szCs w:val="24"/>
            </w:rPr>
            <w:t>nt……………………………………………………………………………...</w:t>
          </w:r>
          <w:r>
            <w:rPr>
              <w:rFonts w:cs="Times New Roman"/>
              <w:szCs w:val="24"/>
            </w:rPr>
            <w:t>iv</w:t>
          </w:r>
        </w:p>
        <w:p w:rsidR="004B770B" w:rsidRDefault="00DF67D1">
          <w:pPr>
            <w:rPr>
              <w:rFonts w:cs="Times New Roman"/>
              <w:szCs w:val="24"/>
            </w:rPr>
          </w:pPr>
          <w:r>
            <w:rPr>
              <w:rFonts w:cs="Times New Roman"/>
              <w:szCs w:val="24"/>
            </w:rPr>
            <w:t>List of Tables</w:t>
          </w:r>
          <w:r w:rsidR="00814E21">
            <w:rPr>
              <w:rFonts w:cs="Times New Roman"/>
              <w:szCs w:val="24"/>
            </w:rPr>
            <w:t>………………………………………………………………………………...</w:t>
          </w:r>
          <w:r>
            <w:rPr>
              <w:rFonts w:cs="Times New Roman"/>
              <w:szCs w:val="24"/>
            </w:rPr>
            <w:t>vii</w:t>
          </w:r>
        </w:p>
        <w:p w:rsidR="004B770B" w:rsidRDefault="00DF67D1">
          <w:pPr>
            <w:rPr>
              <w:rFonts w:cs="Times New Roman"/>
              <w:szCs w:val="24"/>
            </w:rPr>
          </w:pPr>
          <w:r>
            <w:rPr>
              <w:rFonts w:cs="Times New Roman"/>
              <w:szCs w:val="24"/>
            </w:rPr>
            <w:t>List of figures………………</w:t>
          </w:r>
          <w:r w:rsidR="00814E21">
            <w:rPr>
              <w:rFonts w:cs="Times New Roman"/>
              <w:szCs w:val="24"/>
            </w:rPr>
            <w:t>………………………………………………………...</w:t>
          </w:r>
          <w:r>
            <w:rPr>
              <w:rFonts w:cs="Times New Roman"/>
              <w:szCs w:val="24"/>
            </w:rPr>
            <w:t>….…. viii</w:t>
          </w:r>
        </w:p>
        <w:p w:rsidR="004B770B" w:rsidRDefault="00DF67D1">
          <w:pPr>
            <w:rPr>
              <w:rFonts w:cs="Times New Roman"/>
              <w:szCs w:val="24"/>
            </w:rPr>
          </w:pPr>
          <w:r>
            <w:rPr>
              <w:rFonts w:cs="Times New Roman"/>
              <w:szCs w:val="24"/>
            </w:rPr>
            <w:t>Abstract…</w:t>
          </w:r>
          <w:r w:rsidR="000F4801">
            <w:rPr>
              <w:rFonts w:cs="Times New Roman"/>
              <w:szCs w:val="24"/>
            </w:rPr>
            <w:t>…………………………………………………………………………………...</w:t>
          </w:r>
          <w:r>
            <w:rPr>
              <w:rFonts w:cs="Times New Roman"/>
              <w:szCs w:val="24"/>
            </w:rPr>
            <w:t>. xi</w:t>
          </w:r>
        </w:p>
        <w:p w:rsidR="004B770B" w:rsidRDefault="00B04685">
          <w:pPr>
            <w:pStyle w:val="TOC1"/>
            <w:rPr>
              <w:rFonts w:eastAsiaTheme="minorEastAsia" w:cs="Times New Roman"/>
              <w:szCs w:val="24"/>
            </w:rPr>
          </w:pPr>
          <w:r>
            <w:rPr>
              <w:rFonts w:cs="Times New Roman"/>
              <w:szCs w:val="24"/>
            </w:rPr>
            <w:fldChar w:fldCharType="begin"/>
          </w:r>
          <w:r w:rsidR="00DF67D1">
            <w:rPr>
              <w:rFonts w:cs="Times New Roman"/>
              <w:szCs w:val="24"/>
            </w:rPr>
            <w:instrText xml:space="preserve"> TOC \o "1-3" \h \z \u </w:instrText>
          </w:r>
          <w:r>
            <w:rPr>
              <w:rFonts w:cs="Times New Roman"/>
              <w:szCs w:val="24"/>
            </w:rPr>
            <w:fldChar w:fldCharType="separate"/>
          </w:r>
          <w:hyperlink w:anchor="_Toc214455944" w:history="1">
            <w:r w:rsidR="00DF67D1">
              <w:rPr>
                <w:rStyle w:val="Hyperlink"/>
                <w:rFonts w:cs="Times New Roman"/>
                <w:szCs w:val="24"/>
              </w:rPr>
              <w:t>CHAPTER ON</w:t>
            </w:r>
            <w:r w:rsidR="000F4801">
              <w:rPr>
                <w:rStyle w:val="Hyperlink"/>
                <w:rFonts w:cs="Times New Roman"/>
                <w:szCs w:val="24"/>
              </w:rPr>
              <w:t>E………………………………………………………………………………</w:t>
            </w:r>
            <w:r>
              <w:rPr>
                <w:rFonts w:cs="Times New Roman"/>
                <w:szCs w:val="24"/>
              </w:rPr>
              <w:fldChar w:fldCharType="begin"/>
            </w:r>
            <w:r w:rsidR="00DF67D1">
              <w:rPr>
                <w:rFonts w:cs="Times New Roman"/>
                <w:szCs w:val="24"/>
              </w:rPr>
              <w:instrText xml:space="preserve"> PAGEREF _Toc214455944 \h </w:instrText>
            </w:r>
            <w:r>
              <w:rPr>
                <w:rFonts w:cs="Times New Roman"/>
                <w:szCs w:val="24"/>
              </w:rPr>
            </w:r>
            <w:r>
              <w:rPr>
                <w:rFonts w:cs="Times New Roman"/>
                <w:szCs w:val="24"/>
              </w:rPr>
              <w:fldChar w:fldCharType="separate"/>
            </w:r>
            <w:r w:rsidR="00DF67D1">
              <w:rPr>
                <w:rFonts w:cs="Times New Roman"/>
                <w:szCs w:val="24"/>
              </w:rPr>
              <w:t>1</w:t>
            </w:r>
            <w:r>
              <w:rPr>
                <w:rFonts w:cs="Times New Roman"/>
                <w:szCs w:val="24"/>
              </w:rPr>
              <w:fldChar w:fldCharType="end"/>
            </w:r>
          </w:hyperlink>
        </w:p>
        <w:p w:rsidR="004B770B" w:rsidRDefault="00B04685">
          <w:pPr>
            <w:pStyle w:val="TOC1"/>
            <w:rPr>
              <w:rFonts w:eastAsiaTheme="minorEastAsia" w:cs="Times New Roman"/>
              <w:szCs w:val="24"/>
            </w:rPr>
          </w:pPr>
          <w:hyperlink w:anchor="_Toc214455945" w:history="1">
            <w:r w:rsidR="00DF67D1">
              <w:rPr>
                <w:rStyle w:val="Hyperlink"/>
                <w:rFonts w:cs="Times New Roman"/>
                <w:szCs w:val="24"/>
              </w:rPr>
              <w:t>1.0 Introducti</w:t>
            </w:r>
            <w:r w:rsidR="000F4801">
              <w:rPr>
                <w:rStyle w:val="Hyperlink"/>
                <w:rFonts w:cs="Times New Roman"/>
                <w:szCs w:val="24"/>
              </w:rPr>
              <w:t>on……………………………………………………………………......</w:t>
            </w:r>
            <w:r w:rsidR="00DF67D1">
              <w:rPr>
                <w:rStyle w:val="Hyperlink"/>
                <w:rFonts w:cs="Times New Roman"/>
                <w:szCs w:val="24"/>
              </w:rPr>
              <w:t>……....</w:t>
            </w:r>
            <w:r>
              <w:rPr>
                <w:rFonts w:cs="Times New Roman"/>
                <w:szCs w:val="24"/>
              </w:rPr>
              <w:fldChar w:fldCharType="begin"/>
            </w:r>
            <w:r w:rsidR="00DF67D1">
              <w:rPr>
                <w:rFonts w:cs="Times New Roman"/>
                <w:szCs w:val="24"/>
              </w:rPr>
              <w:instrText xml:space="preserve"> PAGEREF _Toc214455945 \h </w:instrText>
            </w:r>
            <w:r>
              <w:rPr>
                <w:rFonts w:cs="Times New Roman"/>
                <w:szCs w:val="24"/>
              </w:rPr>
            </w:r>
            <w:r>
              <w:rPr>
                <w:rFonts w:cs="Times New Roman"/>
                <w:szCs w:val="24"/>
              </w:rPr>
              <w:fldChar w:fldCharType="separate"/>
            </w:r>
            <w:r w:rsidR="00DF67D1">
              <w:rPr>
                <w:rFonts w:cs="Times New Roman"/>
                <w:szCs w:val="24"/>
              </w:rPr>
              <w:t>1</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46" w:history="1">
            <w:r w:rsidR="00DF67D1">
              <w:rPr>
                <w:rStyle w:val="Hyperlink"/>
                <w:rFonts w:cs="Times New Roman"/>
                <w:szCs w:val="24"/>
              </w:rPr>
              <w:t>1.1 Statement of the Problem</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_Toc214455946 \h </w:instrText>
            </w:r>
            <w:r>
              <w:rPr>
                <w:rFonts w:cs="Times New Roman"/>
                <w:szCs w:val="24"/>
              </w:rPr>
            </w:r>
            <w:r>
              <w:rPr>
                <w:rFonts w:cs="Times New Roman"/>
                <w:szCs w:val="24"/>
              </w:rPr>
              <w:fldChar w:fldCharType="separate"/>
            </w:r>
            <w:r w:rsidR="00DF67D1">
              <w:rPr>
                <w:rFonts w:cs="Times New Roman"/>
                <w:szCs w:val="24"/>
              </w:rPr>
              <w:t>2</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47" w:history="1">
            <w:r w:rsidR="00DF67D1">
              <w:rPr>
                <w:rStyle w:val="Hyperlink"/>
                <w:rFonts w:cs="Times New Roman"/>
                <w:szCs w:val="24"/>
              </w:rPr>
              <w:t>1.2 Justification</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_Toc214455947 \h </w:instrText>
            </w:r>
            <w:r>
              <w:rPr>
                <w:rFonts w:cs="Times New Roman"/>
                <w:szCs w:val="24"/>
              </w:rPr>
            </w:r>
            <w:r>
              <w:rPr>
                <w:rFonts w:cs="Times New Roman"/>
                <w:szCs w:val="24"/>
              </w:rPr>
              <w:fldChar w:fldCharType="separate"/>
            </w:r>
            <w:r w:rsidR="00DF67D1">
              <w:rPr>
                <w:rFonts w:cs="Times New Roman"/>
                <w:szCs w:val="24"/>
              </w:rPr>
              <w:t>2</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48" w:history="1">
            <w:r w:rsidR="00DF67D1">
              <w:rPr>
                <w:rStyle w:val="Hyperlink"/>
                <w:rFonts w:cs="Times New Roman"/>
                <w:szCs w:val="24"/>
              </w:rPr>
              <w:t>1.3 Aim of the Study</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_Toc214455948 \h </w:instrText>
            </w:r>
            <w:r>
              <w:rPr>
                <w:rFonts w:cs="Times New Roman"/>
                <w:szCs w:val="24"/>
              </w:rPr>
            </w:r>
            <w:r>
              <w:rPr>
                <w:rFonts w:cs="Times New Roman"/>
                <w:szCs w:val="24"/>
              </w:rPr>
              <w:fldChar w:fldCharType="separate"/>
            </w:r>
            <w:r w:rsidR="00DF67D1">
              <w:rPr>
                <w:rFonts w:cs="Times New Roman"/>
                <w:szCs w:val="24"/>
              </w:rPr>
              <w:t>3</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49" w:history="1">
            <w:r w:rsidR="00DF67D1">
              <w:rPr>
                <w:rStyle w:val="Hyperlink"/>
                <w:rFonts w:cs="Times New Roman"/>
                <w:szCs w:val="24"/>
              </w:rPr>
              <w:t>1.3.1 Aim</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_Toc214455949 \h </w:instrText>
            </w:r>
            <w:r>
              <w:rPr>
                <w:rFonts w:cs="Times New Roman"/>
                <w:szCs w:val="24"/>
              </w:rPr>
            </w:r>
            <w:r>
              <w:rPr>
                <w:rFonts w:cs="Times New Roman"/>
                <w:szCs w:val="24"/>
              </w:rPr>
              <w:fldChar w:fldCharType="separate"/>
            </w:r>
            <w:r w:rsidR="00DF67D1">
              <w:rPr>
                <w:rFonts w:cs="Times New Roman"/>
                <w:szCs w:val="24"/>
              </w:rPr>
              <w:t>3</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50" w:history="1">
            <w:r w:rsidR="00DF67D1">
              <w:rPr>
                <w:rStyle w:val="Hyperlink"/>
                <w:rFonts w:cs="Times New Roman"/>
                <w:szCs w:val="24"/>
              </w:rPr>
              <w:t>1.3.2 Objectives of the Study</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_Toc214455950 \h </w:instrText>
            </w:r>
            <w:r>
              <w:rPr>
                <w:rFonts w:cs="Times New Roman"/>
                <w:szCs w:val="24"/>
              </w:rPr>
            </w:r>
            <w:r>
              <w:rPr>
                <w:rFonts w:cs="Times New Roman"/>
                <w:szCs w:val="24"/>
              </w:rPr>
              <w:fldChar w:fldCharType="separate"/>
            </w:r>
            <w:r w:rsidR="00DF67D1">
              <w:rPr>
                <w:rFonts w:cs="Times New Roman"/>
                <w:szCs w:val="24"/>
              </w:rPr>
              <w:t>3</w:t>
            </w:r>
            <w:r>
              <w:rPr>
                <w:rFonts w:cs="Times New Roman"/>
                <w:szCs w:val="24"/>
              </w:rPr>
              <w:fldChar w:fldCharType="end"/>
            </w:r>
          </w:hyperlink>
        </w:p>
        <w:p w:rsidR="004B770B" w:rsidRDefault="00B04685">
          <w:pPr>
            <w:pStyle w:val="TOC1"/>
            <w:rPr>
              <w:rFonts w:eastAsiaTheme="minorEastAsia" w:cs="Times New Roman"/>
              <w:szCs w:val="24"/>
            </w:rPr>
          </w:pPr>
          <w:hyperlink w:anchor="_Toc214455951" w:history="1">
            <w:r w:rsidR="00DF67D1">
              <w:rPr>
                <w:rStyle w:val="Hyperlink"/>
                <w:rFonts w:cs="Times New Roman"/>
                <w:szCs w:val="24"/>
              </w:rPr>
              <w:t>CHAPTER TWO………………………………………………………………………………</w:t>
            </w:r>
            <w:r>
              <w:rPr>
                <w:rFonts w:cs="Times New Roman"/>
                <w:szCs w:val="24"/>
              </w:rPr>
              <w:fldChar w:fldCharType="begin"/>
            </w:r>
            <w:r w:rsidR="00DF67D1">
              <w:rPr>
                <w:rFonts w:cs="Times New Roman"/>
                <w:szCs w:val="24"/>
              </w:rPr>
              <w:instrText xml:space="preserve"> PAGEREF _Toc214455951 \h </w:instrText>
            </w:r>
            <w:r>
              <w:rPr>
                <w:rFonts w:cs="Times New Roman"/>
                <w:szCs w:val="24"/>
              </w:rPr>
            </w:r>
            <w:r>
              <w:rPr>
                <w:rFonts w:cs="Times New Roman"/>
                <w:szCs w:val="24"/>
              </w:rPr>
              <w:fldChar w:fldCharType="separate"/>
            </w:r>
            <w:r w:rsidR="00DF67D1">
              <w:rPr>
                <w:rFonts w:cs="Times New Roman"/>
                <w:szCs w:val="24"/>
              </w:rPr>
              <w:t>4</w:t>
            </w:r>
            <w:r>
              <w:rPr>
                <w:rFonts w:cs="Times New Roman"/>
                <w:szCs w:val="24"/>
              </w:rPr>
              <w:fldChar w:fldCharType="end"/>
            </w:r>
          </w:hyperlink>
        </w:p>
        <w:p w:rsidR="004B770B" w:rsidRDefault="00B04685">
          <w:pPr>
            <w:pStyle w:val="TOC1"/>
            <w:rPr>
              <w:rFonts w:eastAsiaTheme="minorEastAsia" w:cs="Times New Roman"/>
              <w:szCs w:val="24"/>
            </w:rPr>
          </w:pPr>
          <w:hyperlink w:anchor="_Toc214455952" w:history="1">
            <w:r w:rsidR="00DF67D1">
              <w:rPr>
                <w:rStyle w:val="Hyperlink"/>
                <w:rFonts w:cs="Times New Roman"/>
                <w:szCs w:val="24"/>
              </w:rPr>
              <w:t>Literature Rev</w:t>
            </w:r>
            <w:r w:rsidR="000F4801">
              <w:rPr>
                <w:rStyle w:val="Hyperlink"/>
                <w:rFonts w:cs="Times New Roman"/>
                <w:szCs w:val="24"/>
              </w:rPr>
              <w:t>iew…………………………………………………………………………...</w:t>
            </w:r>
            <w:r w:rsidR="00DF67D1">
              <w:rPr>
                <w:rStyle w:val="Hyperlink"/>
                <w:rFonts w:cs="Times New Roman"/>
                <w:szCs w:val="24"/>
              </w:rPr>
              <w:t>…</w:t>
            </w:r>
            <w:r>
              <w:rPr>
                <w:rFonts w:cs="Times New Roman"/>
                <w:szCs w:val="24"/>
              </w:rPr>
              <w:fldChar w:fldCharType="begin"/>
            </w:r>
            <w:r w:rsidR="00DF67D1">
              <w:rPr>
                <w:rFonts w:cs="Times New Roman"/>
                <w:szCs w:val="24"/>
              </w:rPr>
              <w:instrText xml:space="preserve"> PAGEREF _Toc214455952 \h </w:instrText>
            </w:r>
            <w:r>
              <w:rPr>
                <w:rFonts w:cs="Times New Roman"/>
                <w:szCs w:val="24"/>
              </w:rPr>
            </w:r>
            <w:r>
              <w:rPr>
                <w:rFonts w:cs="Times New Roman"/>
                <w:szCs w:val="24"/>
              </w:rPr>
              <w:fldChar w:fldCharType="separate"/>
            </w:r>
            <w:r w:rsidR="00DF67D1">
              <w:rPr>
                <w:rFonts w:cs="Times New Roman"/>
                <w:szCs w:val="24"/>
              </w:rPr>
              <w:t>4</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53" w:history="1">
            <w:r w:rsidR="00DF67D1">
              <w:rPr>
                <w:rStyle w:val="Hyperlink"/>
                <w:rFonts w:cs="Times New Roman"/>
                <w:szCs w:val="24"/>
              </w:rPr>
              <w:t>2.1 Theoretical Background</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_Toc214455953 \h </w:instrText>
            </w:r>
            <w:r>
              <w:rPr>
                <w:rFonts w:cs="Times New Roman"/>
                <w:szCs w:val="24"/>
              </w:rPr>
            </w:r>
            <w:r>
              <w:rPr>
                <w:rFonts w:cs="Times New Roman"/>
                <w:szCs w:val="24"/>
              </w:rPr>
              <w:fldChar w:fldCharType="separate"/>
            </w:r>
            <w:r w:rsidR="00DF67D1">
              <w:rPr>
                <w:rFonts w:cs="Times New Roman"/>
                <w:szCs w:val="24"/>
              </w:rPr>
              <w:t>4</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54" w:history="1">
            <w:r w:rsidR="00DF67D1">
              <w:rPr>
                <w:rStyle w:val="Hyperlink"/>
                <w:rFonts w:cs="Times New Roman"/>
                <w:szCs w:val="24"/>
              </w:rPr>
              <w:t>2.1.1 Biology of Mosquitoes and Vector-Borne Diseases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_Toc214455954 \h </w:instrText>
            </w:r>
            <w:r>
              <w:rPr>
                <w:rFonts w:cs="Times New Roman"/>
                <w:szCs w:val="24"/>
              </w:rPr>
            </w:r>
            <w:r>
              <w:rPr>
                <w:rFonts w:cs="Times New Roman"/>
                <w:szCs w:val="24"/>
              </w:rPr>
              <w:fldChar w:fldCharType="separate"/>
            </w:r>
            <w:r w:rsidR="00DF67D1">
              <w:rPr>
                <w:rFonts w:cs="Times New Roman"/>
                <w:szCs w:val="24"/>
              </w:rPr>
              <w:t>4</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55" w:history="1">
            <w:r w:rsidR="00DF67D1">
              <w:rPr>
                <w:rStyle w:val="Hyperlink"/>
                <w:rFonts w:cs="Times New Roman"/>
                <w:szCs w:val="24"/>
              </w:rPr>
              <w:t>2.1.2 Control Strategies of Mosquito</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_Toc214455955 \h </w:instrText>
            </w:r>
            <w:r>
              <w:rPr>
                <w:rFonts w:cs="Times New Roman"/>
                <w:szCs w:val="24"/>
              </w:rPr>
            </w:r>
            <w:r>
              <w:rPr>
                <w:rFonts w:cs="Times New Roman"/>
                <w:szCs w:val="24"/>
              </w:rPr>
              <w:fldChar w:fldCharType="separate"/>
            </w:r>
            <w:r w:rsidR="00DF67D1">
              <w:rPr>
                <w:rFonts w:cs="Times New Roman"/>
                <w:szCs w:val="24"/>
              </w:rPr>
              <w:t>5</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56" w:history="1">
            <w:r w:rsidR="00DF67D1">
              <w:rPr>
                <w:rStyle w:val="Hyperlink"/>
                <w:rFonts w:cs="Times New Roman"/>
                <w:szCs w:val="24"/>
              </w:rPr>
              <w:t>2.1.3 Mosquito Net</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_Toc214455956 \h </w:instrText>
            </w:r>
            <w:r>
              <w:rPr>
                <w:rFonts w:cs="Times New Roman"/>
                <w:szCs w:val="24"/>
              </w:rPr>
            </w:r>
            <w:r>
              <w:rPr>
                <w:rFonts w:cs="Times New Roman"/>
                <w:szCs w:val="24"/>
              </w:rPr>
              <w:fldChar w:fldCharType="separate"/>
            </w:r>
            <w:r w:rsidR="00DF67D1">
              <w:rPr>
                <w:rFonts w:cs="Times New Roman"/>
                <w:szCs w:val="24"/>
              </w:rPr>
              <w:t>7</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57" w:history="1">
            <w:r w:rsidR="00DF67D1">
              <w:rPr>
                <w:rStyle w:val="Hyperlink"/>
                <w:rFonts w:cs="Times New Roman"/>
                <w:szCs w:val="24"/>
              </w:rPr>
              <w:t>2.1.4 Insecticides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_Toc214455957 \h </w:instrText>
            </w:r>
            <w:r>
              <w:rPr>
                <w:rFonts w:cs="Times New Roman"/>
                <w:szCs w:val="24"/>
              </w:rPr>
            </w:r>
            <w:r>
              <w:rPr>
                <w:rFonts w:cs="Times New Roman"/>
                <w:szCs w:val="24"/>
              </w:rPr>
              <w:fldChar w:fldCharType="separate"/>
            </w:r>
            <w:r w:rsidR="00DF67D1">
              <w:rPr>
                <w:rFonts w:cs="Times New Roman"/>
                <w:szCs w:val="24"/>
              </w:rPr>
              <w:t>8</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58" w:history="1">
            <w:r w:rsidR="00DF67D1">
              <w:rPr>
                <w:rStyle w:val="Hyperlink"/>
                <w:rFonts w:eastAsiaTheme="majorEastAsia" w:cs="Times New Roman"/>
                <w:szCs w:val="24"/>
              </w:rPr>
              <w:t>2.1.5 Plant Material</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_Toc214455958 \h </w:instrText>
            </w:r>
            <w:r>
              <w:rPr>
                <w:rFonts w:cs="Times New Roman"/>
                <w:szCs w:val="24"/>
              </w:rPr>
            </w:r>
            <w:r>
              <w:rPr>
                <w:rFonts w:cs="Times New Roman"/>
                <w:szCs w:val="24"/>
              </w:rPr>
              <w:fldChar w:fldCharType="separate"/>
            </w:r>
            <w:r w:rsidR="00DF67D1">
              <w:rPr>
                <w:rFonts w:cs="Times New Roman"/>
                <w:szCs w:val="24"/>
              </w:rPr>
              <w:t>9</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59" w:history="1">
            <w:r w:rsidR="00DF67D1">
              <w:rPr>
                <w:rStyle w:val="Hyperlink"/>
                <w:rFonts w:eastAsiaTheme="majorEastAsia" w:cs="Times New Roman"/>
                <w:szCs w:val="24"/>
              </w:rPr>
              <w:t>2.1.6 Orange Peels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_Toc214455959 \h </w:instrText>
            </w:r>
            <w:r>
              <w:rPr>
                <w:rFonts w:cs="Times New Roman"/>
                <w:szCs w:val="24"/>
              </w:rPr>
            </w:r>
            <w:r>
              <w:rPr>
                <w:rFonts w:cs="Times New Roman"/>
                <w:szCs w:val="24"/>
              </w:rPr>
              <w:fldChar w:fldCharType="separate"/>
            </w:r>
            <w:r w:rsidR="00DF67D1">
              <w:rPr>
                <w:rFonts w:cs="Times New Roman"/>
                <w:szCs w:val="24"/>
              </w:rPr>
              <w:t>10</w:t>
            </w:r>
            <w:r>
              <w:rPr>
                <w:rFonts w:cs="Times New Roman"/>
                <w:szCs w:val="24"/>
              </w:rPr>
              <w:fldChar w:fldCharType="end"/>
            </w:r>
          </w:hyperlink>
        </w:p>
        <w:p w:rsidR="004B770B" w:rsidRDefault="00B04685">
          <w:pPr>
            <w:pStyle w:val="TOC3"/>
            <w:tabs>
              <w:tab w:val="right" w:leader="dot" w:pos="9017"/>
            </w:tabs>
            <w:ind w:left="0" w:firstLineChars="100" w:firstLine="240"/>
            <w:rPr>
              <w:rFonts w:eastAsiaTheme="minorEastAsia" w:cs="Times New Roman"/>
              <w:szCs w:val="24"/>
            </w:rPr>
          </w:pPr>
          <w:hyperlink w:anchor="_Toc214455960" w:history="1">
            <w:r w:rsidR="00DF67D1">
              <w:rPr>
                <w:rStyle w:val="Hyperlink"/>
                <w:rFonts w:cs="Times New Roman"/>
                <w:szCs w:val="24"/>
              </w:rPr>
              <w:t>2.2 Phytochemicals in Citrus Sinensis Peels with Insecticidal Properties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_Toc214455960 \h </w:instrText>
            </w:r>
            <w:r>
              <w:rPr>
                <w:rFonts w:cs="Times New Roman"/>
                <w:szCs w:val="24"/>
              </w:rPr>
            </w:r>
            <w:r>
              <w:rPr>
                <w:rFonts w:cs="Times New Roman"/>
                <w:szCs w:val="24"/>
              </w:rPr>
              <w:fldChar w:fldCharType="separate"/>
            </w:r>
            <w:r w:rsidR="00DF67D1">
              <w:rPr>
                <w:rFonts w:cs="Times New Roman"/>
                <w:szCs w:val="24"/>
              </w:rPr>
              <w:t>12</w:t>
            </w:r>
            <w:r>
              <w:rPr>
                <w:rFonts w:cs="Times New Roman"/>
                <w:szCs w:val="24"/>
              </w:rPr>
              <w:fldChar w:fldCharType="end"/>
            </w:r>
          </w:hyperlink>
        </w:p>
        <w:p w:rsidR="004B770B" w:rsidRDefault="00B04685">
          <w:pPr>
            <w:pStyle w:val="TOC1"/>
            <w:rPr>
              <w:rFonts w:eastAsiaTheme="minorEastAsia" w:cs="Times New Roman"/>
              <w:szCs w:val="24"/>
            </w:rPr>
          </w:pPr>
          <w:hyperlink w:anchor="_Toc214455961" w:history="1">
            <w:r w:rsidR="00DF67D1">
              <w:rPr>
                <w:rStyle w:val="Hyperlink"/>
                <w:rFonts w:cs="Times New Roman"/>
                <w:szCs w:val="24"/>
              </w:rPr>
              <w:t>CHAPTER THR</w:t>
            </w:r>
            <w:r w:rsidR="000F4801">
              <w:rPr>
                <w:rStyle w:val="Hyperlink"/>
                <w:rFonts w:cs="Times New Roman"/>
                <w:szCs w:val="24"/>
              </w:rPr>
              <w:t>EE………………………………………………………………………….</w:t>
            </w:r>
            <w:r w:rsidR="00DF67D1">
              <w:rPr>
                <w:rStyle w:val="Hyperlink"/>
                <w:rFonts w:cs="Times New Roman"/>
                <w:szCs w:val="24"/>
              </w:rPr>
              <w:t>.</w:t>
            </w:r>
            <w:r>
              <w:rPr>
                <w:rFonts w:cs="Times New Roman"/>
                <w:szCs w:val="24"/>
              </w:rPr>
              <w:fldChar w:fldCharType="begin"/>
            </w:r>
            <w:r w:rsidR="00DF67D1">
              <w:rPr>
                <w:rFonts w:cs="Times New Roman"/>
                <w:szCs w:val="24"/>
              </w:rPr>
              <w:instrText xml:space="preserve"> PAGEREF _Toc214455961 \h </w:instrText>
            </w:r>
            <w:r>
              <w:rPr>
                <w:rFonts w:cs="Times New Roman"/>
                <w:szCs w:val="24"/>
              </w:rPr>
            </w:r>
            <w:r>
              <w:rPr>
                <w:rFonts w:cs="Times New Roman"/>
                <w:szCs w:val="24"/>
              </w:rPr>
              <w:fldChar w:fldCharType="separate"/>
            </w:r>
            <w:r w:rsidR="00DF67D1">
              <w:rPr>
                <w:rFonts w:cs="Times New Roman"/>
                <w:szCs w:val="24"/>
              </w:rPr>
              <w:t>14</w:t>
            </w:r>
            <w:r>
              <w:rPr>
                <w:rFonts w:cs="Times New Roman"/>
                <w:szCs w:val="24"/>
              </w:rPr>
              <w:fldChar w:fldCharType="end"/>
            </w:r>
          </w:hyperlink>
        </w:p>
        <w:p w:rsidR="004B770B" w:rsidRDefault="00B04685">
          <w:pPr>
            <w:pStyle w:val="TOC1"/>
            <w:rPr>
              <w:rFonts w:eastAsiaTheme="minorEastAsia" w:cs="Times New Roman"/>
              <w:szCs w:val="24"/>
            </w:rPr>
          </w:pPr>
          <w:hyperlink w:anchor="_Toc214455962" w:history="1">
            <w:r w:rsidR="00DF67D1">
              <w:rPr>
                <w:rStyle w:val="Hyperlink"/>
                <w:rFonts w:cs="Times New Roman"/>
                <w:szCs w:val="24"/>
              </w:rPr>
              <w:t>3.0 Materials and M</w:t>
            </w:r>
            <w:r w:rsidR="000F4801">
              <w:rPr>
                <w:rStyle w:val="Hyperlink"/>
                <w:rFonts w:cs="Times New Roman"/>
                <w:szCs w:val="24"/>
              </w:rPr>
              <w:t xml:space="preserve">ethods………………………………………………………………       </w:t>
            </w:r>
            <w:r>
              <w:rPr>
                <w:rFonts w:cs="Times New Roman"/>
                <w:szCs w:val="24"/>
              </w:rPr>
              <w:fldChar w:fldCharType="begin"/>
            </w:r>
            <w:r w:rsidR="00DF67D1">
              <w:rPr>
                <w:rFonts w:cs="Times New Roman"/>
                <w:szCs w:val="24"/>
              </w:rPr>
              <w:instrText xml:space="preserve"> PAGEREF _Toc214455962 \h </w:instrText>
            </w:r>
            <w:r>
              <w:rPr>
                <w:rFonts w:cs="Times New Roman"/>
                <w:szCs w:val="24"/>
              </w:rPr>
            </w:r>
            <w:r>
              <w:rPr>
                <w:rFonts w:cs="Times New Roman"/>
                <w:szCs w:val="24"/>
              </w:rPr>
              <w:fldChar w:fldCharType="separate"/>
            </w:r>
            <w:r w:rsidR="00DF67D1">
              <w:rPr>
                <w:rFonts w:cs="Times New Roman"/>
                <w:szCs w:val="24"/>
              </w:rPr>
              <w:t>14</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63" w:history="1">
            <w:r w:rsidR="00DF67D1">
              <w:rPr>
                <w:rStyle w:val="Hyperlink"/>
                <w:rFonts w:cs="Times New Roman"/>
                <w:szCs w:val="24"/>
              </w:rPr>
              <w:t>3.1 Study Area</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_Toc214455963 \h </w:instrText>
            </w:r>
            <w:r>
              <w:rPr>
                <w:rFonts w:cs="Times New Roman"/>
                <w:szCs w:val="24"/>
              </w:rPr>
            </w:r>
            <w:r>
              <w:rPr>
                <w:rFonts w:cs="Times New Roman"/>
                <w:szCs w:val="24"/>
              </w:rPr>
              <w:fldChar w:fldCharType="separate"/>
            </w:r>
            <w:r w:rsidR="00DF67D1">
              <w:rPr>
                <w:rFonts w:cs="Times New Roman"/>
                <w:szCs w:val="24"/>
              </w:rPr>
              <w:t>14</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64" w:history="1">
            <w:r w:rsidR="00DF67D1">
              <w:rPr>
                <w:rStyle w:val="Hyperlink"/>
                <w:rFonts w:cs="Times New Roman"/>
                <w:szCs w:val="24"/>
              </w:rPr>
              <w:t>3.2 Materials, Reagents, and Instruments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_Toc214455964 \h </w:instrText>
            </w:r>
            <w:r>
              <w:rPr>
                <w:rFonts w:cs="Times New Roman"/>
                <w:szCs w:val="24"/>
              </w:rPr>
            </w:r>
            <w:r>
              <w:rPr>
                <w:rFonts w:cs="Times New Roman"/>
                <w:szCs w:val="24"/>
              </w:rPr>
              <w:fldChar w:fldCharType="separate"/>
            </w:r>
            <w:r w:rsidR="00DF67D1">
              <w:rPr>
                <w:rFonts w:cs="Times New Roman"/>
                <w:szCs w:val="24"/>
              </w:rPr>
              <w:t>14</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65" w:history="1">
            <w:r w:rsidR="00DF67D1">
              <w:rPr>
                <w:rStyle w:val="Hyperlink"/>
                <w:rFonts w:cs="Times New Roman"/>
                <w:szCs w:val="24"/>
              </w:rPr>
              <w:t>3.2.1 Materials and Reagents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_Toc214455965 \h </w:instrText>
            </w:r>
            <w:r>
              <w:rPr>
                <w:rFonts w:cs="Times New Roman"/>
                <w:szCs w:val="24"/>
              </w:rPr>
            </w:r>
            <w:r>
              <w:rPr>
                <w:rFonts w:cs="Times New Roman"/>
                <w:szCs w:val="24"/>
              </w:rPr>
              <w:fldChar w:fldCharType="separate"/>
            </w:r>
            <w:r w:rsidR="00DF67D1">
              <w:rPr>
                <w:rFonts w:cs="Times New Roman"/>
                <w:szCs w:val="24"/>
              </w:rPr>
              <w:t>14</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66" w:history="1">
            <w:r w:rsidR="00DF67D1">
              <w:rPr>
                <w:rStyle w:val="Hyperlink"/>
                <w:rFonts w:cs="Times New Roman"/>
                <w:szCs w:val="24"/>
              </w:rPr>
              <w:t>3.2.2 Instruments and Equipment</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_Toc214455966 \h </w:instrText>
            </w:r>
            <w:r>
              <w:rPr>
                <w:rFonts w:cs="Times New Roman"/>
                <w:szCs w:val="24"/>
              </w:rPr>
            </w:r>
            <w:r>
              <w:rPr>
                <w:rFonts w:cs="Times New Roman"/>
                <w:szCs w:val="24"/>
              </w:rPr>
              <w:fldChar w:fldCharType="separate"/>
            </w:r>
            <w:r w:rsidR="00DF67D1">
              <w:rPr>
                <w:rFonts w:cs="Times New Roman"/>
                <w:szCs w:val="24"/>
              </w:rPr>
              <w:t>15</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67" w:history="1">
            <w:r w:rsidR="00DF67D1">
              <w:rPr>
                <w:rStyle w:val="Hyperlink"/>
                <w:rFonts w:cs="Times New Roman"/>
                <w:szCs w:val="24"/>
              </w:rPr>
              <w:t>3.3 Research Design</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_Toc214455967 \h </w:instrText>
            </w:r>
            <w:r>
              <w:rPr>
                <w:rFonts w:cs="Times New Roman"/>
                <w:szCs w:val="24"/>
              </w:rPr>
            </w:r>
            <w:r>
              <w:rPr>
                <w:rFonts w:cs="Times New Roman"/>
                <w:szCs w:val="24"/>
              </w:rPr>
              <w:fldChar w:fldCharType="separate"/>
            </w:r>
            <w:r w:rsidR="00DF67D1">
              <w:rPr>
                <w:rFonts w:cs="Times New Roman"/>
                <w:szCs w:val="24"/>
              </w:rPr>
              <w:t>16</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68" w:history="1">
            <w:r w:rsidR="00DF67D1">
              <w:rPr>
                <w:rStyle w:val="Hyperlink"/>
                <w:rFonts w:cs="Times New Roman"/>
                <w:szCs w:val="24"/>
              </w:rPr>
              <w:t>3.4 Preparation of Mosquito Repellent Coil from (</w:t>
            </w:r>
            <w:r w:rsidR="00DF67D1">
              <w:rPr>
                <w:rStyle w:val="Hyperlink"/>
                <w:rFonts w:cs="Times New Roman"/>
                <w:i/>
                <w:iCs/>
                <w:szCs w:val="24"/>
              </w:rPr>
              <w:t>Citrus sinensis</w:t>
            </w:r>
            <w:r w:rsidR="00DF67D1">
              <w:rPr>
                <w:rStyle w:val="Hyperlink"/>
                <w:rFonts w:cs="Times New Roman"/>
                <w:szCs w:val="24"/>
              </w:rPr>
              <w:t>) Peels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_Toc214455968 \h </w:instrText>
            </w:r>
            <w:r>
              <w:rPr>
                <w:rFonts w:cs="Times New Roman"/>
                <w:szCs w:val="24"/>
              </w:rPr>
            </w:r>
            <w:r>
              <w:rPr>
                <w:rFonts w:cs="Times New Roman"/>
                <w:szCs w:val="24"/>
              </w:rPr>
              <w:fldChar w:fldCharType="separate"/>
            </w:r>
            <w:r w:rsidR="00DF67D1">
              <w:rPr>
                <w:rFonts w:cs="Times New Roman"/>
                <w:szCs w:val="24"/>
              </w:rPr>
              <w:t>17</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69" w:history="1">
            <w:r w:rsidR="00DF67D1">
              <w:rPr>
                <w:rStyle w:val="Hyperlink"/>
                <w:rFonts w:cs="Times New Roman"/>
                <w:szCs w:val="24"/>
              </w:rPr>
              <w:t>3.4.1 Collection and Preparation of Raw Materials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_Toc214455969 \h </w:instrText>
            </w:r>
            <w:r>
              <w:rPr>
                <w:rFonts w:cs="Times New Roman"/>
                <w:szCs w:val="24"/>
              </w:rPr>
            </w:r>
            <w:r>
              <w:rPr>
                <w:rFonts w:cs="Times New Roman"/>
                <w:szCs w:val="24"/>
              </w:rPr>
              <w:fldChar w:fldCharType="separate"/>
            </w:r>
            <w:r w:rsidR="00DF67D1">
              <w:rPr>
                <w:rFonts w:cs="Times New Roman"/>
                <w:szCs w:val="24"/>
              </w:rPr>
              <w:t>17</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0" w:history="1">
            <w:r w:rsidR="00DF67D1">
              <w:rPr>
                <w:rStyle w:val="Hyperlink"/>
                <w:rFonts w:cs="Times New Roman"/>
                <w:szCs w:val="24"/>
              </w:rPr>
              <w:t>3.4.2 Mixing and Formulation Process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_Toc214455970 \h </w:instrText>
            </w:r>
            <w:r>
              <w:rPr>
                <w:rFonts w:cs="Times New Roman"/>
                <w:szCs w:val="24"/>
              </w:rPr>
            </w:r>
            <w:r>
              <w:rPr>
                <w:rFonts w:cs="Times New Roman"/>
                <w:szCs w:val="24"/>
              </w:rPr>
              <w:fldChar w:fldCharType="separate"/>
            </w:r>
            <w:r w:rsidR="00DF67D1">
              <w:rPr>
                <w:rFonts w:cs="Times New Roman"/>
                <w:szCs w:val="24"/>
              </w:rPr>
              <w:t>18</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1" w:history="1">
            <w:r w:rsidR="00DF67D1">
              <w:rPr>
                <w:rStyle w:val="Hyperlink"/>
                <w:rFonts w:cs="Times New Roman"/>
                <w:szCs w:val="24"/>
              </w:rPr>
              <w:t>3.4.3 Shaping and Molding of Coils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_Toc214455971 \h </w:instrText>
            </w:r>
            <w:r>
              <w:rPr>
                <w:rFonts w:cs="Times New Roman"/>
                <w:szCs w:val="24"/>
              </w:rPr>
            </w:r>
            <w:r>
              <w:rPr>
                <w:rFonts w:cs="Times New Roman"/>
                <w:szCs w:val="24"/>
              </w:rPr>
              <w:fldChar w:fldCharType="separate"/>
            </w:r>
            <w:r w:rsidR="00DF67D1">
              <w:rPr>
                <w:rFonts w:cs="Times New Roman"/>
                <w:szCs w:val="24"/>
              </w:rPr>
              <w:t>19</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2" w:history="1">
            <w:r w:rsidR="00DF67D1">
              <w:rPr>
                <w:rStyle w:val="Hyperlink"/>
                <w:rFonts w:cs="Times New Roman"/>
                <w:szCs w:val="24"/>
              </w:rPr>
              <w:t>3.4.4 Controlled Drying and Conditioning</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_Toc214455972 \h </w:instrText>
            </w:r>
            <w:r>
              <w:rPr>
                <w:rFonts w:cs="Times New Roman"/>
                <w:szCs w:val="24"/>
              </w:rPr>
            </w:r>
            <w:r>
              <w:rPr>
                <w:rFonts w:cs="Times New Roman"/>
                <w:szCs w:val="24"/>
              </w:rPr>
              <w:fldChar w:fldCharType="separate"/>
            </w:r>
            <w:r w:rsidR="00DF67D1">
              <w:rPr>
                <w:rFonts w:cs="Times New Roman"/>
                <w:szCs w:val="24"/>
              </w:rPr>
              <w:t>20</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3" w:history="1">
            <w:r w:rsidR="00DF67D1">
              <w:rPr>
                <w:rStyle w:val="Hyperlink"/>
                <w:rFonts w:cs="Times New Roman"/>
                <w:szCs w:val="24"/>
              </w:rPr>
              <w:t>3.4.5 Preliminary Evaluation of Physical Properties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_Toc214455973 \h </w:instrText>
            </w:r>
            <w:r>
              <w:rPr>
                <w:rFonts w:cs="Times New Roman"/>
                <w:szCs w:val="24"/>
              </w:rPr>
            </w:r>
            <w:r>
              <w:rPr>
                <w:rFonts w:cs="Times New Roman"/>
                <w:szCs w:val="24"/>
              </w:rPr>
              <w:fldChar w:fldCharType="separate"/>
            </w:r>
            <w:r w:rsidR="00DF67D1">
              <w:rPr>
                <w:rFonts w:cs="Times New Roman"/>
                <w:szCs w:val="24"/>
              </w:rPr>
              <w:t>20</w:t>
            </w:r>
            <w:r>
              <w:rPr>
                <w:rFonts w:cs="Times New Roman"/>
                <w:szCs w:val="24"/>
              </w:rPr>
              <w:fldChar w:fldCharType="end"/>
            </w:r>
          </w:hyperlink>
        </w:p>
        <w:p w:rsidR="004B770B" w:rsidRDefault="00B04685">
          <w:pPr>
            <w:pStyle w:val="TOC2"/>
            <w:tabs>
              <w:tab w:val="right" w:leader="dot" w:pos="9017"/>
            </w:tabs>
            <w:rPr>
              <w:rFonts w:eastAsiaTheme="minorEastAsia" w:cs="Times New Roman"/>
              <w:szCs w:val="24"/>
            </w:rPr>
          </w:pPr>
          <w:hyperlink w:anchor="_Toc214455974" w:history="1">
            <w:r w:rsidR="00DF67D1">
              <w:rPr>
                <w:rStyle w:val="Hyperlink"/>
                <w:rFonts w:cs="Times New Roman"/>
                <w:szCs w:val="24"/>
              </w:rPr>
              <w:t>3.5 Experimental Procedures (Repellency Test and Comparative Study)</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_Toc214455974 \h </w:instrText>
            </w:r>
            <w:r>
              <w:rPr>
                <w:rFonts w:cs="Times New Roman"/>
                <w:szCs w:val="24"/>
              </w:rPr>
            </w:r>
            <w:r>
              <w:rPr>
                <w:rFonts w:cs="Times New Roman"/>
                <w:szCs w:val="24"/>
              </w:rPr>
              <w:fldChar w:fldCharType="separate"/>
            </w:r>
            <w:r w:rsidR="00DF67D1">
              <w:rPr>
                <w:rFonts w:cs="Times New Roman"/>
                <w:szCs w:val="24"/>
              </w:rPr>
              <w:t>21</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5" w:history="1">
            <w:r w:rsidR="00DF67D1">
              <w:rPr>
                <w:rStyle w:val="Hyperlink"/>
                <w:rFonts w:cs="Times New Roman"/>
                <w:szCs w:val="24"/>
              </w:rPr>
              <w:t>3.5.1 Mosquito Rearing and Selection</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_Toc214455975 \h </w:instrText>
            </w:r>
            <w:r>
              <w:rPr>
                <w:rFonts w:cs="Times New Roman"/>
                <w:szCs w:val="24"/>
              </w:rPr>
            </w:r>
            <w:r>
              <w:rPr>
                <w:rFonts w:cs="Times New Roman"/>
                <w:szCs w:val="24"/>
              </w:rPr>
              <w:fldChar w:fldCharType="separate"/>
            </w:r>
            <w:r w:rsidR="00DF67D1">
              <w:rPr>
                <w:rFonts w:cs="Times New Roman"/>
                <w:szCs w:val="24"/>
              </w:rPr>
              <w:t>21</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6" w:history="1">
            <w:r w:rsidR="00DF67D1">
              <w:rPr>
                <w:rStyle w:val="Hyperlink"/>
                <w:rFonts w:cs="Times New Roman"/>
                <w:szCs w:val="24"/>
              </w:rPr>
              <w:t>3.5.2 Experimental Setup and Environmental Conditions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_Toc214455976 \h </w:instrText>
            </w:r>
            <w:r>
              <w:rPr>
                <w:rFonts w:cs="Times New Roman"/>
                <w:szCs w:val="24"/>
              </w:rPr>
            </w:r>
            <w:r>
              <w:rPr>
                <w:rFonts w:cs="Times New Roman"/>
                <w:szCs w:val="24"/>
              </w:rPr>
              <w:fldChar w:fldCharType="separate"/>
            </w:r>
            <w:r w:rsidR="00DF67D1">
              <w:rPr>
                <w:rFonts w:cs="Times New Roman"/>
                <w:szCs w:val="24"/>
              </w:rPr>
              <w:t>22</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7" w:history="1">
            <w:r w:rsidR="00DF67D1">
              <w:rPr>
                <w:rStyle w:val="Hyperlink"/>
                <w:rFonts w:cs="Times New Roman"/>
                <w:szCs w:val="24"/>
              </w:rPr>
              <w:t>3.5.3 Repellency Assay Procedure</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_Toc214455977 \h </w:instrText>
            </w:r>
            <w:r>
              <w:rPr>
                <w:rFonts w:cs="Times New Roman"/>
                <w:szCs w:val="24"/>
              </w:rPr>
            </w:r>
            <w:r>
              <w:rPr>
                <w:rFonts w:cs="Times New Roman"/>
                <w:szCs w:val="24"/>
              </w:rPr>
              <w:fldChar w:fldCharType="separate"/>
            </w:r>
            <w:r w:rsidR="00DF67D1">
              <w:rPr>
                <w:rFonts w:cs="Times New Roman"/>
                <w:szCs w:val="24"/>
              </w:rPr>
              <w:t>22</w:t>
            </w:r>
            <w:r>
              <w:rPr>
                <w:rFonts w:cs="Times New Roman"/>
                <w:szCs w:val="24"/>
              </w:rPr>
              <w:fldChar w:fldCharType="end"/>
            </w:r>
          </w:hyperlink>
        </w:p>
        <w:p w:rsidR="004B770B" w:rsidRDefault="00B04685">
          <w:pPr>
            <w:pStyle w:val="TOC3"/>
            <w:tabs>
              <w:tab w:val="right" w:leader="dot" w:pos="9017"/>
            </w:tabs>
            <w:rPr>
              <w:rFonts w:eastAsiaTheme="minorEastAsia" w:cs="Times New Roman"/>
              <w:szCs w:val="24"/>
            </w:rPr>
          </w:pPr>
          <w:hyperlink w:anchor="_Toc214455978" w:history="1">
            <w:r w:rsidR="00DF67D1">
              <w:rPr>
                <w:rStyle w:val="Hyperlink"/>
                <w:rFonts w:cs="Times New Roman"/>
                <w:szCs w:val="24"/>
              </w:rPr>
              <w:t>3.5.4 Data Recording and Observations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_Toc214455978 \h </w:instrText>
            </w:r>
            <w:r>
              <w:rPr>
                <w:rFonts w:cs="Times New Roman"/>
                <w:szCs w:val="24"/>
              </w:rPr>
            </w:r>
            <w:r>
              <w:rPr>
                <w:rFonts w:cs="Times New Roman"/>
                <w:szCs w:val="24"/>
              </w:rPr>
              <w:fldChar w:fldCharType="separate"/>
            </w:r>
            <w:r w:rsidR="00DF67D1">
              <w:rPr>
                <w:rFonts w:cs="Times New Roman"/>
                <w:szCs w:val="24"/>
              </w:rPr>
              <w:t>23</w:t>
            </w:r>
            <w:r>
              <w:rPr>
                <w:rFonts w:cs="Times New Roman"/>
                <w:szCs w:val="24"/>
              </w:rPr>
              <w:fldChar w:fldCharType="end"/>
            </w:r>
          </w:hyperlink>
        </w:p>
        <w:p w:rsidR="004B770B" w:rsidRDefault="00B04685">
          <w:pPr>
            <w:pStyle w:val="TOC3"/>
            <w:tabs>
              <w:tab w:val="right" w:leader="dot" w:pos="9017"/>
            </w:tabs>
            <w:rPr>
              <w:rFonts w:cs="Times New Roman"/>
              <w:szCs w:val="24"/>
            </w:rPr>
          </w:pPr>
          <w:hyperlink w:anchor="_Toc214455979" w:history="1">
            <w:r w:rsidR="00DF67D1">
              <w:rPr>
                <w:rStyle w:val="Hyperlink"/>
                <w:rFonts w:cs="Times New Roman"/>
                <w:szCs w:val="24"/>
              </w:rPr>
              <w:t>3.5.5 Safety and Precautions</w:t>
            </w:r>
            <w:r w:rsidR="00DF67D1">
              <w:rPr>
                <w:rFonts w:cs="Times New Roman"/>
                <w:szCs w:val="24"/>
              </w:rPr>
              <w:tab/>
            </w:r>
            <w:r>
              <w:rPr>
                <w:rFonts w:cs="Times New Roman"/>
                <w:szCs w:val="24"/>
              </w:rPr>
              <w:fldChar w:fldCharType="begin"/>
            </w:r>
            <w:r w:rsidR="00DF67D1">
              <w:rPr>
                <w:rFonts w:cs="Times New Roman"/>
                <w:szCs w:val="24"/>
              </w:rPr>
              <w:instrText xml:space="preserve"> PAGEREF _Toc214455979 \h </w:instrText>
            </w:r>
            <w:r>
              <w:rPr>
                <w:rFonts w:cs="Times New Roman"/>
                <w:szCs w:val="24"/>
              </w:rPr>
            </w:r>
            <w:r>
              <w:rPr>
                <w:rFonts w:cs="Times New Roman"/>
                <w:szCs w:val="24"/>
              </w:rPr>
              <w:fldChar w:fldCharType="separate"/>
            </w:r>
            <w:r w:rsidR="00DF67D1">
              <w:rPr>
                <w:rFonts w:cs="Times New Roman"/>
                <w:szCs w:val="24"/>
              </w:rPr>
              <w:t>23</w:t>
            </w:r>
            <w:r>
              <w:rPr>
                <w:rFonts w:cs="Times New Roman"/>
                <w:szCs w:val="24"/>
              </w:rPr>
              <w:fldChar w:fldCharType="end"/>
            </w:r>
          </w:hyperlink>
        </w:p>
        <w:p w:rsidR="004B770B" w:rsidRDefault="00DF67D1">
          <w:pPr>
            <w:ind w:firstLineChars="100" w:firstLine="240"/>
          </w:pPr>
          <w:r>
            <w:rPr>
              <w:rFonts w:cs="Times New Roman"/>
              <w:szCs w:val="24"/>
            </w:rPr>
            <w:t>3.6 Lemonene oil..................................................................................................................24</w:t>
          </w:r>
        </w:p>
        <w:p w:rsidR="004B770B" w:rsidRDefault="00B04685">
          <w:pPr>
            <w:pStyle w:val="TOC1"/>
            <w:rPr>
              <w:rFonts w:eastAsiaTheme="minorEastAsia" w:cs="Times New Roman"/>
              <w:szCs w:val="24"/>
            </w:rPr>
          </w:pPr>
          <w:hyperlink w:anchor="_Toc214455980" w:history="1">
            <w:r w:rsidR="00DF67D1">
              <w:rPr>
                <w:rStyle w:val="Hyperlink"/>
                <w:rFonts w:cs="Times New Roman"/>
                <w:szCs w:val="24"/>
              </w:rPr>
              <w:t>CHAPTER FOUR……………………………………………………………………………</w:t>
            </w:r>
          </w:hyperlink>
          <w:r w:rsidR="00DF67D1">
            <w:rPr>
              <w:rFonts w:cs="Times New Roman"/>
              <w:szCs w:val="24"/>
            </w:rPr>
            <w:t>26</w:t>
          </w:r>
        </w:p>
        <w:p w:rsidR="004B770B" w:rsidRDefault="00B04685">
          <w:pPr>
            <w:pStyle w:val="TOC1"/>
            <w:rPr>
              <w:rFonts w:eastAsiaTheme="minorEastAsia" w:cs="Times New Roman"/>
              <w:szCs w:val="24"/>
            </w:rPr>
          </w:pPr>
          <w:hyperlink w:anchor="_Toc214455981" w:history="1">
            <w:r w:rsidR="00DF67D1">
              <w:rPr>
                <w:rStyle w:val="Hyperlink"/>
                <w:rFonts w:cs="Times New Roman"/>
                <w:szCs w:val="24"/>
              </w:rPr>
              <w:t>4.0 Results and Discussion………………………………………………………………….</w:t>
            </w:r>
          </w:hyperlink>
          <w:r w:rsidR="00DF67D1">
            <w:rPr>
              <w:rFonts w:cs="Times New Roman"/>
              <w:szCs w:val="24"/>
            </w:rPr>
            <w:t>..26</w:t>
          </w:r>
        </w:p>
        <w:p w:rsidR="004B770B" w:rsidRDefault="00B04685">
          <w:pPr>
            <w:pStyle w:val="TOC2"/>
            <w:tabs>
              <w:tab w:val="right" w:leader="dot" w:pos="9017"/>
            </w:tabs>
            <w:rPr>
              <w:rFonts w:eastAsiaTheme="minorEastAsia" w:cs="Times New Roman"/>
              <w:szCs w:val="24"/>
            </w:rPr>
          </w:pPr>
          <w:hyperlink w:anchor="_Toc214455982" w:history="1">
            <w:r w:rsidR="00DF67D1">
              <w:rPr>
                <w:rStyle w:val="Hyperlink"/>
                <w:rFonts w:cs="Times New Roman"/>
                <w:szCs w:val="24"/>
              </w:rPr>
              <w:t>4.1 Presentation of Results</w:t>
            </w:r>
            <w:r w:rsidR="00DF67D1">
              <w:rPr>
                <w:rFonts w:cs="Times New Roman"/>
                <w:szCs w:val="24"/>
              </w:rPr>
              <w:tab/>
            </w:r>
          </w:hyperlink>
          <w:r w:rsidR="00DF67D1">
            <w:rPr>
              <w:rFonts w:cs="Times New Roman"/>
              <w:szCs w:val="24"/>
            </w:rPr>
            <w:t>26</w:t>
          </w:r>
        </w:p>
        <w:p w:rsidR="004B770B" w:rsidRDefault="00B04685">
          <w:pPr>
            <w:pStyle w:val="TOC2"/>
            <w:tabs>
              <w:tab w:val="right" w:leader="dot" w:pos="9017"/>
            </w:tabs>
            <w:rPr>
              <w:rFonts w:eastAsiaTheme="minorEastAsia" w:cs="Times New Roman"/>
              <w:szCs w:val="24"/>
            </w:rPr>
          </w:pPr>
          <w:hyperlink w:anchor="_Toc214455983" w:history="1">
            <w:r w:rsidR="00DF67D1">
              <w:rPr>
                <w:rStyle w:val="Hyperlink"/>
                <w:rFonts w:cs="Times New Roman"/>
                <w:szCs w:val="24"/>
              </w:rPr>
              <w:t>4.2 Interpretation of Results</w:t>
            </w:r>
            <w:r w:rsidR="00DF67D1">
              <w:rPr>
                <w:rFonts w:cs="Times New Roman"/>
                <w:szCs w:val="24"/>
              </w:rPr>
              <w:tab/>
            </w:r>
          </w:hyperlink>
          <w:r w:rsidR="00DF67D1">
            <w:rPr>
              <w:rFonts w:cs="Times New Roman"/>
              <w:szCs w:val="24"/>
            </w:rPr>
            <w:t>27</w:t>
          </w:r>
        </w:p>
        <w:p w:rsidR="004B770B" w:rsidRDefault="00B04685">
          <w:pPr>
            <w:pStyle w:val="TOC2"/>
            <w:tabs>
              <w:tab w:val="right" w:leader="dot" w:pos="9017"/>
            </w:tabs>
            <w:rPr>
              <w:rFonts w:eastAsiaTheme="minorEastAsia" w:cs="Times New Roman"/>
              <w:szCs w:val="24"/>
            </w:rPr>
          </w:pPr>
          <w:hyperlink w:anchor="_Toc214455984" w:history="1">
            <w:r w:rsidR="00DF67D1">
              <w:rPr>
                <w:rStyle w:val="Hyperlink"/>
                <w:rFonts w:cs="Times New Roman"/>
                <w:szCs w:val="24"/>
              </w:rPr>
              <w:t>4.3 Discussion</w:t>
            </w:r>
            <w:r w:rsidR="00DF67D1">
              <w:rPr>
                <w:rFonts w:cs="Times New Roman"/>
                <w:szCs w:val="24"/>
              </w:rPr>
              <w:tab/>
            </w:r>
          </w:hyperlink>
          <w:r w:rsidR="00DF67D1">
            <w:rPr>
              <w:rFonts w:cs="Times New Roman"/>
              <w:szCs w:val="24"/>
            </w:rPr>
            <w:t>28</w:t>
          </w:r>
        </w:p>
        <w:p w:rsidR="004B770B" w:rsidRDefault="00B04685">
          <w:pPr>
            <w:pStyle w:val="TOC2"/>
            <w:tabs>
              <w:tab w:val="right" w:leader="dot" w:pos="9017"/>
            </w:tabs>
            <w:rPr>
              <w:rFonts w:eastAsiaTheme="minorEastAsia" w:cs="Times New Roman"/>
              <w:szCs w:val="24"/>
            </w:rPr>
          </w:pPr>
          <w:hyperlink w:anchor="_Toc214455985" w:history="1">
            <w:r w:rsidR="00DF67D1">
              <w:rPr>
                <w:rStyle w:val="Hyperlink"/>
                <w:rFonts w:cs="Times New Roman"/>
                <w:szCs w:val="24"/>
              </w:rPr>
              <w:t>4.4 Implications of Findings</w:t>
            </w:r>
            <w:r w:rsidR="00DF67D1">
              <w:rPr>
                <w:rFonts w:cs="Times New Roman"/>
                <w:szCs w:val="24"/>
              </w:rPr>
              <w:tab/>
            </w:r>
          </w:hyperlink>
          <w:r w:rsidR="00DF67D1">
            <w:rPr>
              <w:rFonts w:cs="Times New Roman"/>
              <w:szCs w:val="24"/>
            </w:rPr>
            <w:t>31</w:t>
          </w:r>
        </w:p>
        <w:p w:rsidR="004B770B" w:rsidRDefault="00B04685">
          <w:pPr>
            <w:pStyle w:val="TOC2"/>
            <w:tabs>
              <w:tab w:val="right" w:leader="dot" w:pos="9017"/>
            </w:tabs>
            <w:rPr>
              <w:rFonts w:eastAsiaTheme="minorEastAsia" w:cs="Times New Roman"/>
              <w:szCs w:val="24"/>
            </w:rPr>
          </w:pPr>
          <w:hyperlink w:anchor="_Toc214455986" w:history="1">
            <w:r w:rsidR="00DF67D1">
              <w:rPr>
                <w:rStyle w:val="Hyperlink"/>
                <w:rFonts w:cs="Times New Roman"/>
                <w:szCs w:val="24"/>
              </w:rPr>
              <w:t>4.5 Conclusion</w:t>
            </w:r>
            <w:r w:rsidR="00DF67D1">
              <w:rPr>
                <w:rFonts w:cs="Times New Roman"/>
                <w:szCs w:val="24"/>
              </w:rPr>
              <w:tab/>
            </w:r>
          </w:hyperlink>
          <w:r w:rsidR="00DF67D1">
            <w:rPr>
              <w:rFonts w:cs="Times New Roman"/>
              <w:szCs w:val="24"/>
            </w:rPr>
            <w:t>33</w:t>
          </w:r>
        </w:p>
        <w:p w:rsidR="004B770B" w:rsidRDefault="00B04685">
          <w:pPr>
            <w:pStyle w:val="TOC2"/>
            <w:tabs>
              <w:tab w:val="right" w:leader="dot" w:pos="9017"/>
            </w:tabs>
            <w:rPr>
              <w:rFonts w:eastAsiaTheme="minorEastAsia" w:cs="Times New Roman"/>
              <w:szCs w:val="24"/>
            </w:rPr>
          </w:pPr>
          <w:hyperlink w:anchor="_Toc214455987" w:history="1">
            <w:r w:rsidR="00DF67D1">
              <w:rPr>
                <w:rStyle w:val="Hyperlink"/>
                <w:rFonts w:cs="Times New Roman"/>
                <w:szCs w:val="24"/>
              </w:rPr>
              <w:t>4.6  Recommendations</w:t>
            </w:r>
            <w:r w:rsidR="00DF67D1">
              <w:rPr>
                <w:rFonts w:cs="Times New Roman"/>
                <w:szCs w:val="24"/>
              </w:rPr>
              <w:tab/>
            </w:r>
          </w:hyperlink>
          <w:r w:rsidR="00DF67D1">
            <w:rPr>
              <w:rFonts w:cs="Times New Roman"/>
              <w:szCs w:val="24"/>
            </w:rPr>
            <w:t>33</w:t>
          </w:r>
        </w:p>
        <w:p w:rsidR="004B770B" w:rsidRDefault="00B04685">
          <w:pPr>
            <w:pStyle w:val="TOC1"/>
            <w:rPr>
              <w:rFonts w:eastAsiaTheme="minorEastAsia" w:cs="Times New Roman"/>
              <w:szCs w:val="24"/>
            </w:rPr>
          </w:pPr>
          <w:hyperlink w:anchor="_Toc214455988" w:history="1">
            <w:r w:rsidR="00DF67D1">
              <w:rPr>
                <w:rStyle w:val="Hyperlink"/>
                <w:rFonts w:cs="Times New Roman"/>
                <w:szCs w:val="24"/>
              </w:rPr>
              <w:t>References…………………………………………………………………………………</w:t>
            </w:r>
            <w:r w:rsidR="000F4801">
              <w:rPr>
                <w:rStyle w:val="Hyperlink"/>
                <w:rFonts w:cs="Times New Roman"/>
                <w:szCs w:val="24"/>
              </w:rPr>
              <w:t>.</w:t>
            </w:r>
            <w:r w:rsidR="00DF67D1">
              <w:rPr>
                <w:rStyle w:val="Hyperlink"/>
                <w:rFonts w:cs="Times New Roman"/>
                <w:szCs w:val="24"/>
              </w:rPr>
              <w:t>..</w:t>
            </w:r>
          </w:hyperlink>
          <w:r w:rsidR="00DF67D1">
            <w:rPr>
              <w:rFonts w:cs="Times New Roman"/>
              <w:szCs w:val="24"/>
            </w:rPr>
            <w:t>.35</w:t>
          </w:r>
        </w:p>
        <w:p w:rsidR="004B770B" w:rsidRDefault="00B04685">
          <w:pPr>
            <w:rPr>
              <w:rFonts w:cs="Times New Roman"/>
              <w:szCs w:val="24"/>
            </w:rPr>
          </w:pPr>
          <w:r>
            <w:rPr>
              <w:rFonts w:cs="Times New Roman"/>
              <w:szCs w:val="24"/>
            </w:rPr>
            <w:fldChar w:fldCharType="end"/>
          </w:r>
        </w:p>
      </w:sdtContent>
    </w:sdt>
    <w:p w:rsidR="004B770B" w:rsidRDefault="004B770B"/>
    <w:p w:rsidR="004B770B" w:rsidRDefault="00DF67D1">
      <w:r>
        <w:br w:type="page"/>
      </w:r>
    </w:p>
    <w:p w:rsidR="004B770B" w:rsidRDefault="00DF67D1">
      <w:pPr>
        <w:jc w:val="center"/>
        <w:rPr>
          <w:rFonts w:cs="Times New Roman"/>
          <w:szCs w:val="24"/>
        </w:rPr>
      </w:pPr>
      <w:r>
        <w:rPr>
          <w:rFonts w:cs="Times New Roman"/>
          <w:szCs w:val="24"/>
        </w:rPr>
        <w:lastRenderedPageBreak/>
        <w:t>LIST OF TABLES</w:t>
      </w:r>
    </w:p>
    <w:p w:rsidR="004B770B" w:rsidRDefault="00DF67D1">
      <w:pPr>
        <w:rPr>
          <w:rFonts w:cs="Times New Roman"/>
          <w:szCs w:val="24"/>
        </w:rPr>
      </w:pPr>
      <w:r>
        <w:rPr>
          <w:rFonts w:cs="Times New Roman"/>
          <w:szCs w:val="24"/>
        </w:rPr>
        <w:t>Table 3.1: Ingredients and functions of Repelle</w:t>
      </w:r>
      <w:r w:rsidR="009F2EBC">
        <w:rPr>
          <w:rFonts w:cs="Times New Roman"/>
          <w:szCs w:val="24"/>
        </w:rPr>
        <w:t>nt Incense Formulation………….………...</w:t>
      </w:r>
      <w:r>
        <w:rPr>
          <w:rFonts w:cs="Times New Roman"/>
          <w:szCs w:val="24"/>
        </w:rPr>
        <w:t>.19</w:t>
      </w:r>
    </w:p>
    <w:p w:rsidR="004B770B" w:rsidRDefault="00DF67D1">
      <w:pPr>
        <w:rPr>
          <w:rFonts w:cs="Times New Roman"/>
          <w:szCs w:val="24"/>
        </w:rPr>
      </w:pPr>
      <w:r>
        <w:rPr>
          <w:rFonts w:cs="Times New Roman"/>
          <w:szCs w:val="24"/>
        </w:rPr>
        <w:t>Table 4.1: Comparative Data Mosquito Response…</w:t>
      </w:r>
      <w:r w:rsidR="009F2EBC">
        <w:rPr>
          <w:rFonts w:cs="Times New Roman"/>
          <w:szCs w:val="24"/>
        </w:rPr>
        <w:t>………………………………………...</w:t>
      </w:r>
      <w:r>
        <w:rPr>
          <w:rFonts w:cs="Times New Roman"/>
          <w:szCs w:val="24"/>
        </w:rPr>
        <w:t>24</w:t>
      </w:r>
    </w:p>
    <w:p w:rsidR="004B770B" w:rsidRDefault="00DF67D1">
      <w:pPr>
        <w:rPr>
          <w:rFonts w:cs="Times New Roman"/>
          <w:szCs w:val="24"/>
        </w:rPr>
      </w:pPr>
      <w:r>
        <w:rPr>
          <w:rFonts w:cs="Times New Roman"/>
          <w:szCs w:val="24"/>
        </w:rPr>
        <w:br w:type="page"/>
      </w:r>
    </w:p>
    <w:p w:rsidR="004B770B" w:rsidRDefault="00DF67D1">
      <w:pPr>
        <w:jc w:val="center"/>
        <w:rPr>
          <w:rFonts w:cs="Times New Roman"/>
          <w:szCs w:val="24"/>
        </w:rPr>
      </w:pPr>
      <w:r>
        <w:rPr>
          <w:rFonts w:cs="Times New Roman"/>
          <w:szCs w:val="24"/>
        </w:rPr>
        <w:lastRenderedPageBreak/>
        <w:t>LIST OF FIGURES</w:t>
      </w:r>
    </w:p>
    <w:p w:rsidR="004B770B" w:rsidRDefault="00B04685">
      <w:pPr>
        <w:pStyle w:val="TOC1"/>
        <w:rPr>
          <w:rFonts w:eastAsiaTheme="minorEastAsia" w:cs="Times New Roman"/>
          <w:szCs w:val="24"/>
        </w:rPr>
      </w:pPr>
      <w:hyperlink w:anchor="_Toc214452590" w:history="1">
        <w:r w:rsidR="00DF67D1">
          <w:rPr>
            <w:rStyle w:val="Hyperlink"/>
            <w:rFonts w:cs="Times New Roman"/>
            <w:color w:val="auto"/>
            <w:szCs w:val="24"/>
            <w:u w:val="none"/>
          </w:rPr>
          <w:t>Figure 2.1: Life Cycle of a Mosquito (source: Wikimedia commons) ........</w:t>
        </w:r>
        <w:r w:rsidR="00717794">
          <w:rPr>
            <w:rStyle w:val="Hyperlink"/>
            <w:rFonts w:cs="Times New Roman"/>
            <w:color w:val="auto"/>
            <w:szCs w:val="24"/>
            <w:u w:val="none"/>
          </w:rPr>
          <w:t>.........................</w:t>
        </w:r>
        <w:r w:rsidR="0058556D">
          <w:rPr>
            <w:rStyle w:val="Hyperlink"/>
            <w:rFonts w:cs="Times New Roman"/>
            <w:color w:val="auto"/>
            <w:szCs w:val="24"/>
            <w:u w:val="none"/>
          </w:rPr>
          <w:t>.</w:t>
        </w:r>
        <w:r w:rsidR="00DF67D1">
          <w:rPr>
            <w:rStyle w:val="Hyperlink"/>
            <w:rFonts w:cs="Times New Roman"/>
            <w:color w:val="auto"/>
            <w:szCs w:val="24"/>
            <w:u w:val="none"/>
          </w:rPr>
          <w:t>.</w:t>
        </w:r>
        <w:r w:rsidR="00717794">
          <w:rPr>
            <w:rStyle w:val="Hyperlink"/>
            <w:rFonts w:cs="Times New Roman"/>
            <w:color w:val="auto"/>
            <w:szCs w:val="24"/>
            <w:u w:val="none"/>
          </w:rPr>
          <w:t>.</w:t>
        </w:r>
        <w:r>
          <w:rPr>
            <w:rFonts w:cs="Times New Roman"/>
            <w:szCs w:val="24"/>
          </w:rPr>
          <w:fldChar w:fldCharType="begin"/>
        </w:r>
        <w:r w:rsidR="00DF67D1">
          <w:rPr>
            <w:rFonts w:cs="Times New Roman"/>
            <w:szCs w:val="24"/>
          </w:rPr>
          <w:instrText xml:space="preserve"> PAGEREF _Toc214452590 \h </w:instrText>
        </w:r>
        <w:r>
          <w:rPr>
            <w:rFonts w:cs="Times New Roman"/>
            <w:szCs w:val="24"/>
          </w:rPr>
        </w:r>
        <w:r>
          <w:rPr>
            <w:rFonts w:cs="Times New Roman"/>
            <w:szCs w:val="24"/>
          </w:rPr>
          <w:fldChar w:fldCharType="separate"/>
        </w:r>
        <w:r w:rsidR="00DF67D1">
          <w:rPr>
            <w:rFonts w:cs="Times New Roman"/>
            <w:szCs w:val="24"/>
          </w:rPr>
          <w:t>5</w:t>
        </w:r>
        <w:r>
          <w:rPr>
            <w:rFonts w:cs="Times New Roman"/>
            <w:szCs w:val="24"/>
          </w:rPr>
          <w:fldChar w:fldCharType="end"/>
        </w:r>
      </w:hyperlink>
    </w:p>
    <w:p w:rsidR="004B770B" w:rsidRDefault="00DF67D1">
      <w:pPr>
        <w:pStyle w:val="TOC1"/>
        <w:rPr>
          <w:rStyle w:val="Hyperlink"/>
          <w:rFonts w:cs="Times New Roman"/>
          <w:szCs w:val="24"/>
        </w:rPr>
      </w:pPr>
      <w:r>
        <w:rPr>
          <w:rStyle w:val="Hyperlink"/>
          <w:rFonts w:cs="Times New Roman"/>
          <w:color w:val="auto"/>
          <w:szCs w:val="24"/>
          <w:u w:val="none"/>
        </w:rPr>
        <w:t>Figure</w:t>
      </w:r>
      <w:hyperlink w:anchor="_Toc214452592" w:history="1">
        <w:r>
          <w:rPr>
            <w:rStyle w:val="Hyperlink"/>
            <w:rFonts w:cs="Times New Roman"/>
            <w:color w:val="auto"/>
            <w:szCs w:val="24"/>
            <w:u w:val="none"/>
          </w:rPr>
          <w:t xml:space="preserve"> 2.2: DIY Mosquito Trap..................................................................</w:t>
        </w:r>
        <w:r w:rsidR="0058556D">
          <w:rPr>
            <w:rStyle w:val="Hyperlink"/>
            <w:rFonts w:cs="Times New Roman"/>
            <w:color w:val="auto"/>
            <w:szCs w:val="24"/>
            <w:u w:val="none"/>
          </w:rPr>
          <w:t>............................</w:t>
        </w:r>
        <w:r w:rsidR="00717794">
          <w:rPr>
            <w:rStyle w:val="Hyperlink"/>
            <w:rFonts w:cs="Times New Roman"/>
            <w:color w:val="auto"/>
            <w:szCs w:val="24"/>
            <w:u w:val="none"/>
          </w:rPr>
          <w:t>..</w:t>
        </w:r>
        <w:r w:rsidR="00B04685">
          <w:rPr>
            <w:rFonts w:cs="Times New Roman"/>
            <w:szCs w:val="24"/>
          </w:rPr>
          <w:fldChar w:fldCharType="begin"/>
        </w:r>
        <w:r>
          <w:rPr>
            <w:rFonts w:cs="Times New Roman"/>
            <w:szCs w:val="24"/>
          </w:rPr>
          <w:instrText xml:space="preserve"> PAGEREF _Toc214452592 \h </w:instrText>
        </w:r>
        <w:r w:rsidR="00B04685">
          <w:rPr>
            <w:rFonts w:cs="Times New Roman"/>
            <w:szCs w:val="24"/>
          </w:rPr>
        </w:r>
        <w:r w:rsidR="00B04685">
          <w:rPr>
            <w:rFonts w:cs="Times New Roman"/>
            <w:szCs w:val="24"/>
          </w:rPr>
          <w:fldChar w:fldCharType="separate"/>
        </w:r>
        <w:r>
          <w:rPr>
            <w:rFonts w:cs="Times New Roman"/>
            <w:szCs w:val="24"/>
          </w:rPr>
          <w:t>7</w:t>
        </w:r>
        <w:r w:rsidR="00B04685">
          <w:rPr>
            <w:rFonts w:cs="Times New Roman"/>
            <w:szCs w:val="24"/>
          </w:rPr>
          <w:fldChar w:fldCharType="end"/>
        </w:r>
      </w:hyperlink>
    </w:p>
    <w:p w:rsidR="004B770B" w:rsidRDefault="00DF67D1">
      <w:pPr>
        <w:pStyle w:val="TOC1"/>
        <w:rPr>
          <w:rFonts w:eastAsiaTheme="minorEastAsia" w:cs="Times New Roman"/>
          <w:szCs w:val="24"/>
        </w:rPr>
      </w:pPr>
      <w:r>
        <w:rPr>
          <w:rFonts w:cs="Times New Roman"/>
          <w:szCs w:val="24"/>
        </w:rPr>
        <w:t>Figure 2.3:  Insecticide-treated n</w:t>
      </w:r>
      <w:r w:rsidR="0058556D">
        <w:rPr>
          <w:rFonts w:cs="Times New Roman"/>
          <w:szCs w:val="24"/>
        </w:rPr>
        <w:t>et (ITN)………………………………………….………….</w:t>
      </w:r>
      <w:r>
        <w:rPr>
          <w:rFonts w:cs="Times New Roman"/>
          <w:szCs w:val="24"/>
        </w:rPr>
        <w:t>8</w:t>
      </w:r>
    </w:p>
    <w:p w:rsidR="004B770B" w:rsidRDefault="00DF67D1">
      <w:pPr>
        <w:rPr>
          <w:rFonts w:cs="Times New Roman"/>
          <w:szCs w:val="24"/>
        </w:rPr>
      </w:pPr>
      <w:r>
        <w:rPr>
          <w:rFonts w:cs="Times New Roman"/>
          <w:szCs w:val="24"/>
        </w:rPr>
        <w:t>Figure 2.4: Orange (</w:t>
      </w:r>
      <w:r>
        <w:rPr>
          <w:rFonts w:cs="Times New Roman"/>
          <w:i/>
          <w:iCs/>
          <w:szCs w:val="24"/>
        </w:rPr>
        <w:t>citrus sinensis</w:t>
      </w:r>
      <w:r w:rsidR="0058556D">
        <w:rPr>
          <w:rFonts w:cs="Times New Roman"/>
          <w:szCs w:val="24"/>
        </w:rPr>
        <w:t>) peels………………………………………….…….</w:t>
      </w:r>
      <w:r>
        <w:rPr>
          <w:rFonts w:cs="Times New Roman"/>
          <w:szCs w:val="24"/>
        </w:rPr>
        <w:t>…..</w:t>
      </w:r>
      <w:r w:rsidR="00B04685">
        <w:rPr>
          <w:rFonts w:cs="Times New Roman"/>
          <w:szCs w:val="24"/>
        </w:rPr>
        <w:fldChar w:fldCharType="begin"/>
      </w:r>
      <w:r>
        <w:rPr>
          <w:rFonts w:cs="Times New Roman"/>
          <w:szCs w:val="24"/>
        </w:rPr>
        <w:instrText xml:space="preserve"> PAGEREF _Toc214452598 \h </w:instrText>
      </w:r>
      <w:r w:rsidR="00B04685">
        <w:rPr>
          <w:rFonts w:cs="Times New Roman"/>
          <w:szCs w:val="24"/>
        </w:rPr>
      </w:r>
      <w:r w:rsidR="00B04685">
        <w:rPr>
          <w:rFonts w:cs="Times New Roman"/>
          <w:szCs w:val="24"/>
        </w:rPr>
        <w:fldChar w:fldCharType="separate"/>
      </w:r>
      <w:r>
        <w:rPr>
          <w:rFonts w:cs="Times New Roman"/>
          <w:szCs w:val="24"/>
        </w:rPr>
        <w:t>12</w:t>
      </w:r>
      <w:r w:rsidR="00B04685">
        <w:rPr>
          <w:rFonts w:cs="Times New Roman"/>
          <w:szCs w:val="24"/>
        </w:rPr>
        <w:fldChar w:fldCharType="end"/>
      </w:r>
    </w:p>
    <w:p w:rsidR="004B770B" w:rsidRDefault="00DF67D1">
      <w:pPr>
        <w:rPr>
          <w:rFonts w:cs="Times New Roman"/>
          <w:szCs w:val="24"/>
        </w:rPr>
      </w:pPr>
      <w:r>
        <w:rPr>
          <w:rFonts w:cs="Times New Roman"/>
          <w:szCs w:val="24"/>
        </w:rPr>
        <w:t xml:space="preserve">Figure 3.1: Orange Peel-Based </w:t>
      </w:r>
      <w:r w:rsidR="0058556D">
        <w:rPr>
          <w:rFonts w:cs="Times New Roman"/>
          <w:szCs w:val="24"/>
        </w:rPr>
        <w:t>Coil…………………………………………………….........</w:t>
      </w:r>
      <w:r>
        <w:rPr>
          <w:rFonts w:cs="Times New Roman"/>
          <w:szCs w:val="24"/>
        </w:rPr>
        <w:t>21</w:t>
      </w:r>
    </w:p>
    <w:p w:rsidR="004B770B" w:rsidRDefault="00DF67D1">
      <w:pPr>
        <w:rPr>
          <w:rFonts w:cs="Times New Roman"/>
          <w:szCs w:val="24"/>
        </w:rPr>
      </w:pPr>
      <w:r>
        <w:rPr>
          <w:rFonts w:cs="Times New Roman"/>
          <w:szCs w:val="24"/>
        </w:rPr>
        <w:t>Figure 3.2 Limonene oil E</w:t>
      </w:r>
      <w:r w:rsidR="0058556D">
        <w:rPr>
          <w:rFonts w:cs="Times New Roman"/>
          <w:szCs w:val="24"/>
        </w:rPr>
        <w:t>xtract………………………………………………………….</w:t>
      </w:r>
      <w:r>
        <w:rPr>
          <w:rFonts w:cs="Times New Roman"/>
          <w:szCs w:val="24"/>
        </w:rPr>
        <w:t>…</w:t>
      </w:r>
      <w:r w:rsidR="00717794">
        <w:rPr>
          <w:rFonts w:cs="Times New Roman"/>
          <w:szCs w:val="24"/>
        </w:rPr>
        <w:t>.</w:t>
      </w:r>
      <w:r>
        <w:rPr>
          <w:rFonts w:cs="Times New Roman"/>
          <w:szCs w:val="24"/>
        </w:rPr>
        <w:t>.25</w:t>
      </w:r>
    </w:p>
    <w:p w:rsidR="004B770B" w:rsidRDefault="004B770B">
      <w:pPr>
        <w:rPr>
          <w:szCs w:val="24"/>
        </w:rPr>
      </w:pPr>
    </w:p>
    <w:p w:rsidR="004B770B" w:rsidRDefault="004B770B"/>
    <w:p w:rsidR="004B770B" w:rsidRDefault="004B770B">
      <w:pPr>
        <w:jc w:val="center"/>
      </w:pPr>
    </w:p>
    <w:p w:rsidR="004B770B" w:rsidRDefault="004B770B"/>
    <w:p w:rsidR="004B770B" w:rsidRDefault="004B770B"/>
    <w:p w:rsidR="004B770B" w:rsidRDefault="004B770B"/>
    <w:p w:rsidR="004B770B" w:rsidRDefault="004B770B"/>
    <w:p w:rsidR="004B770B" w:rsidRDefault="004B770B"/>
    <w:p w:rsidR="004B770B" w:rsidRDefault="004B770B"/>
    <w:p w:rsidR="004B770B" w:rsidRDefault="004B770B"/>
    <w:p w:rsidR="004B770B" w:rsidRDefault="004B770B"/>
    <w:p w:rsidR="004B770B" w:rsidRDefault="004B770B"/>
    <w:p w:rsidR="004B770B" w:rsidRDefault="004B770B"/>
    <w:p w:rsidR="004B770B" w:rsidRDefault="004B770B"/>
    <w:p w:rsidR="004B770B" w:rsidRDefault="004B770B"/>
    <w:p w:rsidR="004B770B" w:rsidRDefault="004B770B"/>
    <w:p w:rsidR="00FA1C48" w:rsidRDefault="00FA1C48">
      <w:pPr>
        <w:jc w:val="center"/>
        <w:rPr>
          <w:rFonts w:cs="Times New Roman"/>
          <w:szCs w:val="24"/>
        </w:rPr>
      </w:pPr>
    </w:p>
    <w:p w:rsidR="003B6271" w:rsidRDefault="003B6271" w:rsidP="003B6271">
      <w:pPr>
        <w:rPr>
          <w:rFonts w:cs="Times New Roman"/>
          <w:szCs w:val="24"/>
        </w:rPr>
      </w:pPr>
    </w:p>
    <w:p w:rsidR="003B6271" w:rsidRDefault="00DF67D1" w:rsidP="003B6271">
      <w:pPr>
        <w:jc w:val="center"/>
        <w:rPr>
          <w:rFonts w:cs="Times New Roman"/>
          <w:szCs w:val="24"/>
        </w:rPr>
      </w:pPr>
      <w:r>
        <w:rPr>
          <w:rFonts w:cs="Times New Roman"/>
          <w:szCs w:val="24"/>
        </w:rPr>
        <w:lastRenderedPageBreak/>
        <w:t>ABS</w:t>
      </w:r>
      <w:r w:rsidR="003B6271">
        <w:rPr>
          <w:rFonts w:cs="Times New Roman"/>
          <w:szCs w:val="24"/>
        </w:rPr>
        <w:t>TRACT</w:t>
      </w:r>
    </w:p>
    <w:p w:rsidR="003B6271" w:rsidRDefault="003B6271" w:rsidP="003B6271">
      <w:pPr>
        <w:jc w:val="both"/>
        <w:rPr>
          <w:rFonts w:cs="Times New Roman"/>
          <w:szCs w:val="24"/>
        </w:rPr>
      </w:pPr>
      <w:r>
        <w:t xml:space="preserve">The study was carried out to determine the production process of mosquitoes repellent insecticide. In achieving this aim, the following specific objectives were laid out to examine mosquito repellent insecticides and investigate the effect of plant extracts on mosquitoes. Mosquito repellents are substances used to repel mosquitoes, which are vectors that transmit malaria. A typical example is a mosquito coil, which drives away mosquitoes when ignited. The smoke emitted from burning a mosquito coil contains active ingredients that prevent mosquito bites, particularly during sleep. Investigation revealed that mosquitoes pose a significant threat to human health, highlighting the need for a cheap, easy to produce, and long-lasting control solution. An orange peel contains oil known as Limonene oil, which has a lethal effect on mosquitoes and can be used as an active ingredient in mosquito coils. </w:t>
      </w:r>
      <w:r w:rsidRPr="003B6271">
        <w:rPr>
          <w:rStyle w:val="Strong"/>
          <w:b w:val="0"/>
        </w:rPr>
        <w:t>Findings indicated that the orange peel–based coil achieved 48% mortality and 40% knockdown within 30 minutes. Although lower than the commercial coil, the repellency rate of 40% was equal to the commercial coil, demonstrating the potential of orange-peel-derived formulations as cost-effective, environmentally friendly alternatives.</w:t>
      </w:r>
      <w:r>
        <w:t xml:space="preserve"> The relevance of the study entails that mosquitoes can be reduced or controlled naturally around homes using biological means.</w:t>
      </w:r>
    </w:p>
    <w:p w:rsidR="003B6271" w:rsidRDefault="003B6271" w:rsidP="003B6271">
      <w:pPr>
        <w:jc w:val="center"/>
      </w:pPr>
    </w:p>
    <w:p w:rsidR="003B6271" w:rsidRDefault="003B6271" w:rsidP="003B6271">
      <w:pPr>
        <w:jc w:val="center"/>
      </w:pPr>
    </w:p>
    <w:p w:rsidR="003B6271" w:rsidRDefault="003B6271" w:rsidP="003B6271">
      <w:pPr>
        <w:jc w:val="center"/>
      </w:pPr>
    </w:p>
    <w:p w:rsidR="003B6271" w:rsidRDefault="003B6271" w:rsidP="003B6271">
      <w:pPr>
        <w:jc w:val="center"/>
      </w:pPr>
    </w:p>
    <w:p w:rsidR="003B6271" w:rsidRDefault="003B6271" w:rsidP="003B6271">
      <w:pPr>
        <w:jc w:val="center"/>
      </w:pPr>
    </w:p>
    <w:p w:rsidR="003B6271" w:rsidRDefault="003B6271" w:rsidP="003B6271">
      <w:pPr>
        <w:jc w:val="center"/>
      </w:pPr>
    </w:p>
    <w:p w:rsidR="003B6271" w:rsidRDefault="003B6271" w:rsidP="003B6271">
      <w:pPr>
        <w:jc w:val="center"/>
      </w:pPr>
    </w:p>
    <w:p w:rsidR="003B6271" w:rsidRDefault="003B6271" w:rsidP="003B6271">
      <w:pPr>
        <w:jc w:val="center"/>
      </w:pPr>
    </w:p>
    <w:p w:rsidR="004B770B" w:rsidRPr="003B6271" w:rsidRDefault="00DF67D1" w:rsidP="003B6271">
      <w:pPr>
        <w:jc w:val="center"/>
        <w:rPr>
          <w:rFonts w:cs="Times New Roman"/>
          <w:b/>
          <w:szCs w:val="24"/>
        </w:rPr>
      </w:pPr>
      <w:r w:rsidRPr="003B6271">
        <w:rPr>
          <w:b/>
        </w:rPr>
        <w:lastRenderedPageBreak/>
        <w:t>CHAPTER ONE</w:t>
      </w:r>
      <w:bookmarkEnd w:id="0"/>
      <w:bookmarkEnd w:id="1"/>
      <w:bookmarkEnd w:id="2"/>
    </w:p>
    <w:p w:rsidR="004B770B" w:rsidRDefault="00DF67D1">
      <w:pPr>
        <w:pStyle w:val="Heading1"/>
        <w:jc w:val="both"/>
      </w:pPr>
      <w:bookmarkStart w:id="3" w:name="_Toc214452580"/>
      <w:bookmarkStart w:id="4" w:name="_Toc214099901"/>
      <w:bookmarkStart w:id="5" w:name="_Toc214449994"/>
      <w:r>
        <w:t>1.0 Introduction</w:t>
      </w:r>
      <w:bookmarkEnd w:id="3"/>
      <w:bookmarkEnd w:id="4"/>
      <w:bookmarkEnd w:id="5"/>
    </w:p>
    <w:p w:rsidR="004B770B" w:rsidRDefault="00DF67D1">
      <w:pPr>
        <w:jc w:val="both"/>
        <w:rPr>
          <w:rFonts w:asciiTheme="majorBidi" w:hAnsiTheme="majorBidi" w:cstheme="majorBidi"/>
          <w:szCs w:val="24"/>
        </w:rPr>
      </w:pPr>
      <w:r>
        <w:rPr>
          <w:rFonts w:asciiTheme="majorBidi" w:hAnsiTheme="majorBidi" w:cstheme="majorBidi"/>
          <w:szCs w:val="24"/>
        </w:rPr>
        <w:t>Mosquitoes are among the most significant vectors of infectious diseases, transmitting malaria, dengue fever, yellow fever, chikungunya, and Zika virus. Globally, vector-borne diseases account for over 17% of all infectious diseases and cause more than 700,000 deaths annually (WHO, 2022). The control of mosquitoes has therefore remained a major public health concern, particularly in tropical and subtropical regions where climatic conditions favor their breeding and survival.</w:t>
      </w:r>
    </w:p>
    <w:p w:rsidR="004B770B" w:rsidRDefault="00DF67D1">
      <w:pPr>
        <w:jc w:val="both"/>
        <w:rPr>
          <w:rFonts w:asciiTheme="majorBidi" w:hAnsiTheme="majorBidi" w:cstheme="majorBidi"/>
          <w:szCs w:val="24"/>
        </w:rPr>
      </w:pPr>
      <w:r>
        <w:rPr>
          <w:rFonts w:asciiTheme="majorBidi" w:hAnsiTheme="majorBidi" w:cstheme="majorBidi"/>
          <w:szCs w:val="24"/>
        </w:rPr>
        <w:t xml:space="preserve">Conventional mosquito control measures rely heavily on synthetic insecticides and chemical-based coils. While these products are effective, they pose significant risks to both environmental and human health. Prolonged exposure to chemicals such as allethrin and pyrethroids, commonly used in mosquito coils, has been linked to respiratory problems, skin irritation, and carcinogenic potential (Chen </w:t>
      </w:r>
      <w:r>
        <w:rPr>
          <w:rFonts w:asciiTheme="majorBidi" w:hAnsiTheme="majorBidi" w:cstheme="majorBidi"/>
          <w:i/>
          <w:szCs w:val="24"/>
        </w:rPr>
        <w:t>et al.</w:t>
      </w:r>
      <w:r>
        <w:rPr>
          <w:rFonts w:asciiTheme="majorBidi" w:hAnsiTheme="majorBidi" w:cstheme="majorBidi"/>
          <w:szCs w:val="24"/>
        </w:rPr>
        <w:t>, 2021). Furthermore, indiscriminate use of synthetic insecticides contributes to the emergence of insecticide-resistant mosquito populations, undermining long-term vector control efforts (Ranson and Lissenden, 2016).</w:t>
      </w:r>
    </w:p>
    <w:p w:rsidR="004B770B" w:rsidRDefault="00DF67D1">
      <w:pPr>
        <w:jc w:val="both"/>
        <w:rPr>
          <w:rFonts w:asciiTheme="majorBidi" w:hAnsiTheme="majorBidi" w:cstheme="majorBidi"/>
          <w:szCs w:val="24"/>
        </w:rPr>
      </w:pPr>
      <w:r>
        <w:rPr>
          <w:rFonts w:asciiTheme="majorBidi" w:hAnsiTheme="majorBidi" w:cstheme="majorBidi"/>
          <w:szCs w:val="24"/>
        </w:rPr>
        <w:t xml:space="preserve">In light of these challenges, attention has shifted to eco-friendly and biodegradable alternatives derived from plant sources. Plant-based repellents are often rich in bio-active compounds such as flavonoids, terpenoids, alkaloids, and essential oils that have insecticidal or repellent properties. Among such natural sources, </w:t>
      </w:r>
      <w:r>
        <w:rPr>
          <w:rFonts w:asciiTheme="majorBidi" w:hAnsiTheme="majorBidi" w:cstheme="majorBidi"/>
          <w:i/>
          <w:szCs w:val="24"/>
        </w:rPr>
        <w:t>Citrus Sinensis</w:t>
      </w:r>
      <w:r>
        <w:rPr>
          <w:rFonts w:asciiTheme="majorBidi" w:hAnsiTheme="majorBidi" w:cstheme="majorBidi"/>
          <w:szCs w:val="24"/>
        </w:rPr>
        <w:t xml:space="preserve"> (sweet orange) peels are of growing interest. Orange peels contain limonene, linalool, and other phytochemicals with documented insect-repellent activity (Bhattacharya </w:t>
      </w:r>
      <w:r>
        <w:rPr>
          <w:rFonts w:asciiTheme="majorBidi" w:hAnsiTheme="majorBidi" w:cstheme="majorBidi"/>
          <w:i/>
          <w:szCs w:val="24"/>
        </w:rPr>
        <w:t>et al.</w:t>
      </w:r>
      <w:r>
        <w:rPr>
          <w:rFonts w:asciiTheme="majorBidi" w:hAnsiTheme="majorBidi" w:cstheme="majorBidi"/>
          <w:szCs w:val="24"/>
        </w:rPr>
        <w:t>, 2020). Given the abundance of citrus fruit waste globally, the valorization of orange peels for mosquito repellent production presents a sustainable, low-cost, and environmentally friendly alternative.</w:t>
      </w:r>
      <w:bookmarkStart w:id="6" w:name="_Toc214099902"/>
    </w:p>
    <w:p w:rsidR="004B770B" w:rsidRDefault="00DF67D1">
      <w:pPr>
        <w:pStyle w:val="Heading1"/>
        <w:jc w:val="both"/>
      </w:pPr>
      <w:bookmarkStart w:id="7" w:name="_Toc214449995"/>
      <w:bookmarkStart w:id="8" w:name="_Toc214452581"/>
      <w:r>
        <w:lastRenderedPageBreak/>
        <w:t>1.1 Statement of the Problem</w:t>
      </w:r>
      <w:bookmarkEnd w:id="6"/>
      <w:bookmarkEnd w:id="7"/>
      <w:bookmarkEnd w:id="8"/>
    </w:p>
    <w:p w:rsidR="004B770B" w:rsidRDefault="00DF67D1">
      <w:pPr>
        <w:jc w:val="both"/>
        <w:rPr>
          <w:rFonts w:asciiTheme="majorBidi" w:hAnsiTheme="majorBidi" w:cstheme="majorBidi"/>
          <w:szCs w:val="24"/>
        </w:rPr>
      </w:pPr>
      <w:r>
        <w:rPr>
          <w:rFonts w:asciiTheme="majorBidi" w:hAnsiTheme="majorBidi" w:cstheme="majorBidi"/>
          <w:szCs w:val="24"/>
        </w:rPr>
        <w:t>Mosquito-borne diseases continue to affect millions of people around the world, causing serious illness and, in some cases, death, particularly in developing countries. Despite the use of various control measures, these diseases remain a major public health challenge. Conventional mosquito repellents and coils are widely used, but they have notable drawbacks. Many contain chemicals that can be harmful when inhaled, and their non-biodegradable waste adds to environmental pollution.</w:t>
      </w:r>
    </w:p>
    <w:p w:rsidR="004B770B" w:rsidRDefault="00DF67D1">
      <w:pPr>
        <w:jc w:val="both"/>
        <w:rPr>
          <w:rFonts w:asciiTheme="majorBidi" w:hAnsiTheme="majorBidi" w:cstheme="majorBidi"/>
          <w:szCs w:val="24"/>
        </w:rPr>
      </w:pPr>
      <w:r>
        <w:rPr>
          <w:rFonts w:asciiTheme="majorBidi" w:hAnsiTheme="majorBidi" w:cstheme="majorBidi"/>
          <w:szCs w:val="24"/>
        </w:rPr>
        <w:t>On top of that, mosquitoes are gradually becoming resistant to the insecticides in these products, which makes them less effective over time. This highlights the urgent need for mosquito control methods that are both safe for people and friendly to the environment.</w:t>
      </w:r>
    </w:p>
    <w:p w:rsidR="004B770B" w:rsidRDefault="00DF67D1">
      <w:pPr>
        <w:jc w:val="both"/>
        <w:rPr>
          <w:rFonts w:asciiTheme="majorBidi" w:hAnsiTheme="majorBidi" w:cstheme="majorBidi"/>
          <w:szCs w:val="24"/>
        </w:rPr>
      </w:pPr>
      <w:r>
        <w:rPr>
          <w:rFonts w:asciiTheme="majorBidi" w:hAnsiTheme="majorBidi" w:cstheme="majorBidi"/>
          <w:szCs w:val="24"/>
        </w:rPr>
        <w:t>A promising approach is to turn everyday waste, like orange peels, into mosquito-repelling products. Using orange peels in this way could reduce environmental pollution while offering a healthier alternative to chemical-based repellents. However, there is still limited research on how effective orange peel-based mosquito coils are compared to conventional commercial products. This study aims to explore and address that gap.</w:t>
      </w:r>
    </w:p>
    <w:p w:rsidR="004B770B" w:rsidRDefault="00DF67D1">
      <w:pPr>
        <w:pStyle w:val="Heading1"/>
        <w:jc w:val="both"/>
      </w:pPr>
      <w:bookmarkStart w:id="9" w:name="_Toc214099903"/>
      <w:bookmarkStart w:id="10" w:name="_Toc214452582"/>
      <w:bookmarkStart w:id="11" w:name="_Toc214449996"/>
      <w:r>
        <w:t>1.2 Justification</w:t>
      </w:r>
      <w:bookmarkEnd w:id="9"/>
      <w:bookmarkEnd w:id="10"/>
      <w:bookmarkEnd w:id="11"/>
    </w:p>
    <w:p w:rsidR="004B770B" w:rsidRDefault="00DF67D1">
      <w:pPr>
        <w:jc w:val="both"/>
        <w:rPr>
          <w:rFonts w:asciiTheme="majorBidi" w:hAnsiTheme="majorBidi" w:cstheme="majorBidi"/>
          <w:szCs w:val="24"/>
        </w:rPr>
      </w:pPr>
      <w:r>
        <w:rPr>
          <w:rFonts w:asciiTheme="majorBidi" w:hAnsiTheme="majorBidi" w:cstheme="majorBidi"/>
          <w:szCs w:val="24"/>
        </w:rPr>
        <w:t>This study is significant for several reasons. First, it addresses the dual problem of mosquito-borne disease control and agricultural waste management. Orange peels, which are often discarded as waste, can be transformed into value-added products with public health benefits. Second, the research promotes sustainable mosquito control by reducing dependence on chemical-based products that pose health and ecological risks. Third, findings from this study may stimulate further interest in phytochemical-based repellents and inform policies on eco-friendly alternatives to synthetic insecticides.</w:t>
      </w:r>
    </w:p>
    <w:p w:rsidR="004B770B" w:rsidRDefault="00DF67D1">
      <w:pPr>
        <w:jc w:val="both"/>
        <w:rPr>
          <w:rFonts w:asciiTheme="majorBidi" w:hAnsiTheme="majorBidi" w:cstheme="majorBidi"/>
          <w:szCs w:val="24"/>
        </w:rPr>
      </w:pPr>
      <w:r>
        <w:rPr>
          <w:rFonts w:asciiTheme="majorBidi" w:hAnsiTheme="majorBidi" w:cstheme="majorBidi"/>
          <w:szCs w:val="24"/>
        </w:rPr>
        <w:t xml:space="preserve">On a broader scale, this research contributes to environmental biochemistry and public health by demonstrating how natural products and waste valorization can be harnessed for disease </w:t>
      </w:r>
      <w:r>
        <w:rPr>
          <w:rFonts w:asciiTheme="majorBidi" w:hAnsiTheme="majorBidi" w:cstheme="majorBidi"/>
          <w:szCs w:val="24"/>
        </w:rPr>
        <w:lastRenderedPageBreak/>
        <w:t>prevention. If proven effective, orange peel-based coils may become a viable option for low-income communities seeking affordable and safe mosquito control methods.</w:t>
      </w:r>
    </w:p>
    <w:p w:rsidR="004B770B" w:rsidRDefault="00DF67D1">
      <w:pPr>
        <w:pStyle w:val="Heading1"/>
        <w:jc w:val="both"/>
      </w:pPr>
      <w:bookmarkStart w:id="12" w:name="_Toc214099904"/>
      <w:bookmarkStart w:id="13" w:name="_Toc214449997"/>
      <w:bookmarkStart w:id="14" w:name="_Toc214452583"/>
      <w:r>
        <w:t xml:space="preserve">1.3 Aim </w:t>
      </w:r>
      <w:bookmarkEnd w:id="12"/>
      <w:bookmarkEnd w:id="13"/>
      <w:bookmarkEnd w:id="14"/>
      <w:r>
        <w:t>and Objectives</w:t>
      </w:r>
      <w:bookmarkStart w:id="15" w:name="_GoBack"/>
      <w:bookmarkEnd w:id="15"/>
    </w:p>
    <w:p w:rsidR="004B770B" w:rsidRDefault="00DF67D1">
      <w:pPr>
        <w:pStyle w:val="Heading1"/>
        <w:jc w:val="both"/>
      </w:pPr>
      <w:bookmarkStart w:id="16" w:name="_Toc214452584"/>
      <w:bookmarkStart w:id="17" w:name="_Toc214099905"/>
      <w:bookmarkStart w:id="18" w:name="_Toc214449998"/>
      <w:r>
        <w:t>1.3.1 Aim</w:t>
      </w:r>
      <w:bookmarkEnd w:id="16"/>
      <w:bookmarkEnd w:id="17"/>
      <w:bookmarkEnd w:id="18"/>
    </w:p>
    <w:p w:rsidR="004B770B" w:rsidRDefault="00DF67D1">
      <w:pPr>
        <w:jc w:val="both"/>
        <w:rPr>
          <w:rFonts w:asciiTheme="majorBidi" w:hAnsiTheme="majorBidi" w:cstheme="majorBidi"/>
          <w:szCs w:val="24"/>
        </w:rPr>
      </w:pPr>
      <w:r>
        <w:rPr>
          <w:rFonts w:asciiTheme="majorBidi" w:hAnsiTheme="majorBidi" w:cstheme="majorBidi"/>
          <w:szCs w:val="24"/>
        </w:rPr>
        <w:t>The aim of the study is to evaluate the effectiveness of mosquito repellent coils produced from orange peels.</w:t>
      </w:r>
    </w:p>
    <w:p w:rsidR="004B770B" w:rsidRDefault="00DF67D1">
      <w:pPr>
        <w:pStyle w:val="Heading1"/>
        <w:jc w:val="both"/>
      </w:pPr>
      <w:bookmarkStart w:id="19" w:name="_Toc214449999"/>
      <w:bookmarkStart w:id="20" w:name="_Toc214452585"/>
      <w:bookmarkStart w:id="21" w:name="_Toc214099906"/>
      <w:r>
        <w:t>1.3.2 Objectives</w:t>
      </w:r>
      <w:bookmarkEnd w:id="19"/>
      <w:bookmarkEnd w:id="20"/>
      <w:bookmarkEnd w:id="21"/>
    </w:p>
    <w:p w:rsidR="004B770B" w:rsidRDefault="00DF67D1">
      <w:pPr>
        <w:rPr>
          <w:rFonts w:asciiTheme="majorBidi" w:hAnsiTheme="majorBidi" w:cstheme="majorBidi"/>
          <w:szCs w:val="24"/>
        </w:rPr>
      </w:pPr>
      <w:r>
        <w:rPr>
          <w:rFonts w:asciiTheme="majorBidi" w:hAnsiTheme="majorBidi" w:cstheme="majorBidi"/>
          <w:szCs w:val="24"/>
        </w:rPr>
        <w:t>The specific objectives of this research are to:</w:t>
      </w:r>
    </w:p>
    <w:p w:rsidR="004B770B" w:rsidRDefault="00DF67D1">
      <w:pPr>
        <w:numPr>
          <w:ilvl w:val="0"/>
          <w:numId w:val="1"/>
        </w:numPr>
        <w:tabs>
          <w:tab w:val="clear" w:pos="720"/>
        </w:tabs>
        <w:jc w:val="both"/>
        <w:rPr>
          <w:rFonts w:asciiTheme="majorBidi" w:hAnsiTheme="majorBidi" w:cstheme="majorBidi"/>
          <w:szCs w:val="24"/>
        </w:rPr>
      </w:pPr>
      <w:r>
        <w:rPr>
          <w:rFonts w:asciiTheme="majorBidi" w:hAnsiTheme="majorBidi" w:cstheme="majorBidi"/>
          <w:szCs w:val="24"/>
        </w:rPr>
        <w:t>produce mosquito repellent coils using orange peels.</w:t>
      </w:r>
    </w:p>
    <w:p w:rsidR="004B770B" w:rsidRDefault="00DF67D1">
      <w:pPr>
        <w:numPr>
          <w:ilvl w:val="0"/>
          <w:numId w:val="1"/>
        </w:numPr>
        <w:tabs>
          <w:tab w:val="clear" w:pos="720"/>
        </w:tabs>
        <w:jc w:val="both"/>
        <w:rPr>
          <w:rFonts w:asciiTheme="majorBidi" w:hAnsiTheme="majorBidi" w:cstheme="majorBidi"/>
          <w:szCs w:val="24"/>
        </w:rPr>
      </w:pPr>
      <w:r>
        <w:rPr>
          <w:rFonts w:asciiTheme="majorBidi" w:hAnsiTheme="majorBidi" w:cstheme="majorBidi"/>
          <w:szCs w:val="24"/>
        </w:rPr>
        <w:t>assess the repellent of the prepared coils against mosquitoes under controlled experimental conditions.</w:t>
      </w:r>
    </w:p>
    <w:p w:rsidR="004B770B" w:rsidRDefault="00DF67D1">
      <w:pPr>
        <w:numPr>
          <w:ilvl w:val="0"/>
          <w:numId w:val="1"/>
        </w:numPr>
        <w:tabs>
          <w:tab w:val="clear" w:pos="720"/>
        </w:tabs>
        <w:jc w:val="both"/>
        <w:rPr>
          <w:rFonts w:asciiTheme="majorBidi" w:hAnsiTheme="majorBidi" w:cstheme="majorBidi"/>
          <w:szCs w:val="24"/>
        </w:rPr>
      </w:pPr>
      <w:r>
        <w:rPr>
          <w:rFonts w:asciiTheme="majorBidi" w:hAnsiTheme="majorBidi" w:cstheme="majorBidi"/>
          <w:szCs w:val="24"/>
        </w:rPr>
        <w:t>compare the repellent effectiveness of orange peel-based coils with that of commercially available mosquito coils.</w:t>
      </w:r>
    </w:p>
    <w:p w:rsidR="004B770B" w:rsidRDefault="00DF67D1">
      <w:pPr>
        <w:numPr>
          <w:ilvl w:val="0"/>
          <w:numId w:val="1"/>
        </w:numPr>
        <w:tabs>
          <w:tab w:val="clear" w:pos="720"/>
        </w:tabs>
        <w:jc w:val="both"/>
        <w:rPr>
          <w:rFonts w:asciiTheme="majorBidi" w:hAnsiTheme="majorBidi" w:cstheme="majorBidi"/>
          <w:szCs w:val="24"/>
        </w:rPr>
      </w:pPr>
      <w:r>
        <w:rPr>
          <w:rFonts w:asciiTheme="majorBidi" w:hAnsiTheme="majorBidi" w:cstheme="majorBidi"/>
          <w:szCs w:val="24"/>
        </w:rPr>
        <w:t>to identify the functional groups and chemical bonds present in the orange peels extract responsible for its mosquito repellent activity using FTIR analysis.</w:t>
      </w:r>
    </w:p>
    <w:p w:rsidR="004B770B" w:rsidRDefault="00DF67D1">
      <w:pPr>
        <w:numPr>
          <w:ilvl w:val="0"/>
          <w:numId w:val="1"/>
        </w:numPr>
        <w:tabs>
          <w:tab w:val="clear" w:pos="720"/>
        </w:tabs>
        <w:jc w:val="both"/>
        <w:rPr>
          <w:rFonts w:asciiTheme="majorBidi" w:hAnsiTheme="majorBidi" w:cstheme="majorBidi"/>
          <w:szCs w:val="24"/>
        </w:rPr>
      </w:pPr>
      <w:r>
        <w:rPr>
          <w:rFonts w:asciiTheme="majorBidi" w:hAnsiTheme="majorBidi" w:cstheme="majorBidi"/>
          <w:szCs w:val="24"/>
        </w:rPr>
        <w:t>to determine the chemical composition and bio-active compounds of orange peels mosquito repellent using GC-MS analysis.</w:t>
      </w:r>
    </w:p>
    <w:p w:rsidR="004B770B" w:rsidRDefault="00DF67D1">
      <w:pPr>
        <w:rPr>
          <w:rFonts w:asciiTheme="majorBidi" w:hAnsiTheme="majorBidi" w:cstheme="majorBidi"/>
          <w:szCs w:val="24"/>
        </w:rPr>
      </w:pPr>
      <w:r>
        <w:rPr>
          <w:rFonts w:asciiTheme="majorBidi" w:hAnsiTheme="majorBidi" w:cstheme="majorBidi"/>
          <w:szCs w:val="24"/>
        </w:rPr>
        <w:br w:type="page"/>
      </w:r>
    </w:p>
    <w:p w:rsidR="004B770B" w:rsidRDefault="00DF67D1">
      <w:pPr>
        <w:pStyle w:val="Heading1"/>
      </w:pPr>
      <w:bookmarkStart w:id="22" w:name="_Toc214452586"/>
      <w:bookmarkStart w:id="23" w:name="_Toc214450000"/>
      <w:bookmarkStart w:id="24" w:name="_Toc214099907"/>
      <w:r>
        <w:lastRenderedPageBreak/>
        <w:t>CHAPTER TWO</w:t>
      </w:r>
      <w:bookmarkEnd w:id="22"/>
      <w:bookmarkEnd w:id="23"/>
      <w:bookmarkEnd w:id="24"/>
    </w:p>
    <w:p w:rsidR="004B770B" w:rsidRDefault="00DF67D1">
      <w:pPr>
        <w:pStyle w:val="Heading1"/>
        <w:jc w:val="left"/>
      </w:pPr>
      <w:bookmarkStart w:id="25" w:name="_Toc214099908"/>
      <w:bookmarkStart w:id="26" w:name="_Toc214452587"/>
      <w:bookmarkStart w:id="27" w:name="_Toc214450001"/>
      <w:r>
        <w:t>2.0 Literature Review</w:t>
      </w:r>
      <w:bookmarkStart w:id="28" w:name="_Toc214099909"/>
      <w:bookmarkEnd w:id="25"/>
      <w:bookmarkEnd w:id="26"/>
      <w:bookmarkEnd w:id="27"/>
    </w:p>
    <w:p w:rsidR="004B770B" w:rsidRDefault="00DF67D1">
      <w:pPr>
        <w:pStyle w:val="Heading1"/>
        <w:jc w:val="left"/>
      </w:pPr>
      <w:bookmarkStart w:id="29" w:name="_Toc214452588"/>
      <w:bookmarkStart w:id="30" w:name="_Toc214450002"/>
      <w:r>
        <w:t>2.1 Theoretical Background</w:t>
      </w:r>
      <w:bookmarkStart w:id="31" w:name="_Toc214099910"/>
      <w:bookmarkEnd w:id="28"/>
      <w:bookmarkEnd w:id="29"/>
      <w:bookmarkEnd w:id="30"/>
    </w:p>
    <w:p w:rsidR="004B770B" w:rsidRDefault="00DF67D1">
      <w:pPr>
        <w:pStyle w:val="Heading1"/>
        <w:jc w:val="left"/>
      </w:pPr>
      <w:bookmarkStart w:id="32" w:name="_Toc214452589"/>
      <w:bookmarkStart w:id="33" w:name="_Toc214450003"/>
      <w:r>
        <w:t>2.1.1 Biology of Mosquitoes and Vector-Borne Diseases</w:t>
      </w:r>
      <w:bookmarkEnd w:id="31"/>
      <w:bookmarkEnd w:id="32"/>
      <w:bookmarkEnd w:id="33"/>
    </w:p>
    <w:p w:rsidR="004B770B" w:rsidRDefault="00DF67D1">
      <w:pPr>
        <w:jc w:val="both"/>
        <w:rPr>
          <w:rFonts w:asciiTheme="majorBidi" w:hAnsiTheme="majorBidi" w:cstheme="majorBidi"/>
          <w:szCs w:val="24"/>
        </w:rPr>
      </w:pPr>
      <w:r>
        <w:rPr>
          <w:rFonts w:asciiTheme="majorBidi" w:hAnsiTheme="majorBidi" w:cstheme="majorBidi"/>
          <w:szCs w:val="24"/>
        </w:rPr>
        <w:t xml:space="preserve">Mosquitoes belong to the family </w:t>
      </w:r>
      <w:r>
        <w:rPr>
          <w:rFonts w:asciiTheme="majorBidi" w:hAnsiTheme="majorBidi" w:cstheme="majorBidi"/>
          <w:i/>
          <w:iCs/>
          <w:szCs w:val="24"/>
        </w:rPr>
        <w:t>Culicidae</w:t>
      </w:r>
      <w:r>
        <w:rPr>
          <w:rFonts w:asciiTheme="majorBidi" w:hAnsiTheme="majorBidi" w:cstheme="majorBidi"/>
          <w:szCs w:val="24"/>
        </w:rPr>
        <w:t xml:space="preserve">, with over 3,500 recognized species, though only a small proportion act as vectors of human disease. The genera </w:t>
      </w:r>
      <w:r>
        <w:rPr>
          <w:rFonts w:asciiTheme="majorBidi" w:hAnsiTheme="majorBidi" w:cstheme="majorBidi"/>
          <w:i/>
          <w:iCs/>
          <w:szCs w:val="24"/>
        </w:rPr>
        <w:t>Anopheles</w:t>
      </w:r>
      <w:r>
        <w:rPr>
          <w:rFonts w:asciiTheme="majorBidi" w:hAnsiTheme="majorBidi" w:cstheme="majorBidi"/>
          <w:szCs w:val="24"/>
        </w:rPr>
        <w:t xml:space="preserve">, </w:t>
      </w:r>
      <w:r>
        <w:rPr>
          <w:rFonts w:asciiTheme="majorBidi" w:hAnsiTheme="majorBidi" w:cstheme="majorBidi"/>
          <w:i/>
          <w:iCs/>
          <w:szCs w:val="24"/>
        </w:rPr>
        <w:t>Aedes</w:t>
      </w:r>
      <w:r>
        <w:rPr>
          <w:rFonts w:asciiTheme="majorBidi" w:hAnsiTheme="majorBidi" w:cstheme="majorBidi"/>
          <w:szCs w:val="24"/>
        </w:rPr>
        <w:t xml:space="preserve">, and </w:t>
      </w:r>
      <w:r>
        <w:rPr>
          <w:rFonts w:asciiTheme="majorBidi" w:hAnsiTheme="majorBidi" w:cstheme="majorBidi"/>
          <w:i/>
          <w:iCs/>
          <w:szCs w:val="24"/>
        </w:rPr>
        <w:t>Culex</w:t>
      </w:r>
      <w:r>
        <w:rPr>
          <w:rFonts w:asciiTheme="majorBidi" w:hAnsiTheme="majorBidi" w:cstheme="majorBidi"/>
          <w:szCs w:val="24"/>
        </w:rPr>
        <w:t xml:space="preserve"> are the most epidemiological significant. </w:t>
      </w:r>
      <w:r>
        <w:rPr>
          <w:rFonts w:asciiTheme="majorBidi" w:hAnsiTheme="majorBidi" w:cstheme="majorBidi"/>
          <w:i/>
          <w:iCs/>
          <w:szCs w:val="24"/>
        </w:rPr>
        <w:t>Anopheles</w:t>
      </w:r>
      <w:r>
        <w:rPr>
          <w:rFonts w:asciiTheme="majorBidi" w:hAnsiTheme="majorBidi" w:cstheme="majorBidi"/>
          <w:szCs w:val="24"/>
        </w:rPr>
        <w:t xml:space="preserve"> mosquitoes are responsible for transmitting malaria parasites (</w:t>
      </w:r>
      <w:r>
        <w:rPr>
          <w:rFonts w:asciiTheme="majorBidi" w:hAnsiTheme="majorBidi" w:cstheme="majorBidi"/>
          <w:i/>
          <w:iCs/>
          <w:szCs w:val="24"/>
        </w:rPr>
        <w:t>Plasmodium spp</w:t>
      </w:r>
      <w:r>
        <w:rPr>
          <w:rFonts w:asciiTheme="majorBidi" w:hAnsiTheme="majorBidi" w:cstheme="majorBidi"/>
          <w:szCs w:val="24"/>
        </w:rPr>
        <w:t xml:space="preserve">.),  </w:t>
      </w:r>
      <w:r>
        <w:rPr>
          <w:rFonts w:asciiTheme="majorBidi" w:hAnsiTheme="majorBidi" w:cstheme="majorBidi"/>
          <w:i/>
          <w:iCs/>
          <w:szCs w:val="24"/>
        </w:rPr>
        <w:t>Aedes aegypti</w:t>
      </w:r>
      <w:r>
        <w:rPr>
          <w:rFonts w:asciiTheme="majorBidi" w:hAnsiTheme="majorBidi" w:cstheme="majorBidi"/>
          <w:szCs w:val="24"/>
        </w:rPr>
        <w:t xml:space="preserve"> is the primary vector of dengue, Zika, and yellow fever viruses, while </w:t>
      </w:r>
      <w:r>
        <w:rPr>
          <w:rFonts w:asciiTheme="majorBidi" w:hAnsiTheme="majorBidi" w:cstheme="majorBidi"/>
          <w:i/>
          <w:iCs/>
          <w:szCs w:val="24"/>
        </w:rPr>
        <w:t>Culex</w:t>
      </w:r>
      <w:r>
        <w:rPr>
          <w:rFonts w:asciiTheme="majorBidi" w:hAnsiTheme="majorBidi" w:cstheme="majorBidi"/>
          <w:szCs w:val="24"/>
        </w:rPr>
        <w:t xml:space="preserve"> species are associated with filariasis and various forms of encephalitis (Becker </w:t>
      </w:r>
      <w:r>
        <w:rPr>
          <w:rFonts w:asciiTheme="majorBidi" w:hAnsiTheme="majorBidi" w:cstheme="majorBidi"/>
          <w:i/>
          <w:szCs w:val="24"/>
        </w:rPr>
        <w:t>et al.</w:t>
      </w:r>
      <w:r>
        <w:rPr>
          <w:rFonts w:asciiTheme="majorBidi" w:hAnsiTheme="majorBidi" w:cstheme="majorBidi"/>
          <w:szCs w:val="24"/>
        </w:rPr>
        <w:t>, 2020).</w:t>
      </w:r>
    </w:p>
    <w:p w:rsidR="004B770B" w:rsidRDefault="00DF67D1">
      <w:pPr>
        <w:jc w:val="both"/>
        <w:rPr>
          <w:rFonts w:asciiTheme="majorBidi" w:hAnsiTheme="majorBidi" w:cstheme="majorBidi"/>
          <w:szCs w:val="24"/>
        </w:rPr>
      </w:pPr>
      <w:r>
        <w:rPr>
          <w:rFonts w:asciiTheme="majorBidi" w:hAnsiTheme="majorBidi" w:cstheme="majorBidi"/>
          <w:szCs w:val="24"/>
        </w:rPr>
        <w:t>The life cycle of mosquitoes consists of four stages: egg, larva, pupa, and adult. Aquatic stages (egg, larva, pupa) occur in stagnant water, while the adult emerges as the blood-feeding and disease-transmitting stage. Only female mosquitoes bite, as they require blood meals for egg production, whereas males primarily feed on plant nectar. The biting activity and vectorial capacity of mosquitoes are influenced by factors such as temperature, humidity, breeding habitats, and host availability (Kweka</w:t>
      </w:r>
      <w:r>
        <w:rPr>
          <w:rFonts w:asciiTheme="majorBidi" w:hAnsiTheme="majorBidi" w:cstheme="majorBidi"/>
          <w:i/>
          <w:szCs w:val="24"/>
        </w:rPr>
        <w:t>et al.</w:t>
      </w:r>
      <w:r>
        <w:rPr>
          <w:rFonts w:asciiTheme="majorBidi" w:hAnsiTheme="majorBidi" w:cstheme="majorBidi"/>
          <w:szCs w:val="24"/>
        </w:rPr>
        <w:t>, 2021).</w:t>
      </w:r>
    </w:p>
    <w:p w:rsidR="004B770B" w:rsidRDefault="00DF67D1">
      <w:pPr>
        <w:jc w:val="both"/>
        <w:rPr>
          <w:rFonts w:asciiTheme="majorBidi" w:hAnsiTheme="majorBidi" w:cstheme="majorBidi"/>
          <w:szCs w:val="24"/>
        </w:rPr>
      </w:pPr>
      <w:r>
        <w:rPr>
          <w:rFonts w:asciiTheme="majorBidi" w:hAnsiTheme="majorBidi" w:cstheme="majorBidi"/>
          <w:szCs w:val="24"/>
        </w:rPr>
        <w:t xml:space="preserve">Vector-borne diseases carried by mosquitoes are among the most persistent public health challenges worldwide. Malaria alone accounts for over 247 million cases and approximately 619,000 deaths annually, with the majority of the burden concentrated in sub-Saharan Africa (WHO, 2023). Dengue is considered the most rapidly spreading mosquito-borne viral disease, with over 100 million symptomatic cases reported yearly in more than 125 countries (Bhatt </w:t>
      </w:r>
      <w:r>
        <w:rPr>
          <w:rFonts w:asciiTheme="majorBidi" w:hAnsiTheme="majorBidi" w:cstheme="majorBidi"/>
          <w:i/>
          <w:szCs w:val="24"/>
        </w:rPr>
        <w:t>et al.</w:t>
      </w:r>
      <w:r>
        <w:rPr>
          <w:rFonts w:asciiTheme="majorBidi" w:hAnsiTheme="majorBidi" w:cstheme="majorBidi"/>
          <w:szCs w:val="24"/>
        </w:rPr>
        <w:t>, 2021). These diseases exert significant socioeconomic burdens, including lost productivity, healthcare costs, and mortality.</w:t>
      </w:r>
    </w:p>
    <w:p w:rsidR="004B770B" w:rsidRDefault="00DF67D1">
      <w:pPr>
        <w:jc w:val="both"/>
        <w:rPr>
          <w:rFonts w:asciiTheme="majorBidi" w:hAnsiTheme="majorBidi" w:cstheme="majorBidi"/>
          <w:szCs w:val="24"/>
        </w:rPr>
      </w:pPr>
      <w:r>
        <w:rPr>
          <w:rFonts w:asciiTheme="majorBidi" w:hAnsiTheme="majorBidi" w:cstheme="majorBidi"/>
          <w:szCs w:val="24"/>
        </w:rPr>
        <w:t xml:space="preserve">Conventional vector control strategies have historically relied on synthetic insecticides, indoor residual spraying, insecticide-treated nets, and lavicidal measures. While these </w:t>
      </w:r>
      <w:r>
        <w:rPr>
          <w:rFonts w:asciiTheme="majorBidi" w:hAnsiTheme="majorBidi" w:cstheme="majorBidi"/>
          <w:szCs w:val="24"/>
        </w:rPr>
        <w:lastRenderedPageBreak/>
        <w:t>interventions have reduced transmission, the rising prevalence of insecticide resistance and environmental toxicity has necessitated alternative and complementary control methods (Hemingway and Ranson, 2022).</w:t>
      </w:r>
    </w:p>
    <w:p w:rsidR="004B770B" w:rsidRDefault="00DF67D1">
      <w:pPr>
        <w:jc w:val="both"/>
        <w:rPr>
          <w:rFonts w:asciiTheme="majorBidi" w:hAnsiTheme="majorBidi" w:cstheme="majorBidi"/>
          <w:szCs w:val="24"/>
        </w:rPr>
      </w:pPr>
      <w:r>
        <w:rPr>
          <w:rFonts w:asciiTheme="majorBidi" w:hAnsiTheme="majorBidi" w:cstheme="majorBidi"/>
          <w:szCs w:val="24"/>
        </w:rPr>
        <w:t>Given the persistence of mosquito-borne diseases despite decades of control efforts, there is growing interest in eco-friendly repellents derived from plants. Natural bio-active compounds have been recognized as promising tools for interrupting mosquito-human contact without exacerbating resistance development or environmental contamination (Oyedele</w:t>
      </w:r>
      <w:r>
        <w:rPr>
          <w:rFonts w:asciiTheme="majorBidi" w:hAnsiTheme="majorBidi" w:cstheme="majorBidi"/>
          <w:i/>
          <w:szCs w:val="24"/>
        </w:rPr>
        <w:t>et al.</w:t>
      </w:r>
      <w:r>
        <w:rPr>
          <w:rFonts w:asciiTheme="majorBidi" w:hAnsiTheme="majorBidi" w:cstheme="majorBidi"/>
          <w:szCs w:val="24"/>
        </w:rPr>
        <w:t>, 2020).</w:t>
      </w:r>
    </w:p>
    <w:p w:rsidR="004B770B" w:rsidRDefault="00DF67D1">
      <w:pPr>
        <w:jc w:val="center"/>
        <w:rPr>
          <w:rFonts w:asciiTheme="majorBidi" w:hAnsiTheme="majorBidi" w:cstheme="majorBidi"/>
          <w:szCs w:val="24"/>
        </w:rPr>
      </w:pPr>
      <w:r>
        <w:rPr>
          <w:rFonts w:asciiTheme="majorBidi" w:hAnsiTheme="majorBidi" w:cstheme="majorBidi"/>
          <w:noProof/>
          <w:szCs w:val="24"/>
        </w:rPr>
        <w:drawing>
          <wp:inline distT="0" distB="0" distL="114300" distR="114300">
            <wp:extent cx="3543935" cy="3058160"/>
            <wp:effectExtent l="19050" t="0" r="0" b="0"/>
            <wp:docPr id="1" name="Picture 13" descr="Mosquito_Life-Cycl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3" descr="Mosquito_Life-Cycle.svg"/>
                    <pic:cNvPicPr>
                      <a:picLocks noChangeAspect="1"/>
                    </pic:cNvPicPr>
                  </pic:nvPicPr>
                  <pic:blipFill>
                    <a:blip r:embed="rId8"/>
                    <a:stretch>
                      <a:fillRect/>
                    </a:stretch>
                  </pic:blipFill>
                  <pic:spPr>
                    <a:xfrm>
                      <a:off x="0" y="0"/>
                      <a:ext cx="3544209" cy="3058729"/>
                    </a:xfrm>
                    <a:prstGeom prst="rect">
                      <a:avLst/>
                    </a:prstGeom>
                  </pic:spPr>
                </pic:pic>
              </a:graphicData>
            </a:graphic>
          </wp:inline>
        </w:drawing>
      </w:r>
    </w:p>
    <w:p w:rsidR="004B770B" w:rsidRDefault="00DF67D1">
      <w:pPr>
        <w:rPr>
          <w:b/>
          <w:bCs/>
        </w:rPr>
      </w:pPr>
      <w:bookmarkStart w:id="34" w:name="_Toc214452590"/>
      <w:bookmarkStart w:id="35" w:name="_Toc214450004"/>
      <w:r>
        <w:rPr>
          <w:b/>
          <w:bCs/>
        </w:rPr>
        <w:t>Figure 2.1: Life Cycle of a Mosquito (source: Wikimedia commons)</w:t>
      </w:r>
      <w:bookmarkEnd w:id="34"/>
      <w:bookmarkEnd w:id="35"/>
    </w:p>
    <w:p w:rsidR="004B770B" w:rsidRDefault="00DF67D1">
      <w:pPr>
        <w:pStyle w:val="Heading1"/>
        <w:jc w:val="left"/>
      </w:pPr>
      <w:bookmarkStart w:id="36" w:name="_Toc214452591"/>
      <w:bookmarkStart w:id="37" w:name="_Toc214450005"/>
      <w:bookmarkStart w:id="38" w:name="_Toc214099911"/>
      <w:r>
        <w:t>2.1.2 Control Strategies of Mosquito</w:t>
      </w:r>
      <w:bookmarkEnd w:id="36"/>
      <w:bookmarkEnd w:id="37"/>
      <w:bookmarkEnd w:id="38"/>
    </w:p>
    <w:p w:rsidR="004B770B" w:rsidRDefault="00DF67D1">
      <w:pPr>
        <w:jc w:val="both"/>
      </w:pPr>
      <w:r>
        <w:t>Mosquito control strategies can be broadly categorized into chemical, biological, physical, and environmental management methods, each with varying degrees of effectiveness and sustainability:</w:t>
      </w:r>
    </w:p>
    <w:p w:rsidR="004B770B" w:rsidRDefault="00DF67D1">
      <w:pPr>
        <w:jc w:val="both"/>
      </w:pPr>
      <w:r>
        <w:rPr>
          <w:rStyle w:val="Strong"/>
        </w:rPr>
        <w:t>Chemical Control:</w:t>
      </w:r>
      <w:r>
        <w:t xml:space="preserve"> Conventional methods rely on insecticides such as pyrethroids, organophosphates, carbamates, and organochlorines. Pyrethroids are commonly used in mosquito coils, sprays, and space sprays due to their fast knockdown effect. While effective, prolonged indoor use poses health risks such as respiratory irritation, neurological effects, </w:t>
      </w:r>
      <w:r>
        <w:lastRenderedPageBreak/>
        <w:t>and potential carcinogenicity. Non-biodegradable residues also contribute to environmental pollution (Raghavendra</w:t>
      </w:r>
      <w:r>
        <w:rPr>
          <w:i/>
          <w:iCs/>
        </w:rPr>
        <w:t xml:space="preserve"> et al</w:t>
      </w:r>
      <w:r>
        <w:t>., 2019; Chen</w:t>
      </w:r>
      <w:r>
        <w:rPr>
          <w:i/>
          <w:iCs/>
        </w:rPr>
        <w:t xml:space="preserve"> et al</w:t>
      </w:r>
      <w:r>
        <w:t>., 2021).</w:t>
      </w:r>
    </w:p>
    <w:p w:rsidR="004B770B" w:rsidRDefault="00DF67D1">
      <w:pPr>
        <w:jc w:val="both"/>
      </w:pPr>
      <w:r>
        <w:rPr>
          <w:rStyle w:val="Strong"/>
        </w:rPr>
        <w:t>Biological Control:</w:t>
      </w:r>
      <w:r>
        <w:t xml:space="preserve"> Natural predators like </w:t>
      </w:r>
      <w:r>
        <w:rPr>
          <w:rStyle w:val="Emphasis"/>
        </w:rPr>
        <w:t>Gambusiaaffinis</w:t>
      </w:r>
      <w:r>
        <w:t xml:space="preserve"> fish, entomopathogenic fungi and bacteria (</w:t>
      </w:r>
      <w:r>
        <w:rPr>
          <w:rStyle w:val="Emphasis"/>
        </w:rPr>
        <w:t>Bacillu</w:t>
      </w:r>
      <w:r>
        <w:t xml:space="preserve">as alternatives to synthetic insecticides (Benelli </w:t>
      </w:r>
      <w:r>
        <w:rPr>
          <w:i/>
          <w:iCs/>
        </w:rPr>
        <w:t>et al</w:t>
      </w:r>
      <w:r>
        <w:t>., 2020). However, these methods often require technical expertise, infrastructure, and regulatory approval.</w:t>
      </w:r>
    </w:p>
    <w:p w:rsidR="004B770B" w:rsidRDefault="00DF67D1">
      <w:pPr>
        <w:jc w:val="both"/>
        <w:rPr>
          <w:rFonts w:eastAsia="SimSun" w:cs="Times New Roman"/>
          <w:szCs w:val="24"/>
        </w:rPr>
      </w:pPr>
      <w:r>
        <w:rPr>
          <w:rStyle w:val="Strong"/>
        </w:rPr>
        <w:t>Physical Control:</w:t>
      </w:r>
      <w:r>
        <w:t xml:space="preserve"> Physical strategies aim to prevent mosquito-human contact or directly remove adult mosquitoes. These include window and door screens, bed nets (without insecticide), fans that disrupt flight, sticky traps, and homemade or DIY traps such as sugar-water/CO₂ traps in soda bottles. DIY traps exploit mosquitoes’ attraction to carbon dioxide and sugar, allowing low-cost capture of adult mosquitoes and serving as practical, eco-friendly complements to other control methods.</w:t>
      </w:r>
      <w:r>
        <w:rPr>
          <w:rFonts w:eastAsia="SimSun" w:cs="Times New Roman"/>
          <w:szCs w:val="24"/>
        </w:rPr>
        <w:t>(Kweka</w:t>
      </w:r>
      <w:r>
        <w:rPr>
          <w:rFonts w:eastAsia="SimSun" w:cs="Times New Roman"/>
          <w:i/>
          <w:iCs/>
          <w:szCs w:val="24"/>
        </w:rPr>
        <w:t>et al</w:t>
      </w:r>
      <w:r>
        <w:rPr>
          <w:rFonts w:eastAsia="SimSun" w:cs="Times New Roman"/>
          <w:szCs w:val="24"/>
        </w:rPr>
        <w:t>., 2010; Mboera</w:t>
      </w:r>
      <w:r>
        <w:rPr>
          <w:rFonts w:eastAsia="SimSun" w:cs="Times New Roman"/>
          <w:i/>
          <w:iCs/>
          <w:szCs w:val="24"/>
        </w:rPr>
        <w:t xml:space="preserve"> et al</w:t>
      </w:r>
      <w:r>
        <w:rPr>
          <w:rFonts w:eastAsia="SimSun" w:cs="Times New Roman"/>
          <w:szCs w:val="24"/>
        </w:rPr>
        <w:t>., 2014; Ogoma</w:t>
      </w:r>
      <w:r>
        <w:rPr>
          <w:rFonts w:eastAsia="SimSun" w:cs="Times New Roman"/>
          <w:i/>
          <w:iCs/>
          <w:szCs w:val="24"/>
        </w:rPr>
        <w:t>et al</w:t>
      </w:r>
      <w:r>
        <w:rPr>
          <w:rFonts w:eastAsia="SimSun" w:cs="Times New Roman"/>
          <w:szCs w:val="24"/>
        </w:rPr>
        <w:t>., 2012).</w:t>
      </w:r>
    </w:p>
    <w:p w:rsidR="004B770B" w:rsidRDefault="00DF67D1">
      <w:pPr>
        <w:jc w:val="both"/>
      </w:pPr>
      <w:r>
        <w:rPr>
          <w:rStyle w:val="Strong"/>
        </w:rPr>
        <w:t>Environmental Management:</w:t>
      </w:r>
      <w:r>
        <w:t xml:space="preserve"> Eliminating stagnant water, improving drainage systems, and maintaining sanitation are effective and cost-efficient strategies to reduce mosquito breeding sites, but they depend on strong community participation and behavioral changes (Killeen</w:t>
      </w:r>
      <w:r>
        <w:rPr>
          <w:i/>
          <w:iCs/>
        </w:rPr>
        <w:t xml:space="preserve"> et al</w:t>
      </w:r>
      <w:r>
        <w:t>., 2019). Integrating environmental management with physical, chemical, and biological approaches provides a holistic and sustainable mosquito control framework.</w:t>
      </w:r>
    </w:p>
    <w:p w:rsidR="004B770B" w:rsidRDefault="004B770B">
      <w:pPr>
        <w:pStyle w:val="NormalWeb"/>
      </w:pPr>
    </w:p>
    <w:p w:rsidR="004B770B" w:rsidRDefault="004B770B"/>
    <w:p w:rsidR="004B770B" w:rsidRDefault="004B770B">
      <w:pPr>
        <w:rPr>
          <w:rFonts w:asciiTheme="majorBidi" w:hAnsiTheme="majorBidi" w:cstheme="majorBidi"/>
          <w:szCs w:val="24"/>
        </w:rPr>
      </w:pPr>
    </w:p>
    <w:p w:rsidR="004B770B" w:rsidRDefault="00DF67D1">
      <w:pPr>
        <w:jc w:val="center"/>
        <w:rPr>
          <w:rFonts w:asciiTheme="majorBidi" w:hAnsiTheme="majorBidi" w:cstheme="majorBidi"/>
          <w:szCs w:val="24"/>
        </w:rPr>
      </w:pPr>
      <w:r>
        <w:rPr>
          <w:rFonts w:asciiTheme="majorBidi" w:hAnsiTheme="majorBidi" w:cstheme="majorBidi"/>
          <w:noProof/>
          <w:szCs w:val="24"/>
        </w:rPr>
        <w:lastRenderedPageBreak/>
        <w:drawing>
          <wp:inline distT="0" distB="0" distL="114300" distR="114300">
            <wp:extent cx="5726430" cy="3221355"/>
            <wp:effectExtent l="0" t="0" r="7620" b="17145"/>
            <wp:docPr id="2" name="Picture 12" descr="mg-8228-edi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2" descr="mg-8228-edited"/>
                    <pic:cNvPicPr>
                      <a:picLocks noChangeAspect="1"/>
                    </pic:cNvPicPr>
                  </pic:nvPicPr>
                  <pic:blipFill>
                    <a:blip r:embed="rId9"/>
                    <a:stretch>
                      <a:fillRect/>
                    </a:stretch>
                  </pic:blipFill>
                  <pic:spPr>
                    <a:xfrm>
                      <a:off x="0" y="0"/>
                      <a:ext cx="5726430" cy="3221355"/>
                    </a:xfrm>
                    <a:prstGeom prst="rect">
                      <a:avLst/>
                    </a:prstGeom>
                  </pic:spPr>
                </pic:pic>
              </a:graphicData>
            </a:graphic>
          </wp:inline>
        </w:drawing>
      </w:r>
    </w:p>
    <w:p w:rsidR="004B770B" w:rsidRDefault="00DF67D1">
      <w:pPr>
        <w:jc w:val="both"/>
        <w:rPr>
          <w:b/>
          <w:bCs/>
        </w:rPr>
      </w:pPr>
      <w:bookmarkStart w:id="39" w:name="_Toc214450006"/>
      <w:bookmarkStart w:id="40" w:name="_Toc214452592"/>
      <w:r>
        <w:rPr>
          <w:b/>
          <w:bCs/>
        </w:rPr>
        <w:t>Figure 2.2: DIY Mosquito Trap</w:t>
      </w:r>
      <w:bookmarkEnd w:id="39"/>
      <w:bookmarkEnd w:id="40"/>
    </w:p>
    <w:p w:rsidR="004B770B" w:rsidRDefault="00DF67D1">
      <w:pPr>
        <w:pStyle w:val="Heading1"/>
        <w:jc w:val="both"/>
      </w:pPr>
      <w:bookmarkStart w:id="41" w:name="_Toc214452593"/>
      <w:bookmarkStart w:id="42" w:name="_Toc214099912"/>
      <w:bookmarkStart w:id="43" w:name="_Toc214450007"/>
      <w:r>
        <w:t>2.1.3 Mosquito Net</w:t>
      </w:r>
      <w:bookmarkEnd w:id="41"/>
      <w:bookmarkEnd w:id="42"/>
      <w:bookmarkEnd w:id="43"/>
    </w:p>
    <w:p w:rsidR="004B770B" w:rsidRDefault="00DF67D1">
      <w:pPr>
        <w:jc w:val="both"/>
      </w:pPr>
      <w:r>
        <w:t>Insecticide</w:t>
      </w:r>
      <w:r>
        <w:noBreakHyphen/>
        <w:t>treated nets (ITNs) are one of the most potent and effective tools for preventing mosquito-borne diseases, offering both a physical barrier and chemical protection. Long</w:t>
      </w:r>
      <w:r>
        <w:noBreakHyphen/>
        <w:t>lasting ITNs are embedded with highly active pyrethroid compounds such as permethrin, deltamethrin, or alpha-cypermethrin that bind to</w:t>
      </w:r>
      <w:r>
        <w:rPr>
          <w:b/>
          <w:bCs/>
        </w:rPr>
        <w:t xml:space="preserve"> voltage-gated sodium channels </w:t>
      </w:r>
      <w:r>
        <w:t xml:space="preserve">in the mosquito nervous system. This interaction causes prolonged depolarization, rapid knockdown, paralysis, and eventual death, thereby reducing mosquito survival and biting rates (Atoyebi, 2019; Du </w:t>
      </w:r>
      <w:r>
        <w:rPr>
          <w:i/>
          <w:iCs/>
        </w:rPr>
        <w:t>et al</w:t>
      </w:r>
      <w:r>
        <w:t>., 2016). The combination of a fine mesh barrier and this chemical lethality ensures maximal protection during peak nocturnal biting periods.</w:t>
      </w:r>
    </w:p>
    <w:p w:rsidR="004B770B" w:rsidRDefault="00DF67D1">
      <w:pPr>
        <w:jc w:val="both"/>
      </w:pPr>
      <w:r>
        <w:t>The potency of ITNs is further amplified through community</w:t>
      </w:r>
      <w:r>
        <w:noBreakHyphen/>
        <w:t>level coverage, where widespread use not only safeguards individuals but also suppresses local mosquito populations, contributing to herd protection. Long-lasting ITNs are engineered for durability and sustained insecticide release, maintaining high efficacy even after repeated use, washing, and storage (Vestergaard</w:t>
      </w:r>
      <w:r>
        <w:rPr>
          <w:i/>
          <w:iCs/>
        </w:rPr>
        <w:t>et al</w:t>
      </w:r>
      <w:r>
        <w:t xml:space="preserve">., 2020; Kessler </w:t>
      </w:r>
      <w:r>
        <w:rPr>
          <w:i/>
          <w:iCs/>
        </w:rPr>
        <w:t>et al</w:t>
      </w:r>
      <w:r>
        <w:t>., 2025). For example, studies report knockdown rates above 95% and 24</w:t>
      </w:r>
      <w:r>
        <w:noBreakHyphen/>
        <w:t xml:space="preserve">hour mortality over 80% in lab bioassays, even after </w:t>
      </w:r>
      <w:r>
        <w:lastRenderedPageBreak/>
        <w:t>multiple washes or years of storage (WHO, 2005; Vestergaard</w:t>
      </w:r>
      <w:r>
        <w:rPr>
          <w:i/>
          <w:iCs/>
        </w:rPr>
        <w:t xml:space="preserve"> et al</w:t>
      </w:r>
      <w:r>
        <w:t>., 2020). Proper deployment of ITNs has consistently been linked to substantial reductions in malaria incidence, mosquito density, and vectorial capacity, establishing them as a cost</w:t>
      </w:r>
      <w:r>
        <w:noBreakHyphen/>
        <w:t>effective and environmentally safe cornerstone of vector control programs.</w:t>
      </w:r>
    </w:p>
    <w:p w:rsidR="004B770B" w:rsidRDefault="004B770B"/>
    <w:p w:rsidR="004B770B" w:rsidRDefault="004B770B"/>
    <w:p w:rsidR="004B770B" w:rsidRDefault="004B770B">
      <w:pPr>
        <w:rPr>
          <w:rFonts w:asciiTheme="majorBidi" w:hAnsiTheme="majorBidi" w:cstheme="majorBidi"/>
          <w:szCs w:val="24"/>
        </w:rPr>
      </w:pPr>
    </w:p>
    <w:p w:rsidR="004B770B" w:rsidRDefault="00DF67D1">
      <w:pPr>
        <w:jc w:val="center"/>
        <w:rPr>
          <w:rFonts w:asciiTheme="majorBidi" w:hAnsiTheme="majorBidi" w:cstheme="majorBidi"/>
          <w:szCs w:val="24"/>
        </w:rPr>
      </w:pPr>
      <w:r>
        <w:rPr>
          <w:rFonts w:asciiTheme="majorBidi" w:hAnsiTheme="majorBidi" w:cstheme="majorBidi"/>
          <w:noProof/>
          <w:szCs w:val="24"/>
        </w:rPr>
        <w:drawing>
          <wp:inline distT="0" distB="0" distL="114300" distR="114300">
            <wp:extent cx="5619750" cy="3743325"/>
            <wp:effectExtent l="0" t="0" r="0" b="9525"/>
            <wp:docPr id="4" name="Picture 8" descr="486055207_1071405878348398_3708493048904445004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8" descr="486055207_1071405878348398_3708493048904445004_n"/>
                    <pic:cNvPicPr>
                      <a:picLocks noChangeAspect="1"/>
                    </pic:cNvPicPr>
                  </pic:nvPicPr>
                  <pic:blipFill>
                    <a:blip r:embed="rId10"/>
                    <a:stretch>
                      <a:fillRect/>
                    </a:stretch>
                  </pic:blipFill>
                  <pic:spPr>
                    <a:xfrm>
                      <a:off x="0" y="0"/>
                      <a:ext cx="5619750" cy="3743325"/>
                    </a:xfrm>
                    <a:prstGeom prst="rect">
                      <a:avLst/>
                    </a:prstGeom>
                  </pic:spPr>
                </pic:pic>
              </a:graphicData>
            </a:graphic>
          </wp:inline>
        </w:drawing>
      </w:r>
    </w:p>
    <w:p w:rsidR="004B770B" w:rsidRDefault="00DF67D1">
      <w:pPr>
        <w:jc w:val="both"/>
        <w:rPr>
          <w:b/>
          <w:bCs/>
        </w:rPr>
      </w:pPr>
      <w:bookmarkStart w:id="44" w:name="_Toc214450008"/>
      <w:bookmarkStart w:id="45" w:name="_Toc214452594"/>
      <w:r>
        <w:rPr>
          <w:b/>
          <w:bCs/>
        </w:rPr>
        <w:t>Figure 2.3: Insecticide-treated net (ITN)</w:t>
      </w:r>
      <w:bookmarkStart w:id="46" w:name="_Toc214099913"/>
      <w:bookmarkStart w:id="47" w:name="_Toc214452595"/>
      <w:bookmarkStart w:id="48" w:name="_Toc214450009"/>
      <w:bookmarkStart w:id="49" w:name="_Toc214099914"/>
      <w:bookmarkEnd w:id="44"/>
      <w:bookmarkEnd w:id="45"/>
    </w:p>
    <w:p w:rsidR="004B770B" w:rsidRDefault="00DF67D1">
      <w:pPr>
        <w:jc w:val="both"/>
        <w:rPr>
          <w:b/>
          <w:bCs/>
        </w:rPr>
      </w:pPr>
      <w:r>
        <w:rPr>
          <w:b/>
          <w:bCs/>
        </w:rPr>
        <w:t>2.1.4 Insecticide</w:t>
      </w:r>
      <w:bookmarkEnd w:id="46"/>
      <w:r>
        <w:rPr>
          <w:b/>
          <w:bCs/>
        </w:rPr>
        <w:t>s</w:t>
      </w:r>
      <w:bookmarkEnd w:id="47"/>
      <w:bookmarkEnd w:id="48"/>
    </w:p>
    <w:p w:rsidR="004B770B" w:rsidRDefault="00DF67D1">
      <w:pPr>
        <w:jc w:val="both"/>
      </w:pPr>
      <w:r>
        <w:t xml:space="preserve">Insecticides play a critical role in the control of mosquito populations and other insect vectors responsible for transmitting diseases. These compounds, whether synthetic or botanical, are designed to disrupt vital physiological processes in insects, such as neurotransmission, reproduction, and feeding. Synthetic insecticides, including organophosphates, pyrethroids, and carbamates, act primarily on the nervous system. Pyrethroids, for example, affect </w:t>
      </w:r>
      <w:r>
        <w:lastRenderedPageBreak/>
        <w:t>voltage-gated sodium channels, causing prolonged depolarization and paralysis, while organophosphates inhibit acetylcholinesterase, leading to the accumulation of acetylcholine and uncontrolled neural firing (Daly, 2004). Carbamates function similarly by reversibly inhibiting acetylcholinesterase, resulting in rapid knockdown of target insects (Daly, 2004). These mechanisms effectively reduce vector populations, decrease biting rates, and interrupt disease transmission cycles.</w:t>
      </w:r>
    </w:p>
    <w:p w:rsidR="004B770B" w:rsidRDefault="00DF67D1">
      <w:pPr>
        <w:jc w:val="both"/>
      </w:pPr>
      <w:r>
        <w:t xml:space="preserve">Beyond synthetic chemicals, plant-derived insecticides have gained attention due to their environmental safety, biodegradability, and reduced toxicity to non-target organisms. Compounds from plants such as </w:t>
      </w:r>
      <w:r>
        <w:rPr>
          <w:rStyle w:val="Emphasis"/>
        </w:rPr>
        <w:t>Azadirachtaindica</w:t>
      </w:r>
      <w:r>
        <w:t xml:space="preserve"> (neem), </w:t>
      </w:r>
      <w:r>
        <w:rPr>
          <w:rStyle w:val="Emphasis"/>
        </w:rPr>
        <w:t>Curcuma longa</w:t>
      </w:r>
      <w:r>
        <w:t xml:space="preserve"> (turmeric), and essential oils from </w:t>
      </w:r>
      <w:r>
        <w:rPr>
          <w:rStyle w:val="Emphasis"/>
        </w:rPr>
        <w:t>Cymbopogoncitratus</w:t>
      </w:r>
      <w:r>
        <w:t xml:space="preserve"> (lemongrass) and </w:t>
      </w:r>
      <w:r>
        <w:rPr>
          <w:rStyle w:val="Emphasis"/>
        </w:rPr>
        <w:t>Eucalyptus globulus</w:t>
      </w:r>
      <w:r>
        <w:t xml:space="preserve"> exhibit potent insecticidal activity through multiple modes, including interference with olfactory and chemosensory receptors, growth regulation, and feeding deterrence. For instance, azadirachtin from neem disrupts molting, reproduction, and feeding behavior, while turmeric’s curcuminoids and turmerones exert neurotoxic effects on larvae and adults (Frontiers, 2017; Jyoti </w:t>
      </w:r>
      <w:r>
        <w:rPr>
          <w:i/>
          <w:iCs/>
        </w:rPr>
        <w:t>et al</w:t>
      </w:r>
      <w:r>
        <w:t>., 2015; Morakinyo</w:t>
      </w:r>
      <w:r>
        <w:rPr>
          <w:i/>
          <w:iCs/>
        </w:rPr>
        <w:t xml:space="preserve"> et al</w:t>
      </w:r>
      <w:r>
        <w:t>., 2023). The use of these botanical insecticides provides an eco</w:t>
      </w:r>
      <w:r>
        <w:noBreakHyphen/>
        <w:t>friendly, low</w:t>
      </w:r>
      <w:r>
        <w:noBreakHyphen/>
        <w:t>cost alternative or complement to synthetic agents, enabling sustainable mosquito control strategies and reducing the risks associated with chemical residues in the environment.</w:t>
      </w:r>
    </w:p>
    <w:p w:rsidR="004B770B" w:rsidRDefault="00DF67D1">
      <w:pPr>
        <w:jc w:val="both"/>
      </w:pPr>
      <w:bookmarkStart w:id="50" w:name="_Toc214450010"/>
      <w:bookmarkStart w:id="51" w:name="_Toc214452596"/>
      <w:r>
        <w:rPr>
          <w:rStyle w:val="Heading1Char"/>
        </w:rPr>
        <w:t>2.1.5 Plant Material</w:t>
      </w:r>
      <w:bookmarkEnd w:id="49"/>
      <w:bookmarkEnd w:id="50"/>
      <w:bookmarkEnd w:id="51"/>
      <w:r>
        <w:rPr>
          <w:rStyle w:val="Heading1Char"/>
        </w:rPr>
        <w:br/>
      </w:r>
      <w:r>
        <w:t>Plant-based repellents have emerged as an eco-friendly and safer alternative to chemical insecticides, gaining increasing attention in mosquito control strategies. Essential oils and bio-active compounds from plants such as Azadirachtaindica (neem), Curcuma longa (turmeric), Cymbopogoncitratus (lemongrass), Eucalyptus globulus (eucalyptus), and Ocimumgratissimum (African basil) have demonstrated significant efficacy in reducing mosquito-human contact by interfering with mosquito</w:t>
      </w:r>
      <w:r>
        <w:rPr>
          <w:b/>
          <w:bCs/>
        </w:rPr>
        <w:t xml:space="preserve"> olfactory</w:t>
      </w:r>
      <w:r>
        <w:t xml:space="preserve"> and</w:t>
      </w:r>
      <w:r>
        <w:rPr>
          <w:b/>
          <w:bCs/>
        </w:rPr>
        <w:t xml:space="preserve"> chemo-sensory </w:t>
      </w:r>
      <w:r>
        <w:rPr>
          <w:b/>
          <w:bCs/>
        </w:rPr>
        <w:lastRenderedPageBreak/>
        <w:t>receptors</w:t>
      </w:r>
      <w:r>
        <w:t>. These bio-active compounds disrupt host-seeking behavior, feeding, and, in certain cases, reproductive cycles. For instance, neem extracts contain azadirachtin, a potent triterpenoid that functions as a growth regulator and feeding deterrent, while turmeric contains curcuminoids and volatile turmerones such as ar-turmerone, α-turmerone, and β-turmerone, which exert neurotoxic effects on mosquito larvae and adults. Similarly, lemongrass and eucalyptus oils, rich in citral and eucalyptol, mask human odor cues that mosquitoes rely on for host location.</w:t>
      </w:r>
    </w:p>
    <w:p w:rsidR="004B770B" w:rsidRDefault="00DF67D1">
      <w:pPr>
        <w:jc w:val="both"/>
      </w:pPr>
      <w:r>
        <w:t>The importance of plant-based repellents extends beyond their effectiveness to include safety, biodegradability, and accessibility. Unlike synthetic insecticides, they do not persist in the environment and minimize risks to humans, domestic animals, and non-target organisms. The incorporation of these plant materials, including turmeric powder, into mosquito control interventions provides a sustainable, low-cost, and locally available solution, particularly beneficial in rural or resource-limited settings. Such strategies highlight the potential of plant-based compounds to serve as effective, environmentally responsible alternatives to conventional chemical control measures (Oyedele</w:t>
      </w:r>
      <w:r>
        <w:rPr>
          <w:i/>
          <w:iCs/>
        </w:rPr>
        <w:t>et al</w:t>
      </w:r>
      <w:r>
        <w:t>., 2020).</w:t>
      </w:r>
    </w:p>
    <w:p w:rsidR="004B770B" w:rsidRDefault="00DF67D1">
      <w:pPr>
        <w:jc w:val="both"/>
        <w:rPr>
          <w:rFonts w:cs="Times New Roman"/>
        </w:rPr>
      </w:pPr>
      <w:bookmarkStart w:id="52" w:name="_Toc214452597"/>
      <w:bookmarkStart w:id="53" w:name="_Toc214450011"/>
      <w:bookmarkStart w:id="54" w:name="_Toc214099915"/>
      <w:r>
        <w:rPr>
          <w:rStyle w:val="Heading1Char"/>
        </w:rPr>
        <w:t>2.1.6 Orange Peels</w:t>
      </w:r>
      <w:bookmarkEnd w:id="52"/>
      <w:bookmarkEnd w:id="53"/>
      <w:bookmarkEnd w:id="54"/>
      <w:r>
        <w:rPr>
          <w:rStyle w:val="Heading1Char"/>
        </w:rPr>
        <w:br/>
      </w:r>
      <w:r>
        <w:rPr>
          <w:rFonts w:cs="Times New Roman"/>
        </w:rPr>
        <w:t xml:space="preserve">Orange peel, particularly from </w:t>
      </w:r>
      <w:r>
        <w:rPr>
          <w:rFonts w:cs="Times New Roman"/>
          <w:i/>
          <w:iCs/>
        </w:rPr>
        <w:t>Citrus sinensis</w:t>
      </w:r>
      <w:r>
        <w:rPr>
          <w:rFonts w:cs="Times New Roman"/>
        </w:rPr>
        <w:t>, is widely recognized for its rich composition of bio-active phytochemicals that contribute to notable antioxidant, antimicrobial, and anti-inflammatory effects. It’s essential oil is dominated by limonene, formally known as 1-methyl-4-(1-methylethenyl)cyclohexene, which functions as the principal active ingredient responsible for many of the peel’s biological properties (Fisher &amp; Phillips, 2008; Viuda-Martos</w:t>
      </w:r>
      <w:r>
        <w:rPr>
          <w:rFonts w:cs="Times New Roman"/>
          <w:i/>
          <w:iCs/>
        </w:rPr>
        <w:t>et al</w:t>
      </w:r>
      <w:r>
        <w:rPr>
          <w:rFonts w:cs="Times New Roman"/>
        </w:rPr>
        <w:t>., 2010). This compound works synergistically with other constituents such as hesperidin, naringin, linalool, γ-terpinene, and various phenolic acids, all of which collectively enhance the peel’s capacity to neutralize free radicals, inhibit microbial growth, and regulate inflammatory pathways (Bocco</w:t>
      </w:r>
      <w:r>
        <w:rPr>
          <w:rFonts w:cs="Times New Roman"/>
          <w:i/>
          <w:iCs/>
        </w:rPr>
        <w:t>et al</w:t>
      </w:r>
      <w:r>
        <w:rPr>
          <w:rFonts w:cs="Times New Roman"/>
        </w:rPr>
        <w:t xml:space="preserve">., 1998; Manthey&amp;Grohmann, 2001). As a </w:t>
      </w:r>
      <w:r>
        <w:rPr>
          <w:rFonts w:cs="Times New Roman"/>
        </w:rPr>
        <w:lastRenderedPageBreak/>
        <w:t>result, orange peel extracts are increasingly regarded as promising natural alternatives to synthetic preservatives and chemical additives in food, cosmetic, and therapeutic formulations.</w:t>
      </w:r>
    </w:p>
    <w:p w:rsidR="004B770B" w:rsidRDefault="00DF67D1">
      <w:pPr>
        <w:jc w:val="both"/>
        <w:rPr>
          <w:rFonts w:cs="Times New Roman"/>
        </w:rPr>
      </w:pPr>
      <w:r>
        <w:rPr>
          <w:rFonts w:cs="Times New Roman"/>
        </w:rPr>
        <w:t>In addition to its biochemical activity, orange peel has gained increasing relevance across nutraceutical, pharmaceutical, and sustainability-driven industries. It demonstrated antimicrobial and antioxidant functions support its integration into functional foods, topical formulations, and experimental medicinal products, while in vitro studies also highlight potential cytotoxic activity relevant to cancer research (Barros</w:t>
      </w:r>
      <w:r>
        <w:rPr>
          <w:rFonts w:cs="Times New Roman"/>
          <w:i/>
          <w:iCs/>
        </w:rPr>
        <w:t xml:space="preserve"> et al</w:t>
      </w:r>
      <w:r>
        <w:rPr>
          <w:rFonts w:cs="Times New Roman"/>
        </w:rPr>
        <w:t xml:space="preserve">., 2012; Almeida </w:t>
      </w:r>
      <w:r>
        <w:rPr>
          <w:rFonts w:cs="Times New Roman"/>
          <w:i/>
          <w:iCs/>
        </w:rPr>
        <w:t>et al</w:t>
      </w:r>
      <w:r>
        <w:rPr>
          <w:rFonts w:cs="Times New Roman"/>
        </w:rPr>
        <w:t>., 2019). As a major agro-industrial by-product, orange peel contributes to circular economy strategies by transforming organic waste into high-value materials. Nevertheless, challenges remain regarding the volatility and oxidation sensitivity of limonene and related terpenes, prompting the need for improved extraction, encapsulation, and stabilization technologies (Reverchon&amp; De Marco, 2006). Continued investigation into the safety, bioavailability, and clinical potential of orange peel compounds will be essential to fully realize its value as a versatile and scientifically significant natural resource.</w:t>
      </w:r>
    </w:p>
    <w:p w:rsidR="004B770B" w:rsidRDefault="004B770B">
      <w:pPr>
        <w:jc w:val="both"/>
        <w:rPr>
          <w:rFonts w:cs="Times New Roman"/>
        </w:rPr>
      </w:pPr>
    </w:p>
    <w:p w:rsidR="004B770B" w:rsidRDefault="004B770B">
      <w:pPr>
        <w:rPr>
          <w:rFonts w:asciiTheme="majorBidi" w:hAnsiTheme="majorBidi" w:cstheme="majorBidi"/>
          <w:szCs w:val="24"/>
        </w:rPr>
      </w:pPr>
    </w:p>
    <w:p w:rsidR="004B770B" w:rsidRDefault="00DF67D1">
      <w:pPr>
        <w:jc w:val="center"/>
        <w:rPr>
          <w:rFonts w:asciiTheme="majorBidi" w:hAnsiTheme="majorBidi" w:cstheme="majorBidi"/>
          <w:szCs w:val="24"/>
        </w:rPr>
      </w:pPr>
      <w:r>
        <w:rPr>
          <w:rFonts w:asciiTheme="majorBidi" w:hAnsiTheme="majorBidi" w:cstheme="majorBidi"/>
          <w:noProof/>
          <w:szCs w:val="24"/>
        </w:rPr>
        <w:drawing>
          <wp:inline distT="0" distB="0" distL="114300" distR="114300">
            <wp:extent cx="3925570" cy="2444750"/>
            <wp:effectExtent l="0" t="0" r="17780" b="12700"/>
            <wp:docPr id="3" name="Picture 3" descr="orange-peels-450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orange-peels-450x300"/>
                    <pic:cNvPicPr>
                      <a:picLocks noChangeAspect="1"/>
                    </pic:cNvPicPr>
                  </pic:nvPicPr>
                  <pic:blipFill>
                    <a:blip r:embed="rId11"/>
                    <a:stretch>
                      <a:fillRect/>
                    </a:stretch>
                  </pic:blipFill>
                  <pic:spPr>
                    <a:xfrm>
                      <a:off x="0" y="0"/>
                      <a:ext cx="3925570" cy="2444750"/>
                    </a:xfrm>
                    <a:prstGeom prst="rect">
                      <a:avLst/>
                    </a:prstGeom>
                  </pic:spPr>
                </pic:pic>
              </a:graphicData>
            </a:graphic>
          </wp:inline>
        </w:drawing>
      </w:r>
    </w:p>
    <w:p w:rsidR="004B770B" w:rsidRDefault="00DF67D1">
      <w:pPr>
        <w:jc w:val="both"/>
        <w:rPr>
          <w:b/>
          <w:bCs/>
        </w:rPr>
      </w:pPr>
      <w:bookmarkStart w:id="55" w:name="_Toc214452598"/>
      <w:bookmarkStart w:id="56" w:name="_Toc214450012"/>
      <w:r>
        <w:rPr>
          <w:b/>
          <w:bCs/>
        </w:rPr>
        <w:t>Figure 2.4: Orange (</w:t>
      </w:r>
      <w:r>
        <w:rPr>
          <w:b/>
          <w:bCs/>
          <w:i/>
          <w:iCs/>
        </w:rPr>
        <w:t>citrus sinensis</w:t>
      </w:r>
      <w:r>
        <w:rPr>
          <w:b/>
          <w:bCs/>
        </w:rPr>
        <w:t>) peels</w:t>
      </w:r>
      <w:bookmarkEnd w:id="55"/>
      <w:bookmarkEnd w:id="56"/>
    </w:p>
    <w:p w:rsidR="004B770B" w:rsidRDefault="00DF67D1">
      <w:pPr>
        <w:pStyle w:val="Heading1"/>
        <w:jc w:val="both"/>
      </w:pPr>
      <w:bookmarkStart w:id="57" w:name="_Toc214452599"/>
      <w:bookmarkStart w:id="58" w:name="_Toc214099916"/>
      <w:bookmarkStart w:id="59" w:name="_Toc214450013"/>
      <w:r>
        <w:lastRenderedPageBreak/>
        <w:t xml:space="preserve">2.2 Phytochemicals in </w:t>
      </w:r>
      <w:r>
        <w:rPr>
          <w:i/>
          <w:iCs/>
        </w:rPr>
        <w:t>Citrus Sinensis</w:t>
      </w:r>
      <w:r>
        <w:t>Peels with Insecticidal Properties</w:t>
      </w:r>
      <w:bookmarkEnd w:id="57"/>
      <w:bookmarkEnd w:id="58"/>
      <w:bookmarkEnd w:id="59"/>
    </w:p>
    <w:p w:rsidR="004B770B" w:rsidRDefault="00DF67D1">
      <w:pPr>
        <w:jc w:val="both"/>
        <w:rPr>
          <w:rFonts w:asciiTheme="majorBidi" w:hAnsiTheme="majorBidi" w:cstheme="majorBidi"/>
          <w:b/>
          <w:bCs/>
          <w:szCs w:val="24"/>
        </w:rPr>
      </w:pPr>
      <w:r>
        <w:rPr>
          <w:rFonts w:asciiTheme="majorBidi" w:hAnsiTheme="majorBidi" w:cstheme="majorBidi"/>
          <w:i/>
          <w:szCs w:val="24"/>
        </w:rPr>
        <w:t>Citrus Sinensis</w:t>
      </w:r>
      <w:r>
        <w:rPr>
          <w:rFonts w:asciiTheme="majorBidi" w:hAnsiTheme="majorBidi" w:cstheme="majorBidi"/>
          <w:szCs w:val="24"/>
        </w:rPr>
        <w:t xml:space="preserve"> (sweet orange) peels are rich in secondary metabolites that play defensive roles against herbivores and microbial pathogens. These phytochemicals also exhibit insecticidal and repellent activities, making them suitable candidates for mosquito control. The major classes of bio-active compounds found in orange peels include monoterpenes, flavonoids, phenolic acids, alkaloids, and essential oils (Javed</w:t>
      </w:r>
      <w:r>
        <w:rPr>
          <w:rFonts w:asciiTheme="majorBidi" w:hAnsiTheme="majorBidi" w:cstheme="majorBidi"/>
          <w:i/>
          <w:szCs w:val="24"/>
        </w:rPr>
        <w:t>et al.</w:t>
      </w:r>
      <w:r>
        <w:rPr>
          <w:rFonts w:asciiTheme="majorBidi" w:hAnsiTheme="majorBidi" w:cstheme="majorBidi"/>
          <w:szCs w:val="24"/>
        </w:rPr>
        <w:t>, 2021).</w:t>
      </w:r>
    </w:p>
    <w:p w:rsidR="004B770B" w:rsidRDefault="00DF67D1">
      <w:pPr>
        <w:jc w:val="both"/>
        <w:rPr>
          <w:rFonts w:asciiTheme="majorBidi" w:hAnsiTheme="majorBidi" w:cstheme="majorBidi"/>
          <w:szCs w:val="24"/>
        </w:rPr>
      </w:pPr>
      <w:r>
        <w:rPr>
          <w:rFonts w:asciiTheme="majorBidi" w:hAnsiTheme="majorBidi" w:cstheme="majorBidi"/>
          <w:szCs w:val="24"/>
        </w:rPr>
        <w:t>One of the most abundant compounds in orange peels is limonene, a monoterpene hydrocarbon that constitutes up to 90% of the essential oil fraction. Limonene acts as a contact insecticide and repellent by disrupting the nervous system of insects, impairing their locomotion and feeding behavior (Hikal</w:t>
      </w:r>
      <w:r>
        <w:rPr>
          <w:rFonts w:asciiTheme="majorBidi" w:hAnsiTheme="majorBidi" w:cstheme="majorBidi"/>
          <w:i/>
          <w:szCs w:val="24"/>
        </w:rPr>
        <w:t>et al.</w:t>
      </w:r>
      <w:r>
        <w:rPr>
          <w:rFonts w:asciiTheme="majorBidi" w:hAnsiTheme="majorBidi" w:cstheme="majorBidi"/>
          <w:szCs w:val="24"/>
        </w:rPr>
        <w:t xml:space="preserve">, 2017). Studies have demonstrated that limonene vapor repels mosquitoes and other household pests by interfering with olfactory receptor neurons responsible for host detection (Moore </w:t>
      </w:r>
      <w:r>
        <w:rPr>
          <w:rFonts w:asciiTheme="majorBidi" w:hAnsiTheme="majorBidi" w:cstheme="majorBidi"/>
          <w:i/>
          <w:szCs w:val="24"/>
        </w:rPr>
        <w:t>et al.</w:t>
      </w:r>
      <w:r>
        <w:rPr>
          <w:rFonts w:asciiTheme="majorBidi" w:hAnsiTheme="majorBidi" w:cstheme="majorBidi"/>
          <w:szCs w:val="24"/>
        </w:rPr>
        <w:t>, 2022).</w:t>
      </w:r>
    </w:p>
    <w:p w:rsidR="004B770B" w:rsidRDefault="00DF67D1">
      <w:pPr>
        <w:jc w:val="both"/>
        <w:rPr>
          <w:rFonts w:asciiTheme="majorBidi" w:hAnsiTheme="majorBidi" w:cstheme="majorBidi"/>
          <w:szCs w:val="24"/>
        </w:rPr>
      </w:pPr>
      <w:r>
        <w:rPr>
          <w:rFonts w:asciiTheme="majorBidi" w:hAnsiTheme="majorBidi" w:cstheme="majorBidi"/>
          <w:szCs w:val="24"/>
        </w:rPr>
        <w:t>Another important phytochemical is linalool, a terpene alcohol known for its insect-repelling activity. Linalool has been shown to cause knockdown effects on mosquitoes by interfering with acetylcholinesterase activity, leading to nervous system dysfunction (Akinmoladun</w:t>
      </w:r>
      <w:r>
        <w:rPr>
          <w:rFonts w:asciiTheme="majorBidi" w:hAnsiTheme="majorBidi" w:cstheme="majorBidi"/>
          <w:i/>
          <w:szCs w:val="24"/>
        </w:rPr>
        <w:t>et al.</w:t>
      </w:r>
      <w:r>
        <w:rPr>
          <w:rFonts w:asciiTheme="majorBidi" w:hAnsiTheme="majorBidi" w:cstheme="majorBidi"/>
          <w:szCs w:val="24"/>
        </w:rPr>
        <w:t xml:space="preserve">, 2020). In addition to linalool, citral (a mixture of geranial and neral isomers) present in citrus peels contributes to the strong fragrance and is associated with repellent against Aedes aegypti and Anopheles mosquitoes (Bhattacharya </w:t>
      </w:r>
      <w:r>
        <w:rPr>
          <w:rFonts w:asciiTheme="majorBidi" w:hAnsiTheme="majorBidi" w:cstheme="majorBidi"/>
          <w:i/>
          <w:szCs w:val="24"/>
        </w:rPr>
        <w:t>et al.</w:t>
      </w:r>
      <w:r>
        <w:rPr>
          <w:rFonts w:asciiTheme="majorBidi" w:hAnsiTheme="majorBidi" w:cstheme="majorBidi"/>
          <w:szCs w:val="24"/>
        </w:rPr>
        <w:t>, 2020).</w:t>
      </w:r>
    </w:p>
    <w:p w:rsidR="004B770B" w:rsidRDefault="00DF67D1">
      <w:pPr>
        <w:jc w:val="both"/>
        <w:rPr>
          <w:rFonts w:asciiTheme="majorBidi" w:hAnsiTheme="majorBidi" w:cstheme="majorBidi"/>
          <w:szCs w:val="24"/>
        </w:rPr>
      </w:pPr>
      <w:r>
        <w:rPr>
          <w:rFonts w:asciiTheme="majorBidi" w:hAnsiTheme="majorBidi" w:cstheme="majorBidi"/>
          <w:szCs w:val="24"/>
        </w:rPr>
        <w:t xml:space="preserve">Orange peels also contain flavonoids such as hesperidin, naringin, and quercetin. While primarily recognized for antioxidant activity, flavonoids can synergize with essential oils to enhance insecticidal effects by disrupting metabolic pathways in mosquitoes (Damián-Reyna </w:t>
      </w:r>
      <w:r>
        <w:rPr>
          <w:rFonts w:asciiTheme="majorBidi" w:hAnsiTheme="majorBidi" w:cstheme="majorBidi"/>
          <w:i/>
          <w:szCs w:val="24"/>
        </w:rPr>
        <w:t>et al.</w:t>
      </w:r>
      <w:r>
        <w:rPr>
          <w:rFonts w:asciiTheme="majorBidi" w:hAnsiTheme="majorBidi" w:cstheme="majorBidi"/>
          <w:szCs w:val="24"/>
        </w:rPr>
        <w:t>, 2021). Furthermore, phenolic acids such as ferulic and caffeic acids provide additional antimicrobial and pesticide benefits.</w:t>
      </w:r>
    </w:p>
    <w:p w:rsidR="004B770B" w:rsidRDefault="00DF67D1">
      <w:pPr>
        <w:jc w:val="both"/>
        <w:rPr>
          <w:rFonts w:asciiTheme="majorBidi" w:hAnsiTheme="majorBidi" w:cstheme="majorBidi"/>
          <w:szCs w:val="24"/>
        </w:rPr>
      </w:pPr>
      <w:r>
        <w:rPr>
          <w:rFonts w:asciiTheme="majorBidi" w:hAnsiTheme="majorBidi" w:cstheme="majorBidi"/>
          <w:szCs w:val="24"/>
        </w:rPr>
        <w:t xml:space="preserve">The mechanisms by which these compounds exert repellent effects generally involve neurotoxin, interference with chemo-sensory cues, and metabolic disruption. Unlike synthetic </w:t>
      </w:r>
      <w:r>
        <w:rPr>
          <w:rFonts w:asciiTheme="majorBidi" w:hAnsiTheme="majorBidi" w:cstheme="majorBidi"/>
          <w:szCs w:val="24"/>
        </w:rPr>
        <w:lastRenderedPageBreak/>
        <w:t>insecticides that act on specific receptor sites, citrus-derived compounds often function through multiple pathways, which reduces the likelihood of resistance development (Hikal</w:t>
      </w:r>
      <w:r>
        <w:rPr>
          <w:rFonts w:asciiTheme="majorBidi" w:hAnsiTheme="majorBidi" w:cstheme="majorBidi"/>
          <w:i/>
          <w:szCs w:val="24"/>
        </w:rPr>
        <w:t>et al.</w:t>
      </w:r>
      <w:r>
        <w:rPr>
          <w:rFonts w:asciiTheme="majorBidi" w:hAnsiTheme="majorBidi" w:cstheme="majorBidi"/>
          <w:szCs w:val="24"/>
        </w:rPr>
        <w:t>, 2017).</w:t>
      </w:r>
    </w:p>
    <w:p w:rsidR="004B770B" w:rsidRDefault="00DF67D1">
      <w:pPr>
        <w:jc w:val="both"/>
        <w:rPr>
          <w:rFonts w:asciiTheme="majorBidi" w:hAnsiTheme="majorBidi" w:cstheme="majorBidi"/>
          <w:szCs w:val="24"/>
        </w:rPr>
      </w:pPr>
      <w:r>
        <w:rPr>
          <w:rFonts w:asciiTheme="majorBidi" w:hAnsiTheme="majorBidi" w:cstheme="majorBidi"/>
          <w:szCs w:val="24"/>
        </w:rPr>
        <w:t>Beyond repellent, the environmental profile of citrus peel phytochemicals is favorable. Being biodegradable, they do not persist in ecosystems, and their application aligns with sustainable waste management practices, as orange peels constitute a major by-product of juice industries worldwide (Javed</w:t>
      </w:r>
      <w:r>
        <w:rPr>
          <w:rFonts w:asciiTheme="majorBidi" w:hAnsiTheme="majorBidi" w:cstheme="majorBidi"/>
          <w:i/>
          <w:szCs w:val="24"/>
        </w:rPr>
        <w:t>et al.</w:t>
      </w:r>
      <w:r>
        <w:rPr>
          <w:rFonts w:asciiTheme="majorBidi" w:hAnsiTheme="majorBidi" w:cstheme="majorBidi"/>
          <w:szCs w:val="24"/>
        </w:rPr>
        <w:t xml:space="preserve">, 2021). This dual advantage of waste valorization and mosquito control underpins the scientific rationale for producing coils from </w:t>
      </w:r>
      <w:r>
        <w:rPr>
          <w:rFonts w:asciiTheme="majorBidi" w:hAnsiTheme="majorBidi" w:cstheme="majorBidi"/>
          <w:i/>
          <w:szCs w:val="24"/>
        </w:rPr>
        <w:t>Citrus Sinensis</w:t>
      </w:r>
      <w:r>
        <w:rPr>
          <w:rFonts w:asciiTheme="majorBidi" w:hAnsiTheme="majorBidi" w:cstheme="majorBidi"/>
          <w:szCs w:val="24"/>
        </w:rPr>
        <w:t xml:space="preserve"> peels.</w:t>
      </w:r>
    </w:p>
    <w:p w:rsidR="004B770B" w:rsidRDefault="004B770B">
      <w:pPr>
        <w:rPr>
          <w:rFonts w:asciiTheme="majorBidi" w:hAnsiTheme="majorBidi" w:cstheme="majorBidi"/>
          <w:szCs w:val="24"/>
        </w:rPr>
      </w:pPr>
    </w:p>
    <w:p w:rsidR="004B770B" w:rsidRDefault="00DF67D1">
      <w:pPr>
        <w:rPr>
          <w:rFonts w:asciiTheme="majorBidi" w:hAnsiTheme="majorBidi" w:cstheme="majorBidi"/>
          <w:szCs w:val="24"/>
        </w:rPr>
      </w:pPr>
      <w:r>
        <w:rPr>
          <w:rFonts w:asciiTheme="majorBidi" w:hAnsiTheme="majorBidi" w:cstheme="majorBidi"/>
          <w:szCs w:val="24"/>
        </w:rPr>
        <w:br w:type="page"/>
      </w:r>
    </w:p>
    <w:p w:rsidR="004B770B" w:rsidRDefault="00DF67D1">
      <w:pPr>
        <w:pStyle w:val="Heading1"/>
        <w:rPr>
          <w:kern w:val="36"/>
        </w:rPr>
      </w:pPr>
      <w:bookmarkStart w:id="60" w:name="_Toc214099917"/>
      <w:bookmarkStart w:id="61" w:name="_Toc214452600"/>
      <w:bookmarkStart w:id="62" w:name="_Toc214450014"/>
      <w:r>
        <w:rPr>
          <w:kern w:val="36"/>
        </w:rPr>
        <w:lastRenderedPageBreak/>
        <w:t>CHAPTER THREE</w:t>
      </w:r>
      <w:bookmarkEnd w:id="60"/>
      <w:bookmarkEnd w:id="61"/>
      <w:bookmarkEnd w:id="62"/>
    </w:p>
    <w:p w:rsidR="004B770B" w:rsidRDefault="00DF67D1">
      <w:pPr>
        <w:pStyle w:val="Heading1"/>
        <w:jc w:val="both"/>
        <w:rPr>
          <w:kern w:val="36"/>
        </w:rPr>
      </w:pPr>
      <w:bookmarkStart w:id="63" w:name="_Toc214452601"/>
      <w:bookmarkStart w:id="64" w:name="_Toc214450015"/>
      <w:bookmarkStart w:id="65" w:name="_Toc214099918"/>
      <w:r>
        <w:rPr>
          <w:kern w:val="36"/>
        </w:rPr>
        <w:t>3.0 Materials and Methods</w:t>
      </w:r>
      <w:bookmarkStart w:id="66" w:name="_Toc214099919"/>
      <w:bookmarkEnd w:id="63"/>
      <w:bookmarkEnd w:id="64"/>
      <w:bookmarkEnd w:id="65"/>
    </w:p>
    <w:p w:rsidR="004B770B" w:rsidRDefault="00DF67D1">
      <w:pPr>
        <w:pStyle w:val="Heading1"/>
        <w:jc w:val="both"/>
        <w:rPr>
          <w:kern w:val="36"/>
        </w:rPr>
      </w:pPr>
      <w:bookmarkStart w:id="67" w:name="_Toc214450016"/>
      <w:bookmarkStart w:id="68" w:name="_Toc214452602"/>
      <w:r>
        <w:t>3.1 Study Area</w:t>
      </w:r>
      <w:bookmarkEnd w:id="66"/>
      <w:bookmarkEnd w:id="67"/>
      <w:bookmarkEnd w:id="68"/>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study was conducted at the Biochemistry Laboratory, Department of Biochemistry and Molecular Biology, UsmanuDanfodiyo University, Sokoto, Nigeria. The laboratory is well-equipped for biochemical and environmental research, providing controlled conditions suitable for the preparation and testing of mosquito repellent formulations.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laboratory maintained standard working conditions throughout the experimental period, ensuring safety, reproducibility, and validity of results. All experiments were carried out under controlled ventilation to minimize inhalation exposure to smoke from burning mosquito coils. The use of locally available raw materials such as orange peels, sawdust, and charcoal also reflects the environmental and socio-economic relevance of the study within the Nigerian context.</w:t>
      </w:r>
      <w:bookmarkStart w:id="69" w:name="_Toc214099920"/>
    </w:p>
    <w:p w:rsidR="004B770B" w:rsidRDefault="00DF67D1">
      <w:pPr>
        <w:pStyle w:val="Heading1"/>
        <w:jc w:val="both"/>
      </w:pPr>
      <w:bookmarkStart w:id="70" w:name="_Toc214450017"/>
      <w:bookmarkStart w:id="71" w:name="_Toc214452603"/>
      <w:r>
        <w:t>3.2 Materials, Reagents, and Instruments</w:t>
      </w:r>
      <w:bookmarkEnd w:id="69"/>
      <w:bookmarkEnd w:id="70"/>
      <w:bookmarkEnd w:id="71"/>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materials and reagents used in this study were selected to ensure both the physical integrity of the mosquito coil and the bio-active effectiveness of the orange (</w:t>
      </w:r>
      <w:r>
        <w:rPr>
          <w:rStyle w:val="Emphasis"/>
          <w:rFonts w:asciiTheme="majorBidi" w:eastAsiaTheme="majorEastAsia" w:hAnsiTheme="majorBidi"/>
        </w:rPr>
        <w:t>Citrus sinensis</w:t>
      </w:r>
      <w:r>
        <w:rPr>
          <w:rFonts w:asciiTheme="majorBidi" w:hAnsiTheme="majorBidi" w:cstheme="majorBidi"/>
        </w:rPr>
        <w:t>) peel component. Most of the materials were locally sourced, reflecting the study’s emphasis on sustainability and cost efficiency. All laboratory instruments were cleaned, calibrated, and used according to standard operating procedures before each experimental session.</w:t>
      </w:r>
    </w:p>
    <w:p w:rsidR="004B770B" w:rsidRDefault="00DF67D1">
      <w:pPr>
        <w:pStyle w:val="Heading1"/>
        <w:jc w:val="both"/>
      </w:pPr>
      <w:bookmarkStart w:id="72" w:name="_Toc214452604"/>
      <w:bookmarkStart w:id="73" w:name="_Toc214450018"/>
      <w:bookmarkStart w:id="74" w:name="_Toc214099921"/>
      <w:r>
        <w:t>3.2.1 Materials and Reagents</w:t>
      </w:r>
      <w:bookmarkEnd w:id="72"/>
      <w:bookmarkEnd w:id="73"/>
      <w:bookmarkEnd w:id="74"/>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following materials and reagents were used:</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t>Dried orange peels</w:t>
      </w:r>
      <w:r>
        <w:rPr>
          <w:rFonts w:asciiTheme="majorBidi" w:hAnsiTheme="majorBidi" w:cstheme="majorBidi"/>
        </w:rPr>
        <w:t xml:space="preserve"> – the primary active ingredient providing phytochemical constituents (limonene, linalool, and citral) with repellent properties.</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t>Sawdust</w:t>
      </w:r>
      <w:r>
        <w:rPr>
          <w:rFonts w:asciiTheme="majorBidi" w:hAnsiTheme="majorBidi" w:cstheme="majorBidi"/>
        </w:rPr>
        <w:t xml:space="preserve"> – serves as a structural filler and slow-burning substrate for coil formation.</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t>Charcoal powder</w:t>
      </w:r>
      <w:r>
        <w:rPr>
          <w:rFonts w:asciiTheme="majorBidi" w:hAnsiTheme="majorBidi" w:cstheme="majorBidi"/>
        </w:rPr>
        <w:t xml:space="preserve"> – enhances combustion efficiency and ensures steady burning.</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lastRenderedPageBreak/>
        <w:t>Camphor</w:t>
      </w:r>
      <w:r>
        <w:rPr>
          <w:rFonts w:asciiTheme="majorBidi" w:hAnsiTheme="majorBidi" w:cstheme="majorBidi"/>
        </w:rPr>
        <w:t xml:space="preserve"> – acts as a secondary repellent and provides aromatic properties.</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t>Turmeric powder (</w:t>
      </w:r>
      <w:r>
        <w:rPr>
          <w:rStyle w:val="Emphasis"/>
          <w:rFonts w:asciiTheme="majorBidi" w:eastAsiaTheme="majorEastAsia" w:hAnsiTheme="majorBidi"/>
          <w:b/>
          <w:bCs/>
        </w:rPr>
        <w:t>Curcuma longa</w:t>
      </w:r>
      <w:r>
        <w:rPr>
          <w:rStyle w:val="Strong"/>
          <w:rFonts w:asciiTheme="majorBidi" w:hAnsiTheme="majorBidi" w:cstheme="majorBidi"/>
        </w:rPr>
        <w:t>)</w:t>
      </w:r>
      <w:r>
        <w:rPr>
          <w:rFonts w:asciiTheme="majorBidi" w:hAnsiTheme="majorBidi" w:cstheme="majorBidi"/>
        </w:rPr>
        <w:t xml:space="preserve"> – incorporated for its antimicrobial and aromatic contributions, supporting synergistic repellency.</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t>Talcum powder</w:t>
      </w:r>
      <w:r>
        <w:rPr>
          <w:rFonts w:asciiTheme="majorBidi" w:hAnsiTheme="majorBidi" w:cstheme="majorBidi"/>
        </w:rPr>
        <w:t xml:space="preserve"> – used as a filler and to improve the smoothness and physical stability of the coil surface.</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t xml:space="preserve">Wet cassava starch </w:t>
      </w:r>
      <w:r>
        <w:rPr>
          <w:rFonts w:asciiTheme="majorBidi" w:hAnsiTheme="majorBidi" w:cstheme="majorBidi"/>
        </w:rPr>
        <w:t>– used as a natural binder to confer elasticity and cohesion to the coil mixture</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b/>
          <w:bCs/>
        </w:rPr>
        <w:t>Paraffin oil</w:t>
      </w:r>
      <w:r>
        <w:rPr>
          <w:rFonts w:asciiTheme="majorBidi" w:hAnsiTheme="majorBidi" w:cstheme="majorBidi"/>
        </w:rPr>
        <w:t xml:space="preserve"> – as a combustible agent, facilitating controlled smoldering and consistent smoke emission for effective mosquito repellency.</w:t>
      </w:r>
    </w:p>
    <w:p w:rsidR="004B770B" w:rsidRDefault="00DF67D1">
      <w:pPr>
        <w:pStyle w:val="NormalWeb"/>
        <w:numPr>
          <w:ilvl w:val="0"/>
          <w:numId w:val="2"/>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rPr>
        <w:t>Distilled water</w:t>
      </w:r>
      <w:r>
        <w:rPr>
          <w:rFonts w:asciiTheme="majorBidi" w:hAnsiTheme="majorBidi" w:cstheme="majorBidi"/>
        </w:rPr>
        <w:t xml:space="preserve"> – utilized to control the moisture content and consistency of the dough during mixing.</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All reagents used were of analytical grade and obtained from standard laboratory supplies at the Department of Biochemistry and Molecular Biology, UsmanuDanfodiyo University, Sokoto.</w:t>
      </w:r>
    </w:p>
    <w:p w:rsidR="004B770B" w:rsidRDefault="00DF67D1">
      <w:pPr>
        <w:pStyle w:val="Heading1"/>
        <w:jc w:val="both"/>
      </w:pPr>
      <w:bookmarkStart w:id="75" w:name="_Toc214452605"/>
      <w:bookmarkStart w:id="76" w:name="_Toc214099922"/>
      <w:bookmarkStart w:id="77" w:name="_Toc214450019"/>
      <w:r>
        <w:t>3.2.2 Instruments and Equipment</w:t>
      </w:r>
      <w:bookmarkEnd w:id="75"/>
      <w:bookmarkEnd w:id="76"/>
      <w:bookmarkEnd w:id="77"/>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following laboratory instruments and tools were employed during the study:</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Analytical weighing balance (for accurate measurement of reagents and materials)</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Drying oven (set at 50–60°C for sample drying)</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Mortar and pestle (for grinding and homogenization of materials)</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Sieves (for uniform particle size separation of sawdust and charcoal)</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Mixing bowl (for combining powdered ingredients)</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Rolling pin (for flattening and shaping coil dough)</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Coil mold (for obtaining uniform coil shapes)</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Drying trays (for oven drying and sample handling)</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Stopwatch (for timing the repellency tests)</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lastRenderedPageBreak/>
        <w:t>Mosquito rearing cage (for controlled testing environment)</w:t>
      </w:r>
    </w:p>
    <w:p w:rsidR="004B770B" w:rsidRDefault="00DF67D1">
      <w:pPr>
        <w:pStyle w:val="NormalWeb"/>
        <w:numPr>
          <w:ilvl w:val="0"/>
          <w:numId w:val="3"/>
        </w:numPr>
        <w:spacing w:before="0" w:beforeAutospacing="0" w:after="0" w:afterAutospacing="0" w:line="480" w:lineRule="auto"/>
        <w:ind w:left="0"/>
        <w:jc w:val="both"/>
        <w:rPr>
          <w:rFonts w:asciiTheme="majorBidi" w:hAnsiTheme="majorBidi" w:cstheme="majorBidi"/>
        </w:rPr>
      </w:pPr>
      <w:r>
        <w:rPr>
          <w:rFonts w:asciiTheme="majorBidi" w:hAnsiTheme="majorBidi" w:cstheme="majorBidi"/>
        </w:rPr>
        <w:t>Hand counter and notebook (for recording mosquito landing counts and observations)</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All materials and equipment were thoroughly cleaned and disinfected before and after each use to maintain experimental accuracy and prevent contamination.</w:t>
      </w:r>
    </w:p>
    <w:p w:rsidR="004B770B" w:rsidRDefault="00DF67D1">
      <w:pPr>
        <w:pStyle w:val="Heading1"/>
        <w:jc w:val="both"/>
      </w:pPr>
      <w:bookmarkStart w:id="78" w:name="_Toc214099923"/>
      <w:bookmarkStart w:id="79" w:name="_Toc214450020"/>
      <w:bookmarkStart w:id="80" w:name="_Toc214452606"/>
      <w:r>
        <w:t>3.3 Research Design</w:t>
      </w:r>
      <w:bookmarkEnd w:id="78"/>
      <w:bookmarkEnd w:id="79"/>
      <w:bookmarkEnd w:id="80"/>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This study employed an experimental comparative design to evaluate the repellency effectiveness of mosquito coils formulated from orange (</w:t>
      </w:r>
      <w:r>
        <w:rPr>
          <w:rFonts w:asciiTheme="majorBidi" w:eastAsia="Times New Roman" w:hAnsiTheme="majorBidi" w:cstheme="majorBidi"/>
          <w:i/>
          <w:iCs/>
          <w:szCs w:val="24"/>
        </w:rPr>
        <w:t>Citrus sinensis</w:t>
      </w:r>
      <w:r>
        <w:rPr>
          <w:rFonts w:asciiTheme="majorBidi" w:eastAsia="Times New Roman" w:hAnsiTheme="majorBidi" w:cstheme="majorBidi"/>
          <w:szCs w:val="24"/>
        </w:rPr>
        <w:t xml:space="preserve">) peels in relation to a commercially available mosquito coil. The experiment was structured to determine the percentage repellency, knockdown, and mortality rates of </w:t>
      </w:r>
      <w:r>
        <w:rPr>
          <w:rFonts w:asciiTheme="majorBidi" w:eastAsia="Times New Roman" w:hAnsiTheme="majorBidi" w:cstheme="majorBidi"/>
          <w:i/>
          <w:iCs/>
          <w:szCs w:val="24"/>
        </w:rPr>
        <w:t>Anopheles</w:t>
      </w:r>
      <w:r>
        <w:rPr>
          <w:rFonts w:asciiTheme="majorBidi" w:eastAsia="Times New Roman" w:hAnsiTheme="majorBidi" w:cstheme="majorBidi"/>
          <w:szCs w:val="24"/>
        </w:rPr>
        <w:t xml:space="preserve"> mosquitoes when exposed to different coil types under controlled laboratory conditions.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research was carried out in triplicate for statistical reliability and reproducibility of results. Three treatment categories were used:</w:t>
      </w:r>
    </w:p>
    <w:p w:rsidR="004B770B" w:rsidRDefault="00DF67D1">
      <w:pPr>
        <w:numPr>
          <w:ilvl w:val="0"/>
          <w:numId w:val="4"/>
        </w:numPr>
        <w:ind w:left="0"/>
        <w:jc w:val="both"/>
        <w:rPr>
          <w:rFonts w:asciiTheme="majorBidi" w:eastAsia="Times New Roman" w:hAnsiTheme="majorBidi" w:cstheme="majorBidi"/>
          <w:szCs w:val="24"/>
        </w:rPr>
      </w:pPr>
      <w:r>
        <w:rPr>
          <w:rFonts w:asciiTheme="majorBidi" w:eastAsia="Times New Roman" w:hAnsiTheme="majorBidi" w:cstheme="majorBidi"/>
          <w:b/>
          <w:bCs/>
          <w:szCs w:val="24"/>
        </w:rPr>
        <w:t>Orange peel–based coil (Test sample)</w:t>
      </w:r>
      <w:r>
        <w:rPr>
          <w:rFonts w:asciiTheme="majorBidi" w:eastAsia="Times New Roman" w:hAnsiTheme="majorBidi" w:cstheme="majorBidi"/>
          <w:szCs w:val="24"/>
        </w:rPr>
        <w:t xml:space="preserve"> – formulated from powdered orange peels mixed with other natural additives.</w:t>
      </w:r>
    </w:p>
    <w:p w:rsidR="004B770B" w:rsidRDefault="00DF67D1">
      <w:pPr>
        <w:numPr>
          <w:ilvl w:val="0"/>
          <w:numId w:val="4"/>
        </w:numPr>
        <w:ind w:left="0"/>
        <w:jc w:val="both"/>
        <w:rPr>
          <w:rFonts w:asciiTheme="majorBidi" w:eastAsia="Times New Roman" w:hAnsiTheme="majorBidi" w:cstheme="majorBidi"/>
          <w:szCs w:val="24"/>
        </w:rPr>
      </w:pPr>
      <w:r>
        <w:rPr>
          <w:rFonts w:asciiTheme="majorBidi" w:eastAsia="Times New Roman" w:hAnsiTheme="majorBidi" w:cstheme="majorBidi"/>
          <w:b/>
          <w:bCs/>
          <w:szCs w:val="24"/>
        </w:rPr>
        <w:t>Commercial coil (Positive control)</w:t>
      </w:r>
      <w:r>
        <w:rPr>
          <w:rFonts w:asciiTheme="majorBidi" w:eastAsia="Times New Roman" w:hAnsiTheme="majorBidi" w:cstheme="majorBidi"/>
          <w:szCs w:val="24"/>
        </w:rPr>
        <w:t xml:space="preserve"> – a standard synthetic coil (“Super Kill”) purchased from a local market, serving as the benchmark for comparison.</w:t>
      </w:r>
    </w:p>
    <w:p w:rsidR="004B770B" w:rsidRDefault="00DF67D1">
      <w:pPr>
        <w:numPr>
          <w:ilvl w:val="0"/>
          <w:numId w:val="4"/>
        </w:numPr>
        <w:ind w:left="0"/>
        <w:jc w:val="both"/>
        <w:rPr>
          <w:rFonts w:asciiTheme="majorBidi" w:eastAsia="Times New Roman" w:hAnsiTheme="majorBidi" w:cstheme="majorBidi"/>
          <w:szCs w:val="24"/>
        </w:rPr>
      </w:pPr>
      <w:r>
        <w:rPr>
          <w:rFonts w:asciiTheme="majorBidi" w:eastAsia="Times New Roman" w:hAnsiTheme="majorBidi" w:cstheme="majorBidi"/>
          <w:b/>
          <w:bCs/>
          <w:szCs w:val="24"/>
        </w:rPr>
        <w:t>No coil (Negative control)</w:t>
      </w:r>
      <w:r>
        <w:rPr>
          <w:rFonts w:asciiTheme="majorBidi" w:eastAsia="Times New Roman" w:hAnsiTheme="majorBidi" w:cstheme="majorBidi"/>
          <w:szCs w:val="24"/>
        </w:rPr>
        <w:t xml:space="preserve"> – a control setup without any coil burning, used to establish the baseline mosquito activity and natural landing rate.</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 xml:space="preserve">Each setup consisted of a cage containing 25 adult </w:t>
      </w:r>
      <w:r>
        <w:rPr>
          <w:rFonts w:asciiTheme="majorBidi" w:eastAsia="Times New Roman" w:hAnsiTheme="majorBidi" w:cstheme="majorBidi"/>
          <w:i/>
          <w:iCs/>
          <w:szCs w:val="24"/>
        </w:rPr>
        <w:t>Anopheles</w:t>
      </w:r>
      <w:r>
        <w:rPr>
          <w:rFonts w:asciiTheme="majorBidi" w:eastAsia="Times New Roman" w:hAnsiTheme="majorBidi" w:cstheme="majorBidi"/>
          <w:szCs w:val="24"/>
        </w:rPr>
        <w:t xml:space="preserve"> mosquitoes, maintained under standard laboratory conditions of temperature (27 ± 2°C) and relative humidity (70 ± 5%). The mosquitoes were acclimatized for 24 hours before experimentation and deprived of food for two hours prior to testing to enhance responsiveness.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 xml:space="preserve">The comparative design enabled direct assessment of repellency, knockdown, and mortality effects over equal time intervals (10, 20, and 30 minutes). The repellency rate was calculated </w:t>
      </w:r>
      <w:r>
        <w:rPr>
          <w:rFonts w:asciiTheme="majorBidi" w:eastAsia="Times New Roman" w:hAnsiTheme="majorBidi" w:cstheme="majorBidi"/>
          <w:szCs w:val="24"/>
        </w:rPr>
        <w:lastRenderedPageBreak/>
        <w:t>as the proportion of mosquitoes repelled or prevented from landing, while knockdown and mortality were determined based on visibly incapacitated or dead mosquitoes, respectively.</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use of a triplicate experimental approach ensured data consistency and minimized random error. Observations from all replicates were averaged to obtain mean values for each parameter. The outcomes of this design provided a scientific basis for comparing the performance of the orange peel–based coil with that of the commercial product, thereby testing the stated hypothesis of the study.</w:t>
      </w:r>
    </w:p>
    <w:p w:rsidR="004B770B" w:rsidRDefault="00DF67D1">
      <w:pPr>
        <w:pStyle w:val="Heading1"/>
        <w:jc w:val="both"/>
      </w:pPr>
      <w:bookmarkStart w:id="81" w:name="_Toc214452607"/>
      <w:bookmarkStart w:id="82" w:name="_Toc214450021"/>
      <w:bookmarkStart w:id="83" w:name="_Toc214099924"/>
      <w:r>
        <w:t xml:space="preserve">3.4 Preparation of Mosquito Repellent Coil from </w:t>
      </w:r>
      <w:r>
        <w:rPr>
          <w:i/>
          <w:iCs/>
        </w:rPr>
        <w:t>Citrus sinensis</w:t>
      </w:r>
      <w:r>
        <w:t xml:space="preserve"> Peels</w:t>
      </w:r>
      <w:bookmarkEnd w:id="81"/>
      <w:bookmarkEnd w:id="82"/>
      <w:bookmarkEnd w:id="83"/>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preparation of the mosquito repellent coil involved a multi-stage process designed to ensure chemical stability, uniform combustion, and effective release of bio-active compounds during use. The process was executed in accordance with standard laboratory safety and procedural guidelines adopted in natural product formulation studies (adapted from Bhattacharya </w:t>
      </w:r>
      <w:r>
        <w:rPr>
          <w:rFonts w:asciiTheme="majorBidi" w:hAnsiTheme="majorBidi" w:cstheme="majorBidi"/>
          <w:i/>
          <w:iCs/>
        </w:rPr>
        <w:t>et al</w:t>
      </w:r>
      <w:r>
        <w:rPr>
          <w:rFonts w:asciiTheme="majorBidi" w:hAnsiTheme="majorBidi" w:cstheme="majorBidi"/>
        </w:rPr>
        <w:t>., 2020; Javed</w:t>
      </w:r>
      <w:r>
        <w:rPr>
          <w:rFonts w:asciiTheme="majorBidi" w:hAnsiTheme="majorBidi" w:cstheme="majorBidi"/>
          <w:i/>
          <w:iCs/>
        </w:rPr>
        <w:t>et al</w:t>
      </w:r>
      <w:r>
        <w:rPr>
          <w:rFonts w:asciiTheme="majorBidi" w:hAnsiTheme="majorBidi" w:cstheme="majorBidi"/>
        </w:rPr>
        <w:t xml:space="preserve">., 2021). The preparation stages included </w:t>
      </w:r>
      <w:r>
        <w:rPr>
          <w:rStyle w:val="Strong"/>
          <w:rFonts w:asciiTheme="majorBidi" w:hAnsiTheme="majorBidi" w:cstheme="majorBidi"/>
          <w:b w:val="0"/>
          <w:bCs w:val="0"/>
        </w:rPr>
        <w:t>collection and processing of raw materials</w:t>
      </w:r>
      <w:r>
        <w:rPr>
          <w:rFonts w:asciiTheme="majorBidi" w:hAnsiTheme="majorBidi" w:cstheme="majorBidi"/>
          <w:b/>
          <w:bCs/>
        </w:rPr>
        <w:t xml:space="preserve">, </w:t>
      </w:r>
      <w:r>
        <w:rPr>
          <w:rStyle w:val="Strong"/>
          <w:rFonts w:asciiTheme="majorBidi" w:hAnsiTheme="majorBidi" w:cstheme="majorBidi"/>
          <w:b w:val="0"/>
          <w:bCs w:val="0"/>
        </w:rPr>
        <w:t>formulation and homogenization</w:t>
      </w:r>
      <w:r>
        <w:rPr>
          <w:rFonts w:asciiTheme="majorBidi" w:hAnsiTheme="majorBidi" w:cstheme="majorBidi"/>
          <w:b/>
          <w:bCs/>
        </w:rPr>
        <w:t xml:space="preserve">, </w:t>
      </w:r>
      <w:r>
        <w:rPr>
          <w:rStyle w:val="Strong"/>
          <w:rFonts w:asciiTheme="majorBidi" w:hAnsiTheme="majorBidi" w:cstheme="majorBidi"/>
          <w:b w:val="0"/>
          <w:bCs w:val="0"/>
        </w:rPr>
        <w:t>shaping and molding</w:t>
      </w:r>
      <w:r>
        <w:rPr>
          <w:rFonts w:asciiTheme="majorBidi" w:hAnsiTheme="majorBidi" w:cstheme="majorBidi"/>
        </w:rPr>
        <w:t xml:space="preserve">, and </w:t>
      </w:r>
      <w:r>
        <w:rPr>
          <w:rStyle w:val="Strong"/>
          <w:rFonts w:asciiTheme="majorBidi" w:hAnsiTheme="majorBidi" w:cstheme="majorBidi"/>
          <w:b w:val="0"/>
          <w:bCs w:val="0"/>
        </w:rPr>
        <w:t>controlled drying and storage</w:t>
      </w:r>
      <w:r>
        <w:rPr>
          <w:rFonts w:asciiTheme="majorBidi" w:hAnsiTheme="majorBidi" w:cstheme="majorBidi"/>
          <w:b/>
          <w:bCs/>
        </w:rPr>
        <w:t>.</w:t>
      </w:r>
    </w:p>
    <w:p w:rsidR="004B770B" w:rsidRDefault="00DF67D1">
      <w:pPr>
        <w:pStyle w:val="Heading1"/>
        <w:jc w:val="both"/>
      </w:pPr>
      <w:bookmarkStart w:id="84" w:name="_Toc214452608"/>
      <w:bookmarkStart w:id="85" w:name="_Toc214099925"/>
      <w:bookmarkStart w:id="86" w:name="_Toc214450022"/>
      <w:r>
        <w:t>3.4.1 Collection and Preparation of Raw Materials</w:t>
      </w:r>
      <w:bookmarkEnd w:id="84"/>
      <w:bookmarkEnd w:id="85"/>
      <w:bookmarkEnd w:id="86"/>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Fresh orange (</w:t>
      </w:r>
      <w:r>
        <w:rPr>
          <w:rStyle w:val="Emphasis"/>
          <w:rFonts w:asciiTheme="majorBidi" w:eastAsiaTheme="majorEastAsia" w:hAnsiTheme="majorBidi"/>
        </w:rPr>
        <w:t>Citrus sinensis</w:t>
      </w:r>
      <w:r>
        <w:rPr>
          <w:rFonts w:asciiTheme="majorBidi" w:hAnsiTheme="majorBidi" w:cstheme="majorBidi"/>
        </w:rPr>
        <w:t xml:space="preserve">) peels were collected from fruit vendors within Sokoto metropolis immediately after fruit consumption to ensure freshness and minimize microbial contamination. The collected peels were first rinsed thoroughly with clean water to remove dirt, dust, and adhering pulp residues. After cleaning, the peels were spread evenly on stainless steel trays and oven-dried in a hot-air oven at a temperature range of </w:t>
      </w:r>
      <w:r>
        <w:rPr>
          <w:rStyle w:val="Strong"/>
          <w:rFonts w:asciiTheme="majorBidi" w:hAnsiTheme="majorBidi" w:cstheme="majorBidi"/>
          <w:b w:val="0"/>
          <w:bCs w:val="0"/>
        </w:rPr>
        <w:t>50–60°C for 24 hours</w:t>
      </w:r>
      <w:r>
        <w:rPr>
          <w:rFonts w:asciiTheme="majorBidi" w:hAnsiTheme="majorBidi" w:cstheme="majorBidi"/>
        </w:rPr>
        <w:t xml:space="preserve">. This temperature range was chosen to allow effective moisture removal while preserving volatile phytochemicals such as </w:t>
      </w:r>
      <w:r>
        <w:rPr>
          <w:rStyle w:val="Strong"/>
          <w:rFonts w:asciiTheme="majorBidi" w:hAnsiTheme="majorBidi" w:cstheme="majorBidi"/>
          <w:b w:val="0"/>
          <w:bCs w:val="0"/>
        </w:rPr>
        <w:t>limonene</w:t>
      </w:r>
      <w:r>
        <w:rPr>
          <w:rFonts w:asciiTheme="majorBidi" w:hAnsiTheme="majorBidi" w:cstheme="majorBidi"/>
        </w:rPr>
        <w:t xml:space="preserve"> and </w:t>
      </w:r>
      <w:r>
        <w:rPr>
          <w:rStyle w:val="Strong"/>
          <w:rFonts w:asciiTheme="majorBidi" w:hAnsiTheme="majorBidi" w:cstheme="majorBidi"/>
          <w:b w:val="0"/>
          <w:bCs w:val="0"/>
        </w:rPr>
        <w:t>linalool</w:t>
      </w:r>
      <w:r>
        <w:rPr>
          <w:rFonts w:asciiTheme="majorBidi" w:hAnsiTheme="majorBidi" w:cstheme="majorBidi"/>
        </w:rPr>
        <w:t>, which are thermolabile and can degrade at excessively high temperatures (Hikal</w:t>
      </w:r>
      <w:r>
        <w:rPr>
          <w:rFonts w:asciiTheme="majorBidi" w:hAnsiTheme="majorBidi" w:cstheme="majorBidi"/>
          <w:i/>
          <w:iCs/>
        </w:rPr>
        <w:t>et al</w:t>
      </w:r>
      <w:r>
        <w:rPr>
          <w:rFonts w:asciiTheme="majorBidi" w:hAnsiTheme="majorBidi" w:cstheme="majorBidi"/>
        </w:rPr>
        <w:t>., 2017).</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lastRenderedPageBreak/>
        <w:t xml:space="preserve">The dried orange peels were ground using a clean mortar and pestle until a fine, homogeneous powder was obtained. The powdered form enhances surface area exposure during combustion, ensuring efficient volatilization of the active compounds. The powder </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was sieved using a </w:t>
      </w:r>
      <w:r>
        <w:rPr>
          <w:rStyle w:val="Strong"/>
          <w:rFonts w:asciiTheme="majorBidi" w:hAnsiTheme="majorBidi" w:cstheme="majorBidi"/>
          <w:b w:val="0"/>
          <w:bCs w:val="0"/>
        </w:rPr>
        <w:t>0.5 mm mesh sieve</w:t>
      </w:r>
      <w:r>
        <w:rPr>
          <w:rFonts w:asciiTheme="majorBidi" w:hAnsiTheme="majorBidi" w:cstheme="majorBidi"/>
        </w:rPr>
        <w:t xml:space="preserve"> to maintain uniform particle size, which is critical for even blending during coil formulation.</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Other raw materials were prepared as follows:</w:t>
      </w:r>
    </w:p>
    <w:p w:rsidR="004B770B" w:rsidRDefault="00DF67D1">
      <w:pPr>
        <w:pStyle w:val="NormalWeb"/>
        <w:numPr>
          <w:ilvl w:val="0"/>
          <w:numId w:val="5"/>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Charcoal</w:t>
      </w:r>
      <w:r>
        <w:rPr>
          <w:rFonts w:asciiTheme="majorBidi" w:hAnsiTheme="majorBidi" w:cstheme="majorBidi"/>
        </w:rPr>
        <w:t xml:space="preserve"> was crushed into fine powder to serve as a combustion facilitator, ensuring consistent burning and sustained release of smoke.</w:t>
      </w:r>
    </w:p>
    <w:p w:rsidR="004B770B" w:rsidRDefault="00DF67D1">
      <w:pPr>
        <w:pStyle w:val="NormalWeb"/>
        <w:numPr>
          <w:ilvl w:val="0"/>
          <w:numId w:val="5"/>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Sawdust</w:t>
      </w:r>
      <w:r>
        <w:rPr>
          <w:rFonts w:asciiTheme="majorBidi" w:hAnsiTheme="majorBidi" w:cstheme="majorBidi"/>
        </w:rPr>
        <w:t>, collected from local carpentry workshops, was sieved to remove coarse or fibrous particles, providing a uniform texture and acting as a filler and slow-burning substrate.</w:t>
      </w:r>
    </w:p>
    <w:p w:rsidR="004B770B" w:rsidRDefault="00DF67D1">
      <w:pPr>
        <w:pStyle w:val="NormalWeb"/>
        <w:numPr>
          <w:ilvl w:val="0"/>
          <w:numId w:val="5"/>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Camphor</w:t>
      </w:r>
      <w:r>
        <w:rPr>
          <w:rFonts w:asciiTheme="majorBidi" w:hAnsiTheme="majorBidi" w:cstheme="majorBidi"/>
        </w:rPr>
        <w:t xml:space="preserve"> (commercial grade) was gently crushed into granules to facilitate uniform distribution and release of its volatile aromatic compounds.</w:t>
      </w:r>
    </w:p>
    <w:p w:rsidR="004B770B" w:rsidRDefault="00DF67D1">
      <w:pPr>
        <w:pStyle w:val="NormalWeb"/>
        <w:numPr>
          <w:ilvl w:val="0"/>
          <w:numId w:val="5"/>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Turmeric powder (</w:t>
      </w:r>
      <w:r>
        <w:rPr>
          <w:rStyle w:val="Emphasis"/>
          <w:rFonts w:asciiTheme="majorBidi" w:eastAsiaTheme="majorEastAsia" w:hAnsiTheme="majorBidi"/>
          <w:b/>
          <w:bCs/>
        </w:rPr>
        <w:t>Curcuma longa</w:t>
      </w:r>
      <w:r>
        <w:rPr>
          <w:rStyle w:val="Strong"/>
          <w:rFonts w:asciiTheme="majorBidi" w:hAnsiTheme="majorBidi" w:cstheme="majorBidi"/>
          <w:b w:val="0"/>
          <w:bCs w:val="0"/>
        </w:rPr>
        <w:t xml:space="preserve">) </w:t>
      </w:r>
      <w:r>
        <w:rPr>
          <w:rFonts w:asciiTheme="majorBidi" w:hAnsiTheme="majorBidi" w:cstheme="majorBidi"/>
        </w:rPr>
        <w:t>was used in its pure powdered form, serving both as a natural colorant and a synergistic repellent agent due to its curcuminoid content.</w:t>
      </w:r>
    </w:p>
    <w:p w:rsidR="004B770B" w:rsidRDefault="00DF67D1">
      <w:pPr>
        <w:pStyle w:val="NormalWeb"/>
        <w:numPr>
          <w:ilvl w:val="0"/>
          <w:numId w:val="5"/>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Talcum powder</w:t>
      </w:r>
      <w:r>
        <w:rPr>
          <w:rFonts w:asciiTheme="majorBidi" w:hAnsiTheme="majorBidi" w:cstheme="majorBidi"/>
        </w:rPr>
        <w:t xml:space="preserve"> was incorporated to improve coil smoothness, reduce cracking, and enhance surface aesthetics.</w:t>
      </w:r>
    </w:p>
    <w:p w:rsidR="004B770B" w:rsidRDefault="00DF67D1">
      <w:pPr>
        <w:pStyle w:val="NormalWeb"/>
        <w:numPr>
          <w:ilvl w:val="0"/>
          <w:numId w:val="5"/>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Wet cassava starch</w:t>
      </w:r>
      <w:r>
        <w:rPr>
          <w:rFonts w:asciiTheme="majorBidi" w:hAnsiTheme="majorBidi" w:cstheme="majorBidi"/>
        </w:rPr>
        <w:t xml:space="preserve"> was used as a natural binder owing to its gelatinization property, which provides mechanical strength and cohesion to the coil structure.</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All raw materials were weighed precisely using an </w:t>
      </w:r>
      <w:r>
        <w:rPr>
          <w:rStyle w:val="Strong"/>
          <w:rFonts w:asciiTheme="majorBidi" w:hAnsiTheme="majorBidi" w:cstheme="majorBidi"/>
          <w:b w:val="0"/>
          <w:bCs w:val="0"/>
        </w:rPr>
        <w:t>analytical balance</w:t>
      </w:r>
      <w:r>
        <w:rPr>
          <w:rFonts w:asciiTheme="majorBidi" w:hAnsiTheme="majorBidi" w:cstheme="majorBidi"/>
        </w:rPr>
        <w:t xml:space="preserve"> to ensure accurate proportions for the formulation.</w:t>
      </w:r>
    </w:p>
    <w:p w:rsidR="004B770B" w:rsidRDefault="00DF67D1">
      <w:pPr>
        <w:pStyle w:val="Heading1"/>
        <w:jc w:val="both"/>
      </w:pPr>
      <w:bookmarkStart w:id="87" w:name="_Toc214450023"/>
      <w:bookmarkStart w:id="88" w:name="_Toc214099926"/>
      <w:bookmarkStart w:id="89" w:name="_Toc214452609"/>
      <w:r>
        <w:t>3.4.2 Mixing and Formulation Process</w:t>
      </w:r>
      <w:bookmarkEnd w:id="87"/>
      <w:bookmarkEnd w:id="88"/>
      <w:bookmarkEnd w:id="89"/>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measured ingredients were combined in a clean, dry </w:t>
      </w:r>
      <w:r>
        <w:rPr>
          <w:rStyle w:val="Strong"/>
          <w:rFonts w:asciiTheme="majorBidi" w:hAnsiTheme="majorBidi" w:cstheme="majorBidi"/>
          <w:b w:val="0"/>
          <w:bCs w:val="0"/>
        </w:rPr>
        <w:t>mixing bowl</w:t>
      </w:r>
      <w:r>
        <w:rPr>
          <w:rFonts w:asciiTheme="majorBidi" w:hAnsiTheme="majorBidi" w:cstheme="majorBidi"/>
        </w:rPr>
        <w:t xml:space="preserve"> according to the following optimized formulation ratio:</w:t>
      </w:r>
    </w:p>
    <w:p w:rsidR="004B770B" w:rsidRDefault="00DF67D1">
      <w:pPr>
        <w:pStyle w:val="NormalWeb"/>
        <w:spacing w:before="0" w:beforeAutospacing="0" w:after="0" w:afterAutospacing="0" w:line="480" w:lineRule="auto"/>
        <w:jc w:val="both"/>
        <w:rPr>
          <w:rFonts w:eastAsia="SimSun"/>
          <w:b/>
          <w:bCs/>
        </w:rPr>
      </w:pPr>
      <w:r>
        <w:rPr>
          <w:rFonts w:eastAsia="SimSun"/>
          <w:b/>
          <w:bCs/>
        </w:rPr>
        <w:t>Table 3.1: Ingredients and Functions of the Repellent Incense Formulation</w:t>
      </w:r>
    </w:p>
    <w:tbl>
      <w:tblPr>
        <w:tblW w:w="0" w:type="auto"/>
        <w:jc w:val="center"/>
        <w:tblCellSpacing w:w="15" w:type="dxa"/>
        <w:tblCellMar>
          <w:top w:w="15" w:type="dxa"/>
          <w:left w:w="15" w:type="dxa"/>
          <w:bottom w:w="15" w:type="dxa"/>
          <w:right w:w="15" w:type="dxa"/>
        </w:tblCellMar>
        <w:tblLook w:val="04A0"/>
      </w:tblPr>
      <w:tblGrid>
        <w:gridCol w:w="2021"/>
        <w:gridCol w:w="981"/>
        <w:gridCol w:w="3715"/>
      </w:tblGrid>
      <w:tr w:rsidR="004B770B">
        <w:trPr>
          <w:tblHeader/>
          <w:tblCellSpacing w:w="15" w:type="dxa"/>
          <w:jc w:val="center"/>
        </w:trPr>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Fonts w:asciiTheme="majorBidi" w:hAnsiTheme="majorBidi" w:cstheme="majorBidi"/>
                <w:b/>
                <w:bCs/>
                <w:szCs w:val="24"/>
              </w:rPr>
              <w:t>Ingredient</w:t>
            </w:r>
          </w:p>
        </w:tc>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Fonts w:asciiTheme="majorBidi" w:hAnsiTheme="majorBidi" w:cstheme="majorBidi"/>
                <w:b/>
                <w:bCs/>
                <w:szCs w:val="24"/>
              </w:rPr>
              <w:t>Quantity</w:t>
            </w:r>
          </w:p>
        </w:tc>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Fonts w:asciiTheme="majorBidi" w:hAnsiTheme="majorBidi" w:cstheme="majorBidi"/>
                <w:b/>
                <w:bCs/>
                <w:szCs w:val="24"/>
              </w:rPr>
              <w:t>Function</w:t>
            </w:r>
          </w:p>
        </w:tc>
      </w:tr>
      <w:tr w:rsidR="004B770B">
        <w:trPr>
          <w:tblCellSpacing w:w="15" w:type="dxa"/>
          <w:jc w:val="center"/>
        </w:trPr>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lastRenderedPageBreak/>
              <w:t>Sawdust</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100g</w:t>
            </w:r>
          </w:p>
        </w:tc>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Structural filler and combustible base</w:t>
            </w:r>
          </w:p>
        </w:tc>
      </w:tr>
      <w:tr w:rsidR="004B770B">
        <w:trPr>
          <w:tblCellSpacing w:w="15" w:type="dxa"/>
          <w:jc w:val="center"/>
        </w:trPr>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Charcoal powder</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40g</w:t>
            </w:r>
          </w:p>
        </w:tc>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Burning enhancer and heat stabilizer</w:t>
            </w:r>
          </w:p>
        </w:tc>
      </w:tr>
      <w:tr w:rsidR="004B770B">
        <w:trPr>
          <w:tblCellSpacing w:w="15" w:type="dxa"/>
          <w:jc w:val="center"/>
        </w:trPr>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Orange peel powder</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20g</w:t>
            </w:r>
          </w:p>
        </w:tc>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Active repellent ingredient</w:t>
            </w:r>
          </w:p>
        </w:tc>
      </w:tr>
      <w:tr w:rsidR="004B770B">
        <w:trPr>
          <w:tblCellSpacing w:w="15" w:type="dxa"/>
          <w:jc w:val="center"/>
        </w:trPr>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Turmeric powder</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10g</w:t>
            </w:r>
          </w:p>
        </w:tc>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Synergistic repellent and colorant</w:t>
            </w:r>
          </w:p>
        </w:tc>
      </w:tr>
      <w:tr w:rsidR="004B770B">
        <w:trPr>
          <w:tblCellSpacing w:w="15" w:type="dxa"/>
          <w:jc w:val="center"/>
        </w:trPr>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Camphor</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10g</w:t>
            </w:r>
          </w:p>
        </w:tc>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Volatile repellent agent</w:t>
            </w:r>
          </w:p>
        </w:tc>
      </w:tr>
      <w:tr w:rsidR="004B770B">
        <w:trPr>
          <w:tblCellSpacing w:w="15" w:type="dxa"/>
          <w:jc w:val="center"/>
        </w:trPr>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Talcum powder</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20g</w:t>
            </w:r>
          </w:p>
        </w:tc>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Filler and stabilizer</w:t>
            </w:r>
          </w:p>
        </w:tc>
      </w:tr>
      <w:tr w:rsidR="004B770B">
        <w:trPr>
          <w:tblCellSpacing w:w="15" w:type="dxa"/>
          <w:jc w:val="center"/>
        </w:trPr>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Wet cassava starch</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20g</w:t>
            </w:r>
          </w:p>
        </w:tc>
        <w:tc>
          <w:tcPr>
            <w:tcW w:w="0" w:type="auto"/>
            <w:vAlign w:val="center"/>
          </w:tcPr>
          <w:p w:rsidR="004B770B" w:rsidRDefault="00DF67D1">
            <w:pPr>
              <w:jc w:val="both"/>
              <w:rPr>
                <w:rFonts w:asciiTheme="majorBidi" w:hAnsiTheme="majorBidi" w:cstheme="majorBidi"/>
                <w:szCs w:val="24"/>
              </w:rPr>
            </w:pPr>
            <w:r>
              <w:rPr>
                <w:rFonts w:asciiTheme="majorBidi" w:hAnsiTheme="majorBidi" w:cstheme="majorBidi"/>
                <w:szCs w:val="24"/>
              </w:rPr>
              <w:t>Natural binder</w:t>
            </w:r>
          </w:p>
        </w:tc>
      </w:tr>
      <w:tr w:rsidR="004B770B">
        <w:trPr>
          <w:tblCellSpacing w:w="15" w:type="dxa"/>
          <w:jc w:val="center"/>
        </w:trPr>
        <w:tc>
          <w:tcPr>
            <w:tcW w:w="0" w:type="auto"/>
            <w:tcBorders>
              <w:bottom w:val="single" w:sz="4" w:space="0" w:color="auto"/>
            </w:tcBorders>
            <w:vAlign w:val="center"/>
          </w:tcPr>
          <w:p w:rsidR="004B770B" w:rsidRDefault="00DF67D1">
            <w:pPr>
              <w:jc w:val="both"/>
              <w:rPr>
                <w:rFonts w:asciiTheme="majorBidi" w:hAnsiTheme="majorBidi" w:cstheme="majorBidi"/>
                <w:szCs w:val="24"/>
              </w:rPr>
            </w:pPr>
            <w:r>
              <w:rPr>
                <w:rFonts w:asciiTheme="majorBidi" w:hAnsiTheme="majorBidi" w:cstheme="majorBidi"/>
                <w:szCs w:val="24"/>
              </w:rPr>
              <w:t xml:space="preserve">Paraffin oil                                             </w:t>
            </w:r>
          </w:p>
        </w:tc>
        <w:tc>
          <w:tcPr>
            <w:tcW w:w="0" w:type="auto"/>
            <w:tcBorders>
              <w:bottom w:val="single" w:sz="4" w:space="0" w:color="auto"/>
            </w:tcBorders>
            <w:vAlign w:val="center"/>
          </w:tcPr>
          <w:p w:rsidR="004B770B" w:rsidRDefault="00DF67D1">
            <w:pPr>
              <w:jc w:val="center"/>
              <w:rPr>
                <w:rFonts w:asciiTheme="majorBidi" w:hAnsiTheme="majorBidi" w:cstheme="majorBidi"/>
                <w:szCs w:val="24"/>
              </w:rPr>
            </w:pPr>
            <w:r>
              <w:rPr>
                <w:rFonts w:asciiTheme="majorBidi" w:hAnsiTheme="majorBidi" w:cstheme="majorBidi"/>
                <w:szCs w:val="24"/>
              </w:rPr>
              <w:t>10ml</w:t>
            </w:r>
          </w:p>
        </w:tc>
        <w:tc>
          <w:tcPr>
            <w:tcW w:w="0" w:type="auto"/>
            <w:tcBorders>
              <w:bottom w:val="single" w:sz="4" w:space="0" w:color="auto"/>
            </w:tcBorders>
            <w:vAlign w:val="center"/>
          </w:tcPr>
          <w:p w:rsidR="004B770B" w:rsidRDefault="00DF67D1">
            <w:pPr>
              <w:jc w:val="both"/>
              <w:rPr>
                <w:rFonts w:asciiTheme="majorBidi" w:hAnsiTheme="majorBidi" w:cstheme="majorBidi"/>
                <w:szCs w:val="24"/>
              </w:rPr>
            </w:pPr>
            <w:r>
              <w:t>Combustion aid and binding lubricant</w:t>
            </w:r>
          </w:p>
        </w:tc>
      </w:tr>
    </w:tbl>
    <w:p w:rsidR="004B770B" w:rsidRDefault="004B770B">
      <w:pPr>
        <w:pStyle w:val="NormalWeb"/>
        <w:spacing w:before="0" w:beforeAutospacing="0" w:after="0" w:afterAutospacing="0" w:line="480" w:lineRule="auto"/>
        <w:jc w:val="both"/>
        <w:rPr>
          <w:rFonts w:asciiTheme="majorBidi" w:hAnsiTheme="majorBidi" w:cstheme="majorBidi"/>
        </w:rPr>
      </w:pP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dry ingredients were first mixed manually for approximately </w:t>
      </w:r>
      <w:r>
        <w:rPr>
          <w:rStyle w:val="Strong"/>
          <w:rFonts w:asciiTheme="majorBidi" w:hAnsiTheme="majorBidi" w:cstheme="majorBidi"/>
          <w:b w:val="0"/>
          <w:bCs w:val="0"/>
        </w:rPr>
        <w:t>15 minutes</w:t>
      </w:r>
      <w:r>
        <w:rPr>
          <w:rFonts w:asciiTheme="majorBidi" w:hAnsiTheme="majorBidi" w:cstheme="majorBidi"/>
        </w:rPr>
        <w:t xml:space="preserve"> to achieve uniformity in color and texture. Thereafter, the wet cassava starch was gradually added while continuously kneading the mixture to form a </w:t>
      </w:r>
      <w:r>
        <w:rPr>
          <w:rStyle w:val="Strong"/>
          <w:rFonts w:asciiTheme="majorBidi" w:hAnsiTheme="majorBidi" w:cstheme="majorBidi"/>
          <w:b w:val="0"/>
          <w:bCs w:val="0"/>
        </w:rPr>
        <w:t>cohesive dough-like mass</w:t>
      </w:r>
      <w:r>
        <w:rPr>
          <w:rFonts w:asciiTheme="majorBidi" w:hAnsiTheme="majorBidi" w:cstheme="majorBidi"/>
        </w:rPr>
        <w:t>. The dough consistency was carefully adjusted using small quantities of distilled water to obtain a pliable, non-sticky, and firm texture. A uniform dough consistency is crucial to avoid irregularities in coil density, which may lead to uneven burning rates.</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mixture was left to </w:t>
      </w:r>
      <w:r>
        <w:rPr>
          <w:rStyle w:val="Strong"/>
          <w:rFonts w:asciiTheme="majorBidi" w:hAnsiTheme="majorBidi" w:cstheme="majorBidi"/>
          <w:b w:val="0"/>
          <w:bCs w:val="0"/>
        </w:rPr>
        <w:t>age for 10 minutes</w:t>
      </w:r>
      <w:r>
        <w:rPr>
          <w:rFonts w:asciiTheme="majorBidi" w:hAnsiTheme="majorBidi" w:cstheme="majorBidi"/>
        </w:rPr>
        <w:t xml:space="preserve"> to allow proper starch gelatinization and interparticle binding, which enhances the mechanical strength of the coil after drying.</w:t>
      </w:r>
    </w:p>
    <w:p w:rsidR="004B770B" w:rsidRDefault="00DF67D1">
      <w:pPr>
        <w:pStyle w:val="Heading1"/>
        <w:jc w:val="both"/>
      </w:pPr>
      <w:bookmarkStart w:id="90" w:name="_Toc214450024"/>
      <w:bookmarkStart w:id="91" w:name="_Toc214099927"/>
      <w:bookmarkStart w:id="92" w:name="_Toc214452610"/>
      <w:r>
        <w:t>3.4.3 Shaping and Molding of Coils</w:t>
      </w:r>
      <w:bookmarkEnd w:id="90"/>
      <w:bookmarkEnd w:id="91"/>
      <w:bookmarkEnd w:id="92"/>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Portions of the dough were taken and rolled into cylindrical rods approximately </w:t>
      </w:r>
      <w:r>
        <w:rPr>
          <w:rStyle w:val="Strong"/>
          <w:rFonts w:asciiTheme="majorBidi" w:hAnsiTheme="majorBidi" w:cstheme="majorBidi"/>
          <w:b w:val="0"/>
          <w:bCs w:val="0"/>
        </w:rPr>
        <w:t>1 cm in diameter</w:t>
      </w:r>
      <w:r>
        <w:rPr>
          <w:rFonts w:asciiTheme="majorBidi" w:hAnsiTheme="majorBidi" w:cstheme="majorBidi"/>
        </w:rPr>
        <w:t xml:space="preserve"> using a </w:t>
      </w:r>
      <w:r>
        <w:rPr>
          <w:rStyle w:val="Strong"/>
          <w:rFonts w:asciiTheme="majorBidi" w:hAnsiTheme="majorBidi" w:cstheme="majorBidi"/>
          <w:b w:val="0"/>
          <w:bCs w:val="0"/>
        </w:rPr>
        <w:t>rolling pin</w:t>
      </w:r>
      <w:r>
        <w:rPr>
          <w:rFonts w:asciiTheme="majorBidi" w:hAnsiTheme="majorBidi" w:cstheme="majorBidi"/>
        </w:rPr>
        <w:t xml:space="preserve"> on a smooth, clean surface dusted lightly with talcum powder to prevent sticking. Each rod was then coiled spirally using a </w:t>
      </w:r>
      <w:r>
        <w:rPr>
          <w:rStyle w:val="Strong"/>
          <w:rFonts w:asciiTheme="majorBidi" w:hAnsiTheme="majorBidi" w:cstheme="majorBidi"/>
          <w:b w:val="0"/>
          <w:bCs w:val="0"/>
        </w:rPr>
        <w:t>pre-designed coil mold</w:t>
      </w:r>
      <w:r>
        <w:rPr>
          <w:rFonts w:asciiTheme="majorBidi" w:hAnsiTheme="majorBidi" w:cstheme="majorBidi"/>
        </w:rPr>
        <w:t xml:space="preserve"> to ensure consistent shape, diameter, and thickness across samples. The coils were placed on </w:t>
      </w:r>
      <w:r>
        <w:rPr>
          <w:rStyle w:val="Strong"/>
          <w:rFonts w:asciiTheme="majorBidi" w:hAnsiTheme="majorBidi" w:cstheme="majorBidi"/>
          <w:b w:val="0"/>
          <w:bCs w:val="0"/>
        </w:rPr>
        <w:t xml:space="preserve">non-stick </w:t>
      </w:r>
      <w:r>
        <w:rPr>
          <w:rStyle w:val="Strong"/>
          <w:rFonts w:asciiTheme="majorBidi" w:hAnsiTheme="majorBidi" w:cstheme="majorBidi"/>
          <w:b w:val="0"/>
          <w:bCs w:val="0"/>
        </w:rPr>
        <w:lastRenderedPageBreak/>
        <w:t>drying trays</w:t>
      </w:r>
      <w:r>
        <w:rPr>
          <w:rFonts w:asciiTheme="majorBidi" w:hAnsiTheme="majorBidi" w:cstheme="majorBidi"/>
        </w:rPr>
        <w:t>, ensuring adequate spacing between individual coils to allow even air circulation and prevent adhesion during drying.</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shaping process was conducted at room temperature (25 ± 2°C) and moderate humidity (60–70%) to prevent premature drying or cracking. Each coil was inspected visually for uniformity and structural integrity before proceeding to the drying stage.</w:t>
      </w:r>
    </w:p>
    <w:p w:rsidR="004B770B" w:rsidRDefault="00DF67D1">
      <w:pPr>
        <w:pStyle w:val="Heading1"/>
        <w:jc w:val="both"/>
      </w:pPr>
      <w:bookmarkStart w:id="93" w:name="_Toc214099928"/>
      <w:bookmarkStart w:id="94" w:name="_Toc214450025"/>
      <w:bookmarkStart w:id="95" w:name="_Toc214452611"/>
      <w:r>
        <w:t>3.4.4 Controlled Drying and Conditioning</w:t>
      </w:r>
      <w:bookmarkEnd w:id="93"/>
      <w:bookmarkEnd w:id="94"/>
      <w:bookmarkEnd w:id="95"/>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molded coils were oven-dried at </w:t>
      </w:r>
      <w:r>
        <w:rPr>
          <w:rStyle w:val="Strong"/>
          <w:rFonts w:asciiTheme="majorBidi" w:hAnsiTheme="majorBidi" w:cstheme="majorBidi"/>
          <w:b w:val="0"/>
          <w:bCs w:val="0"/>
        </w:rPr>
        <w:t>50–60°C for 6 hours</w:t>
      </w:r>
      <w:r>
        <w:rPr>
          <w:rFonts w:asciiTheme="majorBidi" w:hAnsiTheme="majorBidi" w:cstheme="majorBidi"/>
        </w:rPr>
        <w:t xml:space="preserve"> until they attained a uniform hardness and brittle texture suitable for burning. The drying process was closely monitored to prevent overheating, which could lead to cracking or thermal degradation of volatile repellent compounds. After drying, the coils were removed from the oven, allowed to cool to room temperature, and stored in airtight containers lined with parchment paper to prevent moisture absorption.</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To ensure reproducibility, the drying process was repeated for all prepared batches under identical conditions. The moisture content of the finished coils was estimated to be below 10%, which is optimal for easy ignition and steady combustion.</w:t>
      </w:r>
    </w:p>
    <w:p w:rsidR="004B770B" w:rsidRDefault="00DF67D1">
      <w:pPr>
        <w:pStyle w:val="Heading1"/>
        <w:jc w:val="both"/>
      </w:pPr>
      <w:bookmarkStart w:id="96" w:name="_Toc214099929"/>
      <w:bookmarkStart w:id="97" w:name="_Toc214450026"/>
      <w:bookmarkStart w:id="98" w:name="_Toc214452612"/>
      <w:r>
        <w:t>3.4.5 Preliminary Evaluation of Physical Properties</w:t>
      </w:r>
      <w:bookmarkEnd w:id="96"/>
      <w:bookmarkEnd w:id="97"/>
      <w:bookmarkEnd w:id="98"/>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Prior to repellency testing, the finished orange peel–based coils were subjected to basic physical assessments. Observations were made on:</w:t>
      </w:r>
    </w:p>
    <w:p w:rsidR="004B770B" w:rsidRDefault="00DF67D1">
      <w:pPr>
        <w:pStyle w:val="NormalWeb"/>
        <w:numPr>
          <w:ilvl w:val="0"/>
          <w:numId w:val="6"/>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Combustion rate</w:t>
      </w:r>
      <w:r>
        <w:rPr>
          <w:rFonts w:asciiTheme="majorBidi" w:hAnsiTheme="majorBidi" w:cstheme="majorBidi"/>
        </w:rPr>
        <w:t xml:space="preserve"> (minutes per coil section),</w:t>
      </w:r>
    </w:p>
    <w:p w:rsidR="004B770B" w:rsidRDefault="00DF67D1">
      <w:pPr>
        <w:pStyle w:val="NormalWeb"/>
        <w:numPr>
          <w:ilvl w:val="0"/>
          <w:numId w:val="6"/>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Smoke quality and density</w:t>
      </w:r>
      <w:r>
        <w:rPr>
          <w:rFonts w:asciiTheme="majorBidi" w:hAnsiTheme="majorBidi" w:cstheme="majorBidi"/>
        </w:rPr>
        <w:t xml:space="preserve"> (visual inspection),</w:t>
      </w:r>
    </w:p>
    <w:p w:rsidR="004B770B" w:rsidRDefault="00DF67D1">
      <w:pPr>
        <w:pStyle w:val="NormalWeb"/>
        <w:numPr>
          <w:ilvl w:val="0"/>
          <w:numId w:val="6"/>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Fragrance</w:t>
      </w:r>
      <w:r>
        <w:rPr>
          <w:rFonts w:asciiTheme="majorBidi" w:hAnsiTheme="majorBidi" w:cstheme="majorBidi"/>
        </w:rPr>
        <w:t xml:space="preserve"> (olfactory perception),</w:t>
      </w:r>
    </w:p>
    <w:p w:rsidR="004B770B" w:rsidRDefault="00DF67D1">
      <w:pPr>
        <w:pStyle w:val="NormalWeb"/>
        <w:numPr>
          <w:ilvl w:val="0"/>
          <w:numId w:val="6"/>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Structural stabili</w:t>
      </w:r>
      <w:r>
        <w:rPr>
          <w:rStyle w:val="Strong"/>
          <w:rFonts w:asciiTheme="majorBidi" w:hAnsiTheme="majorBidi" w:cstheme="majorBidi"/>
        </w:rPr>
        <w:t>ty</w:t>
      </w:r>
      <w:r>
        <w:rPr>
          <w:rFonts w:asciiTheme="majorBidi" w:hAnsiTheme="majorBidi" w:cstheme="majorBidi"/>
        </w:rPr>
        <w:t xml:space="preserve"> (resistance to breakage), and</w:t>
      </w:r>
    </w:p>
    <w:p w:rsidR="004B770B" w:rsidRDefault="00DF67D1">
      <w:pPr>
        <w:pStyle w:val="NormalWeb"/>
        <w:numPr>
          <w:ilvl w:val="0"/>
          <w:numId w:val="6"/>
        </w:numPr>
        <w:spacing w:before="0" w:beforeAutospacing="0" w:after="0" w:afterAutospacing="0" w:line="480" w:lineRule="auto"/>
        <w:ind w:left="0"/>
        <w:jc w:val="both"/>
        <w:rPr>
          <w:rFonts w:asciiTheme="majorBidi" w:hAnsiTheme="majorBidi" w:cstheme="majorBidi"/>
        </w:rPr>
      </w:pPr>
      <w:r>
        <w:rPr>
          <w:rStyle w:val="Strong"/>
          <w:rFonts w:asciiTheme="majorBidi" w:hAnsiTheme="majorBidi" w:cstheme="majorBidi"/>
          <w:b w:val="0"/>
          <w:bCs w:val="0"/>
        </w:rPr>
        <w:t>Ease of ignition</w:t>
      </w:r>
      <w:r>
        <w:rPr>
          <w:rStyle w:val="Strong"/>
          <w:rFonts w:asciiTheme="majorBidi" w:hAnsiTheme="majorBidi" w:cstheme="majorBidi"/>
        </w:rPr>
        <w:t>.</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coils exhibited a </w:t>
      </w:r>
      <w:r>
        <w:rPr>
          <w:rStyle w:val="Strong"/>
          <w:rFonts w:asciiTheme="majorBidi" w:hAnsiTheme="majorBidi" w:cstheme="majorBidi"/>
          <w:b w:val="0"/>
          <w:bCs w:val="0"/>
        </w:rPr>
        <w:t>steady burning rate</w:t>
      </w:r>
      <w:r>
        <w:rPr>
          <w:rFonts w:asciiTheme="majorBidi" w:hAnsiTheme="majorBidi" w:cstheme="majorBidi"/>
        </w:rPr>
        <w:t xml:space="preserve">, producing a mild citrus aroma with low smoke emission compared to commercial coils. The aroma was non-irritating and pleasant, </w:t>
      </w:r>
      <w:r>
        <w:rPr>
          <w:rFonts w:asciiTheme="majorBidi" w:hAnsiTheme="majorBidi" w:cstheme="majorBidi"/>
        </w:rPr>
        <w:lastRenderedPageBreak/>
        <w:t>confirming the volatilization of essential oil components such as limonene and linalool. The coils maintained structural integrity during handling, indicating satisfactory binder performance.</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prepared coils were thereafter packaged in airtight containers and labeled appropriately as “Orange Peel Coil (Sample A)” for repellency testing against </w:t>
      </w:r>
      <w:r>
        <w:rPr>
          <w:rStyle w:val="Emphasis"/>
          <w:rFonts w:asciiTheme="majorBidi" w:eastAsiaTheme="majorEastAsia" w:hAnsiTheme="majorBidi"/>
        </w:rPr>
        <w:t>Anopheles</w:t>
      </w:r>
      <w:r>
        <w:rPr>
          <w:rFonts w:asciiTheme="majorBidi" w:hAnsiTheme="majorBidi" w:cstheme="majorBidi"/>
        </w:rPr>
        <w:t xml:space="preserve"> mosquitoes.</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noProof/>
        </w:rPr>
        <w:drawing>
          <wp:inline distT="0" distB="0" distL="114300" distR="114300">
            <wp:extent cx="4936490" cy="3044825"/>
            <wp:effectExtent l="0" t="0" r="16510" b="3175"/>
            <wp:docPr id="7" name="Picture 7" descr="am looking for 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m looking for u"/>
                    <pic:cNvPicPr>
                      <a:picLocks noChangeAspect="1"/>
                    </pic:cNvPicPr>
                  </pic:nvPicPr>
                  <pic:blipFill>
                    <a:blip r:embed="rId12"/>
                    <a:stretch>
                      <a:fillRect/>
                    </a:stretch>
                  </pic:blipFill>
                  <pic:spPr>
                    <a:xfrm>
                      <a:off x="0" y="0"/>
                      <a:ext cx="4936490" cy="3044825"/>
                    </a:xfrm>
                    <a:prstGeom prst="rect">
                      <a:avLst/>
                    </a:prstGeom>
                  </pic:spPr>
                </pic:pic>
              </a:graphicData>
            </a:graphic>
          </wp:inline>
        </w:drawing>
      </w:r>
    </w:p>
    <w:p w:rsidR="004B770B" w:rsidRDefault="00DF67D1">
      <w:pPr>
        <w:pStyle w:val="NormalWeb"/>
        <w:spacing w:before="0" w:beforeAutospacing="0" w:after="0" w:afterAutospacing="0" w:line="480" w:lineRule="auto"/>
        <w:rPr>
          <w:rFonts w:asciiTheme="majorBidi" w:hAnsiTheme="majorBidi" w:cstheme="majorBidi"/>
          <w:b/>
          <w:bCs/>
        </w:rPr>
      </w:pPr>
      <w:r>
        <w:rPr>
          <w:rFonts w:asciiTheme="majorBidi" w:hAnsiTheme="majorBidi" w:cstheme="majorBidi"/>
          <w:b/>
          <w:bCs/>
        </w:rPr>
        <w:t>Figure 3.1: Orange peel-Based coil</w:t>
      </w:r>
    </w:p>
    <w:p w:rsidR="004B770B" w:rsidRDefault="00DF67D1">
      <w:pPr>
        <w:pStyle w:val="Heading1"/>
        <w:jc w:val="left"/>
      </w:pPr>
      <w:bookmarkStart w:id="99" w:name="_Toc214452613"/>
      <w:bookmarkStart w:id="100" w:name="_Toc214450027"/>
      <w:bookmarkStart w:id="101" w:name="_Toc214099930"/>
      <w:r>
        <w:t>3.5 Experimental Procedures (Repellency Test and Comparative Study)</w:t>
      </w:r>
      <w:bookmarkEnd w:id="99"/>
      <w:bookmarkEnd w:id="100"/>
      <w:bookmarkEnd w:id="101"/>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The repellency evaluation of the formulated orange peel–based mosquito coil was carried out under controlled laboratory conditions using </w:t>
      </w:r>
      <w:r>
        <w:rPr>
          <w:rStyle w:val="Emphasis"/>
          <w:rFonts w:asciiTheme="majorBidi" w:eastAsiaTheme="majorEastAsia" w:hAnsiTheme="majorBidi"/>
        </w:rPr>
        <w:t>Anopheles</w:t>
      </w:r>
      <w:r>
        <w:rPr>
          <w:rFonts w:asciiTheme="majorBidi" w:hAnsiTheme="majorBidi" w:cstheme="majorBidi"/>
        </w:rPr>
        <w:t xml:space="preserve"> mosquitoes as the test species. The experimental setup followed established procedures for mosquito repellency assays (adapted from Oyedele et al., 2020; Bhattacharya et al., 2020) with slight modifications to suit the local laboratory environment and available materials. The study was designed to compare the effectiveness of the </w:t>
      </w:r>
      <w:r>
        <w:rPr>
          <w:rStyle w:val="Strong"/>
          <w:rFonts w:asciiTheme="majorBidi" w:hAnsiTheme="majorBidi" w:cstheme="majorBidi"/>
          <w:b w:val="0"/>
          <w:bCs w:val="0"/>
        </w:rPr>
        <w:t>orange peel–based coil</w:t>
      </w:r>
      <w:r>
        <w:rPr>
          <w:rFonts w:asciiTheme="majorBidi" w:hAnsiTheme="majorBidi" w:cstheme="majorBidi"/>
        </w:rPr>
        <w:t xml:space="preserve">, a </w:t>
      </w:r>
      <w:r>
        <w:rPr>
          <w:rStyle w:val="Strong"/>
          <w:rFonts w:asciiTheme="majorBidi" w:hAnsiTheme="majorBidi" w:cstheme="majorBidi"/>
          <w:b w:val="0"/>
          <w:bCs w:val="0"/>
        </w:rPr>
        <w:t>commercial coil (Super Kill)</w:t>
      </w:r>
      <w:r>
        <w:rPr>
          <w:rFonts w:asciiTheme="majorBidi" w:hAnsiTheme="majorBidi" w:cstheme="majorBidi"/>
        </w:rPr>
        <w:t xml:space="preserve">, and a </w:t>
      </w:r>
      <w:r>
        <w:rPr>
          <w:rStyle w:val="Strong"/>
          <w:rFonts w:asciiTheme="majorBidi" w:hAnsiTheme="majorBidi" w:cstheme="majorBidi"/>
          <w:b w:val="0"/>
          <w:bCs w:val="0"/>
        </w:rPr>
        <w:t>control group (no coil)</w:t>
      </w:r>
      <w:r>
        <w:rPr>
          <w:rFonts w:asciiTheme="majorBidi" w:hAnsiTheme="majorBidi" w:cstheme="majorBidi"/>
        </w:rPr>
        <w:t xml:space="preserve">using quantitative parameters: </w:t>
      </w:r>
      <w:r>
        <w:rPr>
          <w:rStyle w:val="Strong"/>
          <w:rFonts w:asciiTheme="majorBidi" w:hAnsiTheme="majorBidi" w:cstheme="majorBidi"/>
          <w:b w:val="0"/>
          <w:bCs w:val="0"/>
        </w:rPr>
        <w:t>mortality rate</w:t>
      </w:r>
      <w:r>
        <w:rPr>
          <w:rFonts w:asciiTheme="majorBidi" w:hAnsiTheme="majorBidi" w:cstheme="majorBidi"/>
          <w:b/>
          <w:bCs/>
        </w:rPr>
        <w:t xml:space="preserve">, </w:t>
      </w:r>
      <w:r>
        <w:rPr>
          <w:rStyle w:val="Strong"/>
          <w:rFonts w:asciiTheme="majorBidi" w:hAnsiTheme="majorBidi" w:cstheme="majorBidi"/>
          <w:b w:val="0"/>
          <w:bCs w:val="0"/>
        </w:rPr>
        <w:t>knockdown rate</w:t>
      </w:r>
      <w:r>
        <w:rPr>
          <w:rFonts w:asciiTheme="majorBidi" w:hAnsiTheme="majorBidi" w:cstheme="majorBidi"/>
        </w:rPr>
        <w:t xml:space="preserve">, and </w:t>
      </w:r>
      <w:r>
        <w:rPr>
          <w:rStyle w:val="Strong"/>
          <w:rFonts w:asciiTheme="majorBidi" w:hAnsiTheme="majorBidi" w:cstheme="majorBidi"/>
          <w:b w:val="0"/>
          <w:bCs w:val="0"/>
        </w:rPr>
        <w:t>repellency rate</w:t>
      </w:r>
      <w:r>
        <w:rPr>
          <w:rFonts w:asciiTheme="majorBidi" w:hAnsiTheme="majorBidi" w:cstheme="majorBidi"/>
        </w:rPr>
        <w:t>.</w:t>
      </w:r>
    </w:p>
    <w:p w:rsidR="004B770B" w:rsidRDefault="00DF67D1">
      <w:pPr>
        <w:pStyle w:val="Heading1"/>
        <w:jc w:val="left"/>
      </w:pPr>
      <w:bookmarkStart w:id="102" w:name="_Toc214452614"/>
      <w:bookmarkStart w:id="103" w:name="_Toc214450028"/>
      <w:bookmarkStart w:id="104" w:name="_Toc214099931"/>
      <w:r>
        <w:lastRenderedPageBreak/>
        <w:t>3.5.1 Mosquito Rearing and Selection</w:t>
      </w:r>
      <w:bookmarkEnd w:id="102"/>
      <w:bookmarkEnd w:id="103"/>
      <w:bookmarkEnd w:id="104"/>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Adult </w:t>
      </w:r>
      <w:r>
        <w:rPr>
          <w:rStyle w:val="Emphasis"/>
          <w:rFonts w:asciiTheme="majorBidi" w:eastAsiaTheme="majorEastAsia" w:hAnsiTheme="majorBidi"/>
        </w:rPr>
        <w:t>Anopheles</w:t>
      </w:r>
      <w:r>
        <w:rPr>
          <w:rFonts w:asciiTheme="majorBidi" w:hAnsiTheme="majorBidi" w:cstheme="majorBidi"/>
        </w:rPr>
        <w:t xml:space="preserve"> mosquitoes were obtained from an established colony maintained within the insectary unit of the Department of Biochemistry and Molecular Biology, UsmanuDanfodiyo University, Sokoto. The colony was maintained at ambient conditions of </w:t>
      </w:r>
      <w:r>
        <w:rPr>
          <w:rStyle w:val="Strong"/>
          <w:rFonts w:asciiTheme="majorBidi" w:hAnsiTheme="majorBidi" w:cstheme="majorBidi"/>
          <w:b w:val="0"/>
          <w:bCs w:val="0"/>
        </w:rPr>
        <w:t>27 ± 2°C</w:t>
      </w:r>
      <w:r>
        <w:rPr>
          <w:rFonts w:asciiTheme="majorBidi" w:hAnsiTheme="majorBidi" w:cstheme="majorBidi"/>
          <w:b/>
          <w:bCs/>
        </w:rPr>
        <w:t xml:space="preserve">, </w:t>
      </w:r>
      <w:r>
        <w:rPr>
          <w:rStyle w:val="Strong"/>
          <w:rFonts w:asciiTheme="majorBidi" w:hAnsiTheme="majorBidi" w:cstheme="majorBidi"/>
          <w:b w:val="0"/>
          <w:bCs w:val="0"/>
        </w:rPr>
        <w:t>relative humidity of 70 ± 5%</w:t>
      </w:r>
      <w:r>
        <w:rPr>
          <w:rFonts w:asciiTheme="majorBidi" w:hAnsiTheme="majorBidi" w:cstheme="majorBidi"/>
        </w:rPr>
        <w:t xml:space="preserve">, and a </w:t>
      </w:r>
      <w:r>
        <w:rPr>
          <w:rStyle w:val="Strong"/>
          <w:rFonts w:asciiTheme="majorBidi" w:hAnsiTheme="majorBidi" w:cstheme="majorBidi"/>
          <w:b w:val="0"/>
          <w:bCs w:val="0"/>
        </w:rPr>
        <w:t>12:12-hour light-dark cycle</w:t>
      </w:r>
      <w:r>
        <w:rPr>
          <w:rFonts w:asciiTheme="majorBidi" w:hAnsiTheme="majorBidi" w:cstheme="majorBidi"/>
        </w:rPr>
        <w:t>. Larvae were fed daily with finely ground fish meal until pupation, after which adults were transferred into screened cages.</w:t>
      </w:r>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Healthy, active, 3–5-day-old adult mosquitoes (unfed) were selected for the repellency test to ensure consistent biting motivation. A total of </w:t>
      </w:r>
      <w:r>
        <w:rPr>
          <w:rStyle w:val="Strong"/>
          <w:rFonts w:asciiTheme="majorBidi" w:hAnsiTheme="majorBidi" w:cstheme="majorBidi"/>
          <w:b w:val="0"/>
          <w:bCs w:val="0"/>
        </w:rPr>
        <w:t>25 mosquitoes</w:t>
      </w:r>
      <w:r>
        <w:rPr>
          <w:rFonts w:asciiTheme="majorBidi" w:hAnsiTheme="majorBidi" w:cstheme="majorBidi"/>
        </w:rPr>
        <w:t xml:space="preserve"> were used per experimental setup, corresponding to standard bio-assay requirements for behavioral repellency testing.</w:t>
      </w:r>
    </w:p>
    <w:p w:rsidR="004B770B" w:rsidRDefault="00DF67D1">
      <w:pPr>
        <w:pStyle w:val="Heading1"/>
        <w:jc w:val="left"/>
      </w:pPr>
      <w:bookmarkStart w:id="105" w:name="_Toc214450029"/>
      <w:bookmarkStart w:id="106" w:name="_Toc214099932"/>
      <w:bookmarkStart w:id="107" w:name="_Toc214452615"/>
      <w:r>
        <w:t>3.5.2 Experimental Setup and Environmental Conditions</w:t>
      </w:r>
      <w:bookmarkEnd w:id="105"/>
      <w:bookmarkEnd w:id="106"/>
      <w:bookmarkEnd w:id="107"/>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The experiment was conducted in a </w:t>
      </w:r>
      <w:r>
        <w:rPr>
          <w:rStyle w:val="Strong"/>
          <w:rFonts w:asciiTheme="majorBidi" w:hAnsiTheme="majorBidi" w:cstheme="majorBidi"/>
          <w:b w:val="0"/>
          <w:bCs w:val="0"/>
        </w:rPr>
        <w:t>mosquito exposure cage</w:t>
      </w:r>
      <w:r>
        <w:rPr>
          <w:rFonts w:asciiTheme="majorBidi" w:hAnsiTheme="majorBidi" w:cstheme="majorBidi"/>
        </w:rPr>
        <w:t xml:space="preserve"> measuring </w:t>
      </w:r>
      <w:r>
        <w:rPr>
          <w:rStyle w:val="Strong"/>
          <w:rFonts w:asciiTheme="majorBidi" w:hAnsiTheme="majorBidi" w:cstheme="majorBidi"/>
          <w:b w:val="0"/>
          <w:bCs w:val="0"/>
        </w:rPr>
        <w:t>60 cm × 60 cm × 60 cm</w:t>
      </w:r>
      <w:r>
        <w:rPr>
          <w:rFonts w:asciiTheme="majorBidi" w:hAnsiTheme="majorBidi" w:cstheme="majorBidi"/>
        </w:rPr>
        <w:t>, covered with fine mesh to prevent mosquito escape while allowing smoke circulation. All tests were performed under standard room temperature conditions (26–28°C) and moderate ventilation to prevent smoke buildup that could asphyxiate the mosquitoes rather than repel them.</w:t>
      </w:r>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Three experimental groups were established:</w:t>
      </w:r>
    </w:p>
    <w:p w:rsidR="004B770B" w:rsidRDefault="00DF67D1">
      <w:pPr>
        <w:pStyle w:val="NormalWeb"/>
        <w:numPr>
          <w:ilvl w:val="0"/>
          <w:numId w:val="7"/>
        </w:numPr>
        <w:spacing w:before="0" w:beforeAutospacing="0" w:after="0" w:afterAutospacing="0" w:line="480" w:lineRule="auto"/>
        <w:ind w:left="0"/>
        <w:rPr>
          <w:rFonts w:asciiTheme="majorBidi" w:hAnsiTheme="majorBidi" w:cstheme="majorBidi"/>
        </w:rPr>
      </w:pPr>
      <w:r>
        <w:rPr>
          <w:rStyle w:val="Strong"/>
          <w:rFonts w:asciiTheme="majorBidi" w:hAnsiTheme="majorBidi" w:cstheme="majorBidi"/>
        </w:rPr>
        <w:t>Orange Peel Coil (Test Group):</w:t>
      </w:r>
      <w:r>
        <w:rPr>
          <w:rFonts w:asciiTheme="majorBidi" w:hAnsiTheme="majorBidi" w:cstheme="majorBidi"/>
        </w:rPr>
        <w:t xml:space="preserve"> coil formulated from </w:t>
      </w:r>
      <w:r>
        <w:rPr>
          <w:rStyle w:val="Emphasis"/>
          <w:rFonts w:asciiTheme="majorBidi" w:eastAsiaTheme="majorEastAsia" w:hAnsiTheme="majorBidi"/>
        </w:rPr>
        <w:t>Citrus sinensis</w:t>
      </w:r>
      <w:r>
        <w:rPr>
          <w:rFonts w:asciiTheme="majorBidi" w:hAnsiTheme="majorBidi" w:cstheme="majorBidi"/>
        </w:rPr>
        <w:t xml:space="preserve"> peels.</w:t>
      </w:r>
    </w:p>
    <w:p w:rsidR="004B770B" w:rsidRDefault="00DF67D1">
      <w:pPr>
        <w:pStyle w:val="NormalWeb"/>
        <w:numPr>
          <w:ilvl w:val="0"/>
          <w:numId w:val="7"/>
        </w:numPr>
        <w:spacing w:before="0" w:beforeAutospacing="0" w:after="0" w:afterAutospacing="0" w:line="480" w:lineRule="auto"/>
        <w:ind w:left="0"/>
        <w:rPr>
          <w:rFonts w:asciiTheme="majorBidi" w:hAnsiTheme="majorBidi" w:cstheme="majorBidi"/>
        </w:rPr>
      </w:pPr>
      <w:r>
        <w:rPr>
          <w:rStyle w:val="Strong"/>
          <w:rFonts w:asciiTheme="majorBidi" w:hAnsiTheme="majorBidi" w:cstheme="majorBidi"/>
        </w:rPr>
        <w:t>Commercial Coil (Positive Control):</w:t>
      </w:r>
      <w:r>
        <w:rPr>
          <w:rFonts w:asciiTheme="majorBidi" w:hAnsiTheme="majorBidi" w:cstheme="majorBidi"/>
        </w:rPr>
        <w:t xml:space="preserve"> commercially available synthetic coil (“Super Kill”).</w:t>
      </w:r>
    </w:p>
    <w:p w:rsidR="004B770B" w:rsidRDefault="00DF67D1">
      <w:pPr>
        <w:pStyle w:val="NormalWeb"/>
        <w:numPr>
          <w:ilvl w:val="0"/>
          <w:numId w:val="7"/>
        </w:numPr>
        <w:spacing w:before="0" w:beforeAutospacing="0" w:after="0" w:afterAutospacing="0" w:line="480" w:lineRule="auto"/>
        <w:ind w:left="0"/>
        <w:rPr>
          <w:rFonts w:asciiTheme="majorBidi" w:hAnsiTheme="majorBidi" w:cstheme="majorBidi"/>
        </w:rPr>
      </w:pPr>
      <w:r>
        <w:rPr>
          <w:rStyle w:val="Strong"/>
          <w:rFonts w:asciiTheme="majorBidi" w:hAnsiTheme="majorBidi" w:cstheme="majorBidi"/>
        </w:rPr>
        <w:t>No Coil (Negative Control):</w:t>
      </w:r>
      <w:r>
        <w:rPr>
          <w:rFonts w:asciiTheme="majorBidi" w:hAnsiTheme="majorBidi" w:cstheme="majorBidi"/>
        </w:rPr>
        <w:t>setup with mosquitoes exposed to ambient air without any coil burning.</w:t>
      </w:r>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Each group was tested in </w:t>
      </w:r>
      <w:r>
        <w:rPr>
          <w:rStyle w:val="Strong"/>
          <w:rFonts w:asciiTheme="majorBidi" w:hAnsiTheme="majorBidi" w:cstheme="majorBidi"/>
          <w:b w:val="0"/>
          <w:bCs w:val="0"/>
        </w:rPr>
        <w:t>triplicate</w:t>
      </w:r>
      <w:r>
        <w:rPr>
          <w:rFonts w:asciiTheme="majorBidi" w:hAnsiTheme="majorBidi" w:cstheme="majorBidi"/>
        </w:rPr>
        <w:t xml:space="preserve"> for reliability. Mosquitoes were introduced into each cage and acclimatized for </w:t>
      </w:r>
      <w:r>
        <w:rPr>
          <w:rStyle w:val="Strong"/>
          <w:rFonts w:asciiTheme="majorBidi" w:hAnsiTheme="majorBidi" w:cstheme="majorBidi"/>
          <w:b w:val="0"/>
          <w:bCs w:val="0"/>
        </w:rPr>
        <w:t>10 minutes</w:t>
      </w:r>
      <w:r>
        <w:rPr>
          <w:rFonts w:asciiTheme="majorBidi" w:hAnsiTheme="majorBidi" w:cstheme="majorBidi"/>
        </w:rPr>
        <w:t xml:space="preserve"> prior to testing to stabilize their activity levels.</w:t>
      </w:r>
    </w:p>
    <w:p w:rsidR="004B770B" w:rsidRDefault="00DF67D1">
      <w:pPr>
        <w:pStyle w:val="Heading1"/>
        <w:jc w:val="left"/>
      </w:pPr>
      <w:bookmarkStart w:id="108" w:name="_Toc214450030"/>
      <w:bookmarkStart w:id="109" w:name="_Toc214452616"/>
      <w:bookmarkStart w:id="110" w:name="_Toc214099933"/>
      <w:r>
        <w:lastRenderedPageBreak/>
        <w:t>3.5.3 Repellency Assay Procedure</w:t>
      </w:r>
      <w:bookmarkEnd w:id="108"/>
      <w:bookmarkEnd w:id="109"/>
      <w:bookmarkEnd w:id="110"/>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For each test, the coil was ignited at one end and allowed to smolder continuously. As smoke diffused into the cage, observations were made at </w:t>
      </w:r>
      <w:r>
        <w:rPr>
          <w:rStyle w:val="Strong"/>
          <w:rFonts w:asciiTheme="majorBidi" w:hAnsiTheme="majorBidi" w:cstheme="majorBidi"/>
          <w:b w:val="0"/>
          <w:bCs w:val="0"/>
        </w:rPr>
        <w:t>10-minute intervals</w:t>
      </w:r>
      <w:r>
        <w:rPr>
          <w:rFonts w:asciiTheme="majorBidi" w:hAnsiTheme="majorBidi" w:cstheme="majorBidi"/>
        </w:rPr>
        <w:t xml:space="preserve"> over a total period of </w:t>
      </w:r>
      <w:r>
        <w:rPr>
          <w:rStyle w:val="Strong"/>
          <w:rFonts w:asciiTheme="majorBidi" w:hAnsiTheme="majorBidi" w:cstheme="majorBidi"/>
          <w:b w:val="0"/>
          <w:bCs w:val="0"/>
        </w:rPr>
        <w:t>30 minutes</w:t>
      </w:r>
      <w:r>
        <w:rPr>
          <w:rFonts w:asciiTheme="majorBidi" w:hAnsiTheme="majorBidi" w:cstheme="majorBidi"/>
        </w:rPr>
        <w:t>.</w:t>
      </w:r>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The following parameters were recorded during each interval:</w:t>
      </w:r>
    </w:p>
    <w:p w:rsidR="004B770B" w:rsidRDefault="00DF67D1">
      <w:pPr>
        <w:pStyle w:val="NormalWeb"/>
        <w:numPr>
          <w:ilvl w:val="0"/>
          <w:numId w:val="8"/>
        </w:numPr>
        <w:spacing w:before="0" w:beforeAutospacing="0" w:after="0" w:afterAutospacing="0" w:line="480" w:lineRule="auto"/>
        <w:ind w:left="0"/>
        <w:rPr>
          <w:rFonts w:asciiTheme="majorBidi" w:hAnsiTheme="majorBidi" w:cstheme="majorBidi"/>
        </w:rPr>
      </w:pPr>
      <w:r>
        <w:rPr>
          <w:rStyle w:val="Strong"/>
          <w:rFonts w:asciiTheme="majorBidi" w:hAnsiTheme="majorBidi" w:cstheme="majorBidi"/>
        </w:rPr>
        <w:t>Knockdown (KD):</w:t>
      </w:r>
      <w:r>
        <w:rPr>
          <w:rFonts w:asciiTheme="majorBidi" w:hAnsiTheme="majorBidi" w:cstheme="majorBidi"/>
        </w:rPr>
        <w:t xml:space="preserve"> number of mosquitoes incapacitated or immobilized due to coil smoke exposure.</w:t>
      </w:r>
    </w:p>
    <w:p w:rsidR="004B770B" w:rsidRDefault="00DF67D1">
      <w:pPr>
        <w:pStyle w:val="NormalWeb"/>
        <w:numPr>
          <w:ilvl w:val="0"/>
          <w:numId w:val="8"/>
        </w:numPr>
        <w:spacing w:before="0" w:beforeAutospacing="0" w:after="0" w:afterAutospacing="0" w:line="480" w:lineRule="auto"/>
        <w:ind w:left="0"/>
        <w:rPr>
          <w:rFonts w:asciiTheme="majorBidi" w:hAnsiTheme="majorBidi" w:cstheme="majorBidi"/>
        </w:rPr>
      </w:pPr>
      <w:r>
        <w:rPr>
          <w:rStyle w:val="Strong"/>
          <w:rFonts w:asciiTheme="majorBidi" w:hAnsiTheme="majorBidi" w:cstheme="majorBidi"/>
        </w:rPr>
        <w:t>Mortality:</w:t>
      </w:r>
      <w:r>
        <w:rPr>
          <w:rFonts w:asciiTheme="majorBidi" w:hAnsiTheme="majorBidi" w:cstheme="majorBidi"/>
        </w:rPr>
        <w:t xml:space="preserve"> number of mosquitoes that died within the test period.</w:t>
      </w:r>
    </w:p>
    <w:p w:rsidR="004B770B" w:rsidRDefault="00DF67D1">
      <w:pPr>
        <w:pStyle w:val="NormalWeb"/>
        <w:numPr>
          <w:ilvl w:val="0"/>
          <w:numId w:val="8"/>
        </w:numPr>
        <w:spacing w:before="0" w:beforeAutospacing="0" w:after="0" w:afterAutospacing="0" w:line="480" w:lineRule="auto"/>
        <w:ind w:left="0"/>
        <w:rPr>
          <w:rFonts w:asciiTheme="majorBidi" w:hAnsiTheme="majorBidi" w:cstheme="majorBidi"/>
        </w:rPr>
      </w:pPr>
      <w:r>
        <w:rPr>
          <w:rStyle w:val="Strong"/>
          <w:rFonts w:asciiTheme="majorBidi" w:hAnsiTheme="majorBidi" w:cstheme="majorBidi"/>
        </w:rPr>
        <w:t>Repellency:</w:t>
      </w:r>
      <w:r>
        <w:rPr>
          <w:rFonts w:asciiTheme="majorBidi" w:hAnsiTheme="majorBidi" w:cstheme="majorBidi"/>
        </w:rPr>
        <w:t xml:space="preserve"> number of mosquitoes prevented from landing on the exposed forearm or observed avoiding the smoke zone.</w:t>
      </w:r>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Repellency was visually estimated using a </w:t>
      </w:r>
      <w:r>
        <w:rPr>
          <w:rStyle w:val="Strong"/>
          <w:rFonts w:asciiTheme="majorBidi" w:hAnsiTheme="majorBidi" w:cstheme="majorBidi"/>
          <w:b w:val="0"/>
          <w:bCs w:val="0"/>
        </w:rPr>
        <w:t>landing count method</w:t>
      </w:r>
      <w:r>
        <w:rPr>
          <w:rFonts w:asciiTheme="majorBidi" w:hAnsiTheme="majorBidi" w:cstheme="majorBidi"/>
        </w:rPr>
        <w:t>, where the number of mosquito landings on an exposed region of the arm (protected by a mesh barrier to prevent actual bites) was recorded. All observations were made under consistent light conditions, with each exposure lasting 10 minutes before data were logged.</w:t>
      </w:r>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At the end of each interval, cumulative counts of knocked-down, dead, and repelled mosquitoes were noted, and the </w:t>
      </w:r>
      <w:r>
        <w:rPr>
          <w:rStyle w:val="Strong"/>
          <w:rFonts w:asciiTheme="majorBidi" w:hAnsiTheme="majorBidi" w:cstheme="majorBidi"/>
          <w:b w:val="0"/>
          <w:bCs w:val="0"/>
        </w:rPr>
        <w:t>repellency rate (R%), knockdown rate (KD%), and mortality rate (M%)</w:t>
      </w:r>
      <w:r>
        <w:rPr>
          <w:rFonts w:asciiTheme="majorBidi" w:hAnsiTheme="majorBidi" w:cstheme="majorBidi"/>
        </w:rPr>
        <w:t>were calculated using the following formulae:</w:t>
      </w:r>
    </w:p>
    <w:p w:rsidR="004B770B" w:rsidRDefault="00DF67D1">
      <w:pPr>
        <w:pStyle w:val="NormalWeb"/>
        <w:spacing w:before="0" w:beforeAutospacing="0" w:after="0" w:afterAutospacing="0" w:line="480" w:lineRule="auto"/>
        <w:rPr>
          <w:rFonts w:asciiTheme="majorBidi" w:hAnsiTheme="majorBidi" w:cstheme="majorBidi"/>
        </w:rPr>
      </w:pPr>
      <w:r>
        <w:rPr>
          <w:rFonts w:asciiTheme="majorBidi" w:hAnsiTheme="majorBidi" w:cstheme="majorBidi"/>
        </w:rPr>
        <w:t xml:space="preserve">     Mortality Rate (%) = </w:t>
      </w:r>
      <m:oMath>
        <m:f>
          <m:fPr>
            <m:ctrlPr>
              <w:rPr>
                <w:rFonts w:ascii="Cambria Math" w:hAnsi="Cambria Math" w:cstheme="majorBidi"/>
                <w:i/>
              </w:rPr>
            </m:ctrlPr>
          </m:fPr>
          <m:num>
            <m:r>
              <w:rPr>
                <w:rFonts w:ascii="Cambria Math" w:hAnsi="Cambria Math" w:cstheme="majorBidi"/>
              </w:rPr>
              <m:t>Number of Dead Mosquitoes</m:t>
            </m:r>
          </m:num>
          <m:den>
            <m:r>
              <w:rPr>
                <w:rFonts w:ascii="Cambria Math" w:hAnsi="Cambria Math" w:cstheme="majorBidi"/>
              </w:rPr>
              <m:t xml:space="preserve">Total Mosquitoes </m:t>
            </m:r>
          </m:den>
        </m:f>
        <m:r>
          <w:rPr>
            <w:rFonts w:ascii="Cambria Math" w:hAnsi="Cambria Math" w:cstheme="majorBidi"/>
          </w:rPr>
          <m:t xml:space="preserve"> x 100</m:t>
        </m:r>
      </m:oMath>
      <w:r>
        <w:rPr>
          <w:rFonts w:asciiTheme="majorBidi" w:hAnsiTheme="majorBidi" w:cstheme="majorBidi"/>
        </w:rPr>
        <w:t>…………….(equation 1)</w:t>
      </w:r>
    </w:p>
    <w:p w:rsidR="004B770B" w:rsidRDefault="00DF67D1">
      <w:pPr>
        <w:pStyle w:val="NormalWeb"/>
        <w:spacing w:before="0" w:beforeAutospacing="0" w:after="0" w:afterAutospacing="0" w:line="480" w:lineRule="auto"/>
        <w:ind w:firstLineChars="100" w:firstLine="240"/>
        <w:rPr>
          <w:rFonts w:asciiTheme="majorBidi" w:hAnsiTheme="majorBidi" w:cstheme="majorBidi"/>
        </w:rPr>
      </w:pPr>
      <w:r>
        <w:rPr>
          <w:rFonts w:asciiTheme="majorBidi" w:hAnsiTheme="majorBidi" w:cstheme="majorBidi"/>
        </w:rPr>
        <w:t xml:space="preserve">  Knockdown Rate (%) = </w:t>
      </w:r>
      <m:oMath>
        <m:f>
          <m:fPr>
            <m:ctrlPr>
              <w:rPr>
                <w:rFonts w:ascii="Cambria Math" w:hAnsi="Cambria Math" w:cstheme="majorBidi"/>
                <w:i/>
              </w:rPr>
            </m:ctrlPr>
          </m:fPr>
          <m:num>
            <m:r>
              <w:rPr>
                <w:rFonts w:ascii="Cambria Math" w:hAnsi="Cambria Math" w:cstheme="majorBidi"/>
              </w:rPr>
              <m:t>Number of Knocked-down Mosquitoes</m:t>
            </m:r>
          </m:num>
          <m:den>
            <m:r>
              <w:rPr>
                <w:rFonts w:ascii="Cambria Math" w:hAnsi="Cambria Math" w:cstheme="majorBidi"/>
              </w:rPr>
              <m:t xml:space="preserve">Total Mosquitoes </m:t>
            </m:r>
          </m:den>
        </m:f>
        <m:r>
          <w:rPr>
            <w:rFonts w:ascii="Cambria Math" w:hAnsi="Cambria Math" w:cstheme="majorBidi"/>
          </w:rPr>
          <m:t xml:space="preserve"> x 100</m:t>
        </m:r>
      </m:oMath>
      <w:r>
        <w:rPr>
          <w:rFonts w:asciiTheme="majorBidi" w:hAnsiTheme="majorBidi" w:cstheme="majorBidi"/>
        </w:rPr>
        <w:t>….(equation 2)</w:t>
      </w:r>
    </w:p>
    <w:p w:rsidR="004B770B" w:rsidRDefault="00DF67D1">
      <w:pPr>
        <w:pStyle w:val="NormalWeb"/>
        <w:spacing w:before="0" w:beforeAutospacing="0" w:after="0" w:afterAutospacing="0" w:line="480" w:lineRule="auto"/>
        <w:ind w:firstLineChars="150" w:firstLine="360"/>
        <w:rPr>
          <w:rFonts w:asciiTheme="majorBidi" w:hAnsiTheme="majorBidi" w:cstheme="majorBidi"/>
        </w:rPr>
      </w:pPr>
      <w:r>
        <w:rPr>
          <w:rFonts w:asciiTheme="majorBidi" w:hAnsiTheme="majorBidi" w:cstheme="majorBidi"/>
        </w:rPr>
        <w:t xml:space="preserve">Repellency Rate (%) = </w:t>
      </w:r>
      <m:oMath>
        <m:f>
          <m:fPr>
            <m:ctrlPr>
              <w:rPr>
                <w:rFonts w:ascii="Cambria Math" w:hAnsi="Cambria Math" w:cstheme="majorBidi"/>
                <w:i/>
              </w:rPr>
            </m:ctrlPr>
          </m:fPr>
          <m:num>
            <m:r>
              <w:rPr>
                <w:rFonts w:ascii="Cambria Math" w:hAnsi="Cambria Math" w:cstheme="majorBidi"/>
              </w:rPr>
              <m:t>Number of Repelled Mosquitoes</m:t>
            </m:r>
          </m:num>
          <m:den>
            <m:r>
              <w:rPr>
                <w:rFonts w:ascii="Cambria Math" w:hAnsi="Cambria Math" w:cstheme="majorBidi"/>
              </w:rPr>
              <m:t xml:space="preserve">Total Mosquitoes </m:t>
            </m:r>
          </m:den>
        </m:f>
        <m:r>
          <w:rPr>
            <w:rFonts w:ascii="Cambria Math" w:hAnsi="Cambria Math" w:cstheme="majorBidi"/>
          </w:rPr>
          <m:t xml:space="preserve"> x 100</m:t>
        </m:r>
      </m:oMath>
      <w:r>
        <w:rPr>
          <w:rFonts w:asciiTheme="majorBidi" w:hAnsiTheme="majorBidi" w:cstheme="majorBidi"/>
        </w:rPr>
        <w:t>…………….(equation 3)</w:t>
      </w:r>
    </w:p>
    <w:p w:rsidR="004B770B" w:rsidRDefault="00DF67D1">
      <w:pPr>
        <w:pStyle w:val="Heading1"/>
        <w:jc w:val="both"/>
      </w:pPr>
      <w:bookmarkStart w:id="111" w:name="_Toc214099934"/>
      <w:bookmarkStart w:id="112" w:name="_Toc214450031"/>
      <w:bookmarkStart w:id="113" w:name="_Toc214452617"/>
      <w:r>
        <w:t>3.5.4 Data Recording and Observations</w:t>
      </w:r>
      <w:bookmarkEnd w:id="111"/>
      <w:bookmarkEnd w:id="112"/>
      <w:bookmarkEnd w:id="113"/>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Observations were recorded at </w:t>
      </w:r>
      <w:r>
        <w:rPr>
          <w:rStyle w:val="Strong"/>
          <w:rFonts w:asciiTheme="majorBidi" w:hAnsiTheme="majorBidi" w:cstheme="majorBidi"/>
          <w:b w:val="0"/>
          <w:bCs w:val="0"/>
        </w:rPr>
        <w:t>10, 20, and 30 minutes</w:t>
      </w:r>
      <w:r>
        <w:rPr>
          <w:rFonts w:asciiTheme="majorBidi" w:hAnsiTheme="majorBidi" w:cstheme="majorBidi"/>
        </w:rPr>
        <w:t xml:space="preserve"> for each experimental setup. Qualitative characteristics such as </w:t>
      </w:r>
      <w:r>
        <w:rPr>
          <w:rStyle w:val="Strong"/>
          <w:rFonts w:asciiTheme="majorBidi" w:hAnsiTheme="majorBidi" w:cstheme="majorBidi"/>
          <w:b w:val="0"/>
          <w:bCs w:val="0"/>
        </w:rPr>
        <w:t>burning rate</w:t>
      </w:r>
      <w:r>
        <w:rPr>
          <w:rFonts w:asciiTheme="majorBidi" w:hAnsiTheme="majorBidi" w:cstheme="majorBidi"/>
          <w:b/>
          <w:bCs/>
        </w:rPr>
        <w:t xml:space="preserve">, </w:t>
      </w:r>
      <w:r>
        <w:rPr>
          <w:rStyle w:val="Strong"/>
          <w:rFonts w:asciiTheme="majorBidi" w:hAnsiTheme="majorBidi" w:cstheme="majorBidi"/>
          <w:b w:val="0"/>
          <w:bCs w:val="0"/>
        </w:rPr>
        <w:t>smoke density</w:t>
      </w:r>
      <w:r>
        <w:rPr>
          <w:rFonts w:asciiTheme="majorBidi" w:hAnsiTheme="majorBidi" w:cstheme="majorBidi"/>
        </w:rPr>
        <w:t xml:space="preserve">, and </w:t>
      </w:r>
      <w:r>
        <w:rPr>
          <w:rStyle w:val="Strong"/>
          <w:rFonts w:asciiTheme="majorBidi" w:hAnsiTheme="majorBidi" w:cstheme="majorBidi"/>
          <w:b w:val="0"/>
          <w:bCs w:val="0"/>
        </w:rPr>
        <w:t>odor intensity</w:t>
      </w:r>
      <w:r>
        <w:rPr>
          <w:rFonts w:asciiTheme="majorBidi" w:hAnsiTheme="majorBidi" w:cstheme="majorBidi"/>
        </w:rPr>
        <w:t xml:space="preserve"> were also </w:t>
      </w:r>
      <w:r>
        <w:rPr>
          <w:rFonts w:asciiTheme="majorBidi" w:hAnsiTheme="majorBidi" w:cstheme="majorBidi"/>
        </w:rPr>
        <w:lastRenderedPageBreak/>
        <w:t>noted. The orange peel coil produced a mild citrus aroma and steady smoke emission, indicating the volatilization of essential oil compounds such as limonene and citral.</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Data for mortality, knockdown, and repellency across the three groups were tabulated, and mean values were derived from triplicate readings for each condition. The consistency of results across replicates confirmed the reliability of the experimental method.</w:t>
      </w:r>
    </w:p>
    <w:p w:rsidR="004B770B" w:rsidRDefault="00DF67D1">
      <w:pPr>
        <w:pStyle w:val="Heading1"/>
        <w:jc w:val="both"/>
      </w:pPr>
      <w:bookmarkStart w:id="114" w:name="_Toc214099935"/>
      <w:bookmarkStart w:id="115" w:name="_Toc214450032"/>
      <w:bookmarkStart w:id="116" w:name="_Toc214452618"/>
      <w:r>
        <w:t>3.5.5 Safety and Precautions</w:t>
      </w:r>
      <w:bookmarkEnd w:id="114"/>
      <w:bookmarkEnd w:id="115"/>
      <w:bookmarkEnd w:id="116"/>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All procedures were conducted in a well-ventilated environment to minimize inhalation exposure to smoke. Personnel handling the coils wore protective gloves and laboratory coats. The coils were burned on heat-resistant surfaces to prevent fire hazards. After each test, the exposure cages were cleaned and aerated for at least one hour to remove residual smoke before subsequent trials.</w:t>
      </w:r>
    </w:p>
    <w:p w:rsidR="004B770B" w:rsidRDefault="00DF67D1">
      <w:pPr>
        <w:pStyle w:val="NormalWeb"/>
        <w:spacing w:before="0" w:beforeAutospacing="0" w:after="0" w:afterAutospacing="0" w:line="480" w:lineRule="auto"/>
        <w:jc w:val="both"/>
        <w:rPr>
          <w:rFonts w:eastAsia="SimSun"/>
          <w:b/>
          <w:bCs/>
        </w:rPr>
      </w:pPr>
      <w:r>
        <w:rPr>
          <w:rFonts w:asciiTheme="majorBidi" w:hAnsiTheme="majorBidi" w:cstheme="majorBidi"/>
          <w:b/>
          <w:bCs/>
        </w:rPr>
        <w:t xml:space="preserve">3.6 </w:t>
      </w:r>
      <w:r>
        <w:rPr>
          <w:rFonts w:eastAsia="SimSun"/>
          <w:b/>
          <w:bCs/>
        </w:rPr>
        <w:t>Limonene Oil Extraction via Maceration</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Fresh orange peels were thoroughly washed with clean water to remove dirt and surface contaminants. The cleaned peels were then oven-dried at 50 °C for 6–8 hours until a constant weight was achieved, ensuring complete removal of moisture without degrading the essential oil content. The dried peels were subsequently ground into a fine powder using a mechanical grinder to enhance the surface area for solvent penetration.</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powdered peel material was transferred into a clean, airtight glass container and completely immersed in ethanol at a 1:3 (w/v) ratio. The mixture was allowed to stand at room temperature for a 72-hour maceration period, during which it was gently agitated at regular intervals to facilitate efficient diffusion of limonene and other extractable components into the solvent.</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At the end of the extraction period, the mixture was filtered using Whatman No. 1 filter paper to separate the solvent extract from the solid residues. The filtrate obtained was subsequently concentrated by gentle evaporation of ethanol in a water bath maintained at 50 °C, avoiding </w:t>
      </w:r>
      <w:r>
        <w:rPr>
          <w:rFonts w:asciiTheme="majorBidi" w:hAnsiTheme="majorBidi" w:cstheme="majorBidi"/>
        </w:rPr>
        <w:lastRenderedPageBreak/>
        <w:t>excessive heat that could degrade the volatile compounds. This process yielded a pale-yellow limonene-rich essential oil.</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The extracted oil, characterized by its citrus aroma and known bio-active properties, was preserved for subsequent incorporation as a natural aromatic and mosquito-repellent component in the formulation of mosquito coils.</w:t>
      </w:r>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noProof/>
        </w:rPr>
        <w:drawing>
          <wp:inline distT="0" distB="0" distL="114300" distR="114300">
            <wp:extent cx="3881755" cy="3857625"/>
            <wp:effectExtent l="0" t="0" r="4445" b="9525"/>
            <wp:docPr id="6" name="Picture 6" descr="LEMONENE OIL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EMONENE OIL IMAGE"/>
                    <pic:cNvPicPr>
                      <a:picLocks noChangeAspect="1"/>
                    </pic:cNvPicPr>
                  </pic:nvPicPr>
                  <pic:blipFill>
                    <a:blip r:embed="rId13"/>
                    <a:stretch>
                      <a:fillRect/>
                    </a:stretch>
                  </pic:blipFill>
                  <pic:spPr>
                    <a:xfrm>
                      <a:off x="0" y="0"/>
                      <a:ext cx="3881755" cy="3857625"/>
                    </a:xfrm>
                    <a:prstGeom prst="rect">
                      <a:avLst/>
                    </a:prstGeom>
                  </pic:spPr>
                </pic:pic>
              </a:graphicData>
            </a:graphic>
          </wp:inline>
        </w:drawing>
      </w:r>
    </w:p>
    <w:p w:rsidR="004B770B" w:rsidRDefault="00DF67D1">
      <w:pPr>
        <w:pStyle w:val="NormalWeb"/>
        <w:spacing w:before="0" w:beforeAutospacing="0" w:after="0" w:afterAutospacing="0" w:line="480" w:lineRule="auto"/>
        <w:jc w:val="both"/>
        <w:rPr>
          <w:rFonts w:asciiTheme="majorBidi" w:hAnsiTheme="majorBidi" w:cstheme="majorBidi"/>
          <w:b/>
          <w:bCs/>
        </w:rPr>
      </w:pPr>
      <w:r>
        <w:rPr>
          <w:rFonts w:asciiTheme="majorBidi" w:hAnsiTheme="majorBidi" w:cstheme="majorBidi"/>
          <w:b/>
          <w:bCs/>
        </w:rPr>
        <w:t>Figure 3.2: Limonene Oil</w:t>
      </w:r>
    </w:p>
    <w:p w:rsidR="004B770B" w:rsidRDefault="004B770B">
      <w:pPr>
        <w:pStyle w:val="NormalWeb"/>
        <w:spacing w:before="0" w:beforeAutospacing="0" w:after="0" w:afterAutospacing="0" w:line="480" w:lineRule="auto"/>
        <w:jc w:val="both"/>
        <w:rPr>
          <w:rFonts w:asciiTheme="majorBidi" w:hAnsiTheme="majorBidi" w:cstheme="majorBidi"/>
          <w:b/>
          <w:bCs/>
        </w:rPr>
      </w:pPr>
    </w:p>
    <w:p w:rsidR="004B770B" w:rsidRDefault="004B770B">
      <w:pPr>
        <w:pStyle w:val="NormalWeb"/>
        <w:spacing w:before="0" w:beforeAutospacing="0" w:after="0" w:afterAutospacing="0" w:line="480" w:lineRule="auto"/>
        <w:jc w:val="both"/>
        <w:rPr>
          <w:rFonts w:asciiTheme="majorBidi" w:hAnsiTheme="majorBidi" w:cstheme="majorBidi"/>
          <w:b/>
          <w:bCs/>
        </w:rPr>
      </w:pPr>
    </w:p>
    <w:p w:rsidR="004B770B" w:rsidRDefault="004B770B">
      <w:pPr>
        <w:pStyle w:val="NormalWeb"/>
        <w:spacing w:before="0" w:beforeAutospacing="0" w:after="0" w:afterAutospacing="0" w:line="480" w:lineRule="auto"/>
        <w:jc w:val="both"/>
        <w:rPr>
          <w:rFonts w:asciiTheme="majorBidi" w:hAnsiTheme="majorBidi" w:cstheme="majorBidi"/>
          <w:b/>
          <w:bCs/>
        </w:rPr>
      </w:pPr>
    </w:p>
    <w:p w:rsidR="004B770B" w:rsidRDefault="004B770B">
      <w:pPr>
        <w:pStyle w:val="Heading1"/>
        <w:jc w:val="both"/>
      </w:pPr>
      <w:bookmarkStart w:id="117" w:name="_Toc214450033"/>
      <w:bookmarkStart w:id="118" w:name="_Toc214099936"/>
      <w:bookmarkStart w:id="119" w:name="_Toc214452619"/>
    </w:p>
    <w:p w:rsidR="004B770B" w:rsidRDefault="00DF67D1">
      <w:pPr>
        <w:pStyle w:val="Heading1"/>
      </w:pPr>
      <w:r>
        <w:t>CHAPTER FOUR</w:t>
      </w:r>
      <w:bookmarkEnd w:id="117"/>
      <w:bookmarkEnd w:id="118"/>
      <w:bookmarkEnd w:id="119"/>
    </w:p>
    <w:p w:rsidR="004B770B" w:rsidRDefault="00DF67D1">
      <w:pPr>
        <w:pStyle w:val="Heading1"/>
        <w:jc w:val="both"/>
      </w:pPr>
      <w:bookmarkStart w:id="120" w:name="_Toc214450034"/>
      <w:bookmarkStart w:id="121" w:name="_Toc214099937"/>
      <w:bookmarkStart w:id="122" w:name="_Toc214452620"/>
      <w:r>
        <w:t>4.0 Results and Discussion</w:t>
      </w:r>
      <w:bookmarkEnd w:id="120"/>
      <w:bookmarkEnd w:id="121"/>
      <w:bookmarkEnd w:id="122"/>
    </w:p>
    <w:p w:rsidR="004B770B" w:rsidRDefault="00DF67D1">
      <w:pPr>
        <w:pStyle w:val="Heading1"/>
        <w:jc w:val="both"/>
      </w:pPr>
      <w:bookmarkStart w:id="123" w:name="_Toc214452621"/>
      <w:bookmarkStart w:id="124" w:name="_Toc214450035"/>
      <w:bookmarkStart w:id="125" w:name="_Toc214099938"/>
      <w:r>
        <w:t>4.1 Presentation of Results</w:t>
      </w:r>
      <w:bookmarkEnd w:id="123"/>
      <w:bookmarkEnd w:id="124"/>
      <w:bookmarkEnd w:id="125"/>
    </w:p>
    <w:p w:rsidR="004B770B" w:rsidRDefault="00DF67D1">
      <w:pPr>
        <w:pStyle w:val="NormalWeb"/>
        <w:spacing w:before="0" w:beforeAutospacing="0" w:after="0" w:afterAutospacing="0" w:line="480" w:lineRule="auto"/>
        <w:jc w:val="both"/>
        <w:rPr>
          <w:rFonts w:asciiTheme="majorBidi" w:hAnsiTheme="majorBidi" w:cstheme="majorBidi"/>
        </w:rPr>
      </w:pPr>
      <w:r>
        <w:rPr>
          <w:rFonts w:asciiTheme="majorBidi" w:hAnsiTheme="majorBidi" w:cstheme="majorBidi"/>
        </w:rPr>
        <w:t xml:space="preserve">The results of this study are presented in both descriptive and tabular formats to highlight the performance of the </w:t>
      </w:r>
      <w:r>
        <w:rPr>
          <w:rStyle w:val="Strong"/>
          <w:rFonts w:asciiTheme="majorBidi" w:hAnsiTheme="majorBidi" w:cstheme="majorBidi"/>
          <w:b w:val="0"/>
          <w:bCs w:val="0"/>
        </w:rPr>
        <w:t>orange peel–based mosquito coil</w:t>
      </w:r>
      <w:r>
        <w:rPr>
          <w:rFonts w:asciiTheme="majorBidi" w:hAnsiTheme="majorBidi" w:cstheme="majorBidi"/>
        </w:rPr>
        <w:t xml:space="preserve"> relative to a </w:t>
      </w:r>
      <w:r>
        <w:rPr>
          <w:rStyle w:val="Strong"/>
          <w:rFonts w:asciiTheme="majorBidi" w:hAnsiTheme="majorBidi" w:cstheme="majorBidi"/>
          <w:b w:val="0"/>
          <w:bCs w:val="0"/>
        </w:rPr>
        <w:t>commercial coil (Super Kill)</w:t>
      </w:r>
      <w:r>
        <w:rPr>
          <w:rFonts w:asciiTheme="majorBidi" w:hAnsiTheme="majorBidi" w:cstheme="majorBidi"/>
        </w:rPr>
        <w:t xml:space="preserve"> and a </w:t>
      </w:r>
      <w:r>
        <w:rPr>
          <w:rStyle w:val="Strong"/>
          <w:rFonts w:asciiTheme="majorBidi" w:hAnsiTheme="majorBidi" w:cstheme="majorBidi"/>
          <w:b w:val="0"/>
          <w:bCs w:val="0"/>
        </w:rPr>
        <w:t>control (no coil)</w:t>
      </w:r>
      <w:r>
        <w:rPr>
          <w:rFonts w:asciiTheme="majorBidi" w:hAnsiTheme="majorBidi" w:cstheme="majorBidi"/>
        </w:rPr>
        <w:t xml:space="preserve">. The data obtained from the triplicate assays were consistent, and the mean values are used for interpretation. The assessed parameters include </w:t>
      </w:r>
      <w:r>
        <w:rPr>
          <w:rStyle w:val="Strong"/>
          <w:rFonts w:asciiTheme="majorBidi" w:hAnsiTheme="majorBidi" w:cstheme="majorBidi"/>
          <w:b w:val="0"/>
          <w:bCs w:val="0"/>
        </w:rPr>
        <w:t>mortality rate</w:t>
      </w:r>
      <w:r>
        <w:rPr>
          <w:rFonts w:asciiTheme="majorBidi" w:hAnsiTheme="majorBidi" w:cstheme="majorBidi"/>
          <w:b/>
          <w:bCs/>
        </w:rPr>
        <w:t xml:space="preserve">, </w:t>
      </w:r>
      <w:r>
        <w:rPr>
          <w:rStyle w:val="Strong"/>
          <w:rFonts w:asciiTheme="majorBidi" w:hAnsiTheme="majorBidi" w:cstheme="majorBidi"/>
          <w:b w:val="0"/>
          <w:bCs w:val="0"/>
        </w:rPr>
        <w:t>knockdown rate</w:t>
      </w:r>
      <w:r>
        <w:rPr>
          <w:rFonts w:asciiTheme="majorBidi" w:hAnsiTheme="majorBidi" w:cstheme="majorBidi"/>
        </w:rPr>
        <w:t xml:space="preserve">, and </w:t>
      </w:r>
      <w:r>
        <w:rPr>
          <w:rStyle w:val="Strong"/>
          <w:rFonts w:asciiTheme="majorBidi" w:hAnsiTheme="majorBidi" w:cstheme="majorBidi"/>
          <w:b w:val="0"/>
          <w:bCs w:val="0"/>
        </w:rPr>
        <w:t>repellency rate</w:t>
      </w:r>
      <w:r>
        <w:rPr>
          <w:rFonts w:asciiTheme="majorBidi" w:hAnsiTheme="majorBidi" w:cstheme="majorBidi"/>
        </w:rPr>
        <w:t xml:space="preserve"> of </w:t>
      </w:r>
      <w:r>
        <w:rPr>
          <w:rStyle w:val="Emphasis"/>
          <w:rFonts w:asciiTheme="majorBidi" w:eastAsiaTheme="majorEastAsia" w:hAnsiTheme="majorBidi"/>
        </w:rPr>
        <w:t>Anopheles</w:t>
      </w:r>
      <w:r>
        <w:rPr>
          <w:rFonts w:asciiTheme="majorBidi" w:hAnsiTheme="majorBidi" w:cstheme="majorBidi"/>
        </w:rPr>
        <w:t xml:space="preserve"> mosquitoes exposed to the three test conditions at 10, 20, and 30 minutes.</w:t>
      </w:r>
    </w:p>
    <w:p w:rsidR="004B770B" w:rsidRDefault="00DF67D1">
      <w:pPr>
        <w:pStyle w:val="Heading4"/>
        <w:spacing w:before="0"/>
        <w:jc w:val="both"/>
        <w:rPr>
          <w:rFonts w:asciiTheme="majorBidi" w:hAnsiTheme="majorBidi"/>
          <w:i w:val="0"/>
          <w:iCs w:val="0"/>
          <w:color w:val="auto"/>
          <w:szCs w:val="24"/>
        </w:rPr>
      </w:pPr>
      <w:r>
        <w:rPr>
          <w:rStyle w:val="Strong"/>
          <w:rFonts w:asciiTheme="majorBidi" w:hAnsiTheme="majorBidi"/>
          <w:i w:val="0"/>
          <w:iCs w:val="0"/>
          <w:color w:val="auto"/>
          <w:szCs w:val="24"/>
        </w:rPr>
        <w:t>Table 4.1: Comparative Data on Mosquito Response</w:t>
      </w:r>
    </w:p>
    <w:tbl>
      <w:tblPr>
        <w:tblW w:w="0" w:type="auto"/>
        <w:tblCellSpacing w:w="15" w:type="dxa"/>
        <w:tblCellMar>
          <w:top w:w="15" w:type="dxa"/>
          <w:left w:w="15" w:type="dxa"/>
          <w:bottom w:w="15" w:type="dxa"/>
          <w:right w:w="15" w:type="dxa"/>
        </w:tblCellMar>
        <w:tblLook w:val="04A0"/>
      </w:tblPr>
      <w:tblGrid>
        <w:gridCol w:w="2533"/>
        <w:gridCol w:w="1020"/>
        <w:gridCol w:w="1720"/>
        <w:gridCol w:w="1975"/>
        <w:gridCol w:w="1869"/>
      </w:tblGrid>
      <w:tr w:rsidR="004B770B">
        <w:trPr>
          <w:tblHeader/>
          <w:tblCellSpacing w:w="15" w:type="dxa"/>
        </w:trPr>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Style w:val="Strong"/>
                <w:rFonts w:asciiTheme="majorBidi" w:hAnsiTheme="majorBidi" w:cstheme="majorBidi"/>
                <w:szCs w:val="24"/>
              </w:rPr>
              <w:t>Coil Type</w:t>
            </w:r>
          </w:p>
        </w:tc>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Style w:val="Strong"/>
                <w:rFonts w:asciiTheme="majorBidi" w:hAnsiTheme="majorBidi" w:cstheme="majorBidi"/>
                <w:szCs w:val="24"/>
              </w:rPr>
              <w:t>Time (min)</w:t>
            </w:r>
          </w:p>
        </w:tc>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Style w:val="Strong"/>
                <w:rFonts w:asciiTheme="majorBidi" w:hAnsiTheme="majorBidi" w:cstheme="majorBidi"/>
                <w:szCs w:val="24"/>
              </w:rPr>
              <w:t>Mortality Rate (%)</w:t>
            </w:r>
          </w:p>
        </w:tc>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Style w:val="Strong"/>
                <w:rFonts w:asciiTheme="majorBidi" w:hAnsiTheme="majorBidi" w:cstheme="majorBidi"/>
                <w:szCs w:val="24"/>
              </w:rPr>
              <w:t>Knockdown Rate (%)</w:t>
            </w:r>
          </w:p>
        </w:tc>
        <w:tc>
          <w:tcPr>
            <w:tcW w:w="0" w:type="auto"/>
            <w:tcBorders>
              <w:top w:val="single" w:sz="4" w:space="0" w:color="auto"/>
              <w:bottom w:val="single" w:sz="4" w:space="0" w:color="auto"/>
            </w:tcBorders>
            <w:vAlign w:val="center"/>
          </w:tcPr>
          <w:p w:rsidR="004B770B" w:rsidRDefault="00DF67D1">
            <w:pPr>
              <w:jc w:val="center"/>
              <w:rPr>
                <w:rFonts w:asciiTheme="majorBidi" w:hAnsiTheme="majorBidi" w:cstheme="majorBidi"/>
                <w:b/>
                <w:bCs/>
                <w:szCs w:val="24"/>
              </w:rPr>
            </w:pPr>
            <w:r>
              <w:rPr>
                <w:rStyle w:val="Strong"/>
                <w:rFonts w:asciiTheme="majorBidi" w:hAnsiTheme="majorBidi" w:cstheme="majorBidi"/>
                <w:szCs w:val="24"/>
              </w:rPr>
              <w:t>Repellency Rate (%)</w:t>
            </w:r>
          </w:p>
        </w:tc>
      </w:tr>
      <w:tr w:rsidR="004B770B">
        <w:trPr>
          <w:tblCellSpacing w:w="15" w:type="dxa"/>
        </w:trPr>
        <w:tc>
          <w:tcPr>
            <w:tcW w:w="0" w:type="auto"/>
            <w:vMerge w:val="restart"/>
            <w:vAlign w:val="center"/>
          </w:tcPr>
          <w:p w:rsidR="004B770B" w:rsidRDefault="00DF67D1">
            <w:pPr>
              <w:jc w:val="both"/>
              <w:rPr>
                <w:rFonts w:asciiTheme="majorBidi" w:hAnsiTheme="majorBidi" w:cstheme="majorBidi"/>
                <w:szCs w:val="24"/>
              </w:rPr>
            </w:pPr>
            <w:r>
              <w:rPr>
                <w:rStyle w:val="Strong"/>
                <w:rFonts w:asciiTheme="majorBidi" w:hAnsiTheme="majorBidi" w:cstheme="majorBidi"/>
                <w:szCs w:val="24"/>
              </w:rPr>
              <w:t>Orange Peel Coil (Test)</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10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16.0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20.0</w:t>
            </w:r>
          </w:p>
        </w:tc>
      </w:tr>
      <w:tr w:rsidR="004B770B">
        <w:trPr>
          <w:tblCellSpacing w:w="15" w:type="dxa"/>
        </w:trPr>
        <w:tc>
          <w:tcPr>
            <w:tcW w:w="0" w:type="auto"/>
            <w:vMerge/>
            <w:vAlign w:val="center"/>
          </w:tcPr>
          <w:p w:rsidR="004B770B" w:rsidRDefault="004B770B">
            <w:pPr>
              <w:jc w:val="both"/>
              <w:rPr>
                <w:rFonts w:asciiTheme="majorBidi" w:hAnsiTheme="majorBidi" w:cstheme="majorBidi"/>
                <w:szCs w:val="24"/>
              </w:rPr>
            </w:pP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32.0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28.0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28.0</w:t>
            </w:r>
          </w:p>
        </w:tc>
      </w:tr>
      <w:tr w:rsidR="004B770B">
        <w:trPr>
          <w:tblCellSpacing w:w="15" w:type="dxa"/>
        </w:trPr>
        <w:tc>
          <w:tcPr>
            <w:tcW w:w="0" w:type="auto"/>
            <w:vMerge/>
            <w:vAlign w:val="center"/>
          </w:tcPr>
          <w:p w:rsidR="004B770B" w:rsidRDefault="004B770B">
            <w:pPr>
              <w:jc w:val="both"/>
              <w:rPr>
                <w:rFonts w:asciiTheme="majorBidi" w:hAnsiTheme="majorBidi" w:cstheme="majorBidi"/>
                <w:szCs w:val="24"/>
              </w:rPr>
            </w:pP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30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48.0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40.0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40.0</w:t>
            </w:r>
          </w:p>
        </w:tc>
      </w:tr>
      <w:tr w:rsidR="004B770B">
        <w:trPr>
          <w:tblCellSpacing w:w="15" w:type="dxa"/>
        </w:trPr>
        <w:tc>
          <w:tcPr>
            <w:tcW w:w="0" w:type="auto"/>
            <w:vMerge w:val="restart"/>
            <w:vAlign w:val="center"/>
          </w:tcPr>
          <w:p w:rsidR="004B770B" w:rsidRDefault="00DF67D1">
            <w:pPr>
              <w:jc w:val="both"/>
              <w:rPr>
                <w:rFonts w:asciiTheme="majorBidi" w:hAnsiTheme="majorBidi" w:cstheme="majorBidi"/>
                <w:szCs w:val="24"/>
              </w:rPr>
            </w:pPr>
            <w:r>
              <w:rPr>
                <w:rStyle w:val="Strong"/>
                <w:rFonts w:asciiTheme="majorBidi" w:hAnsiTheme="majorBidi" w:cstheme="majorBidi"/>
                <w:szCs w:val="24"/>
              </w:rPr>
              <w:t>Commercial Coil (Super Kill)</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10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36.0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28.0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24.0</w:t>
            </w:r>
          </w:p>
        </w:tc>
      </w:tr>
      <w:tr w:rsidR="004B770B">
        <w:trPr>
          <w:tblCellSpacing w:w="15" w:type="dxa"/>
        </w:trPr>
        <w:tc>
          <w:tcPr>
            <w:tcW w:w="0" w:type="auto"/>
            <w:vMerge/>
            <w:vAlign w:val="center"/>
          </w:tcPr>
          <w:p w:rsidR="004B770B" w:rsidRDefault="004B770B">
            <w:pPr>
              <w:jc w:val="both"/>
              <w:rPr>
                <w:rFonts w:asciiTheme="majorBidi" w:hAnsiTheme="majorBidi" w:cstheme="majorBidi"/>
                <w:szCs w:val="24"/>
              </w:rPr>
            </w:pP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68.0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48.0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32.0</w:t>
            </w:r>
          </w:p>
        </w:tc>
      </w:tr>
      <w:tr w:rsidR="004B770B">
        <w:trPr>
          <w:tblCellSpacing w:w="15" w:type="dxa"/>
        </w:trPr>
        <w:tc>
          <w:tcPr>
            <w:tcW w:w="0" w:type="auto"/>
            <w:vMerge/>
            <w:vAlign w:val="center"/>
          </w:tcPr>
          <w:p w:rsidR="004B770B" w:rsidRDefault="004B770B">
            <w:pPr>
              <w:jc w:val="both"/>
              <w:rPr>
                <w:rFonts w:asciiTheme="majorBidi" w:hAnsiTheme="majorBidi" w:cstheme="majorBidi"/>
                <w:szCs w:val="24"/>
              </w:rPr>
            </w:pP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30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92.0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80.0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40.0</w:t>
            </w:r>
          </w:p>
        </w:tc>
      </w:tr>
      <w:tr w:rsidR="004B770B">
        <w:trPr>
          <w:tblCellSpacing w:w="15" w:type="dxa"/>
        </w:trPr>
        <w:tc>
          <w:tcPr>
            <w:tcW w:w="0" w:type="auto"/>
            <w:vMerge w:val="restart"/>
            <w:tcBorders>
              <w:bottom w:val="single" w:sz="4" w:space="0" w:color="auto"/>
            </w:tcBorders>
            <w:vAlign w:val="center"/>
          </w:tcPr>
          <w:p w:rsidR="004B770B" w:rsidRDefault="00DF67D1">
            <w:pPr>
              <w:jc w:val="both"/>
              <w:rPr>
                <w:rFonts w:asciiTheme="majorBidi" w:hAnsiTheme="majorBidi" w:cstheme="majorBidi"/>
                <w:szCs w:val="24"/>
              </w:rPr>
            </w:pPr>
            <w:r>
              <w:rPr>
                <w:rStyle w:val="Strong"/>
                <w:rFonts w:asciiTheme="majorBidi" w:hAnsiTheme="majorBidi" w:cstheme="majorBidi"/>
                <w:szCs w:val="24"/>
              </w:rPr>
              <w:t>Control (No Coil)</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10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r>
      <w:tr w:rsidR="004B770B">
        <w:trPr>
          <w:tblCellSpacing w:w="15" w:type="dxa"/>
        </w:trPr>
        <w:tc>
          <w:tcPr>
            <w:tcW w:w="0" w:type="auto"/>
            <w:vMerge/>
            <w:tcBorders>
              <w:bottom w:val="single" w:sz="4" w:space="0" w:color="auto"/>
            </w:tcBorders>
            <w:vAlign w:val="center"/>
          </w:tcPr>
          <w:p w:rsidR="004B770B" w:rsidRDefault="004B770B">
            <w:pPr>
              <w:jc w:val="both"/>
              <w:rPr>
                <w:rFonts w:asciiTheme="majorBidi" w:hAnsiTheme="majorBidi" w:cstheme="majorBidi"/>
                <w:szCs w:val="24"/>
              </w:rPr>
            </w:pP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20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4.0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c>
          <w:tcPr>
            <w:tcW w:w="0" w:type="auto"/>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r>
      <w:tr w:rsidR="004B770B">
        <w:trPr>
          <w:tblCellSpacing w:w="15" w:type="dxa"/>
        </w:trPr>
        <w:tc>
          <w:tcPr>
            <w:tcW w:w="0" w:type="auto"/>
            <w:vMerge/>
            <w:tcBorders>
              <w:bottom w:val="single" w:sz="4" w:space="0" w:color="auto"/>
            </w:tcBorders>
            <w:vAlign w:val="center"/>
          </w:tcPr>
          <w:p w:rsidR="004B770B" w:rsidRDefault="004B770B">
            <w:pPr>
              <w:jc w:val="both"/>
              <w:rPr>
                <w:rFonts w:asciiTheme="majorBidi" w:hAnsiTheme="majorBidi" w:cstheme="majorBidi"/>
                <w:szCs w:val="24"/>
              </w:rPr>
            </w:pPr>
          </w:p>
        </w:tc>
        <w:tc>
          <w:tcPr>
            <w:tcW w:w="0" w:type="auto"/>
            <w:tcBorders>
              <w:bottom w:val="single" w:sz="4" w:space="0" w:color="auto"/>
            </w:tcBorders>
            <w:vAlign w:val="center"/>
          </w:tcPr>
          <w:p w:rsidR="004B770B" w:rsidRDefault="00DF67D1">
            <w:pPr>
              <w:jc w:val="center"/>
              <w:rPr>
                <w:rFonts w:asciiTheme="majorBidi" w:hAnsiTheme="majorBidi" w:cstheme="majorBidi"/>
                <w:szCs w:val="24"/>
              </w:rPr>
            </w:pPr>
            <w:r>
              <w:rPr>
                <w:rFonts w:asciiTheme="majorBidi" w:hAnsiTheme="majorBidi" w:cstheme="majorBidi"/>
                <w:szCs w:val="24"/>
              </w:rPr>
              <w:t>30</w:t>
            </w:r>
          </w:p>
        </w:tc>
        <w:tc>
          <w:tcPr>
            <w:tcW w:w="0" w:type="auto"/>
            <w:tcBorders>
              <w:bottom w:val="single" w:sz="4" w:space="0" w:color="auto"/>
            </w:tcBorders>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c>
          <w:tcPr>
            <w:tcW w:w="0" w:type="auto"/>
            <w:tcBorders>
              <w:bottom w:val="single" w:sz="4" w:space="0" w:color="auto"/>
            </w:tcBorders>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c>
          <w:tcPr>
            <w:tcW w:w="0" w:type="auto"/>
            <w:tcBorders>
              <w:bottom w:val="single" w:sz="4" w:space="0" w:color="auto"/>
            </w:tcBorders>
            <w:vAlign w:val="center"/>
          </w:tcPr>
          <w:p w:rsidR="004B770B" w:rsidRDefault="00DF67D1">
            <w:pPr>
              <w:jc w:val="center"/>
              <w:rPr>
                <w:rFonts w:asciiTheme="majorBidi" w:hAnsiTheme="majorBidi" w:cstheme="majorBidi"/>
                <w:szCs w:val="24"/>
              </w:rPr>
            </w:pPr>
            <w:r>
              <w:rPr>
                <w:rFonts w:asciiTheme="majorBidi" w:hAnsiTheme="majorBidi" w:cstheme="majorBidi"/>
                <w:szCs w:val="24"/>
              </w:rPr>
              <w:t>0.0</w:t>
            </w:r>
          </w:p>
        </w:tc>
      </w:tr>
    </w:tbl>
    <w:p w:rsidR="004B770B" w:rsidRDefault="004B770B">
      <w:pPr>
        <w:jc w:val="both"/>
        <w:outlineLvl w:val="2"/>
        <w:rPr>
          <w:rFonts w:asciiTheme="majorBidi" w:eastAsia="Times New Roman" w:hAnsiTheme="majorBidi" w:cstheme="majorBidi"/>
          <w:b/>
          <w:bCs/>
          <w:szCs w:val="24"/>
        </w:rPr>
      </w:pPr>
    </w:p>
    <w:p w:rsidR="004B770B" w:rsidRDefault="004B770B">
      <w:pPr>
        <w:jc w:val="both"/>
        <w:outlineLvl w:val="2"/>
        <w:rPr>
          <w:rFonts w:asciiTheme="majorBidi" w:eastAsia="Times New Roman" w:hAnsiTheme="majorBidi" w:cstheme="majorBidi"/>
          <w:b/>
          <w:bCs/>
          <w:szCs w:val="24"/>
        </w:rPr>
      </w:pPr>
    </w:p>
    <w:p w:rsidR="004B770B" w:rsidRDefault="00DF67D1">
      <w:pPr>
        <w:pStyle w:val="Heading1"/>
        <w:jc w:val="both"/>
      </w:pPr>
      <w:bookmarkStart w:id="126" w:name="_Toc214450036"/>
      <w:bookmarkStart w:id="127" w:name="_Toc214099939"/>
      <w:bookmarkStart w:id="128" w:name="_Toc214452622"/>
      <w:r>
        <w:lastRenderedPageBreak/>
        <w:t>4.2 Interpretation of Results</w:t>
      </w:r>
      <w:bookmarkEnd w:id="126"/>
      <w:bookmarkEnd w:id="127"/>
      <w:bookmarkEnd w:id="128"/>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results of this study demonstrate that mosquito coils formulated from orange (</w:t>
      </w:r>
      <w:r>
        <w:rPr>
          <w:rFonts w:asciiTheme="majorBidi" w:eastAsia="Times New Roman" w:hAnsiTheme="majorBidi" w:cstheme="majorBidi"/>
          <w:i/>
          <w:iCs/>
          <w:szCs w:val="24"/>
        </w:rPr>
        <w:t>Citrus sinensis</w:t>
      </w:r>
      <w:r>
        <w:rPr>
          <w:rFonts w:asciiTheme="majorBidi" w:eastAsia="Times New Roman" w:hAnsiTheme="majorBidi" w:cstheme="majorBidi"/>
          <w:szCs w:val="24"/>
        </w:rPr>
        <w:t xml:space="preserve">) peels possess measurable repellent, knockdown, and insecticidal activities against </w:t>
      </w:r>
      <w:r>
        <w:rPr>
          <w:rFonts w:asciiTheme="majorBidi" w:eastAsia="Times New Roman" w:hAnsiTheme="majorBidi" w:cstheme="majorBidi"/>
          <w:i/>
          <w:iCs/>
          <w:szCs w:val="24"/>
        </w:rPr>
        <w:t>Anopheles</w:t>
      </w:r>
      <w:r>
        <w:rPr>
          <w:rFonts w:asciiTheme="majorBidi" w:eastAsia="Times New Roman" w:hAnsiTheme="majorBidi" w:cstheme="majorBidi"/>
          <w:szCs w:val="24"/>
        </w:rPr>
        <w:t xml:space="preserve"> mosquitoes. Although the repellent effect of the orange peel–based coil was comparatively lower than that of the commercial coil, the observed trends establish its potential as an effective natural mosquito control agent.</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gradual increase in mortality, knockdown, and repellency rates with time indicates a time-dependent efficacy of the orange peel coil. At 10 minutes, repellency and knockdown rates were relatively low (20% and 16%, respectively), but by 30 minutes these increased to 40% and 40%. This trend aligns with the known volatilization behavior of limonene, linalool, and citral, the major active constituents of citrus essential oils, which gradually evaporate with heat to exert repellent action (Hikal</w:t>
      </w:r>
      <w:r>
        <w:rPr>
          <w:rFonts w:asciiTheme="majorBidi" w:eastAsia="Times New Roman" w:hAnsiTheme="majorBidi" w:cstheme="majorBidi"/>
          <w:i/>
          <w:iCs/>
          <w:szCs w:val="24"/>
        </w:rPr>
        <w:t xml:space="preserve"> et al</w:t>
      </w:r>
      <w:r>
        <w:rPr>
          <w:rFonts w:asciiTheme="majorBidi" w:eastAsia="Times New Roman" w:hAnsiTheme="majorBidi" w:cstheme="majorBidi"/>
          <w:szCs w:val="24"/>
        </w:rPr>
        <w:t>., 2017).</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 xml:space="preserve">The orange peel coil’s progressive repellency suggests that the release of active compounds occurs steadily during combustion rather than in rapid bursts. This steady volatilization is desirable, as it prolongs repellent duration while maintaining mild smoke output. The data therefore confirm that orange peel phytochemicals retain their biological activity after processing into coil form, supporting earlier reports on the insecticidal potential of citrus oils (Bhattacharya </w:t>
      </w:r>
      <w:r>
        <w:rPr>
          <w:rFonts w:asciiTheme="majorBidi" w:eastAsia="Times New Roman" w:hAnsiTheme="majorBidi" w:cstheme="majorBidi"/>
          <w:i/>
          <w:iCs/>
          <w:szCs w:val="24"/>
        </w:rPr>
        <w:t>et al</w:t>
      </w:r>
      <w:r>
        <w:rPr>
          <w:rFonts w:asciiTheme="majorBidi" w:eastAsia="Times New Roman" w:hAnsiTheme="majorBidi" w:cstheme="majorBidi"/>
          <w:szCs w:val="24"/>
        </w:rPr>
        <w:t>., 2020; Javed</w:t>
      </w:r>
      <w:r>
        <w:rPr>
          <w:rFonts w:asciiTheme="majorBidi" w:eastAsia="Times New Roman" w:hAnsiTheme="majorBidi" w:cstheme="majorBidi"/>
          <w:i/>
          <w:iCs/>
          <w:szCs w:val="24"/>
        </w:rPr>
        <w:t>et al</w:t>
      </w:r>
      <w:r>
        <w:rPr>
          <w:rFonts w:asciiTheme="majorBidi" w:eastAsia="Times New Roman" w:hAnsiTheme="majorBidi" w:cstheme="majorBidi"/>
          <w:szCs w:val="24"/>
        </w:rPr>
        <w:t>., 2021).</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In contrast, the commercial coil exhibited higher initial repellency and mortality, achieving 92% mortality and 80% knockdown within 30 minutes. This superior performance can be attributed to its synthetic active ingredients, typically pyrethroids such as allethrin or d-phenothrin, which act on the voltage-gated sodium channels of mosquito neurons, causing rapid paralysis and death (Chen</w:t>
      </w:r>
      <w:r>
        <w:rPr>
          <w:rFonts w:asciiTheme="majorBidi" w:eastAsia="Times New Roman" w:hAnsiTheme="majorBidi" w:cstheme="majorBidi"/>
          <w:i/>
          <w:iCs/>
          <w:szCs w:val="24"/>
        </w:rPr>
        <w:t xml:space="preserve"> et al</w:t>
      </w:r>
      <w:r>
        <w:rPr>
          <w:rFonts w:asciiTheme="majorBidi" w:eastAsia="Times New Roman" w:hAnsiTheme="majorBidi" w:cstheme="majorBidi"/>
          <w:szCs w:val="24"/>
        </w:rPr>
        <w:t xml:space="preserve">., 2021). However, these compounds are associated with health hazards including respiratory irritation, allergic reactions, and potential carcinogenic effects when used continuously in poorly ventilated indoor spaces (Zahran </w:t>
      </w:r>
      <w:r>
        <w:rPr>
          <w:rFonts w:asciiTheme="majorBidi" w:eastAsia="Times New Roman" w:hAnsiTheme="majorBidi" w:cstheme="majorBidi"/>
          <w:i/>
          <w:iCs/>
          <w:szCs w:val="24"/>
        </w:rPr>
        <w:t>et al</w:t>
      </w:r>
      <w:r>
        <w:rPr>
          <w:rFonts w:asciiTheme="majorBidi" w:eastAsia="Times New Roman" w:hAnsiTheme="majorBidi" w:cstheme="majorBidi"/>
          <w:szCs w:val="24"/>
        </w:rPr>
        <w:t>., 2020).</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lastRenderedPageBreak/>
        <w:t xml:space="preserve">The orange peel coil, on the other hand, presents a biochemically safer profile. Its mode of action likely involves interference with mosquito olfactory receptors, reducing host-seeking behavior rather than causing neurotoxic paralysis (Moore </w:t>
      </w:r>
      <w:r>
        <w:rPr>
          <w:rFonts w:asciiTheme="majorBidi" w:eastAsia="Times New Roman" w:hAnsiTheme="majorBidi" w:cstheme="majorBidi"/>
          <w:i/>
          <w:iCs/>
          <w:szCs w:val="24"/>
        </w:rPr>
        <w:t>et al</w:t>
      </w:r>
      <w:r>
        <w:rPr>
          <w:rFonts w:asciiTheme="majorBidi" w:eastAsia="Times New Roman" w:hAnsiTheme="majorBidi" w:cstheme="majorBidi"/>
          <w:szCs w:val="24"/>
        </w:rPr>
        <w:t>., 2022). The mild fragrance observed during burning supports this mechanism, as citrus volatiles disrupt the mosquitoes’ attraction to carbon dioxide and human skin odor cues (Kweka</w:t>
      </w:r>
      <w:r>
        <w:rPr>
          <w:rFonts w:asciiTheme="majorBidi" w:eastAsia="Times New Roman" w:hAnsiTheme="majorBidi" w:cstheme="majorBidi"/>
          <w:i/>
          <w:iCs/>
          <w:szCs w:val="24"/>
        </w:rPr>
        <w:t xml:space="preserve"> et al</w:t>
      </w:r>
      <w:r>
        <w:rPr>
          <w:rFonts w:asciiTheme="majorBidi" w:eastAsia="Times New Roman" w:hAnsiTheme="majorBidi" w:cstheme="majorBidi"/>
          <w:szCs w:val="24"/>
        </w:rPr>
        <w:t>., 2021).</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Another notable observation is that the orange peel coil produced minimal smoke density and non-irritating fumes, compared to the commercial coil’s pungent odor. This suggests that the orange peel–based product could serve as a safer indoor repellent alternative, particularly in regions where prolonged exposure to chemical insecticides has become a health concern.</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observed repellency gap between the orange peel coil and the commercial coil may be due to differences in active ingredient concentration and thermal stability. Pyrethroids, being synthetic, remain stable at higher combustion temperatures, while natural citrus compounds degrade more rapidly beyond 60°C (Javed</w:t>
      </w:r>
      <w:r>
        <w:rPr>
          <w:rFonts w:asciiTheme="majorBidi" w:eastAsia="Times New Roman" w:hAnsiTheme="majorBidi" w:cstheme="majorBidi"/>
          <w:i/>
          <w:iCs/>
          <w:szCs w:val="24"/>
        </w:rPr>
        <w:t>et al</w:t>
      </w:r>
      <w:r>
        <w:rPr>
          <w:rFonts w:asciiTheme="majorBidi" w:eastAsia="Times New Roman" w:hAnsiTheme="majorBidi" w:cstheme="majorBidi"/>
          <w:szCs w:val="24"/>
        </w:rPr>
        <w:t>., 2021). This limitation could be mitigated through improved formulation techniques such as encapsulation or oil enrichment in future studies.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results confirm that orange peel–based coils possess moderate yet significant mosquito-repellent efficacy, low toxicity, and favorable environmental properties. The experimental evidence supports the hypothesis that orange peel–derived phytochemicals can serve as viable agents in mosquito coil formulation, particularly as a component of sustainable, community-based vector control programs.</w:t>
      </w:r>
    </w:p>
    <w:p w:rsidR="004B770B" w:rsidRDefault="00DF67D1">
      <w:pPr>
        <w:pStyle w:val="Heading1"/>
        <w:jc w:val="both"/>
      </w:pPr>
      <w:bookmarkStart w:id="129" w:name="_Toc214452623"/>
      <w:bookmarkStart w:id="130" w:name="_Toc214450037"/>
      <w:bookmarkStart w:id="131" w:name="_Toc214099940"/>
      <w:r>
        <w:t>4.3 Discussion</w:t>
      </w:r>
      <w:bookmarkEnd w:id="129"/>
      <w:bookmarkEnd w:id="130"/>
      <w:bookmarkEnd w:id="131"/>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findings of this study provide compelling evidence that orange (</w:t>
      </w:r>
      <w:r>
        <w:rPr>
          <w:rFonts w:asciiTheme="majorBidi" w:eastAsia="Times New Roman" w:hAnsiTheme="majorBidi" w:cstheme="majorBidi"/>
          <w:i/>
          <w:iCs/>
          <w:szCs w:val="24"/>
        </w:rPr>
        <w:t>Citrus sinensis</w:t>
      </w:r>
      <w:r>
        <w:rPr>
          <w:rFonts w:asciiTheme="majorBidi" w:eastAsia="Times New Roman" w:hAnsiTheme="majorBidi" w:cstheme="majorBidi"/>
          <w:szCs w:val="24"/>
        </w:rPr>
        <w:t xml:space="preserve">) peel–based mosquito coils can effectively repel and incapacitate </w:t>
      </w:r>
      <w:r>
        <w:rPr>
          <w:rFonts w:asciiTheme="majorBidi" w:eastAsia="Times New Roman" w:hAnsiTheme="majorBidi" w:cstheme="majorBidi"/>
          <w:i/>
          <w:iCs/>
          <w:szCs w:val="24"/>
        </w:rPr>
        <w:t>Anopheles</w:t>
      </w:r>
      <w:r>
        <w:rPr>
          <w:rFonts w:asciiTheme="majorBidi" w:eastAsia="Times New Roman" w:hAnsiTheme="majorBidi" w:cstheme="majorBidi"/>
          <w:szCs w:val="24"/>
        </w:rPr>
        <w:t xml:space="preserve"> mosquitoes under controlled laboratory conditions. Although the repellent efficiency was slightly lower than that of the commercial coil, the results highlight the bio-efficacy of orange peel </w:t>
      </w:r>
      <w:r>
        <w:rPr>
          <w:rFonts w:asciiTheme="majorBidi" w:eastAsia="Times New Roman" w:hAnsiTheme="majorBidi" w:cstheme="majorBidi"/>
          <w:szCs w:val="24"/>
        </w:rPr>
        <w:lastRenderedPageBreak/>
        <w:t>phytochemicals and underscore their potential as natural alternatives to synthetic insecticides in mosquito control programs.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progressive increase in repellency and mortality rates with time (from 20% to 40% repellency over 30 minutes) is consistent with earlier reports indicating that natural repellents exhibit cumulative action as active volatiles disperse through the air (Oyedele</w:t>
      </w:r>
      <w:r>
        <w:rPr>
          <w:rFonts w:asciiTheme="majorBidi" w:eastAsia="Times New Roman" w:hAnsiTheme="majorBidi" w:cstheme="majorBidi"/>
          <w:i/>
          <w:iCs/>
          <w:szCs w:val="24"/>
        </w:rPr>
        <w:t>et al</w:t>
      </w:r>
      <w:r>
        <w:rPr>
          <w:rFonts w:asciiTheme="majorBidi" w:eastAsia="Times New Roman" w:hAnsiTheme="majorBidi" w:cstheme="majorBidi"/>
          <w:szCs w:val="24"/>
        </w:rPr>
        <w:t xml:space="preserve">., 2020). The mild yet sustained smoke emission observed in this study indicates that the release of essential oils from orange peels, particularly limonene, linalool, and citral occurs gradually during combustion. These compounds act by masking host odors and disrupting the mosquitoes’ olfactory recognition mechanisms, thereby reducing their capacity to locate humans (Bhattacharya </w:t>
      </w:r>
      <w:r>
        <w:rPr>
          <w:rFonts w:asciiTheme="majorBidi" w:eastAsia="Times New Roman" w:hAnsiTheme="majorBidi" w:cstheme="majorBidi"/>
          <w:i/>
          <w:iCs/>
          <w:szCs w:val="24"/>
        </w:rPr>
        <w:t>et al</w:t>
      </w:r>
      <w:r>
        <w:rPr>
          <w:rFonts w:asciiTheme="majorBidi" w:eastAsia="Times New Roman" w:hAnsiTheme="majorBidi" w:cstheme="majorBidi"/>
          <w:szCs w:val="24"/>
        </w:rPr>
        <w:t>., 2020).</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A comparable study by Hikal</w:t>
      </w:r>
      <w:r>
        <w:rPr>
          <w:rFonts w:asciiTheme="majorBidi" w:eastAsia="Times New Roman" w:hAnsiTheme="majorBidi" w:cstheme="majorBidi"/>
          <w:i/>
          <w:iCs/>
          <w:szCs w:val="24"/>
        </w:rPr>
        <w:t>et al</w:t>
      </w:r>
      <w:r>
        <w:rPr>
          <w:rFonts w:asciiTheme="majorBidi" w:eastAsia="Times New Roman" w:hAnsiTheme="majorBidi" w:cstheme="majorBidi"/>
          <w:szCs w:val="24"/>
        </w:rPr>
        <w:t xml:space="preserve">.(2017) found that limonene and linalool extracted from citrus oils exhibited over 60% repellency against </w:t>
      </w:r>
      <w:r>
        <w:rPr>
          <w:rFonts w:asciiTheme="majorBidi" w:eastAsia="Times New Roman" w:hAnsiTheme="majorBidi" w:cstheme="majorBidi"/>
          <w:i/>
          <w:iCs/>
          <w:szCs w:val="24"/>
        </w:rPr>
        <w:t>Aedes aegypti</w:t>
      </w:r>
      <w:r>
        <w:rPr>
          <w:rFonts w:asciiTheme="majorBidi" w:eastAsia="Times New Roman" w:hAnsiTheme="majorBidi" w:cstheme="majorBidi"/>
          <w:szCs w:val="24"/>
        </w:rPr>
        <w:t xml:space="preserve"> after 30 minutes of exposure. Similarly, Moore</w:t>
      </w:r>
      <w:r>
        <w:rPr>
          <w:rFonts w:asciiTheme="majorBidi" w:eastAsia="Times New Roman" w:hAnsiTheme="majorBidi" w:cstheme="majorBidi"/>
          <w:i/>
          <w:iCs/>
          <w:szCs w:val="24"/>
        </w:rPr>
        <w:t xml:space="preserve"> et al</w:t>
      </w:r>
      <w:r>
        <w:rPr>
          <w:rFonts w:asciiTheme="majorBidi" w:eastAsia="Times New Roman" w:hAnsiTheme="majorBidi" w:cstheme="majorBidi"/>
          <w:szCs w:val="24"/>
        </w:rPr>
        <w:t>. (2022) reported that these terpenoids impair mosquito orientation by desensitizing odorant receptors tuned to carbon dioxide and skin emanations. The present study’s results align with these findings, confirming that the volatilization of orange peel phytochemicals during coil burning can effectively alter mosquito behavior.</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 xml:space="preserve">The commercial coil (Super Kill), as expected, showed higher performance with up to 92% mortality and 80% knockdown rate. This outcome corroborates prior studies demonstrating the potent neurotoxic effects of pyrethroids used in conventional coils (Chen </w:t>
      </w:r>
      <w:r>
        <w:rPr>
          <w:rFonts w:asciiTheme="majorBidi" w:eastAsia="Times New Roman" w:hAnsiTheme="majorBidi" w:cstheme="majorBidi"/>
          <w:i/>
          <w:iCs/>
          <w:szCs w:val="24"/>
        </w:rPr>
        <w:t>et al</w:t>
      </w:r>
      <w:r>
        <w:rPr>
          <w:rFonts w:asciiTheme="majorBidi" w:eastAsia="Times New Roman" w:hAnsiTheme="majorBidi" w:cstheme="majorBidi"/>
          <w:szCs w:val="24"/>
        </w:rPr>
        <w:t xml:space="preserve">., 2021). However, while their efficacy is undisputed, continuous exposure to pyrethroid smoke has been linked to respiratory distress, skin allergies, and oxidative stress in laboratory animals and humans (Zahran </w:t>
      </w:r>
      <w:r>
        <w:rPr>
          <w:rFonts w:asciiTheme="majorBidi" w:eastAsia="Times New Roman" w:hAnsiTheme="majorBidi" w:cstheme="majorBidi"/>
          <w:i/>
          <w:iCs/>
          <w:szCs w:val="24"/>
        </w:rPr>
        <w:t>et al</w:t>
      </w:r>
      <w:r>
        <w:rPr>
          <w:rFonts w:asciiTheme="majorBidi" w:eastAsia="Times New Roman" w:hAnsiTheme="majorBidi" w:cstheme="majorBidi"/>
          <w:szCs w:val="24"/>
        </w:rPr>
        <w:t>., 2020). The current study’s results, therefore, support growing concerns that synthetic repellents, though efficient, compromise indoor air quality and public health, especially in poorly ventilated households.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lastRenderedPageBreak/>
        <w:t>By contrast, the orange peel–based coil exhibited milder smoke emission and pleasant citrus fragrance, indicating safer indoor usability. This characteristic aligns with findings by Damián-Reyna</w:t>
      </w:r>
      <w:r>
        <w:rPr>
          <w:rFonts w:asciiTheme="majorBidi" w:eastAsia="Times New Roman" w:hAnsiTheme="majorBidi" w:cstheme="majorBidi"/>
          <w:i/>
          <w:iCs/>
          <w:szCs w:val="24"/>
        </w:rPr>
        <w:t xml:space="preserve"> et al</w:t>
      </w:r>
      <w:r>
        <w:rPr>
          <w:rFonts w:asciiTheme="majorBidi" w:eastAsia="Times New Roman" w:hAnsiTheme="majorBidi" w:cstheme="majorBidi"/>
          <w:szCs w:val="24"/>
        </w:rPr>
        <w:t>. (2021), who emphasized that the safety profile of plant-based repellents depends largely on the absence of halogenated hydrocarbons and aromatic solvents typically present in synthetic formulations. Moreover, citrus peels are biodegradable and renewable, making them environmentally sustainable raw materials in line with the principles of circular bio-economy and waste valorization (Javed</w:t>
      </w:r>
      <w:r>
        <w:rPr>
          <w:rFonts w:asciiTheme="majorBidi" w:eastAsia="Times New Roman" w:hAnsiTheme="majorBidi" w:cstheme="majorBidi"/>
          <w:i/>
          <w:iCs/>
          <w:szCs w:val="24"/>
        </w:rPr>
        <w:t>et al</w:t>
      </w:r>
      <w:r>
        <w:rPr>
          <w:rFonts w:asciiTheme="majorBidi" w:eastAsia="Times New Roman" w:hAnsiTheme="majorBidi" w:cstheme="majorBidi"/>
          <w:szCs w:val="24"/>
        </w:rPr>
        <w:t>., 2021).</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Interestingly, the moderate performance of the orange peel coil relative to the commercial coil may also reflect differences in active ingredient concentration and formulation stability. The essential oils in citrus peels are thermolabile, meaning that part of their activity may be lost during high-temperature drying or combustion (Hikal</w:t>
      </w:r>
      <w:r>
        <w:rPr>
          <w:rFonts w:asciiTheme="majorBidi" w:eastAsia="Times New Roman" w:hAnsiTheme="majorBidi" w:cstheme="majorBidi"/>
          <w:i/>
          <w:iCs/>
          <w:szCs w:val="24"/>
        </w:rPr>
        <w:t xml:space="preserve"> et al</w:t>
      </w:r>
      <w:r>
        <w:rPr>
          <w:rFonts w:asciiTheme="majorBidi" w:eastAsia="Times New Roman" w:hAnsiTheme="majorBidi" w:cstheme="majorBidi"/>
          <w:szCs w:val="24"/>
        </w:rPr>
        <w:t xml:space="preserve">., 2017). Improving extraction techniques or enriching the coil with concentrated essential oil fractions could enhance its performance. Studies by Benelli </w:t>
      </w:r>
      <w:r>
        <w:rPr>
          <w:rFonts w:asciiTheme="majorBidi" w:eastAsia="Times New Roman" w:hAnsiTheme="majorBidi" w:cstheme="majorBidi"/>
          <w:i/>
          <w:iCs/>
          <w:szCs w:val="24"/>
        </w:rPr>
        <w:t>et al</w:t>
      </w:r>
      <w:r>
        <w:rPr>
          <w:rFonts w:asciiTheme="majorBidi" w:eastAsia="Times New Roman" w:hAnsiTheme="majorBidi" w:cstheme="majorBidi"/>
          <w:szCs w:val="24"/>
        </w:rPr>
        <w:t xml:space="preserve">. (2020) and Raghavendra </w:t>
      </w:r>
      <w:r>
        <w:rPr>
          <w:rFonts w:asciiTheme="majorBidi" w:eastAsia="Times New Roman" w:hAnsiTheme="majorBidi" w:cstheme="majorBidi"/>
          <w:i/>
          <w:iCs/>
          <w:szCs w:val="24"/>
        </w:rPr>
        <w:t>et al</w:t>
      </w:r>
      <w:r>
        <w:rPr>
          <w:rFonts w:asciiTheme="majorBidi" w:eastAsia="Times New Roman" w:hAnsiTheme="majorBidi" w:cstheme="majorBidi"/>
          <w:szCs w:val="24"/>
        </w:rPr>
        <w:t>. (2019) emphasize that increasing the proportion of bio-active terpenoids in plant-based repellents significantly improves both knockdown and residual activity.</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Another critical implication of this study is its potential contribution to public health and environmental biochemistry. The widespread generation of citrus peel waste from juice and food industries poses an ecological burden if not properly managed. Converting this waste into a functional mosquito coil not only provides a low-cost vector control tool but also supports environmental sustainability through waste reduction and resource recovery. In resource-limited settings, such locally produced natural repellents could be integrated into community-based mosquito control programs, complementing existing chemical and mechanical control methods.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 xml:space="preserve">Furthermore, the observed absence of visible toxicity or strong smoke irritancy in the orange peel coil suggests that such formulations can serve as safer alternatives for indoor use, </w:t>
      </w:r>
      <w:r>
        <w:rPr>
          <w:rFonts w:asciiTheme="majorBidi" w:eastAsia="Times New Roman" w:hAnsiTheme="majorBidi" w:cstheme="majorBidi"/>
          <w:szCs w:val="24"/>
        </w:rPr>
        <w:lastRenderedPageBreak/>
        <w:t>particularly for vulnerable populations such as children, pregnant women, and individuals with respiratory conditions. This observation echoes the findings of Oyedele</w:t>
      </w:r>
      <w:r>
        <w:rPr>
          <w:rFonts w:asciiTheme="majorBidi" w:eastAsia="Times New Roman" w:hAnsiTheme="majorBidi" w:cstheme="majorBidi"/>
          <w:i/>
          <w:iCs/>
          <w:szCs w:val="24"/>
        </w:rPr>
        <w:t>et al</w:t>
      </w:r>
      <w:r>
        <w:rPr>
          <w:rFonts w:asciiTheme="majorBidi" w:eastAsia="Times New Roman" w:hAnsiTheme="majorBidi" w:cstheme="majorBidi"/>
          <w:szCs w:val="24"/>
        </w:rPr>
        <w:t xml:space="preserve">. (2020), who reported that natural repellents from </w:t>
      </w:r>
      <w:r>
        <w:rPr>
          <w:rFonts w:asciiTheme="majorBidi" w:eastAsia="Times New Roman" w:hAnsiTheme="majorBidi" w:cstheme="majorBidi"/>
          <w:i/>
          <w:iCs/>
          <w:szCs w:val="24"/>
        </w:rPr>
        <w:t>Ocimumgratissimum</w:t>
      </w:r>
      <w:r>
        <w:rPr>
          <w:rFonts w:asciiTheme="majorBidi" w:eastAsia="Times New Roman" w:hAnsiTheme="majorBidi" w:cstheme="majorBidi"/>
          <w:szCs w:val="24"/>
        </w:rPr>
        <w:t xml:space="preserve"> and </w:t>
      </w:r>
      <w:r>
        <w:rPr>
          <w:rFonts w:asciiTheme="majorBidi" w:eastAsia="Times New Roman" w:hAnsiTheme="majorBidi" w:cstheme="majorBidi"/>
          <w:i/>
          <w:iCs/>
          <w:szCs w:val="24"/>
        </w:rPr>
        <w:t>Cymbopogoncitratus</w:t>
      </w:r>
      <w:r>
        <w:rPr>
          <w:rFonts w:asciiTheme="majorBidi" w:eastAsia="Times New Roman" w:hAnsiTheme="majorBidi" w:cstheme="majorBidi"/>
          <w:szCs w:val="24"/>
        </w:rPr>
        <w:t xml:space="preserve"> were less irritating and safer for human exposure compared to synthetic equivalents.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Collectively, the current findings strengthen the argument that phytochemical-based repellents, though slightly less potent, offer a balanced trade-off between efficacy, safety, and environmental impact. In the broader context of environmental biochemistry, this work demonstrates how bio-active plant metabolites can be harnessed for practical disease prevention while minimizing ecological and health hazards associated with synthetic chemicals.</w:t>
      </w:r>
    </w:p>
    <w:p w:rsidR="004B770B" w:rsidRDefault="00DF67D1">
      <w:pPr>
        <w:pStyle w:val="Heading1"/>
        <w:jc w:val="both"/>
      </w:pPr>
      <w:bookmarkStart w:id="132" w:name="_Toc214452624"/>
      <w:bookmarkStart w:id="133" w:name="_Toc214450038"/>
      <w:bookmarkStart w:id="134" w:name="_Toc214099941"/>
      <w:r>
        <w:t>4.4 Implications of Findings</w:t>
      </w:r>
      <w:bookmarkEnd w:id="132"/>
      <w:bookmarkEnd w:id="133"/>
      <w:bookmarkEnd w:id="134"/>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findings of this study have several significant implications across the domains of environmental biochemistry, public health, and sustainable development. The demonstrated effectiveness of orange (</w:t>
      </w:r>
      <w:r>
        <w:rPr>
          <w:rFonts w:asciiTheme="majorBidi" w:eastAsia="Times New Roman" w:hAnsiTheme="majorBidi" w:cstheme="majorBidi"/>
          <w:i/>
          <w:iCs/>
          <w:szCs w:val="24"/>
        </w:rPr>
        <w:t>Citrus sinensis</w:t>
      </w:r>
      <w:r>
        <w:rPr>
          <w:rFonts w:asciiTheme="majorBidi" w:eastAsia="Times New Roman" w:hAnsiTheme="majorBidi" w:cstheme="majorBidi"/>
          <w:szCs w:val="24"/>
        </w:rPr>
        <w:t>) peel–based mosquito coils underscores how natural phytochemicals can serve as eco-friendly substitutes for synthetic insecticides, offering both health and environmental advantages.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From an environmental biochemical perspective, this research validates the insect-repellent potential of volatile terpenoids, particularly limonene, linalool, and citral naturally present in citrus peels. These compounds are secondary metabolites synthesized by plants as chemical defense agents and exhibit neuro-modulatory effects on insects. By interfering with olfactory and chemo-sensory pathways in mosquitoes, they disrupt host-seeking behavior without the neurotoxic consequences typical of synthetic pyrethroids (Hikal</w:t>
      </w:r>
      <w:r>
        <w:rPr>
          <w:rFonts w:asciiTheme="majorBidi" w:eastAsia="Times New Roman" w:hAnsiTheme="majorBidi" w:cstheme="majorBidi"/>
          <w:i/>
          <w:iCs/>
          <w:szCs w:val="24"/>
        </w:rPr>
        <w:t xml:space="preserve"> et al</w:t>
      </w:r>
      <w:r>
        <w:rPr>
          <w:rFonts w:asciiTheme="majorBidi" w:eastAsia="Times New Roman" w:hAnsiTheme="majorBidi" w:cstheme="majorBidi"/>
          <w:szCs w:val="24"/>
        </w:rPr>
        <w:t xml:space="preserve">., 2017; Moore </w:t>
      </w:r>
      <w:r>
        <w:rPr>
          <w:rFonts w:asciiTheme="majorBidi" w:eastAsia="Times New Roman" w:hAnsiTheme="majorBidi" w:cstheme="majorBidi"/>
          <w:i/>
          <w:iCs/>
          <w:szCs w:val="24"/>
        </w:rPr>
        <w:t>et al</w:t>
      </w:r>
      <w:r>
        <w:rPr>
          <w:rFonts w:asciiTheme="majorBidi" w:eastAsia="Times New Roman" w:hAnsiTheme="majorBidi" w:cstheme="majorBidi"/>
          <w:szCs w:val="24"/>
        </w:rPr>
        <w:t>., 2022). The study thus provides empirical evidence for the bio-activity of naturally occurring monoterpenes and supports their continued exploration as sustainable mosquito repellents.</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lastRenderedPageBreak/>
        <w:t xml:space="preserve">In the context of public health, the production of mosquito coils from orange peels introduces a safer, low-cost, and accessible vector control option. The mild smoke emission and pleasant fragrance of the orange peel coil make it suitable for household use, minimizing the respiratory irritations and potential carcinogenic risks linked to synthetic coil smoke (Zahran </w:t>
      </w:r>
      <w:r>
        <w:rPr>
          <w:rFonts w:asciiTheme="majorBidi" w:eastAsia="Times New Roman" w:hAnsiTheme="majorBidi" w:cstheme="majorBidi"/>
          <w:i/>
          <w:iCs/>
          <w:szCs w:val="24"/>
        </w:rPr>
        <w:t>et al</w:t>
      </w:r>
      <w:r>
        <w:rPr>
          <w:rFonts w:asciiTheme="majorBidi" w:eastAsia="Times New Roman" w:hAnsiTheme="majorBidi" w:cstheme="majorBidi"/>
          <w:szCs w:val="24"/>
        </w:rPr>
        <w:t>., 2020). This aligns with World Health Organization (WHO) recommendations for the adoption of community-appropriate, environmentally safe alternatives to synthetic insecticides in integrated vector management (WHO, 2022).</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The economic and sustainability implications of this research are equally noteworthy. Citrus fruits are consumed globally, and their peels constitute a major agro-industrial waste stream. Transforming these peels into mosquito coils provides a dual environmental and socio-economic benefit, reducing organic waste while creating new avenues for local production and small-scale enterprise. Such valorization of waste materials supports the circular economy concept, where waste products are repurposed into valuable commodities, reducing the environmental footprint of consumer industries (Javed</w:t>
      </w:r>
      <w:r>
        <w:rPr>
          <w:rFonts w:asciiTheme="majorBidi" w:eastAsia="Times New Roman" w:hAnsiTheme="majorBidi" w:cstheme="majorBidi"/>
          <w:i/>
          <w:iCs/>
          <w:szCs w:val="24"/>
        </w:rPr>
        <w:t>et al</w:t>
      </w:r>
      <w:r>
        <w:rPr>
          <w:rFonts w:asciiTheme="majorBidi" w:eastAsia="Times New Roman" w:hAnsiTheme="majorBidi" w:cstheme="majorBidi"/>
          <w:szCs w:val="24"/>
        </w:rPr>
        <w:t>., 2021).</w:t>
      </w:r>
    </w:p>
    <w:p w:rsidR="004B770B" w:rsidRDefault="00DF67D1">
      <w:pPr>
        <w:jc w:val="both"/>
        <w:rPr>
          <w:rFonts w:asciiTheme="majorBidi" w:eastAsia="Times New Roman" w:hAnsiTheme="majorBidi" w:cstheme="majorBidi"/>
          <w:szCs w:val="24"/>
        </w:rPr>
      </w:pPr>
      <w:r>
        <w:rPr>
          <w:rFonts w:asciiTheme="majorBidi" w:eastAsia="Times New Roman" w:hAnsiTheme="majorBidi" w:cstheme="majorBidi"/>
          <w:szCs w:val="24"/>
        </w:rPr>
        <w:t xml:space="preserve">Additionally, the results contribute to the growing body of evidence supporting phytochemical-based vector control strategies, which offer long-term ecological benefits. Because natural repellents act through multiple biochemical pathways, mosquitoes are less likely to develop resistance compared to the single-target mechanisms of synthetic insecticides (Benelli </w:t>
      </w:r>
      <w:r>
        <w:rPr>
          <w:rFonts w:asciiTheme="majorBidi" w:eastAsia="Times New Roman" w:hAnsiTheme="majorBidi" w:cstheme="majorBidi"/>
          <w:i/>
          <w:iCs/>
          <w:szCs w:val="24"/>
        </w:rPr>
        <w:t>et al</w:t>
      </w:r>
      <w:r>
        <w:rPr>
          <w:rFonts w:asciiTheme="majorBidi" w:eastAsia="Times New Roman" w:hAnsiTheme="majorBidi" w:cstheme="majorBidi"/>
          <w:szCs w:val="24"/>
        </w:rPr>
        <w:t>., 2020). Thus, the adoption of natural repellents like orange peel coils could reduce selective pressure for resistance, contributing to the overall sustainability of mosquito control efforts.</w:t>
      </w:r>
    </w:p>
    <w:p w:rsidR="004B770B" w:rsidRDefault="00DF67D1">
      <w:pPr>
        <w:jc w:val="both"/>
        <w:rPr>
          <w:rStyle w:val="Strong"/>
          <w:rFonts w:asciiTheme="majorBidi" w:hAnsiTheme="majorBidi" w:cstheme="majorBidi"/>
          <w:szCs w:val="24"/>
        </w:rPr>
      </w:pPr>
      <w:r>
        <w:rPr>
          <w:rFonts w:asciiTheme="majorBidi" w:eastAsia="Times New Roman" w:hAnsiTheme="majorBidi" w:cstheme="majorBidi"/>
          <w:szCs w:val="24"/>
        </w:rPr>
        <w:t xml:space="preserve">From a policy and research standpoint, the implications extend to encouraging local innovation and capacity building in natural product chemistry and formulation science. The study illustrates how indigenous resources and traditional knowledge can be integrated into modern scientific frameworks to produce health-beneficial outcomes. This supports </w:t>
      </w:r>
      <w:r>
        <w:rPr>
          <w:rFonts w:asciiTheme="majorBidi" w:eastAsia="Times New Roman" w:hAnsiTheme="majorBidi" w:cstheme="majorBidi"/>
          <w:szCs w:val="24"/>
        </w:rPr>
        <w:lastRenderedPageBreak/>
        <w:t>Sustainable Development Goals (SDGs), particularly Goal 3 (Good Health and Well-being), Goal 12 (Responsible Consumption and Production), and Goal 13 (Climate Action).</w:t>
      </w:r>
    </w:p>
    <w:p w:rsidR="004B770B" w:rsidRDefault="00DF67D1">
      <w:pPr>
        <w:pStyle w:val="Heading1"/>
        <w:jc w:val="both"/>
      </w:pPr>
      <w:bookmarkStart w:id="135" w:name="_Toc214099942"/>
      <w:bookmarkStart w:id="136" w:name="_Toc214452625"/>
      <w:bookmarkStart w:id="137" w:name="_Toc214450039"/>
      <w:r>
        <w:t>4.5 Conclusion</w:t>
      </w:r>
      <w:bookmarkEnd w:id="135"/>
      <w:bookmarkEnd w:id="136"/>
      <w:bookmarkEnd w:id="137"/>
    </w:p>
    <w:p w:rsidR="004B770B" w:rsidRDefault="00DF67D1">
      <w:r>
        <w:t xml:space="preserve">The results of this research clearly demonstrate that mosquito coils produced from </w:t>
      </w:r>
      <w:r>
        <w:rPr>
          <w:i/>
          <w:iCs/>
        </w:rPr>
        <w:t>Citrus sinensis</w:t>
      </w:r>
      <w:r>
        <w:t>peels have significant repellent efficacy against Anopheles mosquitoes and can serve as an eco-friendly, health-conscious substitute for commercial chemical coils. The progressive increase in repellency, knockdown, and mortality with time confirms that orange peel phytochemicals, particularly limonene, linalool, and citral, retain their bioactivity during combustion and effectively interfere with mosquito host-seeking behavior.</w:t>
      </w:r>
    </w:p>
    <w:p w:rsidR="004B770B" w:rsidRDefault="00DF67D1">
      <w:r>
        <w:t xml:space="preserve">While the commercial coil exhibited higher insecticidal efficiency due to synthetic pyrethroids, the orange peel coil offered distinct advantages in safety, cost-effectiveness, and environmental compatibility. The study therefore concludes that orange peel–based mosquito coils represent a viable natural alternative for household mosquito control, particularly in low-income or rural communities where synthetic products may pose health or economic challenges. </w:t>
      </w:r>
    </w:p>
    <w:p w:rsidR="004B770B" w:rsidRDefault="00DF67D1">
      <w:pPr>
        <w:pStyle w:val="Heading1"/>
        <w:jc w:val="both"/>
      </w:pPr>
      <w:r>
        <w:t>4.6 Recommendations</w:t>
      </w:r>
    </w:p>
    <w:p w:rsidR="004B770B" w:rsidRDefault="00DF67D1">
      <w:r>
        <w:t>Based on the findings, this study recommends that the production of mosquito coils from orange peels should be explored further and promoted as a component of sustainable vector control programs. Formulation optimization, such as increasing the concentration of active essential oils or employing micro-encapsulation techniques, could enhance the repellent potency and thermal stability of the coils. Additionally, further research should assess the long-term toxicity and environmental impact of orange peel smoke to confirm its safety for domestic use.</w:t>
      </w:r>
    </w:p>
    <w:p w:rsidR="004B770B" w:rsidRDefault="00DF67D1">
      <w:r>
        <w:t xml:space="preserve">Governmental and health agencies are encouraged to support small-scale and community-based enterprises in the production of natural mosquito repellents from locally available </w:t>
      </w:r>
      <w:r>
        <w:lastRenderedPageBreak/>
        <w:t>materials like citrus waste. This approach would not only reduce household exposure to toxic chemicals but also create employment opportunities and minimize organic waste disposal problems. In the broader context of public health and environmental management, integrating natural repellents into existing mosquito control policies could provide a safer, more sustainable, and culturally adaptable solution to the persistent challenge of mosquito-borne diseases.</w:t>
      </w:r>
    </w:p>
    <w:p w:rsidR="004B770B" w:rsidRDefault="004B770B">
      <w:pPr>
        <w:pStyle w:val="NormalWeb"/>
        <w:spacing w:before="0" w:beforeAutospacing="0" w:after="0" w:afterAutospacing="0" w:line="480" w:lineRule="auto"/>
        <w:jc w:val="both"/>
        <w:rPr>
          <w:rFonts w:asciiTheme="majorBidi" w:hAnsiTheme="majorBidi" w:cstheme="majorBidi"/>
        </w:rPr>
      </w:pPr>
    </w:p>
    <w:p w:rsidR="004B770B" w:rsidRDefault="00DF67D1">
      <w:pPr>
        <w:jc w:val="both"/>
        <w:rPr>
          <w:rFonts w:asciiTheme="majorBidi" w:hAnsiTheme="majorBidi" w:cstheme="majorBidi"/>
          <w:szCs w:val="24"/>
        </w:rPr>
      </w:pPr>
      <w:r>
        <w:rPr>
          <w:rFonts w:asciiTheme="majorBidi" w:hAnsiTheme="majorBidi" w:cstheme="majorBidi"/>
          <w:szCs w:val="24"/>
        </w:rPr>
        <w:br w:type="page"/>
      </w:r>
    </w:p>
    <w:p w:rsidR="004B770B" w:rsidRDefault="00DF67D1">
      <w:pPr>
        <w:pStyle w:val="Heading1"/>
        <w:jc w:val="both"/>
      </w:pPr>
      <w:bookmarkStart w:id="138" w:name="_Toc214099944"/>
      <w:bookmarkStart w:id="139" w:name="_Toc214452627"/>
      <w:bookmarkStart w:id="140" w:name="_Toc214450041"/>
      <w:r>
        <w:lastRenderedPageBreak/>
        <w:t>References</w:t>
      </w:r>
      <w:bookmarkEnd w:id="138"/>
      <w:bookmarkEnd w:id="139"/>
      <w:bookmarkEnd w:id="140"/>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Akinmoladun, A. C., Olaleye, M. T., &amp;Komolafe, K. (2020). Insecticidal and repellency effects of linalool-rich essential oils against mosquito vectors. </w:t>
      </w:r>
      <w:r>
        <w:rPr>
          <w:rStyle w:val="Emphasis"/>
          <w:rFonts w:asciiTheme="majorBidi" w:eastAsiaTheme="majorEastAsia" w:hAnsiTheme="majorBidi"/>
        </w:rPr>
        <w:t>Journal of Vector Ecology, 45</w:t>
      </w:r>
      <w:r>
        <w:rPr>
          <w:rFonts w:asciiTheme="majorBidi" w:hAnsiTheme="majorBidi" w:cstheme="majorBidi"/>
        </w:rPr>
        <w:t xml:space="preserve">(1), 33–42. </w:t>
      </w:r>
      <w:hyperlink r:id="rId14" w:history="1">
        <w:r>
          <w:rPr>
            <w:rStyle w:val="Hyperlink"/>
            <w:rFonts w:asciiTheme="majorBidi" w:hAnsiTheme="majorBidi" w:cstheme="majorBidi"/>
          </w:rPr>
          <w:t>https://doi.org/10.1111/jvec.12342</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Becker, N., Petric, D., Zgomba, M., Boase, C., &amp; Dahl, C. (2020). </w:t>
      </w:r>
      <w:r>
        <w:rPr>
          <w:rStyle w:val="Emphasis"/>
          <w:rFonts w:asciiTheme="majorBidi" w:eastAsiaTheme="majorEastAsia" w:hAnsiTheme="majorBidi"/>
        </w:rPr>
        <w:t>Mosquitoes and their control</w:t>
      </w:r>
      <w:r>
        <w:rPr>
          <w:rFonts w:asciiTheme="majorBidi" w:hAnsiTheme="majorBidi" w:cstheme="majorBidi"/>
        </w:rPr>
        <w:t xml:space="preserve"> (3rd ed.). Springer. </w:t>
      </w:r>
      <w:hyperlink r:id="rId15" w:history="1">
        <w:r>
          <w:rPr>
            <w:rStyle w:val="Hyperlink"/>
            <w:rFonts w:asciiTheme="majorBidi" w:hAnsiTheme="majorBidi" w:cstheme="majorBidi"/>
          </w:rPr>
          <w:t>https://doi.org/10.1007/978-3-662-63980-4</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Benelli, G., Pavela, R., &amp; Maggi, F. (2020). Mosquito control using natural products—Current status and future perspectives. </w:t>
      </w:r>
      <w:r>
        <w:rPr>
          <w:rStyle w:val="Emphasis"/>
          <w:rFonts w:asciiTheme="majorBidi" w:eastAsiaTheme="majorEastAsia" w:hAnsiTheme="majorBidi"/>
        </w:rPr>
        <w:t>ActaTropica, 202</w:t>
      </w:r>
      <w:r>
        <w:rPr>
          <w:rFonts w:asciiTheme="majorBidi" w:hAnsiTheme="majorBidi" w:cstheme="majorBidi"/>
        </w:rPr>
        <w:t xml:space="preserve">, 105–123. </w:t>
      </w:r>
      <w:hyperlink r:id="rId16" w:history="1">
        <w:r>
          <w:rPr>
            <w:rStyle w:val="Hyperlink"/>
            <w:rFonts w:asciiTheme="majorBidi" w:hAnsiTheme="majorBidi" w:cstheme="majorBidi"/>
          </w:rPr>
          <w:t>https://doi.org/10.1016/j.actatropica.2019.105241</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Bhatt, S., Weiss, D. J., &amp; Cameron, E. (2021). The global distribution and burden of dengue. </w:t>
      </w:r>
      <w:r>
        <w:rPr>
          <w:rStyle w:val="Emphasis"/>
          <w:rFonts w:asciiTheme="majorBidi" w:eastAsiaTheme="majorEastAsia" w:hAnsiTheme="majorBidi"/>
        </w:rPr>
        <w:t>Nature Microbiology, 6</w:t>
      </w:r>
      <w:r>
        <w:rPr>
          <w:rFonts w:asciiTheme="majorBidi" w:hAnsiTheme="majorBidi" w:cstheme="majorBidi"/>
        </w:rPr>
        <w:t xml:space="preserve">(7), 888–893. </w:t>
      </w:r>
      <w:hyperlink r:id="rId17" w:history="1">
        <w:r>
          <w:rPr>
            <w:rStyle w:val="Hyperlink"/>
            <w:rFonts w:asciiTheme="majorBidi" w:hAnsiTheme="majorBidi" w:cstheme="majorBidi"/>
          </w:rPr>
          <w:t>https://doi.org/10.1038/s41564-021-00892-3</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Bhattacharya, K., Dutta, A., &amp; Paul, S. (2020). Citrus peel essential oils as green mosquito repellents: Composition, efficacy, and safety assessment. </w:t>
      </w:r>
      <w:r>
        <w:rPr>
          <w:rStyle w:val="Emphasis"/>
          <w:rFonts w:asciiTheme="majorBidi" w:eastAsiaTheme="majorEastAsia" w:hAnsiTheme="majorBidi"/>
        </w:rPr>
        <w:t>Environmental Science and Pollution Research, 27</w:t>
      </w:r>
      <w:r>
        <w:rPr>
          <w:rFonts w:asciiTheme="majorBidi" w:hAnsiTheme="majorBidi" w:cstheme="majorBidi"/>
        </w:rPr>
        <w:t xml:space="preserve">(21), 26232–26242. </w:t>
      </w:r>
      <w:hyperlink r:id="rId18" w:history="1">
        <w:r>
          <w:rPr>
            <w:rStyle w:val="Hyperlink"/>
            <w:rFonts w:asciiTheme="majorBidi" w:hAnsiTheme="majorBidi" w:cstheme="majorBidi"/>
          </w:rPr>
          <w:t>https://doi.org/10.1007/s11356-020-08932-0</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Chen, L., Wang, L., &amp; Zhang, X. (2021). Toxicological assessment of pyrethroid-based mosquito coils: Implications for indoor air quality. </w:t>
      </w:r>
      <w:r>
        <w:rPr>
          <w:rStyle w:val="Emphasis"/>
          <w:rFonts w:asciiTheme="majorBidi" w:eastAsiaTheme="majorEastAsia" w:hAnsiTheme="majorBidi"/>
        </w:rPr>
        <w:t>Environmental Research, 195</w:t>
      </w:r>
      <w:r>
        <w:rPr>
          <w:rFonts w:asciiTheme="majorBidi" w:hAnsiTheme="majorBidi" w:cstheme="majorBidi"/>
        </w:rPr>
        <w:t xml:space="preserve">, 110847. </w:t>
      </w:r>
      <w:hyperlink r:id="rId19" w:history="1">
        <w:r>
          <w:rPr>
            <w:rStyle w:val="Hyperlink"/>
            <w:rFonts w:asciiTheme="majorBidi" w:hAnsiTheme="majorBidi" w:cstheme="majorBidi"/>
          </w:rPr>
          <w:t>https://doi.org/10.1016/j.envres.2021.110847</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Damián-Reyna, A., Soto-Domínguez, A., &amp; Pérez-López, M. (2021). Environmental and toxicological safety of plant-based mosquito repellents. </w:t>
      </w:r>
      <w:r>
        <w:rPr>
          <w:rStyle w:val="Emphasis"/>
          <w:rFonts w:asciiTheme="majorBidi" w:eastAsiaTheme="majorEastAsia" w:hAnsiTheme="majorBidi"/>
        </w:rPr>
        <w:t>Ecotoxicology and Environmental Safety, 213</w:t>
      </w:r>
      <w:r>
        <w:rPr>
          <w:rFonts w:asciiTheme="majorBidi" w:hAnsiTheme="majorBidi" w:cstheme="majorBidi"/>
        </w:rPr>
        <w:t xml:space="preserve">, 112018. </w:t>
      </w:r>
      <w:hyperlink r:id="rId20" w:history="1">
        <w:r>
          <w:rPr>
            <w:rStyle w:val="Hyperlink"/>
            <w:rFonts w:asciiTheme="majorBidi" w:hAnsiTheme="majorBidi" w:cstheme="majorBidi"/>
          </w:rPr>
          <w:t>https://doi.org/10.1016/j.ecoenv.2021.112018</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Hemingway, J., &amp;Ranson, H. (2022). Insecticide resistance in insect vectors of human disease. </w:t>
      </w:r>
      <w:r>
        <w:rPr>
          <w:rStyle w:val="Emphasis"/>
          <w:rFonts w:asciiTheme="majorBidi" w:eastAsiaTheme="majorEastAsia" w:hAnsiTheme="majorBidi"/>
        </w:rPr>
        <w:t>Annual Review of Entomology, 67</w:t>
      </w:r>
      <w:r>
        <w:rPr>
          <w:rFonts w:asciiTheme="majorBidi" w:hAnsiTheme="majorBidi" w:cstheme="majorBidi"/>
        </w:rPr>
        <w:t xml:space="preserve">, 135–154. </w:t>
      </w:r>
      <w:hyperlink r:id="rId21" w:history="1">
        <w:r>
          <w:rPr>
            <w:rStyle w:val="Hyperlink"/>
            <w:rFonts w:asciiTheme="majorBidi" w:hAnsiTheme="majorBidi" w:cstheme="majorBidi"/>
          </w:rPr>
          <w:t>https://doi.org/10.1146/annurev-ento-042821-021503</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lastRenderedPageBreak/>
        <w:t xml:space="preserve">Hikal, W. M., Baeshen, R. S., &amp; Said-Al Ahl, H. A. H. (2017). Botanical insecticide as simple extractives for pest control. </w:t>
      </w:r>
      <w:r>
        <w:rPr>
          <w:rStyle w:val="Emphasis"/>
          <w:rFonts w:asciiTheme="majorBidi" w:eastAsiaTheme="majorEastAsia" w:hAnsiTheme="majorBidi"/>
        </w:rPr>
        <w:t>Cogent Biology, 3</w:t>
      </w:r>
      <w:r>
        <w:rPr>
          <w:rFonts w:asciiTheme="majorBidi" w:hAnsiTheme="majorBidi" w:cstheme="majorBidi"/>
        </w:rPr>
        <w:t xml:space="preserve">(1), 1404274. </w:t>
      </w:r>
      <w:hyperlink r:id="rId22" w:history="1">
        <w:r>
          <w:rPr>
            <w:rStyle w:val="Hyperlink"/>
            <w:rFonts w:asciiTheme="majorBidi" w:hAnsiTheme="majorBidi" w:cstheme="majorBidi"/>
          </w:rPr>
          <w:t>https://doi.org/10.1080/23312025.2017.1404274</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Javed, A., Alasmary, F. A., &amp; Alghamdi, S. S. (2021). Valorization of citrus peel waste for sustainable bioactive product development: A review. </w:t>
      </w:r>
      <w:r>
        <w:rPr>
          <w:rStyle w:val="Emphasis"/>
          <w:rFonts w:asciiTheme="majorBidi" w:eastAsiaTheme="majorEastAsia" w:hAnsiTheme="majorBidi"/>
        </w:rPr>
        <w:t>Journal of Cleaner Production, 318</w:t>
      </w:r>
      <w:r>
        <w:rPr>
          <w:rFonts w:asciiTheme="majorBidi" w:hAnsiTheme="majorBidi" w:cstheme="majorBidi"/>
        </w:rPr>
        <w:t xml:space="preserve">, 128460. </w:t>
      </w:r>
      <w:hyperlink r:id="rId23" w:history="1">
        <w:r>
          <w:rPr>
            <w:rStyle w:val="Hyperlink"/>
            <w:rFonts w:asciiTheme="majorBidi" w:hAnsiTheme="majorBidi" w:cstheme="majorBidi"/>
          </w:rPr>
          <w:t>https://doi.org/10.1016/j.jclepro.2021.128460</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Killeen, G. F., Tatarsky, A., &amp; Moore, S. J. (2019). Integrated vector management for malaria control and elimination. </w:t>
      </w:r>
      <w:r>
        <w:rPr>
          <w:rStyle w:val="Emphasis"/>
          <w:rFonts w:asciiTheme="majorBidi" w:eastAsiaTheme="majorEastAsia" w:hAnsiTheme="majorBidi"/>
        </w:rPr>
        <w:t>Annual Review of Entomology, 64</w:t>
      </w:r>
      <w:r>
        <w:rPr>
          <w:rFonts w:asciiTheme="majorBidi" w:hAnsiTheme="majorBidi" w:cstheme="majorBidi"/>
        </w:rPr>
        <w:t xml:space="preserve">, 261–281. </w:t>
      </w:r>
      <w:hyperlink r:id="rId24" w:history="1">
        <w:r>
          <w:rPr>
            <w:rStyle w:val="Hyperlink"/>
            <w:rFonts w:asciiTheme="majorBidi" w:hAnsiTheme="majorBidi" w:cstheme="majorBidi"/>
          </w:rPr>
          <w:t>https://doi.org/10.1146/annurev-ento-011118-111908</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Kweka, E. J., Kimaro, E., &amp;Munga, S. (2021). Environmental factors affecting malaria vector distribution and abundance in Africa: Implications for control. </w:t>
      </w:r>
      <w:r>
        <w:rPr>
          <w:rStyle w:val="Emphasis"/>
          <w:rFonts w:asciiTheme="majorBidi" w:eastAsiaTheme="majorEastAsia" w:hAnsiTheme="majorBidi"/>
        </w:rPr>
        <w:t>Parasites &amp; Vectors, 14</w:t>
      </w:r>
      <w:r>
        <w:rPr>
          <w:rFonts w:asciiTheme="majorBidi" w:hAnsiTheme="majorBidi" w:cstheme="majorBidi"/>
        </w:rPr>
        <w:t xml:space="preserve">(1), 102. </w:t>
      </w:r>
      <w:hyperlink r:id="rId25" w:history="1">
        <w:r>
          <w:rPr>
            <w:rStyle w:val="Hyperlink"/>
            <w:rFonts w:asciiTheme="majorBidi" w:hAnsiTheme="majorBidi" w:cstheme="majorBidi"/>
          </w:rPr>
          <w:t>https://doi.org/10.1186/s13071-021-04631-4</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Moore, S. J., Hill, N., &amp; Ruiz, S. (2022). Olfactory disruption as a mosquito control strategy: Mechanisms and prospects. </w:t>
      </w:r>
      <w:r>
        <w:rPr>
          <w:rStyle w:val="Emphasis"/>
          <w:rFonts w:asciiTheme="majorBidi" w:eastAsiaTheme="majorEastAsia" w:hAnsiTheme="majorBidi"/>
        </w:rPr>
        <w:t>Trends in Parasitology, 38</w:t>
      </w:r>
      <w:r>
        <w:rPr>
          <w:rFonts w:asciiTheme="majorBidi" w:hAnsiTheme="majorBidi" w:cstheme="majorBidi"/>
        </w:rPr>
        <w:t xml:space="preserve">(9), 760–772. </w:t>
      </w:r>
      <w:hyperlink r:id="rId26" w:history="1">
        <w:r>
          <w:rPr>
            <w:rStyle w:val="Hyperlink"/>
            <w:rFonts w:asciiTheme="majorBidi" w:hAnsiTheme="majorBidi" w:cstheme="majorBidi"/>
          </w:rPr>
          <w:t>https://doi.org/10.1016/j.pt.2022.04.003</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Oyedele, A. O., Adebayo, A. O., &amp;Oguntimehin, L. (2020). Comparative efficacy of plant-based mosquito repellents formulated from </w:t>
      </w:r>
      <w:r>
        <w:rPr>
          <w:rStyle w:val="Emphasis"/>
          <w:rFonts w:asciiTheme="majorBidi" w:eastAsiaTheme="majorEastAsia" w:hAnsiTheme="majorBidi"/>
        </w:rPr>
        <w:t>Ocimumgratissimum</w:t>
      </w:r>
      <w:r>
        <w:rPr>
          <w:rFonts w:asciiTheme="majorBidi" w:hAnsiTheme="majorBidi" w:cstheme="majorBidi"/>
        </w:rPr>
        <w:t xml:space="preserve"> and </w:t>
      </w:r>
      <w:r>
        <w:rPr>
          <w:rStyle w:val="Emphasis"/>
          <w:rFonts w:asciiTheme="majorBidi" w:eastAsiaTheme="majorEastAsia" w:hAnsiTheme="majorBidi"/>
        </w:rPr>
        <w:t>Cymbopogoncitratus</w:t>
      </w:r>
      <w:r>
        <w:rPr>
          <w:rFonts w:asciiTheme="majorBidi" w:hAnsiTheme="majorBidi" w:cstheme="majorBidi"/>
        </w:rPr>
        <w:t xml:space="preserve">. </w:t>
      </w:r>
      <w:r>
        <w:rPr>
          <w:rStyle w:val="Emphasis"/>
          <w:rFonts w:asciiTheme="majorBidi" w:eastAsiaTheme="majorEastAsia" w:hAnsiTheme="majorBidi"/>
        </w:rPr>
        <w:t>Journal of Pest Science, 93</w:t>
      </w:r>
      <w:r>
        <w:rPr>
          <w:rFonts w:asciiTheme="majorBidi" w:hAnsiTheme="majorBidi" w:cstheme="majorBidi"/>
        </w:rPr>
        <w:t xml:space="preserve">(4), 1359–1372. </w:t>
      </w:r>
      <w:hyperlink r:id="rId27" w:history="1">
        <w:r>
          <w:rPr>
            <w:rStyle w:val="Hyperlink"/>
            <w:rFonts w:asciiTheme="majorBidi" w:hAnsiTheme="majorBidi" w:cstheme="majorBidi"/>
          </w:rPr>
          <w:t>https://doi.org/10.1007/s10340-019-01195-3</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Raghavendra, K., Barik, T. K., &amp; Srivastava, H. C. (2019). Pyrethroid resistance: Mechanisms and management in malaria vectors. </w:t>
      </w:r>
      <w:r>
        <w:rPr>
          <w:rStyle w:val="Emphasis"/>
          <w:rFonts w:asciiTheme="majorBidi" w:eastAsiaTheme="majorEastAsia" w:hAnsiTheme="majorBidi"/>
        </w:rPr>
        <w:t>Vector Biology Journal, 10</w:t>
      </w:r>
      <w:r>
        <w:rPr>
          <w:rFonts w:asciiTheme="majorBidi" w:hAnsiTheme="majorBidi" w:cstheme="majorBidi"/>
        </w:rPr>
        <w:t xml:space="preserve">(2), 25–33. </w:t>
      </w:r>
      <w:hyperlink r:id="rId28" w:history="1">
        <w:r>
          <w:rPr>
            <w:rStyle w:val="Hyperlink"/>
            <w:rFonts w:asciiTheme="majorBidi" w:hAnsiTheme="majorBidi" w:cstheme="majorBidi"/>
          </w:rPr>
          <w:t>https://doi.org/10.4172/2155-6202.100025</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Ranson, H., &amp;Lissenden, N. (2016). Insecticide resistance in </w:t>
      </w:r>
      <w:r>
        <w:rPr>
          <w:rStyle w:val="Emphasis"/>
          <w:rFonts w:asciiTheme="majorBidi" w:eastAsiaTheme="majorEastAsia" w:hAnsiTheme="majorBidi"/>
        </w:rPr>
        <w:t>Anopheles</w:t>
      </w:r>
      <w:r>
        <w:rPr>
          <w:rFonts w:asciiTheme="majorBidi" w:hAnsiTheme="majorBidi" w:cstheme="majorBidi"/>
        </w:rPr>
        <w:t xml:space="preserve"> mosquitoes: Implications for malaria control. </w:t>
      </w:r>
      <w:r>
        <w:rPr>
          <w:rStyle w:val="Emphasis"/>
          <w:rFonts w:asciiTheme="majorBidi" w:eastAsiaTheme="majorEastAsia" w:hAnsiTheme="majorBidi"/>
        </w:rPr>
        <w:t>Trends in Parasitology, 32</w:t>
      </w:r>
      <w:r>
        <w:rPr>
          <w:rFonts w:asciiTheme="majorBidi" w:hAnsiTheme="majorBidi" w:cstheme="majorBidi"/>
        </w:rPr>
        <w:t xml:space="preserve">(3), 187–196. </w:t>
      </w:r>
      <w:hyperlink r:id="rId29" w:history="1">
        <w:r>
          <w:rPr>
            <w:rStyle w:val="Hyperlink"/>
            <w:rFonts w:asciiTheme="majorBidi" w:hAnsiTheme="majorBidi" w:cstheme="majorBidi"/>
          </w:rPr>
          <w:t>https://doi.org/10.1016/j.pt.2015.12.002</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lastRenderedPageBreak/>
        <w:t xml:space="preserve">World Health Organization. (2022). </w:t>
      </w:r>
      <w:r>
        <w:rPr>
          <w:rStyle w:val="Emphasis"/>
          <w:rFonts w:asciiTheme="majorBidi" w:eastAsiaTheme="majorEastAsia" w:hAnsiTheme="majorBidi"/>
        </w:rPr>
        <w:t>World malaria report 2022</w:t>
      </w:r>
      <w:r>
        <w:rPr>
          <w:rFonts w:asciiTheme="majorBidi" w:hAnsiTheme="majorBidi" w:cstheme="majorBidi"/>
        </w:rPr>
        <w:t>. WHO Press.</w:t>
      </w:r>
      <w:hyperlink r:id="rId30" w:history="1">
        <w:r>
          <w:rPr>
            <w:rStyle w:val="Hyperlink"/>
            <w:rFonts w:asciiTheme="majorBidi" w:hAnsiTheme="majorBidi" w:cstheme="majorBidi"/>
          </w:rPr>
          <w:t>https://www.who.int/publications/i/item/9789240064898</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World Health Organization. (2023). </w:t>
      </w:r>
      <w:r>
        <w:rPr>
          <w:rStyle w:val="Emphasis"/>
          <w:rFonts w:asciiTheme="majorBidi" w:eastAsiaTheme="majorEastAsia" w:hAnsiTheme="majorBidi"/>
        </w:rPr>
        <w:t>Vector-borne diseases fact sheet</w:t>
      </w:r>
      <w:r>
        <w:rPr>
          <w:rFonts w:asciiTheme="majorBidi" w:hAnsiTheme="majorBidi" w:cstheme="majorBidi"/>
        </w:rPr>
        <w:t>. WHO Press.</w:t>
      </w:r>
      <w:hyperlink r:id="rId31" w:history="1">
        <w:r>
          <w:rPr>
            <w:rStyle w:val="Hyperlink"/>
            <w:rFonts w:asciiTheme="majorBidi" w:hAnsiTheme="majorBidi" w:cstheme="majorBidi"/>
          </w:rPr>
          <w:t>https://www.who.int/news-room/fact-sheets/detail/vector-borne-diseases</w:t>
        </w:r>
      </w:hyperlink>
    </w:p>
    <w:p w:rsidR="004B770B" w:rsidRDefault="00DF67D1">
      <w:pPr>
        <w:pStyle w:val="NormalWeb"/>
        <w:spacing w:before="0" w:beforeAutospacing="0" w:after="0" w:afterAutospacing="0" w:line="480" w:lineRule="auto"/>
        <w:ind w:left="720" w:hanging="720"/>
        <w:jc w:val="both"/>
        <w:rPr>
          <w:rFonts w:asciiTheme="majorBidi" w:hAnsiTheme="majorBidi" w:cstheme="majorBidi"/>
        </w:rPr>
      </w:pPr>
      <w:r>
        <w:rPr>
          <w:rFonts w:asciiTheme="majorBidi" w:hAnsiTheme="majorBidi" w:cstheme="majorBidi"/>
        </w:rPr>
        <w:t xml:space="preserve">Zahran, E., El-Aziz, M. F. A., &amp; Saad, A. H. (2020). Toxicity evaluation of mosquito coil smoke on laboratory animals. </w:t>
      </w:r>
      <w:r>
        <w:rPr>
          <w:rStyle w:val="Emphasis"/>
          <w:rFonts w:asciiTheme="majorBidi" w:eastAsiaTheme="majorEastAsia" w:hAnsiTheme="majorBidi"/>
        </w:rPr>
        <w:t>Toxicology Reports, 7</w:t>
      </w:r>
      <w:r>
        <w:rPr>
          <w:rFonts w:asciiTheme="majorBidi" w:hAnsiTheme="majorBidi" w:cstheme="majorBidi"/>
        </w:rPr>
        <w:t xml:space="preserve">, 1104–1112. </w:t>
      </w:r>
      <w:hyperlink r:id="rId32" w:history="1">
        <w:r>
          <w:rPr>
            <w:rStyle w:val="Hyperlink"/>
            <w:rFonts w:asciiTheme="majorBidi" w:hAnsiTheme="majorBidi" w:cstheme="majorBidi"/>
          </w:rPr>
          <w:t>https://doi.org/10.1016/j.toxrep.2020.08.017</w:t>
        </w:r>
      </w:hyperlink>
    </w:p>
    <w:p w:rsidR="004B770B" w:rsidRDefault="004B770B">
      <w:pPr>
        <w:jc w:val="both"/>
        <w:rPr>
          <w:rFonts w:asciiTheme="majorBidi" w:hAnsiTheme="majorBidi" w:cstheme="majorBidi"/>
          <w:szCs w:val="24"/>
        </w:rPr>
      </w:pPr>
    </w:p>
    <w:p w:rsidR="004B770B" w:rsidRDefault="004B770B">
      <w:pPr>
        <w:jc w:val="both"/>
        <w:rPr>
          <w:rFonts w:asciiTheme="majorBidi" w:hAnsiTheme="majorBidi" w:cstheme="majorBidi"/>
          <w:szCs w:val="24"/>
        </w:rPr>
      </w:pPr>
    </w:p>
    <w:sectPr w:rsidR="004B770B" w:rsidSect="00DA7A89">
      <w:headerReference w:type="default" r:id="rId33"/>
      <w:footerReference w:type="default" r:id="rId34"/>
      <w:pgSz w:w="11907" w:h="16840"/>
      <w:pgMar w:top="1440" w:right="1440" w:bottom="1440" w:left="1440"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6CA0" w:rsidRDefault="000B6CA0">
      <w:pPr>
        <w:spacing w:line="240" w:lineRule="auto"/>
      </w:pPr>
      <w:r>
        <w:separator/>
      </w:r>
    </w:p>
  </w:endnote>
  <w:endnote w:type="continuationSeparator" w:id="1">
    <w:p w:rsidR="000B6CA0" w:rsidRDefault="000B6CA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altName w:val="Yu Gothic"/>
    <w:charset w:val="80"/>
    <w:family w:val="roman"/>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等线">
    <w:altName w:val="Arial Unicode MS"/>
    <w:charset w:val="86"/>
    <w:family w:val="auto"/>
    <w:pitch w:val="default"/>
    <w:sig w:usb0="00000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983245"/>
    </w:sdtPr>
    <w:sdtContent>
      <w:p w:rsidR="00DA7A89" w:rsidRDefault="00DA7A89">
        <w:pPr>
          <w:pStyle w:val="Footer"/>
          <w:jc w:val="center"/>
        </w:pPr>
        <w:fldSimple w:instr=" PAGE   \* MERGEFORMAT ">
          <w:r>
            <w:rPr>
              <w:noProof/>
            </w:rPr>
            <w:t>3</w:t>
          </w:r>
        </w:fldSimple>
      </w:p>
    </w:sdtContent>
  </w:sdt>
  <w:p w:rsidR="00DA7A89" w:rsidRDefault="00DA7A8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6CA0" w:rsidRDefault="000B6CA0">
      <w:r>
        <w:separator/>
      </w:r>
    </w:p>
  </w:footnote>
  <w:footnote w:type="continuationSeparator" w:id="1">
    <w:p w:rsidR="000B6CA0" w:rsidRDefault="000B6C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A89" w:rsidRDefault="00DA7A89">
    <w:pPr>
      <w:pStyle w:val="Header"/>
    </w:pPr>
  </w:p>
  <w:p w:rsidR="00DA7A89" w:rsidRDefault="00DA7A8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FF06F4"/>
    <w:multiLevelType w:val="multilevel"/>
    <w:tmpl w:val="3AFF06F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3C5C5BBA"/>
    <w:multiLevelType w:val="multilevel"/>
    <w:tmpl w:val="3C5C5BB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nsid w:val="42336110"/>
    <w:multiLevelType w:val="multilevel"/>
    <w:tmpl w:val="4233611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465D1E37"/>
    <w:multiLevelType w:val="multilevel"/>
    <w:tmpl w:val="465D1E3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nsid w:val="46F86A5B"/>
    <w:multiLevelType w:val="multilevel"/>
    <w:tmpl w:val="46F86A5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nsid w:val="6206542A"/>
    <w:multiLevelType w:val="multilevel"/>
    <w:tmpl w:val="620654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nsid w:val="64264219"/>
    <w:multiLevelType w:val="multilevel"/>
    <w:tmpl w:val="6426421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
    <w:nsid w:val="703B5B7A"/>
    <w:multiLevelType w:val="multilevel"/>
    <w:tmpl w:val="703B5B7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abstractNumId w:val="0"/>
  </w:num>
  <w:num w:numId="2">
    <w:abstractNumId w:val="7"/>
  </w:num>
  <w:num w:numId="3">
    <w:abstractNumId w:val="3"/>
  </w:num>
  <w:num w:numId="4">
    <w:abstractNumId w:val="2"/>
  </w:num>
  <w:num w:numId="5">
    <w:abstractNumId w:val="1"/>
  </w:num>
  <w:num w:numId="6">
    <w:abstractNumId w:val="4"/>
  </w:num>
  <w:num w:numId="7">
    <w:abstractNumId w:val="5"/>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5"/>
  <w:defaultTabStop w:val="720"/>
  <w:drawingGridHorizontalSpacing w:val="120"/>
  <w:displayHorizontalDrawingGridEvery w:val="2"/>
  <w:noPunctuationKerning/>
  <w:characterSpacingControl w:val="doNotCompress"/>
  <w:footnotePr>
    <w:footnote w:id="0"/>
    <w:footnote w:id="1"/>
  </w:footnotePr>
  <w:endnotePr>
    <w:endnote w:id="0"/>
    <w:endnote w:id="1"/>
  </w:endnotePr>
  <w:compat>
    <w:doNotExpandShiftReturn/>
    <w:doNotWrapTextWithPunct/>
    <w:doNotUseEastAsianBreakRules/>
    <w:useFELayout/>
  </w:compat>
  <w:rsids>
    <w:rsidRoot w:val="008E103C"/>
    <w:rsid w:val="00003DF3"/>
    <w:rsid w:val="0001476C"/>
    <w:rsid w:val="000175E5"/>
    <w:rsid w:val="00020588"/>
    <w:rsid w:val="0002166D"/>
    <w:rsid w:val="000250ED"/>
    <w:rsid w:val="00043642"/>
    <w:rsid w:val="00050D8A"/>
    <w:rsid w:val="00067BAB"/>
    <w:rsid w:val="00072CE0"/>
    <w:rsid w:val="000B3771"/>
    <w:rsid w:val="000B6CA0"/>
    <w:rsid w:val="000C00B0"/>
    <w:rsid w:val="000C0419"/>
    <w:rsid w:val="000D397E"/>
    <w:rsid w:val="000F0187"/>
    <w:rsid w:val="000F4801"/>
    <w:rsid w:val="000F555A"/>
    <w:rsid w:val="00102A7C"/>
    <w:rsid w:val="00103808"/>
    <w:rsid w:val="00107A37"/>
    <w:rsid w:val="0011376D"/>
    <w:rsid w:val="00115537"/>
    <w:rsid w:val="001168D0"/>
    <w:rsid w:val="00133773"/>
    <w:rsid w:val="00175D12"/>
    <w:rsid w:val="001A40AB"/>
    <w:rsid w:val="001C6B6A"/>
    <w:rsid w:val="001F1139"/>
    <w:rsid w:val="001F4BB7"/>
    <w:rsid w:val="001F5158"/>
    <w:rsid w:val="00203F30"/>
    <w:rsid w:val="0025205A"/>
    <w:rsid w:val="00253C8C"/>
    <w:rsid w:val="00264E61"/>
    <w:rsid w:val="00264F2C"/>
    <w:rsid w:val="00272D4D"/>
    <w:rsid w:val="00273076"/>
    <w:rsid w:val="002756F8"/>
    <w:rsid w:val="00297985"/>
    <w:rsid w:val="002C27CD"/>
    <w:rsid w:val="002C2F98"/>
    <w:rsid w:val="002F6C16"/>
    <w:rsid w:val="00306A5B"/>
    <w:rsid w:val="00306D76"/>
    <w:rsid w:val="003708A5"/>
    <w:rsid w:val="00377940"/>
    <w:rsid w:val="003B6271"/>
    <w:rsid w:val="003F469B"/>
    <w:rsid w:val="00417D5A"/>
    <w:rsid w:val="004339AA"/>
    <w:rsid w:val="00445A01"/>
    <w:rsid w:val="004625F8"/>
    <w:rsid w:val="00472D72"/>
    <w:rsid w:val="00477342"/>
    <w:rsid w:val="00486902"/>
    <w:rsid w:val="004879CB"/>
    <w:rsid w:val="004905AC"/>
    <w:rsid w:val="004A562A"/>
    <w:rsid w:val="004B027E"/>
    <w:rsid w:val="004B770B"/>
    <w:rsid w:val="004C1C44"/>
    <w:rsid w:val="004D6F69"/>
    <w:rsid w:val="004D778E"/>
    <w:rsid w:val="004E6808"/>
    <w:rsid w:val="005003C2"/>
    <w:rsid w:val="00504687"/>
    <w:rsid w:val="00510AE5"/>
    <w:rsid w:val="00512F37"/>
    <w:rsid w:val="00515C22"/>
    <w:rsid w:val="005202C8"/>
    <w:rsid w:val="0055690C"/>
    <w:rsid w:val="00565A0A"/>
    <w:rsid w:val="00585478"/>
    <w:rsid w:val="0058556D"/>
    <w:rsid w:val="005A30D5"/>
    <w:rsid w:val="005A77D4"/>
    <w:rsid w:val="005B1DC7"/>
    <w:rsid w:val="005D5A73"/>
    <w:rsid w:val="005E19C4"/>
    <w:rsid w:val="005E25FE"/>
    <w:rsid w:val="005F0899"/>
    <w:rsid w:val="0061390B"/>
    <w:rsid w:val="00636C80"/>
    <w:rsid w:val="006402E7"/>
    <w:rsid w:val="00646296"/>
    <w:rsid w:val="00653BCF"/>
    <w:rsid w:val="00680F78"/>
    <w:rsid w:val="00681DFC"/>
    <w:rsid w:val="006A4480"/>
    <w:rsid w:val="006A774D"/>
    <w:rsid w:val="006C24A9"/>
    <w:rsid w:val="006D60F1"/>
    <w:rsid w:val="006E3193"/>
    <w:rsid w:val="006E5301"/>
    <w:rsid w:val="006E64D1"/>
    <w:rsid w:val="006F2329"/>
    <w:rsid w:val="006F448E"/>
    <w:rsid w:val="007071CF"/>
    <w:rsid w:val="00717794"/>
    <w:rsid w:val="00723922"/>
    <w:rsid w:val="00746B17"/>
    <w:rsid w:val="00750EC9"/>
    <w:rsid w:val="00772D7F"/>
    <w:rsid w:val="00773E65"/>
    <w:rsid w:val="00782B78"/>
    <w:rsid w:val="00783B9D"/>
    <w:rsid w:val="007A31A9"/>
    <w:rsid w:val="007A490E"/>
    <w:rsid w:val="007B7E68"/>
    <w:rsid w:val="007E5833"/>
    <w:rsid w:val="007F6F21"/>
    <w:rsid w:val="007F7F41"/>
    <w:rsid w:val="00814E21"/>
    <w:rsid w:val="008409BC"/>
    <w:rsid w:val="00841D33"/>
    <w:rsid w:val="00891E86"/>
    <w:rsid w:val="00895629"/>
    <w:rsid w:val="008A5F90"/>
    <w:rsid w:val="008C43A2"/>
    <w:rsid w:val="008D1C5C"/>
    <w:rsid w:val="008E103C"/>
    <w:rsid w:val="009162AA"/>
    <w:rsid w:val="00934089"/>
    <w:rsid w:val="00974982"/>
    <w:rsid w:val="00987E34"/>
    <w:rsid w:val="009A140C"/>
    <w:rsid w:val="009B5077"/>
    <w:rsid w:val="009C28AA"/>
    <w:rsid w:val="009C69E4"/>
    <w:rsid w:val="009E51BD"/>
    <w:rsid w:val="009F2EBC"/>
    <w:rsid w:val="009F3F1B"/>
    <w:rsid w:val="00A01A7C"/>
    <w:rsid w:val="00A13FE3"/>
    <w:rsid w:val="00A26A2A"/>
    <w:rsid w:val="00A32AEE"/>
    <w:rsid w:val="00A42B70"/>
    <w:rsid w:val="00A82A45"/>
    <w:rsid w:val="00AA2BC3"/>
    <w:rsid w:val="00AB54D5"/>
    <w:rsid w:val="00AF4AF0"/>
    <w:rsid w:val="00B03603"/>
    <w:rsid w:val="00B04685"/>
    <w:rsid w:val="00B14C81"/>
    <w:rsid w:val="00B261EE"/>
    <w:rsid w:val="00B32478"/>
    <w:rsid w:val="00B4503D"/>
    <w:rsid w:val="00B93BA9"/>
    <w:rsid w:val="00BA2F7B"/>
    <w:rsid w:val="00BA5CB8"/>
    <w:rsid w:val="00BA65BB"/>
    <w:rsid w:val="00BC3EA0"/>
    <w:rsid w:val="00BD3AAF"/>
    <w:rsid w:val="00BF4C00"/>
    <w:rsid w:val="00C03E63"/>
    <w:rsid w:val="00C1649A"/>
    <w:rsid w:val="00C217CC"/>
    <w:rsid w:val="00C305A6"/>
    <w:rsid w:val="00C30A22"/>
    <w:rsid w:val="00C3329C"/>
    <w:rsid w:val="00C51886"/>
    <w:rsid w:val="00C52B6D"/>
    <w:rsid w:val="00C827DD"/>
    <w:rsid w:val="00C95024"/>
    <w:rsid w:val="00CA4E1D"/>
    <w:rsid w:val="00CB09CE"/>
    <w:rsid w:val="00CE5824"/>
    <w:rsid w:val="00D4741F"/>
    <w:rsid w:val="00D5193B"/>
    <w:rsid w:val="00D53258"/>
    <w:rsid w:val="00D5441D"/>
    <w:rsid w:val="00D93038"/>
    <w:rsid w:val="00DA7A89"/>
    <w:rsid w:val="00DB639A"/>
    <w:rsid w:val="00DB73F7"/>
    <w:rsid w:val="00DC4EB2"/>
    <w:rsid w:val="00DE274A"/>
    <w:rsid w:val="00DE5D1D"/>
    <w:rsid w:val="00DF67D1"/>
    <w:rsid w:val="00DF71D5"/>
    <w:rsid w:val="00E143C1"/>
    <w:rsid w:val="00E329D4"/>
    <w:rsid w:val="00E33779"/>
    <w:rsid w:val="00E34A80"/>
    <w:rsid w:val="00E4302B"/>
    <w:rsid w:val="00E43356"/>
    <w:rsid w:val="00E60581"/>
    <w:rsid w:val="00E70B69"/>
    <w:rsid w:val="00E71EEF"/>
    <w:rsid w:val="00E753FA"/>
    <w:rsid w:val="00EA4509"/>
    <w:rsid w:val="00EB739E"/>
    <w:rsid w:val="00EC28F8"/>
    <w:rsid w:val="00ED0FC0"/>
    <w:rsid w:val="00F03B51"/>
    <w:rsid w:val="00F06C32"/>
    <w:rsid w:val="00F06CB2"/>
    <w:rsid w:val="00F36EF1"/>
    <w:rsid w:val="00F4573A"/>
    <w:rsid w:val="00F45BAC"/>
    <w:rsid w:val="00F57E63"/>
    <w:rsid w:val="00F602E3"/>
    <w:rsid w:val="00F650F8"/>
    <w:rsid w:val="00F833B8"/>
    <w:rsid w:val="00FA1C48"/>
    <w:rsid w:val="00FA516B"/>
    <w:rsid w:val="00FD3F24"/>
    <w:rsid w:val="00FE0694"/>
    <w:rsid w:val="00FE2B89"/>
    <w:rsid w:val="00FF1122"/>
    <w:rsid w:val="03A36748"/>
    <w:rsid w:val="04125C99"/>
    <w:rsid w:val="05DF20B2"/>
    <w:rsid w:val="065818A6"/>
    <w:rsid w:val="092E4D8E"/>
    <w:rsid w:val="0A301EBE"/>
    <w:rsid w:val="0BA34B19"/>
    <w:rsid w:val="0BE9129E"/>
    <w:rsid w:val="0BEA67CF"/>
    <w:rsid w:val="0E2C5439"/>
    <w:rsid w:val="0E404143"/>
    <w:rsid w:val="0E8327C4"/>
    <w:rsid w:val="11575DC1"/>
    <w:rsid w:val="11F51D57"/>
    <w:rsid w:val="1261022C"/>
    <w:rsid w:val="13374324"/>
    <w:rsid w:val="14790327"/>
    <w:rsid w:val="17945470"/>
    <w:rsid w:val="1A3B73B1"/>
    <w:rsid w:val="1A905738"/>
    <w:rsid w:val="1E4A35C1"/>
    <w:rsid w:val="227931ED"/>
    <w:rsid w:val="2BF10D0C"/>
    <w:rsid w:val="2E6E40B7"/>
    <w:rsid w:val="337B3084"/>
    <w:rsid w:val="34795A29"/>
    <w:rsid w:val="34DA3238"/>
    <w:rsid w:val="360D30D4"/>
    <w:rsid w:val="37CE2B59"/>
    <w:rsid w:val="3A6D7116"/>
    <w:rsid w:val="3C853D67"/>
    <w:rsid w:val="3CE277AA"/>
    <w:rsid w:val="3F9F79BC"/>
    <w:rsid w:val="3FC00F95"/>
    <w:rsid w:val="3FDC5D00"/>
    <w:rsid w:val="4013200C"/>
    <w:rsid w:val="44AD4452"/>
    <w:rsid w:val="46475DEF"/>
    <w:rsid w:val="47BD2EBF"/>
    <w:rsid w:val="48505CB1"/>
    <w:rsid w:val="48947D70"/>
    <w:rsid w:val="4C2E3605"/>
    <w:rsid w:val="4D187C88"/>
    <w:rsid w:val="4E146DA6"/>
    <w:rsid w:val="52D921AA"/>
    <w:rsid w:val="52EF3BDB"/>
    <w:rsid w:val="536B7F2E"/>
    <w:rsid w:val="53B84642"/>
    <w:rsid w:val="53CD1095"/>
    <w:rsid w:val="549E2274"/>
    <w:rsid w:val="55756DF7"/>
    <w:rsid w:val="566E51DF"/>
    <w:rsid w:val="58F20AA1"/>
    <w:rsid w:val="593E40B1"/>
    <w:rsid w:val="59672CA6"/>
    <w:rsid w:val="5A096CFE"/>
    <w:rsid w:val="5D694937"/>
    <w:rsid w:val="60885F16"/>
    <w:rsid w:val="60EF4613"/>
    <w:rsid w:val="62F57456"/>
    <w:rsid w:val="63471D6C"/>
    <w:rsid w:val="6461767B"/>
    <w:rsid w:val="65590C02"/>
    <w:rsid w:val="673A09E8"/>
    <w:rsid w:val="68023AC8"/>
    <w:rsid w:val="682254AB"/>
    <w:rsid w:val="68661072"/>
    <w:rsid w:val="699546B8"/>
    <w:rsid w:val="6A4B752A"/>
    <w:rsid w:val="6BEE6A69"/>
    <w:rsid w:val="6C511D45"/>
    <w:rsid w:val="6CE508B1"/>
    <w:rsid w:val="6E3A7667"/>
    <w:rsid w:val="70A96E63"/>
    <w:rsid w:val="71CB4BFC"/>
    <w:rsid w:val="72586F8A"/>
    <w:rsid w:val="74015E5E"/>
    <w:rsid w:val="74AF4D39"/>
    <w:rsid w:val="78F80314"/>
    <w:rsid w:val="7A8A31E9"/>
    <w:rsid w:val="7B8C75F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qFormat="1"/>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70B"/>
    <w:pPr>
      <w:spacing w:line="480" w:lineRule="auto"/>
    </w:pPr>
    <w:rPr>
      <w:rFonts w:eastAsiaTheme="minorHAnsi" w:cstheme="minorBidi"/>
      <w:sz w:val="24"/>
      <w:szCs w:val="22"/>
    </w:rPr>
  </w:style>
  <w:style w:type="paragraph" w:styleId="Heading1">
    <w:name w:val="heading 1"/>
    <w:basedOn w:val="Normal"/>
    <w:next w:val="Normal"/>
    <w:link w:val="Heading1Char"/>
    <w:uiPriority w:val="9"/>
    <w:qFormat/>
    <w:rsid w:val="004B770B"/>
    <w:pPr>
      <w:keepNext/>
      <w:keepLines/>
      <w:jc w:val="center"/>
      <w:outlineLvl w:val="0"/>
    </w:pPr>
    <w:rPr>
      <w:rFonts w:asciiTheme="majorBidi" w:eastAsiaTheme="majorEastAsia" w:hAnsiTheme="majorBidi" w:cstheme="majorBidi"/>
      <w:b/>
      <w:szCs w:val="32"/>
    </w:rPr>
  </w:style>
  <w:style w:type="paragraph" w:styleId="Heading2">
    <w:name w:val="heading 2"/>
    <w:basedOn w:val="Normal"/>
    <w:next w:val="Normal"/>
    <w:link w:val="Heading2Char"/>
    <w:uiPriority w:val="9"/>
    <w:unhideWhenUsed/>
    <w:qFormat/>
    <w:rsid w:val="004B77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4B770B"/>
    <w:pPr>
      <w:spacing w:before="100" w:beforeAutospacing="1" w:after="100" w:afterAutospacing="1" w:line="240" w:lineRule="auto"/>
      <w:outlineLvl w:val="2"/>
    </w:pPr>
    <w:rPr>
      <w:rFonts w:eastAsia="Times New Roman" w:cs="Times New Roman"/>
      <w:b/>
      <w:bCs/>
      <w:sz w:val="27"/>
      <w:szCs w:val="27"/>
    </w:rPr>
  </w:style>
  <w:style w:type="paragraph" w:styleId="Heading4">
    <w:name w:val="heading 4"/>
    <w:basedOn w:val="Normal"/>
    <w:next w:val="Normal"/>
    <w:link w:val="Heading4Char"/>
    <w:uiPriority w:val="9"/>
    <w:semiHidden/>
    <w:unhideWhenUsed/>
    <w:qFormat/>
    <w:rsid w:val="004B770B"/>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4B770B"/>
    <w:pPr>
      <w:spacing w:line="240" w:lineRule="auto"/>
    </w:pPr>
    <w:rPr>
      <w:rFonts w:ascii="Tahoma" w:hAnsi="Tahoma" w:cs="Tahoma"/>
      <w:sz w:val="16"/>
      <w:szCs w:val="16"/>
    </w:rPr>
  </w:style>
  <w:style w:type="character" w:styleId="Emphasis">
    <w:name w:val="Emphasis"/>
    <w:basedOn w:val="DefaultParagraphFont"/>
    <w:uiPriority w:val="20"/>
    <w:qFormat/>
    <w:rsid w:val="004B770B"/>
    <w:rPr>
      <w:i/>
      <w:iCs/>
    </w:rPr>
  </w:style>
  <w:style w:type="paragraph" w:styleId="Footer">
    <w:name w:val="footer"/>
    <w:basedOn w:val="Normal"/>
    <w:link w:val="FooterChar"/>
    <w:uiPriority w:val="99"/>
    <w:unhideWhenUsed/>
    <w:qFormat/>
    <w:rsid w:val="004B770B"/>
    <w:pPr>
      <w:tabs>
        <w:tab w:val="center" w:pos="4680"/>
        <w:tab w:val="right" w:pos="9360"/>
      </w:tabs>
      <w:spacing w:line="240" w:lineRule="auto"/>
    </w:pPr>
  </w:style>
  <w:style w:type="paragraph" w:styleId="Header">
    <w:name w:val="header"/>
    <w:basedOn w:val="Normal"/>
    <w:link w:val="HeaderChar"/>
    <w:uiPriority w:val="99"/>
    <w:unhideWhenUsed/>
    <w:qFormat/>
    <w:rsid w:val="004B770B"/>
    <w:pPr>
      <w:tabs>
        <w:tab w:val="center" w:pos="4680"/>
        <w:tab w:val="right" w:pos="9360"/>
      </w:tabs>
      <w:spacing w:line="240" w:lineRule="auto"/>
    </w:pPr>
  </w:style>
  <w:style w:type="character" w:styleId="Hyperlink">
    <w:name w:val="Hyperlink"/>
    <w:basedOn w:val="DefaultParagraphFont"/>
    <w:uiPriority w:val="99"/>
    <w:unhideWhenUsed/>
    <w:qFormat/>
    <w:rsid w:val="004B770B"/>
    <w:rPr>
      <w:color w:val="0000FF"/>
      <w:u w:val="single"/>
    </w:rPr>
  </w:style>
  <w:style w:type="paragraph" w:styleId="NormalWeb">
    <w:name w:val="Normal (Web)"/>
    <w:basedOn w:val="Normal"/>
    <w:uiPriority w:val="99"/>
    <w:unhideWhenUsed/>
    <w:qFormat/>
    <w:rsid w:val="004B770B"/>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4B770B"/>
    <w:rPr>
      <w:b/>
      <w:bCs/>
    </w:rPr>
  </w:style>
  <w:style w:type="paragraph" w:styleId="TOC1">
    <w:name w:val="toc 1"/>
    <w:basedOn w:val="Normal"/>
    <w:next w:val="Normal"/>
    <w:autoRedefine/>
    <w:uiPriority w:val="39"/>
    <w:unhideWhenUsed/>
    <w:qFormat/>
    <w:rsid w:val="004B770B"/>
    <w:pPr>
      <w:spacing w:after="100"/>
    </w:pPr>
  </w:style>
  <w:style w:type="paragraph" w:styleId="TOC2">
    <w:name w:val="toc 2"/>
    <w:basedOn w:val="Normal"/>
    <w:next w:val="Normal"/>
    <w:autoRedefine/>
    <w:uiPriority w:val="39"/>
    <w:unhideWhenUsed/>
    <w:qFormat/>
    <w:rsid w:val="004B770B"/>
    <w:pPr>
      <w:spacing w:after="100"/>
      <w:ind w:left="240"/>
    </w:pPr>
  </w:style>
  <w:style w:type="paragraph" w:styleId="TOC3">
    <w:name w:val="toc 3"/>
    <w:basedOn w:val="Normal"/>
    <w:next w:val="Normal"/>
    <w:autoRedefine/>
    <w:uiPriority w:val="39"/>
    <w:unhideWhenUsed/>
    <w:qFormat/>
    <w:rsid w:val="004B770B"/>
    <w:pPr>
      <w:spacing w:after="100"/>
      <w:ind w:left="480"/>
    </w:pPr>
  </w:style>
  <w:style w:type="character" w:customStyle="1" w:styleId="Heading1Char">
    <w:name w:val="Heading 1 Char"/>
    <w:basedOn w:val="DefaultParagraphFont"/>
    <w:link w:val="Heading1"/>
    <w:uiPriority w:val="9"/>
    <w:qFormat/>
    <w:rsid w:val="004B770B"/>
    <w:rPr>
      <w:rFonts w:asciiTheme="majorBidi" w:eastAsiaTheme="majorEastAsia" w:hAnsiTheme="majorBidi" w:cstheme="majorBidi"/>
      <w:b/>
      <w:szCs w:val="32"/>
    </w:rPr>
  </w:style>
  <w:style w:type="character" w:customStyle="1" w:styleId="Heading3Char">
    <w:name w:val="Heading 3 Char"/>
    <w:basedOn w:val="DefaultParagraphFont"/>
    <w:link w:val="Heading3"/>
    <w:uiPriority w:val="9"/>
    <w:qFormat/>
    <w:rsid w:val="004B770B"/>
    <w:rPr>
      <w:rFonts w:eastAsia="Times New Roman" w:cs="Times New Roman"/>
      <w:b/>
      <w:bCs/>
      <w:sz w:val="27"/>
      <w:szCs w:val="27"/>
    </w:rPr>
  </w:style>
  <w:style w:type="character" w:customStyle="1" w:styleId="Heading4Char">
    <w:name w:val="Heading 4 Char"/>
    <w:basedOn w:val="DefaultParagraphFont"/>
    <w:link w:val="Heading4"/>
    <w:uiPriority w:val="9"/>
    <w:semiHidden/>
    <w:qFormat/>
    <w:rsid w:val="004B770B"/>
    <w:rPr>
      <w:rFonts w:asciiTheme="majorHAnsi" w:eastAsiaTheme="majorEastAsia" w:hAnsiTheme="majorHAnsi" w:cstheme="majorBidi"/>
      <w:i/>
      <w:iCs/>
      <w:color w:val="2E74B5" w:themeColor="accent1" w:themeShade="BF"/>
    </w:rPr>
  </w:style>
  <w:style w:type="paragraph" w:styleId="ListParagraph">
    <w:name w:val="List Paragraph"/>
    <w:basedOn w:val="Normal"/>
    <w:uiPriority w:val="34"/>
    <w:qFormat/>
    <w:rsid w:val="004B770B"/>
    <w:pPr>
      <w:ind w:left="720"/>
      <w:contextualSpacing/>
    </w:pPr>
  </w:style>
  <w:style w:type="character" w:customStyle="1" w:styleId="HeaderChar">
    <w:name w:val="Header Char"/>
    <w:basedOn w:val="DefaultParagraphFont"/>
    <w:link w:val="Header"/>
    <w:uiPriority w:val="99"/>
    <w:qFormat/>
    <w:rsid w:val="004B770B"/>
  </w:style>
  <w:style w:type="character" w:customStyle="1" w:styleId="FooterChar">
    <w:name w:val="Footer Char"/>
    <w:basedOn w:val="DefaultParagraphFont"/>
    <w:link w:val="Footer"/>
    <w:uiPriority w:val="99"/>
    <w:qFormat/>
    <w:rsid w:val="004B770B"/>
  </w:style>
  <w:style w:type="character" w:customStyle="1" w:styleId="BalloonTextChar">
    <w:name w:val="Balloon Text Char"/>
    <w:basedOn w:val="DefaultParagraphFont"/>
    <w:link w:val="BalloonText"/>
    <w:uiPriority w:val="99"/>
    <w:semiHidden/>
    <w:qFormat/>
    <w:rsid w:val="004B770B"/>
    <w:rPr>
      <w:rFonts w:ascii="Tahoma" w:hAnsi="Tahoma" w:cs="Tahoma"/>
      <w:sz w:val="16"/>
      <w:szCs w:val="16"/>
    </w:rPr>
  </w:style>
  <w:style w:type="character" w:customStyle="1" w:styleId="Heading2Char">
    <w:name w:val="Heading 2 Char"/>
    <w:basedOn w:val="DefaultParagraphFont"/>
    <w:link w:val="Heading2"/>
    <w:uiPriority w:val="9"/>
    <w:qFormat/>
    <w:rsid w:val="004B770B"/>
    <w:rPr>
      <w:rFonts w:asciiTheme="majorHAnsi" w:eastAsiaTheme="majorEastAsia" w:hAnsiTheme="majorHAnsi" w:cstheme="majorBidi"/>
      <w:b/>
      <w:bCs/>
      <w:color w:val="5B9BD5" w:themeColor="accent1"/>
      <w:sz w:val="26"/>
      <w:szCs w:val="26"/>
    </w:rPr>
  </w:style>
  <w:style w:type="paragraph" w:customStyle="1" w:styleId="TOCHeading1">
    <w:name w:val="TOC Heading1"/>
    <w:basedOn w:val="Heading1"/>
    <w:next w:val="Normal"/>
    <w:uiPriority w:val="39"/>
    <w:semiHidden/>
    <w:unhideWhenUsed/>
    <w:qFormat/>
    <w:rsid w:val="004B770B"/>
    <w:pPr>
      <w:spacing w:before="480" w:line="276" w:lineRule="auto"/>
      <w:jc w:val="left"/>
      <w:outlineLvl w:val="9"/>
    </w:pPr>
    <w:rPr>
      <w:rFonts w:asciiTheme="majorHAnsi" w:hAnsiTheme="majorHAnsi"/>
      <w:bCs/>
      <w:color w:val="2E74B5" w:themeColor="accent1" w:themeShade="BF"/>
      <w:sz w:val="28"/>
      <w:szCs w:val="28"/>
    </w:rPr>
  </w:style>
  <w:style w:type="paragraph" w:customStyle="1" w:styleId="TOCHeading2">
    <w:name w:val="TOC Heading2"/>
    <w:basedOn w:val="Heading1"/>
    <w:next w:val="Normal"/>
    <w:uiPriority w:val="39"/>
    <w:unhideWhenUsed/>
    <w:qFormat/>
    <w:rsid w:val="004B770B"/>
    <w:pPr>
      <w:spacing w:before="480" w:line="276" w:lineRule="auto"/>
      <w:jc w:val="left"/>
      <w:outlineLvl w:val="9"/>
    </w:pPr>
    <w:rPr>
      <w:rFonts w:asciiTheme="majorHAnsi" w:hAnsiTheme="majorHAnsi"/>
      <w:bCs/>
      <w:color w:val="2E74B5" w:themeColor="accent1" w:themeShade="BF"/>
      <w:sz w:val="28"/>
      <w:szCs w:val="28"/>
    </w:rPr>
  </w:style>
  <w:style w:type="paragraph" w:styleId="NoSpacing">
    <w:name w:val="No Spacing"/>
    <w:uiPriority w:val="1"/>
    <w:qFormat/>
    <w:rsid w:val="004B770B"/>
    <w:rPr>
      <w:rFonts w:asciiTheme="minorHAnsi" w:eastAsiaTheme="minorHAnsi"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doi.org/10.1007/s11356-020-08932-0" TargetMode="External"/><Relationship Id="rId26" Type="http://schemas.openxmlformats.org/officeDocument/2006/relationships/hyperlink" Target="https://doi.org/10.1016/j.pt.2022.04.003" TargetMode="External"/><Relationship Id="rId3" Type="http://schemas.openxmlformats.org/officeDocument/2006/relationships/styles" Target="styles.xml"/><Relationship Id="rId21" Type="http://schemas.openxmlformats.org/officeDocument/2006/relationships/hyperlink" Target="https://doi.org/10.1146/annurev-ento-042821-021503"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doi.org/10.1038/s41564-021-00892-3" TargetMode="External"/><Relationship Id="rId25" Type="http://schemas.openxmlformats.org/officeDocument/2006/relationships/hyperlink" Target="https://doi.org/10.1186/s13071-021-04631-4"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1016/j.actatropica.2019.105241" TargetMode="External"/><Relationship Id="rId20" Type="http://schemas.openxmlformats.org/officeDocument/2006/relationships/hyperlink" Target="https://doi.org/10.1016/j.ecoenv.2021.112018" TargetMode="External"/><Relationship Id="rId29" Type="http://schemas.openxmlformats.org/officeDocument/2006/relationships/hyperlink" Target="https://doi.org/10.1016/j.pt.2015.12.0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doi.org/10.1146/annurev-ento-011118-111908" TargetMode="External"/><Relationship Id="rId32" Type="http://schemas.openxmlformats.org/officeDocument/2006/relationships/hyperlink" Target="https://doi.org/10.1016/j.toxrep.2020.08.017" TargetMode="External"/><Relationship Id="rId5" Type="http://schemas.openxmlformats.org/officeDocument/2006/relationships/webSettings" Target="webSettings.xml"/><Relationship Id="rId15" Type="http://schemas.openxmlformats.org/officeDocument/2006/relationships/hyperlink" Target="https://doi.org/10.1007/978-3-662-63980-4" TargetMode="External"/><Relationship Id="rId23" Type="http://schemas.openxmlformats.org/officeDocument/2006/relationships/hyperlink" Target="https://doi.org/10.1016/j.jclepro.2021.128460" TargetMode="External"/><Relationship Id="rId28" Type="http://schemas.openxmlformats.org/officeDocument/2006/relationships/hyperlink" Target="https://doi.org/10.4172/2155-6202.100025" TargetMode="External"/><Relationship Id="rId36"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s://doi.org/10.1016/j.envres.2021.110847" TargetMode="External"/><Relationship Id="rId31" Type="http://schemas.openxmlformats.org/officeDocument/2006/relationships/hyperlink" Target="https://www.who.int/news-room/fact-sheets/detail/vector-borne-disease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1111/jvec.12342" TargetMode="External"/><Relationship Id="rId22" Type="http://schemas.openxmlformats.org/officeDocument/2006/relationships/hyperlink" Target="https://doi.org/10.1080/23312025.2017.1404274" TargetMode="External"/><Relationship Id="rId27" Type="http://schemas.openxmlformats.org/officeDocument/2006/relationships/hyperlink" Target="https://doi.org/10.1007/s10340-019-01195-3" TargetMode="External"/><Relationship Id="rId30" Type="http://schemas.openxmlformats.org/officeDocument/2006/relationships/hyperlink" Target="https://www.who.int/publications/i/item/9789240064898"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2D7A07-8FA8-44A8-9E65-2E79243CB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10418</Words>
  <Characters>59387</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Aavir</dc:creator>
  <cp:lastModifiedBy>Elibrary</cp:lastModifiedBy>
  <cp:revision>3</cp:revision>
  <dcterms:created xsi:type="dcterms:W3CDTF">2025-12-08T14:07:00Z</dcterms:created>
  <dcterms:modified xsi:type="dcterms:W3CDTF">2025-12-08T14:07:00Z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2ACCF3B97D184F4F9BFA211A58BAC35D_12</vt:lpwstr>
  </property>
</Properties>
</file>